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6B0AD" w14:textId="77777777" w:rsidR="00B17E5F" w:rsidRPr="00322E56" w:rsidRDefault="00B17E5F" w:rsidP="008949E3">
      <w:pPr>
        <w:pStyle w:val="Title"/>
        <w:rPr>
          <w:rFonts w:cs="Times New Roman"/>
          <w:szCs w:val="28"/>
        </w:rPr>
      </w:pPr>
      <w:r w:rsidRPr="00322E56">
        <w:rPr>
          <w:rFonts w:cs="Times New Roman"/>
          <w:szCs w:val="28"/>
        </w:rPr>
        <w:t>Heat Pump Integrated Thermal Storage for Building Demand Response and Decarbonization</w:t>
      </w:r>
    </w:p>
    <w:p w14:paraId="3364ACF2" w14:textId="77777777" w:rsidR="00B17E5F" w:rsidRPr="00322E56" w:rsidRDefault="00B17E5F" w:rsidP="00387656">
      <w:pPr>
        <w:pStyle w:val="Title"/>
        <w:rPr>
          <w:rFonts w:cs="Times New Roman"/>
          <w:szCs w:val="28"/>
        </w:rPr>
      </w:pPr>
      <w:r w:rsidRPr="00322E56">
        <w:rPr>
          <w:rFonts w:cs="Times New Roman"/>
          <w:szCs w:val="28"/>
        </w:rPr>
        <w:tab/>
      </w:r>
    </w:p>
    <w:p w14:paraId="384BA06C" w14:textId="77777777" w:rsidR="00B17E5F" w:rsidRPr="00322E56" w:rsidRDefault="00B17E5F" w:rsidP="00387656">
      <w:pPr>
        <w:pStyle w:val="Title"/>
        <w:rPr>
          <w:rFonts w:cs="Times New Roman"/>
          <w:sz w:val="24"/>
        </w:rPr>
      </w:pPr>
    </w:p>
    <w:p w14:paraId="48562746" w14:textId="77777777" w:rsidR="00B17E5F" w:rsidRPr="00322E56" w:rsidRDefault="00B17E5F" w:rsidP="00387656">
      <w:pPr>
        <w:pStyle w:val="Title"/>
        <w:rPr>
          <w:rFonts w:cs="Times New Roman"/>
          <w:sz w:val="24"/>
        </w:rPr>
      </w:pPr>
    </w:p>
    <w:p w14:paraId="6B60E66A" w14:textId="77777777" w:rsidR="00B17E5F" w:rsidRPr="00322E56" w:rsidRDefault="00B17E5F" w:rsidP="00387656">
      <w:pPr>
        <w:pStyle w:val="Title"/>
        <w:rPr>
          <w:rFonts w:cs="Times New Roman"/>
          <w:sz w:val="24"/>
        </w:rPr>
      </w:pPr>
    </w:p>
    <w:p w14:paraId="7F745C1A" w14:textId="77777777" w:rsidR="00B17E5F" w:rsidRPr="00322E56" w:rsidRDefault="00B17E5F" w:rsidP="00AB7500">
      <w:pPr>
        <w:pStyle w:val="Title"/>
        <w:ind w:firstLine="0"/>
        <w:jc w:val="both"/>
        <w:rPr>
          <w:rFonts w:cs="Times New Roman"/>
          <w:sz w:val="24"/>
        </w:rPr>
      </w:pPr>
    </w:p>
    <w:p w14:paraId="2DFE4B5B" w14:textId="77777777" w:rsidR="00B17E5F" w:rsidRPr="00322E56" w:rsidRDefault="00B17E5F" w:rsidP="00387656">
      <w:pPr>
        <w:pStyle w:val="Title"/>
        <w:rPr>
          <w:rFonts w:cs="Times New Roman"/>
          <w:sz w:val="24"/>
        </w:rPr>
      </w:pPr>
    </w:p>
    <w:p w14:paraId="5DF1FC82" w14:textId="77777777" w:rsidR="00B17E5F" w:rsidRPr="00322E56" w:rsidRDefault="00B17E5F" w:rsidP="00AB7500">
      <w:pPr>
        <w:pStyle w:val="Title"/>
        <w:ind w:firstLine="0"/>
        <w:jc w:val="left"/>
        <w:rPr>
          <w:rFonts w:cs="Times New Roman"/>
          <w:sz w:val="24"/>
        </w:rPr>
      </w:pPr>
    </w:p>
    <w:p w14:paraId="2770DD9F" w14:textId="15C37FA1" w:rsidR="00B17E5F" w:rsidRPr="00322E56" w:rsidRDefault="00B17E5F" w:rsidP="00387656">
      <w:pPr>
        <w:pStyle w:val="Title"/>
        <w:rPr>
          <w:rFonts w:cs="Times New Roman"/>
          <w:szCs w:val="28"/>
        </w:rPr>
      </w:pPr>
      <w:r w:rsidRPr="00322E56">
        <w:rPr>
          <w:rFonts w:cs="Times New Roman"/>
          <w:szCs w:val="28"/>
        </w:rPr>
        <w:t xml:space="preserve">A </w:t>
      </w:r>
      <w:r w:rsidR="00AB7500">
        <w:rPr>
          <w:rFonts w:cs="Times New Roman"/>
          <w:szCs w:val="28"/>
        </w:rPr>
        <w:t>Dissertation</w:t>
      </w:r>
      <w:r w:rsidRPr="00322E56">
        <w:rPr>
          <w:rFonts w:cs="Times New Roman"/>
          <w:szCs w:val="28"/>
        </w:rPr>
        <w:t xml:space="preserve"> Presented for the</w:t>
      </w:r>
    </w:p>
    <w:p w14:paraId="2FF2E0CC" w14:textId="77777777" w:rsidR="00B17E5F" w:rsidRPr="00322E56" w:rsidRDefault="00B17E5F" w:rsidP="00387656">
      <w:pPr>
        <w:pStyle w:val="Title"/>
        <w:rPr>
          <w:rFonts w:cs="Times New Roman"/>
          <w:szCs w:val="28"/>
        </w:rPr>
      </w:pPr>
      <w:r w:rsidRPr="00322E56">
        <w:rPr>
          <w:rFonts w:cs="Times New Roman"/>
          <w:szCs w:val="28"/>
        </w:rPr>
        <w:t>Doctor of Philosophy</w:t>
      </w:r>
    </w:p>
    <w:p w14:paraId="13A6C941" w14:textId="2DC4A7B2" w:rsidR="00B17E5F" w:rsidRPr="00322E56" w:rsidRDefault="00AB7500" w:rsidP="00387656">
      <w:pPr>
        <w:pStyle w:val="Title"/>
        <w:rPr>
          <w:rFonts w:cs="Times New Roman"/>
          <w:szCs w:val="28"/>
        </w:rPr>
      </w:pPr>
      <w:r>
        <w:rPr>
          <w:rFonts w:cs="Times New Roman"/>
          <w:szCs w:val="28"/>
        </w:rPr>
        <w:t>Degree</w:t>
      </w:r>
    </w:p>
    <w:p w14:paraId="3E768322" w14:textId="2AEC19CA" w:rsidR="00B17E5F" w:rsidRPr="00322E56" w:rsidRDefault="00B17E5F" w:rsidP="00AB7500">
      <w:pPr>
        <w:pStyle w:val="Title"/>
        <w:rPr>
          <w:rFonts w:cs="Times New Roman"/>
          <w:szCs w:val="28"/>
        </w:rPr>
      </w:pPr>
      <w:r w:rsidRPr="00322E56">
        <w:rPr>
          <w:rFonts w:cs="Times New Roman"/>
          <w:szCs w:val="28"/>
        </w:rPr>
        <w:t>The University of Tennessee, Knoxville</w:t>
      </w:r>
    </w:p>
    <w:p w14:paraId="639176FB" w14:textId="77777777" w:rsidR="00B17E5F" w:rsidRPr="00322E56" w:rsidRDefault="00B17E5F" w:rsidP="00387656">
      <w:pPr>
        <w:pStyle w:val="Title"/>
        <w:rPr>
          <w:rFonts w:cs="Times New Roman"/>
          <w:szCs w:val="28"/>
        </w:rPr>
      </w:pPr>
    </w:p>
    <w:p w14:paraId="5E8E6DE6" w14:textId="77777777" w:rsidR="00B17E5F" w:rsidRPr="00322E56" w:rsidRDefault="00B17E5F" w:rsidP="00387656">
      <w:pPr>
        <w:pStyle w:val="Title"/>
        <w:rPr>
          <w:rFonts w:cs="Times New Roman"/>
          <w:szCs w:val="28"/>
        </w:rPr>
      </w:pPr>
    </w:p>
    <w:p w14:paraId="39261049" w14:textId="77777777" w:rsidR="00B17E5F" w:rsidRPr="00322E56" w:rsidRDefault="00B17E5F" w:rsidP="00AB7500">
      <w:pPr>
        <w:pStyle w:val="Title"/>
        <w:ind w:firstLine="0"/>
        <w:jc w:val="both"/>
        <w:rPr>
          <w:rFonts w:cs="Times New Roman"/>
          <w:szCs w:val="28"/>
        </w:rPr>
      </w:pPr>
    </w:p>
    <w:p w14:paraId="044B980A" w14:textId="77777777" w:rsidR="00B17E5F" w:rsidRPr="00322E56" w:rsidRDefault="00B17E5F" w:rsidP="00387656">
      <w:pPr>
        <w:pStyle w:val="Title"/>
        <w:rPr>
          <w:rFonts w:cs="Times New Roman"/>
          <w:szCs w:val="28"/>
        </w:rPr>
      </w:pPr>
    </w:p>
    <w:p w14:paraId="6314711A" w14:textId="77777777" w:rsidR="00B17E5F" w:rsidRDefault="00B17E5F" w:rsidP="00387656">
      <w:pPr>
        <w:pStyle w:val="Title"/>
        <w:rPr>
          <w:rFonts w:cs="Times New Roman"/>
          <w:szCs w:val="28"/>
        </w:rPr>
      </w:pPr>
    </w:p>
    <w:p w14:paraId="2243D880" w14:textId="77777777" w:rsidR="00B17E5F" w:rsidRPr="00322E56" w:rsidRDefault="00B17E5F" w:rsidP="00AB7500">
      <w:pPr>
        <w:pStyle w:val="Title"/>
        <w:ind w:firstLine="0"/>
        <w:jc w:val="both"/>
        <w:rPr>
          <w:rFonts w:cs="Times New Roman"/>
          <w:szCs w:val="28"/>
        </w:rPr>
      </w:pPr>
    </w:p>
    <w:p w14:paraId="1FD5691D" w14:textId="77777777" w:rsidR="00B17E5F" w:rsidRPr="00322E56" w:rsidRDefault="00B17E5F" w:rsidP="00387656">
      <w:pPr>
        <w:pStyle w:val="Title"/>
        <w:rPr>
          <w:rFonts w:cs="Times New Roman"/>
          <w:szCs w:val="28"/>
        </w:rPr>
      </w:pPr>
      <w:r w:rsidRPr="00322E56">
        <w:rPr>
          <w:rFonts w:cs="Times New Roman"/>
          <w:szCs w:val="28"/>
        </w:rPr>
        <w:t>Sara Sultan</w:t>
      </w:r>
    </w:p>
    <w:p w14:paraId="592E435E" w14:textId="7271E32A" w:rsidR="00B17E5F" w:rsidRPr="00322E56" w:rsidRDefault="00AB7500" w:rsidP="00387656">
      <w:pPr>
        <w:pStyle w:val="Title"/>
        <w:rPr>
          <w:rFonts w:cs="Times New Roman"/>
          <w:szCs w:val="28"/>
        </w:rPr>
      </w:pPr>
      <w:r>
        <w:rPr>
          <w:rFonts w:cs="Times New Roman"/>
          <w:szCs w:val="28"/>
        </w:rPr>
        <w:t>August</w:t>
      </w:r>
      <w:r w:rsidR="00B17E5F" w:rsidRPr="00322E56">
        <w:rPr>
          <w:rFonts w:cs="Times New Roman"/>
          <w:szCs w:val="28"/>
        </w:rPr>
        <w:t xml:space="preserve"> 2023</w:t>
      </w:r>
    </w:p>
    <w:p w14:paraId="5BE04A56" w14:textId="7B518B27" w:rsidR="00B17E5F" w:rsidRPr="00322E56" w:rsidRDefault="00B17E5F" w:rsidP="00AB7500">
      <w:pPr>
        <w:ind w:firstLine="0"/>
        <w:rPr>
          <w:rFonts w:cs="Times New Roman"/>
        </w:rPr>
      </w:pPr>
    </w:p>
    <w:p w14:paraId="4690A48D" w14:textId="6ED0371B" w:rsidR="00B17E5F" w:rsidRPr="00322E56" w:rsidRDefault="00B17E5F" w:rsidP="005E54E2">
      <w:pPr>
        <w:rPr>
          <w:rFonts w:cs="Times New Roman"/>
        </w:rPr>
      </w:pPr>
      <w:r w:rsidRPr="00322E56">
        <w:rPr>
          <w:rFonts w:cs="Times New Roman"/>
        </w:rPr>
        <w:lastRenderedPageBreak/>
        <w:t>Copyright © 2023 by Sara Sultan.</w:t>
      </w:r>
    </w:p>
    <w:p w14:paraId="360590DC" w14:textId="77777777" w:rsidR="00B17E5F" w:rsidRPr="00322E56" w:rsidRDefault="00B17E5F" w:rsidP="005E54E2">
      <w:pPr>
        <w:rPr>
          <w:rFonts w:cs="Times New Roman"/>
        </w:rPr>
      </w:pPr>
      <w:r w:rsidRPr="00322E56">
        <w:rPr>
          <w:rFonts w:cs="Times New Roman"/>
        </w:rPr>
        <w:t>All rights reserved.</w:t>
      </w:r>
    </w:p>
    <w:p w14:paraId="0E932762" w14:textId="77777777" w:rsidR="00B17E5F" w:rsidRPr="00322E56" w:rsidRDefault="00B17E5F" w:rsidP="005E54E2">
      <w:pPr>
        <w:rPr>
          <w:rFonts w:cs="Times New Roman"/>
        </w:rPr>
      </w:pPr>
    </w:p>
    <w:p w14:paraId="3E5A9DD0" w14:textId="77777777" w:rsidR="00B17E5F" w:rsidRPr="00322E56" w:rsidRDefault="00B17E5F" w:rsidP="005E54E2">
      <w:pPr>
        <w:rPr>
          <w:rFonts w:cs="Times New Roman"/>
        </w:rPr>
      </w:pPr>
    </w:p>
    <w:p w14:paraId="35650BC8" w14:textId="77777777" w:rsidR="00B17E5F" w:rsidRPr="00322E56" w:rsidRDefault="00B17E5F" w:rsidP="005E54E2">
      <w:pPr>
        <w:rPr>
          <w:rFonts w:cs="Times New Roman"/>
        </w:rPr>
      </w:pPr>
    </w:p>
    <w:p w14:paraId="0081BB9F" w14:textId="77777777" w:rsidR="00B17E5F" w:rsidRPr="00322E56" w:rsidRDefault="00B17E5F" w:rsidP="005E54E2">
      <w:pPr>
        <w:rPr>
          <w:rFonts w:cs="Times New Roman"/>
        </w:rPr>
      </w:pPr>
    </w:p>
    <w:p w14:paraId="0C076C93" w14:textId="77777777" w:rsidR="00B17E5F" w:rsidRPr="00322E56" w:rsidRDefault="00B17E5F" w:rsidP="005E54E2">
      <w:pPr>
        <w:rPr>
          <w:rFonts w:cs="Times New Roman"/>
        </w:rPr>
      </w:pPr>
    </w:p>
    <w:p w14:paraId="13DD0485" w14:textId="77777777" w:rsidR="00B17E5F" w:rsidRPr="00322E56" w:rsidRDefault="00B17E5F" w:rsidP="005E54E2">
      <w:pPr>
        <w:rPr>
          <w:rFonts w:cs="Times New Roman"/>
        </w:rPr>
      </w:pPr>
    </w:p>
    <w:p w14:paraId="21031B60" w14:textId="77777777" w:rsidR="00B17E5F" w:rsidRPr="00322E56" w:rsidRDefault="00B17E5F" w:rsidP="005E54E2">
      <w:pPr>
        <w:rPr>
          <w:rFonts w:cs="Times New Roman"/>
        </w:rPr>
      </w:pPr>
    </w:p>
    <w:p w14:paraId="0F3E04C9" w14:textId="77777777" w:rsidR="00B17E5F" w:rsidRPr="00322E56" w:rsidRDefault="00B17E5F" w:rsidP="005E54E2">
      <w:pPr>
        <w:rPr>
          <w:rFonts w:cs="Times New Roman"/>
        </w:rPr>
      </w:pPr>
    </w:p>
    <w:p w14:paraId="594A591D" w14:textId="77777777" w:rsidR="00B17E5F" w:rsidRPr="00322E56" w:rsidRDefault="00B17E5F" w:rsidP="005E54E2">
      <w:pPr>
        <w:rPr>
          <w:rFonts w:cs="Times New Roman"/>
        </w:rPr>
      </w:pPr>
    </w:p>
    <w:p w14:paraId="144997AD" w14:textId="77777777" w:rsidR="00B17E5F" w:rsidRPr="00322E56" w:rsidRDefault="00B17E5F" w:rsidP="005E54E2">
      <w:pPr>
        <w:rPr>
          <w:rFonts w:cs="Times New Roman"/>
        </w:rPr>
      </w:pPr>
    </w:p>
    <w:p w14:paraId="664C7374" w14:textId="77777777" w:rsidR="00B17E5F" w:rsidRPr="00322E56" w:rsidRDefault="00B17E5F" w:rsidP="005E54E2">
      <w:pPr>
        <w:rPr>
          <w:rFonts w:cs="Times New Roman"/>
        </w:rPr>
      </w:pPr>
    </w:p>
    <w:p w14:paraId="1DF61E68" w14:textId="77777777" w:rsidR="00B17E5F" w:rsidRPr="00322E56" w:rsidRDefault="00B17E5F" w:rsidP="005E54E2">
      <w:pPr>
        <w:rPr>
          <w:rFonts w:cs="Times New Roman"/>
        </w:rPr>
      </w:pPr>
    </w:p>
    <w:p w14:paraId="05F93987" w14:textId="77777777" w:rsidR="00B17E5F" w:rsidRPr="00322E56" w:rsidRDefault="00B17E5F" w:rsidP="005E54E2">
      <w:pPr>
        <w:rPr>
          <w:rFonts w:cs="Times New Roman"/>
        </w:rPr>
      </w:pPr>
    </w:p>
    <w:p w14:paraId="452096EE" w14:textId="77777777" w:rsidR="00B17E5F" w:rsidRPr="00322E56" w:rsidRDefault="00B17E5F" w:rsidP="005E54E2">
      <w:pPr>
        <w:rPr>
          <w:rFonts w:cs="Times New Roman"/>
        </w:rPr>
      </w:pPr>
    </w:p>
    <w:p w14:paraId="0E4B0CB8" w14:textId="77777777" w:rsidR="00B17E5F" w:rsidRPr="00322E56" w:rsidRDefault="00B17E5F" w:rsidP="00387656">
      <w:pPr>
        <w:pStyle w:val="Title"/>
        <w:rPr>
          <w:rFonts w:cs="Times New Roman"/>
          <w:szCs w:val="28"/>
        </w:rPr>
      </w:pPr>
      <w:r w:rsidRPr="00322E56">
        <w:rPr>
          <w:rFonts w:cs="Times New Roman"/>
          <w:sz w:val="24"/>
        </w:rPr>
        <w:br w:type="page"/>
      </w:r>
      <w:r w:rsidRPr="00322E56">
        <w:rPr>
          <w:rFonts w:cs="Times New Roman"/>
          <w:szCs w:val="28"/>
        </w:rPr>
        <w:lastRenderedPageBreak/>
        <w:t>DEDICATION</w:t>
      </w:r>
    </w:p>
    <w:p w14:paraId="7033A3AA" w14:textId="77777777" w:rsidR="00B17E5F" w:rsidRPr="00322E56" w:rsidRDefault="00B17E5F" w:rsidP="005E54E2">
      <w:pPr>
        <w:rPr>
          <w:rFonts w:cs="Times New Roman"/>
        </w:rPr>
      </w:pPr>
    </w:p>
    <w:p w14:paraId="081AB323" w14:textId="77777777" w:rsidR="00B17E5F" w:rsidRPr="00322E56" w:rsidRDefault="00B17E5F" w:rsidP="00387656">
      <w:pPr>
        <w:jc w:val="center"/>
        <w:rPr>
          <w:rFonts w:cs="Times New Roman"/>
        </w:rPr>
      </w:pPr>
      <w:r w:rsidRPr="00322E56">
        <w:rPr>
          <w:rFonts w:cs="Times New Roman"/>
        </w:rPr>
        <w:t>To my beloved husband for always having my back.</w:t>
      </w:r>
    </w:p>
    <w:p w14:paraId="0356FB4B" w14:textId="77777777" w:rsidR="00B17E5F" w:rsidRPr="00322E56" w:rsidRDefault="00B17E5F" w:rsidP="00387656">
      <w:pPr>
        <w:jc w:val="center"/>
        <w:rPr>
          <w:rFonts w:cs="Times New Roman"/>
        </w:rPr>
      </w:pPr>
      <w:r w:rsidRPr="00322E56">
        <w:rPr>
          <w:rFonts w:cs="Times New Roman"/>
        </w:rPr>
        <w:t>To my parents for tremendous support.</w:t>
      </w:r>
    </w:p>
    <w:p w14:paraId="3AF31ADA" w14:textId="21A68D7E" w:rsidR="00B17E5F" w:rsidRPr="00322E56" w:rsidRDefault="00B17E5F" w:rsidP="00387656">
      <w:pPr>
        <w:jc w:val="center"/>
        <w:rPr>
          <w:rFonts w:cs="Times New Roman"/>
        </w:rPr>
      </w:pPr>
      <w:r w:rsidRPr="00322E56">
        <w:rPr>
          <w:rFonts w:cs="Times New Roman"/>
        </w:rPr>
        <w:t xml:space="preserve">To the </w:t>
      </w:r>
      <w:r w:rsidR="004E1A99">
        <w:rPr>
          <w:rFonts w:cs="Times New Roman"/>
        </w:rPr>
        <w:t>wizarding</w:t>
      </w:r>
      <w:r w:rsidRPr="00322E56">
        <w:rPr>
          <w:rFonts w:cs="Times New Roman"/>
        </w:rPr>
        <w:t xml:space="preserve"> world of Harry Potter</w:t>
      </w:r>
      <w:r>
        <w:rPr>
          <w:rFonts w:cs="Times New Roman"/>
        </w:rPr>
        <w:t xml:space="preserve"> </w:t>
      </w:r>
      <w:r w:rsidRPr="00322E56">
        <w:rPr>
          <w:rFonts w:cs="Times New Roman"/>
        </w:rPr>
        <w:t>for comforting me</w:t>
      </w:r>
      <w:r>
        <w:rPr>
          <w:rFonts w:cs="Times New Roman"/>
        </w:rPr>
        <w:t>.</w:t>
      </w:r>
    </w:p>
    <w:p w14:paraId="1B59F64A" w14:textId="77777777" w:rsidR="00B17E5F" w:rsidRPr="00322E56" w:rsidRDefault="00B17E5F" w:rsidP="00387656">
      <w:pPr>
        <w:jc w:val="center"/>
        <w:rPr>
          <w:rFonts w:cs="Times New Roman"/>
        </w:rPr>
      </w:pPr>
      <w:r w:rsidRPr="00322E56">
        <w:rPr>
          <w:rFonts w:cs="Times New Roman"/>
        </w:rPr>
        <w:t>To my love of art for keeping me sane.</w:t>
      </w:r>
    </w:p>
    <w:p w14:paraId="654A273C" w14:textId="77777777" w:rsidR="00B17E5F" w:rsidRPr="00322E56" w:rsidRDefault="00B17E5F" w:rsidP="009E7CA9">
      <w:pPr>
        <w:jc w:val="center"/>
        <w:rPr>
          <w:rFonts w:cs="Times New Roman"/>
        </w:rPr>
      </w:pPr>
      <w:r w:rsidRPr="00322E56">
        <w:rPr>
          <w:rFonts w:cs="Times New Roman"/>
        </w:rPr>
        <w:t>And to myself, for not giving up…</w:t>
      </w:r>
    </w:p>
    <w:p w14:paraId="68D00508" w14:textId="77777777" w:rsidR="00B17E5F" w:rsidRPr="00322E56" w:rsidRDefault="00B17E5F" w:rsidP="009E7CA9">
      <w:pPr>
        <w:jc w:val="center"/>
        <w:rPr>
          <w:rFonts w:cs="Times New Roman"/>
        </w:rPr>
      </w:pPr>
    </w:p>
    <w:p w14:paraId="0F5DF4C0" w14:textId="77777777" w:rsidR="00B17E5F" w:rsidRPr="00322E56" w:rsidRDefault="00B17E5F" w:rsidP="009E7CA9">
      <w:pPr>
        <w:jc w:val="center"/>
        <w:rPr>
          <w:rFonts w:cs="Times New Roman"/>
        </w:rPr>
      </w:pPr>
    </w:p>
    <w:p w14:paraId="2283325C" w14:textId="77777777" w:rsidR="00B17E5F" w:rsidRPr="00322E56" w:rsidRDefault="00B17E5F" w:rsidP="009E7CA9">
      <w:pPr>
        <w:jc w:val="center"/>
        <w:rPr>
          <w:rFonts w:cs="Times New Roman"/>
        </w:rPr>
      </w:pPr>
      <w:r w:rsidRPr="00322E56">
        <w:rPr>
          <w:rFonts w:cs="Times New Roman"/>
          <w:noProof/>
        </w:rPr>
        <w:drawing>
          <wp:inline distT="0" distB="0" distL="0" distR="0" wp14:anchorId="52177AC2" wp14:editId="69CD5265">
            <wp:extent cx="3815729" cy="3815729"/>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32578" cy="3832578"/>
                    </a:xfrm>
                    <a:prstGeom prst="rect">
                      <a:avLst/>
                    </a:prstGeom>
                  </pic:spPr>
                </pic:pic>
              </a:graphicData>
            </a:graphic>
          </wp:inline>
        </w:drawing>
      </w:r>
    </w:p>
    <w:p w14:paraId="1E2FA746" w14:textId="77777777" w:rsidR="00B17E5F" w:rsidRPr="00322E56" w:rsidRDefault="00B17E5F" w:rsidP="00F80B33">
      <w:pPr>
        <w:ind w:firstLine="0"/>
        <w:rPr>
          <w:rFonts w:cs="Times New Roman"/>
        </w:rPr>
      </w:pPr>
    </w:p>
    <w:p w14:paraId="627076E9" w14:textId="48F0AD3F" w:rsidR="00B17E5F" w:rsidRPr="00A658AC" w:rsidRDefault="00B17E5F" w:rsidP="00A658AC">
      <w:pPr>
        <w:pStyle w:val="Title"/>
        <w:ind w:firstLine="0"/>
        <w:rPr>
          <w:rFonts w:cs="Times New Roman"/>
          <w:szCs w:val="28"/>
        </w:rPr>
      </w:pPr>
      <w:r w:rsidRPr="00322E56">
        <w:rPr>
          <w:rFonts w:cs="Times New Roman"/>
          <w:sz w:val="24"/>
        </w:rPr>
        <w:br w:type="page"/>
      </w:r>
      <w:r w:rsidRPr="00322E56">
        <w:rPr>
          <w:rFonts w:cs="Times New Roman"/>
          <w:szCs w:val="28"/>
        </w:rPr>
        <w:lastRenderedPageBreak/>
        <w:t>ACKNOWLEDGEMENTS</w:t>
      </w:r>
    </w:p>
    <w:p w14:paraId="3D298619" w14:textId="475CCD08" w:rsidR="00A658AC" w:rsidRPr="00A658AC" w:rsidRDefault="00A658AC" w:rsidP="00A658AC">
      <w:pPr>
        <w:rPr>
          <w:rFonts w:cs="Times New Roman"/>
        </w:rPr>
      </w:pPr>
      <w:r w:rsidRPr="00A658AC">
        <w:rPr>
          <w:rFonts w:cs="Times New Roman"/>
        </w:rPr>
        <w:t>I wholeheartedly thank my advisor, Dr. Kyle R. Gluesenkamp for his tremendous support and guidance throughout my Ph.D. I also wish to thank my doctoral committee members Dr. Orlando Rios, Dr. William A. Miller, Dr. Hongyu Nick Zhou and Dr. David J. Keffer for their patience and assistance.</w:t>
      </w:r>
    </w:p>
    <w:p w14:paraId="77C288F9" w14:textId="005F9490" w:rsidR="00A658AC" w:rsidRPr="00A658AC" w:rsidRDefault="00A658AC" w:rsidP="00C43A53">
      <w:pPr>
        <w:rPr>
          <w:rFonts w:cs="Times New Roman"/>
        </w:rPr>
      </w:pPr>
      <w:r w:rsidRPr="00A658AC">
        <w:rPr>
          <w:rFonts w:cs="Times New Roman"/>
        </w:rPr>
        <w:t xml:space="preserve">I couldn’t have completed this milestone without my wonderful husband, Syed Muhammad Aqib, who helped me calm down in my most depressed moments, who attended every big exam and presentation of mine to support me, and who also taught me programming to troubleshoot my model. A special thanks to my father Sultan Mehmood, my mother Zahida Firdous and my siblings Aisha Sultan, Fatima-Tuz-Zahra, Abeer Sultan, and Muhammad bin Sultan, for always rooting for my success and being there for me whenever I needed them. </w:t>
      </w:r>
    </w:p>
    <w:p w14:paraId="6055D5BF" w14:textId="2032F688" w:rsidR="00A658AC" w:rsidRDefault="00A658AC" w:rsidP="00A658AC">
      <w:pPr>
        <w:rPr>
          <w:rFonts w:cs="Times New Roman"/>
        </w:rPr>
      </w:pPr>
      <w:r w:rsidRPr="00A658AC">
        <w:rPr>
          <w:rFonts w:cs="Times New Roman"/>
        </w:rPr>
        <w:t>Additional thanks to Dr. Xi</w:t>
      </w:r>
      <w:r>
        <w:rPr>
          <w:rFonts w:cs="Times New Roman"/>
        </w:rPr>
        <w:t>a</w:t>
      </w:r>
      <w:r w:rsidRPr="00A658AC">
        <w:rPr>
          <w:rFonts w:cs="Times New Roman"/>
        </w:rPr>
        <w:t>obing Liu, Dr. Tim LaClair, and Dr. Monojoy Gosowami for the use of lab equipment, inspiration, guidance, and providing helpful resources.</w:t>
      </w:r>
      <w:r>
        <w:rPr>
          <w:rFonts w:cs="Times New Roman"/>
        </w:rPr>
        <w:t xml:space="preserve"> </w:t>
      </w:r>
      <w:r w:rsidRPr="00A658AC">
        <w:rPr>
          <w:rFonts w:cs="Times New Roman"/>
        </w:rPr>
        <w:t xml:space="preserve">I feel blessed to have worked with talented people at Oak Ridge National Lab who inspired me and helped me throughout my journey including Dr. Tugba Turnaoglu, Dr. Saad Ayub Jajja, Dr. Navin Kumar, Dr. Borui Cui, Dr. Zhenning Li, Dr. Joseph Randell, Dr. Lingshi Wang, </w:t>
      </w:r>
      <w:r>
        <w:rPr>
          <w:rFonts w:cs="Times New Roman"/>
        </w:rPr>
        <w:t xml:space="preserve">Dr. </w:t>
      </w:r>
      <w:r w:rsidRPr="00A658AC">
        <w:rPr>
          <w:rFonts w:cs="Times New Roman"/>
        </w:rPr>
        <w:t xml:space="preserve">Jason Hirschey and </w:t>
      </w:r>
      <w:r>
        <w:rPr>
          <w:rFonts w:cs="Times New Roman"/>
        </w:rPr>
        <w:t xml:space="preserve">Dr. </w:t>
      </w:r>
      <w:r w:rsidRPr="00A658AC">
        <w:rPr>
          <w:rFonts w:cs="Times New Roman"/>
        </w:rPr>
        <w:t xml:space="preserve">Damilola Akamo. </w:t>
      </w:r>
      <w:r w:rsidR="00C43A53">
        <w:rPr>
          <w:rFonts w:cs="Times New Roman"/>
        </w:rPr>
        <w:t>Thanks to Isis Fukai and Dr. Terry Hazen for providing me a convenient alternate office space on UTK campus.</w:t>
      </w:r>
    </w:p>
    <w:p w14:paraId="5240BF67" w14:textId="21D6CFDA" w:rsidR="00A658AC" w:rsidRPr="00A658AC" w:rsidRDefault="00A658AC" w:rsidP="00A658AC">
      <w:pPr>
        <w:rPr>
          <w:rFonts w:cs="Times New Roman"/>
        </w:rPr>
      </w:pPr>
      <w:r>
        <w:rPr>
          <w:rFonts w:cs="Times New Roman"/>
        </w:rPr>
        <w:t>T</w:t>
      </w:r>
      <w:r w:rsidRPr="00A658AC">
        <w:rPr>
          <w:rFonts w:cs="Times New Roman"/>
        </w:rPr>
        <w:t>hanks to the team of directors and coordinators at the University of Tennessee Bredesen Center for their support and encouragement: Dr. Lee Riedinger, Dr. Suresh S. Babu, Dr. Phillip Rack, Dr. Yanfei Gao, Wanda Davis, Allie Burns, Rebecca Christ and Rachel Roberts. I am grateful to the Bredesen Center ORII Program and the U.S. DOE Building Technologies Office for financial support of this research and my education.</w:t>
      </w:r>
    </w:p>
    <w:p w14:paraId="72464F50" w14:textId="588EF7DB" w:rsidR="00B17E5F" w:rsidRPr="00A658AC" w:rsidRDefault="00A658AC" w:rsidP="00A658AC">
      <w:pPr>
        <w:rPr>
          <w:rFonts w:cs="Times New Roman"/>
        </w:rPr>
      </w:pPr>
      <w:r>
        <w:rPr>
          <w:rFonts w:cs="Times New Roman"/>
        </w:rPr>
        <w:t>And last but not the least, t</w:t>
      </w:r>
      <w:r w:rsidRPr="00A658AC">
        <w:rPr>
          <w:rFonts w:cs="Times New Roman"/>
        </w:rPr>
        <w:t>hanks to my friends for understanding my struggles and being truly amazing as they are; Kashif Janjua, Dr. Saad Saleem, Yusra Farhatullah</w:t>
      </w:r>
      <w:r>
        <w:rPr>
          <w:rFonts w:cs="Times New Roman"/>
        </w:rPr>
        <w:t>,</w:t>
      </w:r>
      <w:r w:rsidRPr="00A658AC">
        <w:rPr>
          <w:rFonts w:cs="Times New Roman"/>
        </w:rPr>
        <w:t xml:space="preserve"> Lesli Burton Portoff, </w:t>
      </w:r>
      <w:r>
        <w:rPr>
          <w:rFonts w:cs="Times New Roman"/>
        </w:rPr>
        <w:t xml:space="preserve">and </w:t>
      </w:r>
      <w:r w:rsidRPr="00A658AC">
        <w:rPr>
          <w:rFonts w:cs="Times New Roman"/>
        </w:rPr>
        <w:t xml:space="preserve">Lee Leadbetter. </w:t>
      </w:r>
      <w:r w:rsidR="00B17E5F">
        <w:rPr>
          <w:rFonts w:cs="Times New Roman"/>
        </w:rPr>
        <w:br w:type="page"/>
      </w:r>
    </w:p>
    <w:p w14:paraId="0E5DAE78" w14:textId="77777777" w:rsidR="00B17E5F" w:rsidRPr="00322E56" w:rsidRDefault="00B17E5F" w:rsidP="00E27E98">
      <w:pPr>
        <w:pStyle w:val="Heading1"/>
        <w:ind w:firstLine="0"/>
        <w:rPr>
          <w:rFonts w:cs="Times New Roman"/>
        </w:rPr>
      </w:pPr>
      <w:bookmarkStart w:id="0" w:name="_Toc134242993"/>
      <w:bookmarkStart w:id="1" w:name="_Toc140338761"/>
      <w:bookmarkStart w:id="2" w:name="_Toc140399795"/>
      <w:r w:rsidRPr="00322E56">
        <w:rPr>
          <w:rFonts w:cs="Times New Roman"/>
        </w:rPr>
        <w:lastRenderedPageBreak/>
        <w:t>ABSTRACT</w:t>
      </w:r>
      <w:bookmarkEnd w:id="0"/>
      <w:bookmarkEnd w:id="1"/>
      <w:bookmarkEnd w:id="2"/>
    </w:p>
    <w:p w14:paraId="3AFAF58E" w14:textId="77777777" w:rsidR="00B17E5F" w:rsidRPr="00322E56" w:rsidRDefault="00B17E5F" w:rsidP="005E54E2">
      <w:pPr>
        <w:rPr>
          <w:rFonts w:cs="Times New Roman"/>
        </w:rPr>
      </w:pPr>
    </w:p>
    <w:p w14:paraId="48AB18C2" w14:textId="77777777" w:rsidR="00B17E5F" w:rsidRPr="00322E56" w:rsidRDefault="00B17E5F" w:rsidP="00EA2601">
      <w:pPr>
        <w:ind w:firstLine="720"/>
        <w:rPr>
          <w:rFonts w:cs="Times New Roman"/>
        </w:rPr>
      </w:pPr>
      <w:r w:rsidRPr="00322E56">
        <w:rPr>
          <w:rFonts w:cs="Times New Roman"/>
        </w:rPr>
        <w:t xml:space="preserve">This work presents a novel thermal energy storage (TES) integrated with existing residential heat pump (HP). The research focuses on controls and configuration for energy, demand, cost and carbon emissions savings for residential buildings’ energy consumption. This work will be significant in developing a framework especially for reduced energy demand and carbon emissions associated with space heating and cooling in residential buildings. Since buildings account for about 40% primary energy consumption in U.S. and half of that is associated with HP. </w:t>
      </w:r>
    </w:p>
    <w:p w14:paraId="66E1B1F3" w14:textId="77777777" w:rsidR="00B17E5F" w:rsidRPr="00322E56" w:rsidRDefault="00B17E5F" w:rsidP="00EA2601">
      <w:pPr>
        <w:ind w:firstLine="720"/>
        <w:rPr>
          <w:rFonts w:cs="Times New Roman"/>
        </w:rPr>
      </w:pPr>
      <w:r w:rsidRPr="00322E56">
        <w:rPr>
          <w:rFonts w:cs="Times New Roman"/>
        </w:rPr>
        <w:t xml:space="preserve">An existing air source HP in integrated with a phase change material (PCM) based TES via active configuration where HP mediates the heat transfer. In this novel configuration, TES is indirectly coupled to the building and behaves as heat sink or source, only providing heating or cooling via HP equipment. We used a single TES for both heating and cooling applications and performed a parametric analysis to determine the best phase change temperature and storage capacity for maximum performance. The performance parameters are energy savings, demand savings, and cost savings, achieved by shifting the peak load and using rule-based control strategies. </w:t>
      </w:r>
    </w:p>
    <w:p w14:paraId="7B74B18F" w14:textId="77777777" w:rsidR="00B17E5F" w:rsidRPr="00322E56" w:rsidRDefault="00B17E5F" w:rsidP="00EA2601">
      <w:pPr>
        <w:ind w:firstLine="720"/>
        <w:rPr>
          <w:rFonts w:cs="Times New Roman"/>
        </w:rPr>
      </w:pPr>
      <w:r w:rsidRPr="00322E56">
        <w:rPr>
          <w:rFonts w:cs="Times New Roman"/>
        </w:rPr>
        <w:t xml:space="preserve">There are very few studies available in literature on heat pump integrated with thermal energy storage (HP-TES) and no standards are available to compare them. There’s no complete experimental system found in literature that addresses controls, configurations, and performance of HP-TES altogether. Furthermore, no simulation works have analyzed and compared different climate zones for HP-TES performance. </w:t>
      </w:r>
    </w:p>
    <w:p w14:paraId="46CCA592" w14:textId="77777777" w:rsidR="00B17E5F" w:rsidRPr="00322E56" w:rsidRDefault="00B17E5F" w:rsidP="00EA2601">
      <w:pPr>
        <w:ind w:firstLine="720"/>
        <w:rPr>
          <w:rFonts w:cs="Times New Roman"/>
        </w:rPr>
      </w:pPr>
      <w:r w:rsidRPr="00322E56">
        <w:rPr>
          <w:rFonts w:cs="Times New Roman"/>
        </w:rPr>
        <w:t>We address this gap by contributing a simulation-based system and validating it experimentally for a single-family residential building. The simulation compares different climate zones in U.S. to determine the impact of configuration and controls on performance.</w:t>
      </w:r>
    </w:p>
    <w:p w14:paraId="33F8BE29" w14:textId="77777777" w:rsidR="00B17E5F" w:rsidRPr="00322E56" w:rsidRDefault="00B17E5F" w:rsidP="009D54F8">
      <w:pPr>
        <w:ind w:firstLine="720"/>
        <w:rPr>
          <w:rFonts w:cs="Times New Roman"/>
        </w:rPr>
      </w:pPr>
      <w:r w:rsidRPr="00322E56">
        <w:rPr>
          <w:rFonts w:cs="Times New Roman"/>
        </w:rPr>
        <w:lastRenderedPageBreak/>
        <w:t>Commercializing such HP-TES will have a broader impact on research community and this work aligns with DOE’s goals of decarbonizing and reducing demand by 2030. Flexible installation of HP-TES allows use of existing HP equipment for controls with minimal space footprint, reducing installation and consumer cost that will appeal to residential homeowners.</w:t>
      </w:r>
    </w:p>
    <w:p w14:paraId="68A408DA" w14:textId="77777777" w:rsidR="00B17E5F" w:rsidRPr="00322E56" w:rsidRDefault="00B17E5F" w:rsidP="009D54F8">
      <w:pPr>
        <w:ind w:firstLine="720"/>
        <w:rPr>
          <w:rFonts w:cs="Times New Roman"/>
        </w:rPr>
      </w:pPr>
    </w:p>
    <w:p w14:paraId="77F48ADA" w14:textId="77777777" w:rsidR="00B17E5F" w:rsidRPr="00322E56" w:rsidRDefault="00B17E5F" w:rsidP="00703F8B">
      <w:pPr>
        <w:rPr>
          <w:rFonts w:cs="Times New Roman"/>
          <w:b/>
          <w:bCs/>
          <w:i/>
          <w:iCs/>
        </w:rPr>
      </w:pPr>
      <w:r w:rsidRPr="00322E56">
        <w:rPr>
          <w:rFonts w:cs="Times New Roman"/>
          <w:b/>
          <w:bCs/>
          <w:i/>
          <w:iCs/>
        </w:rPr>
        <w:t>Keywords</w:t>
      </w:r>
    </w:p>
    <w:p w14:paraId="7B7FD077" w14:textId="77777777" w:rsidR="00B17E5F" w:rsidRPr="00322E56" w:rsidRDefault="00B17E5F" w:rsidP="00703F8B">
      <w:pPr>
        <w:rPr>
          <w:rFonts w:cs="Times New Roman"/>
          <w:i/>
          <w:iCs/>
        </w:rPr>
      </w:pPr>
      <w:r w:rsidRPr="00322E56">
        <w:rPr>
          <w:rFonts w:cs="Times New Roman"/>
          <w:i/>
          <w:iCs/>
        </w:rPr>
        <w:t>Thermal Energy Storage, Residential Buildings, Heat Pumps, Phase Change Material, Demand Response, Carbon Mitigation</w:t>
      </w:r>
    </w:p>
    <w:p w14:paraId="716D6E6C" w14:textId="77777777" w:rsidR="00B17E5F" w:rsidRPr="00322E56" w:rsidRDefault="00B17E5F" w:rsidP="00387656">
      <w:pPr>
        <w:rPr>
          <w:rFonts w:cs="Times New Roman"/>
        </w:rPr>
      </w:pPr>
      <w:r w:rsidRPr="00322E56">
        <w:rPr>
          <w:rFonts w:cs="Times New Roman"/>
        </w:rPr>
        <w:br w:type="page"/>
      </w:r>
    </w:p>
    <w:p w14:paraId="6AE9E19A" w14:textId="68DB5CCE" w:rsidR="00D408AD" w:rsidRPr="00D408AD" w:rsidRDefault="00B17E5F" w:rsidP="00D408AD">
      <w:pPr>
        <w:pStyle w:val="Title"/>
        <w:rPr>
          <w:noProof/>
        </w:rPr>
      </w:pPr>
      <w:r w:rsidRPr="00322E56">
        <w:rPr>
          <w:rFonts w:cs="Times New Roman"/>
          <w:szCs w:val="28"/>
        </w:rPr>
        <w:lastRenderedPageBreak/>
        <w:t>TABLE OF CONTENTS</w:t>
      </w:r>
      <w:r w:rsidRPr="00322E56">
        <w:rPr>
          <w:rFonts w:cs="Times New Roman"/>
          <w:b w:val="0"/>
        </w:rPr>
        <w:fldChar w:fldCharType="begin"/>
      </w:r>
      <w:r w:rsidRPr="00322E56">
        <w:rPr>
          <w:rFonts w:cs="Times New Roman"/>
        </w:rPr>
        <w:instrText xml:space="preserve"> TOC \o "1-3" \h \z \u </w:instrText>
      </w:r>
      <w:r w:rsidRPr="00322E56">
        <w:rPr>
          <w:rFonts w:cs="Times New Roman"/>
          <w:b w:val="0"/>
        </w:rPr>
        <w:fldChar w:fldCharType="separate"/>
      </w:r>
    </w:p>
    <w:p w14:paraId="2980CC47" w14:textId="5E9F845D" w:rsidR="00D408AD" w:rsidRDefault="00000000">
      <w:pPr>
        <w:pStyle w:val="TOC1"/>
        <w:tabs>
          <w:tab w:val="right" w:leader="dot" w:pos="8630"/>
        </w:tabs>
        <w:rPr>
          <w:rFonts w:asciiTheme="minorHAnsi" w:eastAsiaTheme="minorEastAsia" w:hAnsiTheme="minorHAnsi" w:cstheme="minorBidi"/>
          <w:noProof/>
        </w:rPr>
      </w:pPr>
      <w:hyperlink w:anchor="_Toc140399796" w:history="1">
        <w:r w:rsidR="00D408AD" w:rsidRPr="00C544C6">
          <w:rPr>
            <w:rStyle w:val="Hyperlink"/>
            <w:rFonts w:cs="Times New Roman"/>
            <w:noProof/>
          </w:rPr>
          <w:t>INTRODUCTION</w:t>
        </w:r>
        <w:r w:rsidR="00D408AD">
          <w:rPr>
            <w:noProof/>
            <w:webHidden/>
          </w:rPr>
          <w:tab/>
        </w:r>
        <w:r w:rsidR="00D408AD">
          <w:rPr>
            <w:noProof/>
            <w:webHidden/>
          </w:rPr>
          <w:fldChar w:fldCharType="begin"/>
        </w:r>
        <w:r w:rsidR="00D408AD">
          <w:rPr>
            <w:noProof/>
            <w:webHidden/>
          </w:rPr>
          <w:instrText xml:space="preserve"> PAGEREF _Toc140399796 \h </w:instrText>
        </w:r>
        <w:r w:rsidR="00D408AD">
          <w:rPr>
            <w:noProof/>
            <w:webHidden/>
          </w:rPr>
        </w:r>
        <w:r w:rsidR="00D408AD">
          <w:rPr>
            <w:noProof/>
            <w:webHidden/>
          </w:rPr>
          <w:fldChar w:fldCharType="separate"/>
        </w:r>
        <w:r w:rsidR="00D408AD">
          <w:rPr>
            <w:noProof/>
            <w:webHidden/>
          </w:rPr>
          <w:t>1</w:t>
        </w:r>
        <w:r w:rsidR="00D408AD">
          <w:rPr>
            <w:noProof/>
            <w:webHidden/>
          </w:rPr>
          <w:fldChar w:fldCharType="end"/>
        </w:r>
      </w:hyperlink>
    </w:p>
    <w:p w14:paraId="4D299908" w14:textId="63EDD8B7" w:rsidR="00D408AD" w:rsidRDefault="00000000">
      <w:pPr>
        <w:pStyle w:val="TOC2"/>
        <w:tabs>
          <w:tab w:val="right" w:leader="dot" w:pos="8630"/>
        </w:tabs>
        <w:rPr>
          <w:rFonts w:asciiTheme="minorHAnsi" w:eastAsiaTheme="minorEastAsia" w:hAnsiTheme="minorHAnsi" w:cstheme="minorBidi"/>
          <w:noProof/>
        </w:rPr>
      </w:pPr>
      <w:hyperlink w:anchor="_Toc140399797" w:history="1">
        <w:r w:rsidR="00D408AD" w:rsidRPr="00C544C6">
          <w:rPr>
            <w:rStyle w:val="Hyperlink"/>
            <w:rFonts w:cs="Times New Roman"/>
            <w:noProof/>
          </w:rPr>
          <w:t>Overview</w:t>
        </w:r>
        <w:r w:rsidR="00D408AD">
          <w:rPr>
            <w:noProof/>
            <w:webHidden/>
          </w:rPr>
          <w:tab/>
        </w:r>
        <w:r w:rsidR="00D408AD">
          <w:rPr>
            <w:noProof/>
            <w:webHidden/>
          </w:rPr>
          <w:fldChar w:fldCharType="begin"/>
        </w:r>
        <w:r w:rsidR="00D408AD">
          <w:rPr>
            <w:noProof/>
            <w:webHidden/>
          </w:rPr>
          <w:instrText xml:space="preserve"> PAGEREF _Toc140399797 \h </w:instrText>
        </w:r>
        <w:r w:rsidR="00D408AD">
          <w:rPr>
            <w:noProof/>
            <w:webHidden/>
          </w:rPr>
        </w:r>
        <w:r w:rsidR="00D408AD">
          <w:rPr>
            <w:noProof/>
            <w:webHidden/>
          </w:rPr>
          <w:fldChar w:fldCharType="separate"/>
        </w:r>
        <w:r w:rsidR="00D408AD">
          <w:rPr>
            <w:noProof/>
            <w:webHidden/>
          </w:rPr>
          <w:t>1</w:t>
        </w:r>
        <w:r w:rsidR="00D408AD">
          <w:rPr>
            <w:noProof/>
            <w:webHidden/>
          </w:rPr>
          <w:fldChar w:fldCharType="end"/>
        </w:r>
      </w:hyperlink>
    </w:p>
    <w:p w14:paraId="4FE0AE8F" w14:textId="125A5204" w:rsidR="00D408AD" w:rsidRDefault="00000000">
      <w:pPr>
        <w:pStyle w:val="TOC2"/>
        <w:tabs>
          <w:tab w:val="right" w:leader="dot" w:pos="8630"/>
        </w:tabs>
        <w:rPr>
          <w:rFonts w:asciiTheme="minorHAnsi" w:eastAsiaTheme="minorEastAsia" w:hAnsiTheme="minorHAnsi" w:cstheme="minorBidi"/>
          <w:noProof/>
        </w:rPr>
      </w:pPr>
      <w:hyperlink w:anchor="_Toc140399798" w:history="1">
        <w:r w:rsidR="00D408AD" w:rsidRPr="00C544C6">
          <w:rPr>
            <w:rStyle w:val="Hyperlink"/>
            <w:rFonts w:cs="Times New Roman"/>
            <w:noProof/>
          </w:rPr>
          <w:t>Relevance of Research</w:t>
        </w:r>
        <w:r w:rsidR="00D408AD">
          <w:rPr>
            <w:noProof/>
            <w:webHidden/>
          </w:rPr>
          <w:tab/>
        </w:r>
        <w:r w:rsidR="00D408AD">
          <w:rPr>
            <w:noProof/>
            <w:webHidden/>
          </w:rPr>
          <w:fldChar w:fldCharType="begin"/>
        </w:r>
        <w:r w:rsidR="00D408AD">
          <w:rPr>
            <w:noProof/>
            <w:webHidden/>
          </w:rPr>
          <w:instrText xml:space="preserve"> PAGEREF _Toc140399798 \h </w:instrText>
        </w:r>
        <w:r w:rsidR="00D408AD">
          <w:rPr>
            <w:noProof/>
            <w:webHidden/>
          </w:rPr>
        </w:r>
        <w:r w:rsidR="00D408AD">
          <w:rPr>
            <w:noProof/>
            <w:webHidden/>
          </w:rPr>
          <w:fldChar w:fldCharType="separate"/>
        </w:r>
        <w:r w:rsidR="00D408AD">
          <w:rPr>
            <w:noProof/>
            <w:webHidden/>
          </w:rPr>
          <w:t>2</w:t>
        </w:r>
        <w:r w:rsidR="00D408AD">
          <w:rPr>
            <w:noProof/>
            <w:webHidden/>
          </w:rPr>
          <w:fldChar w:fldCharType="end"/>
        </w:r>
      </w:hyperlink>
    </w:p>
    <w:p w14:paraId="799577F1" w14:textId="330D5E74" w:rsidR="00D408AD" w:rsidRDefault="00000000">
      <w:pPr>
        <w:pStyle w:val="TOC3"/>
        <w:tabs>
          <w:tab w:val="right" w:leader="dot" w:pos="8630"/>
        </w:tabs>
        <w:rPr>
          <w:rFonts w:asciiTheme="minorHAnsi" w:eastAsiaTheme="minorEastAsia" w:hAnsiTheme="minorHAnsi" w:cstheme="minorBidi"/>
          <w:noProof/>
        </w:rPr>
      </w:pPr>
      <w:hyperlink w:anchor="_Toc140399799" w:history="1">
        <w:r w:rsidR="00D408AD" w:rsidRPr="00C544C6">
          <w:rPr>
            <w:rStyle w:val="Hyperlink"/>
            <w:rFonts w:cs="Times New Roman"/>
            <w:noProof/>
          </w:rPr>
          <w:t>Research Gap</w:t>
        </w:r>
        <w:r w:rsidR="00D408AD">
          <w:rPr>
            <w:noProof/>
            <w:webHidden/>
          </w:rPr>
          <w:tab/>
        </w:r>
        <w:r w:rsidR="00D408AD">
          <w:rPr>
            <w:noProof/>
            <w:webHidden/>
          </w:rPr>
          <w:fldChar w:fldCharType="begin"/>
        </w:r>
        <w:r w:rsidR="00D408AD">
          <w:rPr>
            <w:noProof/>
            <w:webHidden/>
          </w:rPr>
          <w:instrText xml:space="preserve"> PAGEREF _Toc140399799 \h </w:instrText>
        </w:r>
        <w:r w:rsidR="00D408AD">
          <w:rPr>
            <w:noProof/>
            <w:webHidden/>
          </w:rPr>
        </w:r>
        <w:r w:rsidR="00D408AD">
          <w:rPr>
            <w:noProof/>
            <w:webHidden/>
          </w:rPr>
          <w:fldChar w:fldCharType="separate"/>
        </w:r>
        <w:r w:rsidR="00D408AD">
          <w:rPr>
            <w:noProof/>
            <w:webHidden/>
          </w:rPr>
          <w:t>3</w:t>
        </w:r>
        <w:r w:rsidR="00D408AD">
          <w:rPr>
            <w:noProof/>
            <w:webHidden/>
          </w:rPr>
          <w:fldChar w:fldCharType="end"/>
        </w:r>
      </w:hyperlink>
    </w:p>
    <w:p w14:paraId="76274A24" w14:textId="6976A269" w:rsidR="00D408AD" w:rsidRDefault="00000000">
      <w:pPr>
        <w:pStyle w:val="TOC3"/>
        <w:tabs>
          <w:tab w:val="right" w:leader="dot" w:pos="8630"/>
        </w:tabs>
        <w:rPr>
          <w:rFonts w:asciiTheme="minorHAnsi" w:eastAsiaTheme="minorEastAsia" w:hAnsiTheme="minorHAnsi" w:cstheme="minorBidi"/>
          <w:noProof/>
        </w:rPr>
      </w:pPr>
      <w:hyperlink w:anchor="_Toc140399800" w:history="1">
        <w:r w:rsidR="00D408AD" w:rsidRPr="00C544C6">
          <w:rPr>
            <w:rStyle w:val="Hyperlink"/>
            <w:rFonts w:cs="Times New Roman"/>
            <w:noProof/>
          </w:rPr>
          <w:t>Problem Statement</w:t>
        </w:r>
        <w:r w:rsidR="00D408AD">
          <w:rPr>
            <w:noProof/>
            <w:webHidden/>
          </w:rPr>
          <w:tab/>
        </w:r>
        <w:r w:rsidR="00D408AD">
          <w:rPr>
            <w:noProof/>
            <w:webHidden/>
          </w:rPr>
          <w:fldChar w:fldCharType="begin"/>
        </w:r>
        <w:r w:rsidR="00D408AD">
          <w:rPr>
            <w:noProof/>
            <w:webHidden/>
          </w:rPr>
          <w:instrText xml:space="preserve"> PAGEREF _Toc140399800 \h </w:instrText>
        </w:r>
        <w:r w:rsidR="00D408AD">
          <w:rPr>
            <w:noProof/>
            <w:webHidden/>
          </w:rPr>
        </w:r>
        <w:r w:rsidR="00D408AD">
          <w:rPr>
            <w:noProof/>
            <w:webHidden/>
          </w:rPr>
          <w:fldChar w:fldCharType="separate"/>
        </w:r>
        <w:r w:rsidR="00D408AD">
          <w:rPr>
            <w:noProof/>
            <w:webHidden/>
          </w:rPr>
          <w:t>5</w:t>
        </w:r>
        <w:r w:rsidR="00D408AD">
          <w:rPr>
            <w:noProof/>
            <w:webHidden/>
          </w:rPr>
          <w:fldChar w:fldCharType="end"/>
        </w:r>
      </w:hyperlink>
    </w:p>
    <w:p w14:paraId="5C542F01" w14:textId="1D24330B" w:rsidR="00D408AD" w:rsidRDefault="00000000">
      <w:pPr>
        <w:pStyle w:val="TOC3"/>
        <w:tabs>
          <w:tab w:val="right" w:leader="dot" w:pos="8630"/>
        </w:tabs>
        <w:rPr>
          <w:rFonts w:asciiTheme="minorHAnsi" w:eastAsiaTheme="minorEastAsia" w:hAnsiTheme="minorHAnsi" w:cstheme="minorBidi"/>
          <w:noProof/>
        </w:rPr>
      </w:pPr>
      <w:hyperlink w:anchor="_Toc140399801" w:history="1">
        <w:r w:rsidR="00D408AD" w:rsidRPr="00C544C6">
          <w:rPr>
            <w:rStyle w:val="Hyperlink"/>
            <w:rFonts w:cs="Times New Roman"/>
            <w:noProof/>
          </w:rPr>
          <w:t>Research Significance and Contribution</w:t>
        </w:r>
        <w:r w:rsidR="00D408AD">
          <w:rPr>
            <w:noProof/>
            <w:webHidden/>
          </w:rPr>
          <w:tab/>
        </w:r>
        <w:r w:rsidR="00D408AD">
          <w:rPr>
            <w:noProof/>
            <w:webHidden/>
          </w:rPr>
          <w:fldChar w:fldCharType="begin"/>
        </w:r>
        <w:r w:rsidR="00D408AD">
          <w:rPr>
            <w:noProof/>
            <w:webHidden/>
          </w:rPr>
          <w:instrText xml:space="preserve"> PAGEREF _Toc140399801 \h </w:instrText>
        </w:r>
        <w:r w:rsidR="00D408AD">
          <w:rPr>
            <w:noProof/>
            <w:webHidden/>
          </w:rPr>
        </w:r>
        <w:r w:rsidR="00D408AD">
          <w:rPr>
            <w:noProof/>
            <w:webHidden/>
          </w:rPr>
          <w:fldChar w:fldCharType="separate"/>
        </w:r>
        <w:r w:rsidR="00D408AD">
          <w:rPr>
            <w:noProof/>
            <w:webHidden/>
          </w:rPr>
          <w:t>5</w:t>
        </w:r>
        <w:r w:rsidR="00D408AD">
          <w:rPr>
            <w:noProof/>
            <w:webHidden/>
          </w:rPr>
          <w:fldChar w:fldCharType="end"/>
        </w:r>
      </w:hyperlink>
    </w:p>
    <w:p w14:paraId="249C10CE" w14:textId="4BE5D654" w:rsidR="00D408AD" w:rsidRDefault="00000000">
      <w:pPr>
        <w:pStyle w:val="TOC3"/>
        <w:tabs>
          <w:tab w:val="right" w:leader="dot" w:pos="8630"/>
        </w:tabs>
        <w:rPr>
          <w:rFonts w:asciiTheme="minorHAnsi" w:eastAsiaTheme="minorEastAsia" w:hAnsiTheme="minorHAnsi" w:cstheme="minorBidi"/>
          <w:noProof/>
        </w:rPr>
      </w:pPr>
      <w:hyperlink w:anchor="_Toc140399802" w:history="1">
        <w:r w:rsidR="00D408AD" w:rsidRPr="00C544C6">
          <w:rPr>
            <w:rStyle w:val="Hyperlink"/>
            <w:rFonts w:cs="Times New Roman"/>
            <w:noProof/>
          </w:rPr>
          <w:t>Research Questions</w:t>
        </w:r>
        <w:r w:rsidR="00D408AD">
          <w:rPr>
            <w:noProof/>
            <w:webHidden/>
          </w:rPr>
          <w:tab/>
        </w:r>
        <w:r w:rsidR="00D408AD">
          <w:rPr>
            <w:noProof/>
            <w:webHidden/>
          </w:rPr>
          <w:fldChar w:fldCharType="begin"/>
        </w:r>
        <w:r w:rsidR="00D408AD">
          <w:rPr>
            <w:noProof/>
            <w:webHidden/>
          </w:rPr>
          <w:instrText xml:space="preserve"> PAGEREF _Toc140399802 \h </w:instrText>
        </w:r>
        <w:r w:rsidR="00D408AD">
          <w:rPr>
            <w:noProof/>
            <w:webHidden/>
          </w:rPr>
        </w:r>
        <w:r w:rsidR="00D408AD">
          <w:rPr>
            <w:noProof/>
            <w:webHidden/>
          </w:rPr>
          <w:fldChar w:fldCharType="separate"/>
        </w:r>
        <w:r w:rsidR="00D408AD">
          <w:rPr>
            <w:noProof/>
            <w:webHidden/>
          </w:rPr>
          <w:t>7</w:t>
        </w:r>
        <w:r w:rsidR="00D408AD">
          <w:rPr>
            <w:noProof/>
            <w:webHidden/>
          </w:rPr>
          <w:fldChar w:fldCharType="end"/>
        </w:r>
      </w:hyperlink>
    </w:p>
    <w:p w14:paraId="123D87B4" w14:textId="1BCB3776" w:rsidR="00D408AD" w:rsidRDefault="00000000">
      <w:pPr>
        <w:pStyle w:val="TOC3"/>
        <w:tabs>
          <w:tab w:val="right" w:leader="dot" w:pos="8630"/>
        </w:tabs>
        <w:rPr>
          <w:rFonts w:asciiTheme="minorHAnsi" w:eastAsiaTheme="minorEastAsia" w:hAnsiTheme="minorHAnsi" w:cstheme="minorBidi"/>
          <w:noProof/>
        </w:rPr>
      </w:pPr>
      <w:hyperlink w:anchor="_Toc140399803" w:history="1">
        <w:r w:rsidR="00D408AD" w:rsidRPr="00C544C6">
          <w:rPr>
            <w:rStyle w:val="Hyperlink"/>
            <w:rFonts w:cs="Times New Roman"/>
            <w:noProof/>
          </w:rPr>
          <w:t>Research Objective</w:t>
        </w:r>
        <w:r w:rsidR="00D408AD">
          <w:rPr>
            <w:noProof/>
            <w:webHidden/>
          </w:rPr>
          <w:tab/>
        </w:r>
        <w:r w:rsidR="00D408AD">
          <w:rPr>
            <w:noProof/>
            <w:webHidden/>
          </w:rPr>
          <w:fldChar w:fldCharType="begin"/>
        </w:r>
        <w:r w:rsidR="00D408AD">
          <w:rPr>
            <w:noProof/>
            <w:webHidden/>
          </w:rPr>
          <w:instrText xml:space="preserve"> PAGEREF _Toc140399803 \h </w:instrText>
        </w:r>
        <w:r w:rsidR="00D408AD">
          <w:rPr>
            <w:noProof/>
            <w:webHidden/>
          </w:rPr>
        </w:r>
        <w:r w:rsidR="00D408AD">
          <w:rPr>
            <w:noProof/>
            <w:webHidden/>
          </w:rPr>
          <w:fldChar w:fldCharType="separate"/>
        </w:r>
        <w:r w:rsidR="00D408AD">
          <w:rPr>
            <w:noProof/>
            <w:webHidden/>
          </w:rPr>
          <w:t>7</w:t>
        </w:r>
        <w:r w:rsidR="00D408AD">
          <w:rPr>
            <w:noProof/>
            <w:webHidden/>
          </w:rPr>
          <w:fldChar w:fldCharType="end"/>
        </w:r>
      </w:hyperlink>
    </w:p>
    <w:p w14:paraId="5D8BC833" w14:textId="0C40B0A4" w:rsidR="00D408AD" w:rsidRDefault="00000000">
      <w:pPr>
        <w:pStyle w:val="TOC2"/>
        <w:tabs>
          <w:tab w:val="right" w:leader="dot" w:pos="8630"/>
        </w:tabs>
        <w:rPr>
          <w:rFonts w:asciiTheme="minorHAnsi" w:eastAsiaTheme="minorEastAsia" w:hAnsiTheme="minorHAnsi" w:cstheme="minorBidi"/>
          <w:noProof/>
        </w:rPr>
      </w:pPr>
      <w:hyperlink w:anchor="_Toc140399804" w:history="1">
        <w:r w:rsidR="00D408AD" w:rsidRPr="00C544C6">
          <w:rPr>
            <w:rStyle w:val="Hyperlink"/>
            <w:rFonts w:cs="Times New Roman"/>
            <w:noProof/>
          </w:rPr>
          <w:t>Dissertation Outline</w:t>
        </w:r>
        <w:r w:rsidR="00D408AD">
          <w:rPr>
            <w:noProof/>
            <w:webHidden/>
          </w:rPr>
          <w:tab/>
        </w:r>
        <w:r w:rsidR="00D408AD">
          <w:rPr>
            <w:noProof/>
            <w:webHidden/>
          </w:rPr>
          <w:fldChar w:fldCharType="begin"/>
        </w:r>
        <w:r w:rsidR="00D408AD">
          <w:rPr>
            <w:noProof/>
            <w:webHidden/>
          </w:rPr>
          <w:instrText xml:space="preserve"> PAGEREF _Toc140399804 \h </w:instrText>
        </w:r>
        <w:r w:rsidR="00D408AD">
          <w:rPr>
            <w:noProof/>
            <w:webHidden/>
          </w:rPr>
        </w:r>
        <w:r w:rsidR="00D408AD">
          <w:rPr>
            <w:noProof/>
            <w:webHidden/>
          </w:rPr>
          <w:fldChar w:fldCharType="separate"/>
        </w:r>
        <w:r w:rsidR="00D408AD">
          <w:rPr>
            <w:noProof/>
            <w:webHidden/>
          </w:rPr>
          <w:t>7</w:t>
        </w:r>
        <w:r w:rsidR="00D408AD">
          <w:rPr>
            <w:noProof/>
            <w:webHidden/>
          </w:rPr>
          <w:fldChar w:fldCharType="end"/>
        </w:r>
      </w:hyperlink>
    </w:p>
    <w:p w14:paraId="568C3520" w14:textId="2C7C1019" w:rsidR="00D408AD" w:rsidRDefault="00000000">
      <w:pPr>
        <w:pStyle w:val="TOC1"/>
        <w:tabs>
          <w:tab w:val="right" w:leader="dot" w:pos="8630"/>
        </w:tabs>
        <w:rPr>
          <w:rFonts w:asciiTheme="minorHAnsi" w:eastAsiaTheme="minorEastAsia" w:hAnsiTheme="minorHAnsi" w:cstheme="minorBidi"/>
          <w:noProof/>
        </w:rPr>
      </w:pPr>
      <w:hyperlink w:anchor="_Toc140399805" w:history="1">
        <w:r w:rsidR="00D408AD" w:rsidRPr="00C544C6">
          <w:rPr>
            <w:rStyle w:val="Hyperlink"/>
            <w:rFonts w:cs="Times New Roman"/>
            <w:noProof/>
          </w:rPr>
          <w:t>CHAPTER I HEAT PUMP INTEGRATED WITH THERMAL ENERGY STORAGE</w:t>
        </w:r>
        <w:r w:rsidR="00D408AD">
          <w:rPr>
            <w:noProof/>
            <w:webHidden/>
          </w:rPr>
          <w:tab/>
        </w:r>
        <w:r w:rsidR="00D408AD">
          <w:rPr>
            <w:noProof/>
            <w:webHidden/>
          </w:rPr>
          <w:fldChar w:fldCharType="begin"/>
        </w:r>
        <w:r w:rsidR="00D408AD">
          <w:rPr>
            <w:noProof/>
            <w:webHidden/>
          </w:rPr>
          <w:instrText xml:space="preserve"> PAGEREF _Toc140399805 \h </w:instrText>
        </w:r>
        <w:r w:rsidR="00D408AD">
          <w:rPr>
            <w:noProof/>
            <w:webHidden/>
          </w:rPr>
        </w:r>
        <w:r w:rsidR="00D408AD">
          <w:rPr>
            <w:noProof/>
            <w:webHidden/>
          </w:rPr>
          <w:fldChar w:fldCharType="separate"/>
        </w:r>
        <w:r w:rsidR="00D408AD">
          <w:rPr>
            <w:noProof/>
            <w:webHidden/>
          </w:rPr>
          <w:t>10</w:t>
        </w:r>
        <w:r w:rsidR="00D408AD">
          <w:rPr>
            <w:noProof/>
            <w:webHidden/>
          </w:rPr>
          <w:fldChar w:fldCharType="end"/>
        </w:r>
      </w:hyperlink>
    </w:p>
    <w:p w14:paraId="5BDEFC57" w14:textId="318C954A" w:rsidR="00D408AD" w:rsidRDefault="00000000">
      <w:pPr>
        <w:pStyle w:val="TOC2"/>
        <w:tabs>
          <w:tab w:val="right" w:leader="dot" w:pos="8630"/>
        </w:tabs>
        <w:rPr>
          <w:rFonts w:asciiTheme="minorHAnsi" w:eastAsiaTheme="minorEastAsia" w:hAnsiTheme="minorHAnsi" w:cstheme="minorBidi"/>
          <w:noProof/>
        </w:rPr>
      </w:pPr>
      <w:hyperlink w:anchor="_Toc140399806" w:history="1">
        <w:r w:rsidR="00D408AD" w:rsidRPr="00C544C6">
          <w:rPr>
            <w:rStyle w:val="Hyperlink"/>
            <w:rFonts w:cs="Times New Roman"/>
            <w:noProof/>
          </w:rPr>
          <w:t>Abstract</w:t>
        </w:r>
        <w:r w:rsidR="00D408AD">
          <w:rPr>
            <w:noProof/>
            <w:webHidden/>
          </w:rPr>
          <w:tab/>
        </w:r>
        <w:r w:rsidR="00D408AD">
          <w:rPr>
            <w:noProof/>
            <w:webHidden/>
          </w:rPr>
          <w:fldChar w:fldCharType="begin"/>
        </w:r>
        <w:r w:rsidR="00D408AD">
          <w:rPr>
            <w:noProof/>
            <w:webHidden/>
          </w:rPr>
          <w:instrText xml:space="preserve"> PAGEREF _Toc140399806 \h </w:instrText>
        </w:r>
        <w:r w:rsidR="00D408AD">
          <w:rPr>
            <w:noProof/>
            <w:webHidden/>
          </w:rPr>
        </w:r>
        <w:r w:rsidR="00D408AD">
          <w:rPr>
            <w:noProof/>
            <w:webHidden/>
          </w:rPr>
          <w:fldChar w:fldCharType="separate"/>
        </w:r>
        <w:r w:rsidR="00D408AD">
          <w:rPr>
            <w:noProof/>
            <w:webHidden/>
          </w:rPr>
          <w:t>11</w:t>
        </w:r>
        <w:r w:rsidR="00D408AD">
          <w:rPr>
            <w:noProof/>
            <w:webHidden/>
          </w:rPr>
          <w:fldChar w:fldCharType="end"/>
        </w:r>
      </w:hyperlink>
    </w:p>
    <w:p w14:paraId="14838F24" w14:textId="4A7B96C4" w:rsidR="00D408AD" w:rsidRDefault="00000000">
      <w:pPr>
        <w:pStyle w:val="TOC2"/>
        <w:tabs>
          <w:tab w:val="right" w:leader="dot" w:pos="8630"/>
        </w:tabs>
        <w:rPr>
          <w:rFonts w:asciiTheme="minorHAnsi" w:eastAsiaTheme="minorEastAsia" w:hAnsiTheme="minorHAnsi" w:cstheme="minorBidi"/>
          <w:noProof/>
        </w:rPr>
      </w:pPr>
      <w:hyperlink w:anchor="_Toc140399807" w:history="1">
        <w:r w:rsidR="00D408AD" w:rsidRPr="00C544C6">
          <w:rPr>
            <w:rStyle w:val="Hyperlink"/>
            <w:rFonts w:cs="Times New Roman"/>
            <w:noProof/>
          </w:rPr>
          <w:t>Research Question</w:t>
        </w:r>
        <w:r w:rsidR="00D408AD">
          <w:rPr>
            <w:noProof/>
            <w:webHidden/>
          </w:rPr>
          <w:tab/>
        </w:r>
        <w:r w:rsidR="00D408AD">
          <w:rPr>
            <w:noProof/>
            <w:webHidden/>
          </w:rPr>
          <w:fldChar w:fldCharType="begin"/>
        </w:r>
        <w:r w:rsidR="00D408AD">
          <w:rPr>
            <w:noProof/>
            <w:webHidden/>
          </w:rPr>
          <w:instrText xml:space="preserve"> PAGEREF _Toc140399807 \h </w:instrText>
        </w:r>
        <w:r w:rsidR="00D408AD">
          <w:rPr>
            <w:noProof/>
            <w:webHidden/>
          </w:rPr>
        </w:r>
        <w:r w:rsidR="00D408AD">
          <w:rPr>
            <w:noProof/>
            <w:webHidden/>
          </w:rPr>
          <w:fldChar w:fldCharType="separate"/>
        </w:r>
        <w:r w:rsidR="00D408AD">
          <w:rPr>
            <w:noProof/>
            <w:webHidden/>
          </w:rPr>
          <w:t>12</w:t>
        </w:r>
        <w:r w:rsidR="00D408AD">
          <w:rPr>
            <w:noProof/>
            <w:webHidden/>
          </w:rPr>
          <w:fldChar w:fldCharType="end"/>
        </w:r>
      </w:hyperlink>
    </w:p>
    <w:p w14:paraId="16172362" w14:textId="2DEF9331" w:rsidR="00D408AD" w:rsidRDefault="00000000">
      <w:pPr>
        <w:pStyle w:val="TOC1"/>
        <w:tabs>
          <w:tab w:val="right" w:leader="dot" w:pos="8630"/>
        </w:tabs>
        <w:rPr>
          <w:rFonts w:asciiTheme="minorHAnsi" w:eastAsiaTheme="minorEastAsia" w:hAnsiTheme="minorHAnsi" w:cstheme="minorBidi"/>
          <w:noProof/>
        </w:rPr>
      </w:pPr>
      <w:hyperlink w:anchor="_Toc140399808" w:history="1">
        <w:r w:rsidR="00D408AD" w:rsidRPr="00C544C6">
          <w:rPr>
            <w:rStyle w:val="Hyperlink"/>
            <w:noProof/>
          </w:rPr>
          <w:t>Introduction</w:t>
        </w:r>
        <w:r w:rsidR="00D408AD">
          <w:rPr>
            <w:noProof/>
            <w:webHidden/>
          </w:rPr>
          <w:tab/>
        </w:r>
        <w:r w:rsidR="00D408AD">
          <w:rPr>
            <w:noProof/>
            <w:webHidden/>
          </w:rPr>
          <w:fldChar w:fldCharType="begin"/>
        </w:r>
        <w:r w:rsidR="00D408AD">
          <w:rPr>
            <w:noProof/>
            <w:webHidden/>
          </w:rPr>
          <w:instrText xml:space="preserve"> PAGEREF _Toc140399808 \h </w:instrText>
        </w:r>
        <w:r w:rsidR="00D408AD">
          <w:rPr>
            <w:noProof/>
            <w:webHidden/>
          </w:rPr>
        </w:r>
        <w:r w:rsidR="00D408AD">
          <w:rPr>
            <w:noProof/>
            <w:webHidden/>
          </w:rPr>
          <w:fldChar w:fldCharType="separate"/>
        </w:r>
        <w:r w:rsidR="00D408AD">
          <w:rPr>
            <w:noProof/>
            <w:webHidden/>
          </w:rPr>
          <w:t>13</w:t>
        </w:r>
        <w:r w:rsidR="00D408AD">
          <w:rPr>
            <w:noProof/>
            <w:webHidden/>
          </w:rPr>
          <w:fldChar w:fldCharType="end"/>
        </w:r>
      </w:hyperlink>
    </w:p>
    <w:p w14:paraId="10B52F23" w14:textId="7E87B75D" w:rsidR="00D408AD" w:rsidRDefault="00000000">
      <w:pPr>
        <w:pStyle w:val="TOC3"/>
        <w:tabs>
          <w:tab w:val="right" w:leader="dot" w:pos="8630"/>
        </w:tabs>
        <w:rPr>
          <w:rFonts w:asciiTheme="minorHAnsi" w:eastAsiaTheme="minorEastAsia" w:hAnsiTheme="minorHAnsi" w:cstheme="minorBidi"/>
          <w:noProof/>
        </w:rPr>
      </w:pPr>
      <w:hyperlink w:anchor="_Toc140399809" w:history="1">
        <w:r w:rsidR="00D408AD" w:rsidRPr="00C544C6">
          <w:rPr>
            <w:rStyle w:val="Hyperlink"/>
            <w:rFonts w:cs="Times New Roman"/>
            <w:noProof/>
          </w:rPr>
          <w:t>Knowledge Gaps</w:t>
        </w:r>
        <w:r w:rsidR="00D408AD">
          <w:rPr>
            <w:noProof/>
            <w:webHidden/>
          </w:rPr>
          <w:tab/>
        </w:r>
        <w:r w:rsidR="00D408AD">
          <w:rPr>
            <w:noProof/>
            <w:webHidden/>
          </w:rPr>
          <w:fldChar w:fldCharType="begin"/>
        </w:r>
        <w:r w:rsidR="00D408AD">
          <w:rPr>
            <w:noProof/>
            <w:webHidden/>
          </w:rPr>
          <w:instrText xml:space="preserve"> PAGEREF _Toc140399809 \h </w:instrText>
        </w:r>
        <w:r w:rsidR="00D408AD">
          <w:rPr>
            <w:noProof/>
            <w:webHidden/>
          </w:rPr>
        </w:r>
        <w:r w:rsidR="00D408AD">
          <w:rPr>
            <w:noProof/>
            <w:webHidden/>
          </w:rPr>
          <w:fldChar w:fldCharType="separate"/>
        </w:r>
        <w:r w:rsidR="00D408AD">
          <w:rPr>
            <w:noProof/>
            <w:webHidden/>
          </w:rPr>
          <w:t>16</w:t>
        </w:r>
        <w:r w:rsidR="00D408AD">
          <w:rPr>
            <w:noProof/>
            <w:webHidden/>
          </w:rPr>
          <w:fldChar w:fldCharType="end"/>
        </w:r>
      </w:hyperlink>
    </w:p>
    <w:p w14:paraId="11DDFE9A" w14:textId="4923DE01" w:rsidR="00D408AD" w:rsidRDefault="00000000">
      <w:pPr>
        <w:pStyle w:val="TOC3"/>
        <w:tabs>
          <w:tab w:val="right" w:leader="dot" w:pos="8630"/>
        </w:tabs>
        <w:rPr>
          <w:rFonts w:asciiTheme="minorHAnsi" w:eastAsiaTheme="minorEastAsia" w:hAnsiTheme="minorHAnsi" w:cstheme="minorBidi"/>
          <w:noProof/>
        </w:rPr>
      </w:pPr>
      <w:hyperlink w:anchor="_Toc140399810" w:history="1">
        <w:r w:rsidR="00D408AD" w:rsidRPr="00C544C6">
          <w:rPr>
            <w:rStyle w:val="Hyperlink"/>
            <w:rFonts w:cs="Times New Roman"/>
            <w:noProof/>
          </w:rPr>
          <w:t>Existing Reviews</w:t>
        </w:r>
        <w:r w:rsidR="00D408AD">
          <w:rPr>
            <w:noProof/>
            <w:webHidden/>
          </w:rPr>
          <w:tab/>
        </w:r>
        <w:r w:rsidR="00D408AD">
          <w:rPr>
            <w:noProof/>
            <w:webHidden/>
          </w:rPr>
          <w:fldChar w:fldCharType="begin"/>
        </w:r>
        <w:r w:rsidR="00D408AD">
          <w:rPr>
            <w:noProof/>
            <w:webHidden/>
          </w:rPr>
          <w:instrText xml:space="preserve"> PAGEREF _Toc140399810 \h </w:instrText>
        </w:r>
        <w:r w:rsidR="00D408AD">
          <w:rPr>
            <w:noProof/>
            <w:webHidden/>
          </w:rPr>
        </w:r>
        <w:r w:rsidR="00D408AD">
          <w:rPr>
            <w:noProof/>
            <w:webHidden/>
          </w:rPr>
          <w:fldChar w:fldCharType="separate"/>
        </w:r>
        <w:r w:rsidR="00D408AD">
          <w:rPr>
            <w:noProof/>
            <w:webHidden/>
          </w:rPr>
          <w:t>16</w:t>
        </w:r>
        <w:r w:rsidR="00D408AD">
          <w:rPr>
            <w:noProof/>
            <w:webHidden/>
          </w:rPr>
          <w:fldChar w:fldCharType="end"/>
        </w:r>
      </w:hyperlink>
    </w:p>
    <w:p w14:paraId="0C7D05DB" w14:textId="3BC930CF" w:rsidR="00D408AD" w:rsidRDefault="00000000">
      <w:pPr>
        <w:pStyle w:val="TOC3"/>
        <w:tabs>
          <w:tab w:val="right" w:leader="dot" w:pos="8630"/>
        </w:tabs>
        <w:rPr>
          <w:rFonts w:asciiTheme="minorHAnsi" w:eastAsiaTheme="minorEastAsia" w:hAnsiTheme="minorHAnsi" w:cstheme="minorBidi"/>
          <w:noProof/>
        </w:rPr>
      </w:pPr>
      <w:hyperlink w:anchor="_Toc140399811" w:history="1">
        <w:r w:rsidR="00D408AD" w:rsidRPr="00C544C6">
          <w:rPr>
            <w:rStyle w:val="Hyperlink"/>
            <w:rFonts w:cs="Times New Roman"/>
            <w:noProof/>
          </w:rPr>
          <w:t>Objectives</w:t>
        </w:r>
        <w:r w:rsidR="00D408AD">
          <w:rPr>
            <w:noProof/>
            <w:webHidden/>
          </w:rPr>
          <w:tab/>
        </w:r>
        <w:r w:rsidR="00D408AD">
          <w:rPr>
            <w:noProof/>
            <w:webHidden/>
          </w:rPr>
          <w:fldChar w:fldCharType="begin"/>
        </w:r>
        <w:r w:rsidR="00D408AD">
          <w:rPr>
            <w:noProof/>
            <w:webHidden/>
          </w:rPr>
          <w:instrText xml:space="preserve"> PAGEREF _Toc140399811 \h </w:instrText>
        </w:r>
        <w:r w:rsidR="00D408AD">
          <w:rPr>
            <w:noProof/>
            <w:webHidden/>
          </w:rPr>
        </w:r>
        <w:r w:rsidR="00D408AD">
          <w:rPr>
            <w:noProof/>
            <w:webHidden/>
          </w:rPr>
          <w:fldChar w:fldCharType="separate"/>
        </w:r>
        <w:r w:rsidR="00D408AD">
          <w:rPr>
            <w:noProof/>
            <w:webHidden/>
          </w:rPr>
          <w:t>17</w:t>
        </w:r>
        <w:r w:rsidR="00D408AD">
          <w:rPr>
            <w:noProof/>
            <w:webHidden/>
          </w:rPr>
          <w:fldChar w:fldCharType="end"/>
        </w:r>
      </w:hyperlink>
    </w:p>
    <w:p w14:paraId="335666F8" w14:textId="6317963B" w:rsidR="00D408AD" w:rsidRDefault="00000000">
      <w:pPr>
        <w:pStyle w:val="TOC3"/>
        <w:tabs>
          <w:tab w:val="right" w:leader="dot" w:pos="8630"/>
        </w:tabs>
        <w:rPr>
          <w:rFonts w:asciiTheme="minorHAnsi" w:eastAsiaTheme="minorEastAsia" w:hAnsiTheme="minorHAnsi" w:cstheme="minorBidi"/>
          <w:noProof/>
        </w:rPr>
      </w:pPr>
      <w:hyperlink w:anchor="_Toc140399812" w:history="1">
        <w:r w:rsidR="00D408AD" w:rsidRPr="00C544C6">
          <w:rPr>
            <w:rStyle w:val="Hyperlink"/>
            <w:rFonts w:cs="Times New Roman"/>
            <w:noProof/>
          </w:rPr>
          <w:t>Scope and Organization</w:t>
        </w:r>
        <w:r w:rsidR="00D408AD">
          <w:rPr>
            <w:noProof/>
            <w:webHidden/>
          </w:rPr>
          <w:tab/>
        </w:r>
        <w:r w:rsidR="00D408AD">
          <w:rPr>
            <w:noProof/>
            <w:webHidden/>
          </w:rPr>
          <w:fldChar w:fldCharType="begin"/>
        </w:r>
        <w:r w:rsidR="00D408AD">
          <w:rPr>
            <w:noProof/>
            <w:webHidden/>
          </w:rPr>
          <w:instrText xml:space="preserve"> PAGEREF _Toc140399812 \h </w:instrText>
        </w:r>
        <w:r w:rsidR="00D408AD">
          <w:rPr>
            <w:noProof/>
            <w:webHidden/>
          </w:rPr>
        </w:r>
        <w:r w:rsidR="00D408AD">
          <w:rPr>
            <w:noProof/>
            <w:webHidden/>
          </w:rPr>
          <w:fldChar w:fldCharType="separate"/>
        </w:r>
        <w:r w:rsidR="00D408AD">
          <w:rPr>
            <w:noProof/>
            <w:webHidden/>
          </w:rPr>
          <w:t>18</w:t>
        </w:r>
        <w:r w:rsidR="00D408AD">
          <w:rPr>
            <w:noProof/>
            <w:webHidden/>
          </w:rPr>
          <w:fldChar w:fldCharType="end"/>
        </w:r>
      </w:hyperlink>
    </w:p>
    <w:p w14:paraId="14B90BB7" w14:textId="35C38E5E" w:rsidR="00D408AD" w:rsidRDefault="00000000">
      <w:pPr>
        <w:pStyle w:val="TOC2"/>
        <w:tabs>
          <w:tab w:val="right" w:leader="dot" w:pos="8630"/>
        </w:tabs>
        <w:rPr>
          <w:rFonts w:asciiTheme="minorHAnsi" w:eastAsiaTheme="minorEastAsia" w:hAnsiTheme="minorHAnsi" w:cstheme="minorBidi"/>
          <w:noProof/>
        </w:rPr>
      </w:pPr>
      <w:hyperlink w:anchor="_Toc140399813" w:history="1">
        <w:r w:rsidR="00D408AD" w:rsidRPr="00C544C6">
          <w:rPr>
            <w:rStyle w:val="Hyperlink"/>
            <w:rFonts w:cs="Times New Roman"/>
            <w:noProof/>
          </w:rPr>
          <w:t>Background</w:t>
        </w:r>
        <w:r w:rsidR="00D408AD">
          <w:rPr>
            <w:noProof/>
            <w:webHidden/>
          </w:rPr>
          <w:tab/>
        </w:r>
        <w:r w:rsidR="00D408AD">
          <w:rPr>
            <w:noProof/>
            <w:webHidden/>
          </w:rPr>
          <w:fldChar w:fldCharType="begin"/>
        </w:r>
        <w:r w:rsidR="00D408AD">
          <w:rPr>
            <w:noProof/>
            <w:webHidden/>
          </w:rPr>
          <w:instrText xml:space="preserve"> PAGEREF _Toc140399813 \h </w:instrText>
        </w:r>
        <w:r w:rsidR="00D408AD">
          <w:rPr>
            <w:noProof/>
            <w:webHidden/>
          </w:rPr>
        </w:r>
        <w:r w:rsidR="00D408AD">
          <w:rPr>
            <w:noProof/>
            <w:webHidden/>
          </w:rPr>
          <w:fldChar w:fldCharType="separate"/>
        </w:r>
        <w:r w:rsidR="00D408AD">
          <w:rPr>
            <w:noProof/>
            <w:webHidden/>
          </w:rPr>
          <w:t>19</w:t>
        </w:r>
        <w:r w:rsidR="00D408AD">
          <w:rPr>
            <w:noProof/>
            <w:webHidden/>
          </w:rPr>
          <w:fldChar w:fldCharType="end"/>
        </w:r>
      </w:hyperlink>
    </w:p>
    <w:p w14:paraId="1A033A3C" w14:textId="71CA781E" w:rsidR="00D408AD" w:rsidRDefault="00000000">
      <w:pPr>
        <w:pStyle w:val="TOC3"/>
        <w:tabs>
          <w:tab w:val="right" w:leader="dot" w:pos="8630"/>
        </w:tabs>
        <w:rPr>
          <w:rFonts w:asciiTheme="minorHAnsi" w:eastAsiaTheme="minorEastAsia" w:hAnsiTheme="minorHAnsi" w:cstheme="minorBidi"/>
          <w:noProof/>
        </w:rPr>
      </w:pPr>
      <w:hyperlink w:anchor="_Toc140399814" w:history="1">
        <w:r w:rsidR="00D408AD" w:rsidRPr="00C544C6">
          <w:rPr>
            <w:rStyle w:val="Hyperlink"/>
            <w:rFonts w:cs="Times New Roman"/>
            <w:noProof/>
          </w:rPr>
          <w:t>DR and Building Flexibility</w:t>
        </w:r>
        <w:r w:rsidR="00D408AD">
          <w:rPr>
            <w:noProof/>
            <w:webHidden/>
          </w:rPr>
          <w:tab/>
        </w:r>
        <w:r w:rsidR="00D408AD">
          <w:rPr>
            <w:noProof/>
            <w:webHidden/>
          </w:rPr>
          <w:fldChar w:fldCharType="begin"/>
        </w:r>
        <w:r w:rsidR="00D408AD">
          <w:rPr>
            <w:noProof/>
            <w:webHidden/>
          </w:rPr>
          <w:instrText xml:space="preserve"> PAGEREF _Toc140399814 \h </w:instrText>
        </w:r>
        <w:r w:rsidR="00D408AD">
          <w:rPr>
            <w:noProof/>
            <w:webHidden/>
          </w:rPr>
        </w:r>
        <w:r w:rsidR="00D408AD">
          <w:rPr>
            <w:noProof/>
            <w:webHidden/>
          </w:rPr>
          <w:fldChar w:fldCharType="separate"/>
        </w:r>
        <w:r w:rsidR="00D408AD">
          <w:rPr>
            <w:noProof/>
            <w:webHidden/>
          </w:rPr>
          <w:t>19</w:t>
        </w:r>
        <w:r w:rsidR="00D408AD">
          <w:rPr>
            <w:noProof/>
            <w:webHidden/>
          </w:rPr>
          <w:fldChar w:fldCharType="end"/>
        </w:r>
      </w:hyperlink>
    </w:p>
    <w:p w14:paraId="08DDBF9B" w14:textId="601ADE39" w:rsidR="00D408AD" w:rsidRDefault="00000000">
      <w:pPr>
        <w:pStyle w:val="TOC3"/>
        <w:tabs>
          <w:tab w:val="right" w:leader="dot" w:pos="8630"/>
        </w:tabs>
        <w:rPr>
          <w:rFonts w:asciiTheme="minorHAnsi" w:eastAsiaTheme="minorEastAsia" w:hAnsiTheme="minorHAnsi" w:cstheme="minorBidi"/>
          <w:noProof/>
        </w:rPr>
      </w:pPr>
      <w:hyperlink w:anchor="_Toc140399815" w:history="1">
        <w:r w:rsidR="00D408AD" w:rsidRPr="00C544C6">
          <w:rPr>
            <w:rStyle w:val="Hyperlink"/>
            <w:rFonts w:cs="Times New Roman"/>
            <w:noProof/>
          </w:rPr>
          <w:t>Utility Rate Structures</w:t>
        </w:r>
        <w:r w:rsidR="00D408AD">
          <w:rPr>
            <w:noProof/>
            <w:webHidden/>
          </w:rPr>
          <w:tab/>
        </w:r>
        <w:r w:rsidR="00D408AD">
          <w:rPr>
            <w:noProof/>
            <w:webHidden/>
          </w:rPr>
          <w:fldChar w:fldCharType="begin"/>
        </w:r>
        <w:r w:rsidR="00D408AD">
          <w:rPr>
            <w:noProof/>
            <w:webHidden/>
          </w:rPr>
          <w:instrText xml:space="preserve"> PAGEREF _Toc140399815 \h </w:instrText>
        </w:r>
        <w:r w:rsidR="00D408AD">
          <w:rPr>
            <w:noProof/>
            <w:webHidden/>
          </w:rPr>
        </w:r>
        <w:r w:rsidR="00D408AD">
          <w:rPr>
            <w:noProof/>
            <w:webHidden/>
          </w:rPr>
          <w:fldChar w:fldCharType="separate"/>
        </w:r>
        <w:r w:rsidR="00D408AD">
          <w:rPr>
            <w:noProof/>
            <w:webHidden/>
          </w:rPr>
          <w:t>20</w:t>
        </w:r>
        <w:r w:rsidR="00D408AD">
          <w:rPr>
            <w:noProof/>
            <w:webHidden/>
          </w:rPr>
          <w:fldChar w:fldCharType="end"/>
        </w:r>
      </w:hyperlink>
    </w:p>
    <w:p w14:paraId="3E0C4C70" w14:textId="5D81AF99" w:rsidR="00D408AD" w:rsidRDefault="00000000">
      <w:pPr>
        <w:pStyle w:val="TOC3"/>
        <w:tabs>
          <w:tab w:val="right" w:leader="dot" w:pos="8630"/>
        </w:tabs>
        <w:rPr>
          <w:rFonts w:asciiTheme="minorHAnsi" w:eastAsiaTheme="minorEastAsia" w:hAnsiTheme="minorHAnsi" w:cstheme="minorBidi"/>
          <w:noProof/>
        </w:rPr>
      </w:pPr>
      <w:hyperlink w:anchor="_Toc140399816" w:history="1">
        <w:r w:rsidR="00D408AD" w:rsidRPr="00C544C6">
          <w:rPr>
            <w:rStyle w:val="Hyperlink"/>
            <w:rFonts w:cs="Times New Roman"/>
            <w:noProof/>
          </w:rPr>
          <w:t>TES in Buildings</w:t>
        </w:r>
        <w:r w:rsidR="00D408AD">
          <w:rPr>
            <w:noProof/>
            <w:webHidden/>
          </w:rPr>
          <w:tab/>
        </w:r>
        <w:r w:rsidR="00D408AD">
          <w:rPr>
            <w:noProof/>
            <w:webHidden/>
          </w:rPr>
          <w:fldChar w:fldCharType="begin"/>
        </w:r>
        <w:r w:rsidR="00D408AD">
          <w:rPr>
            <w:noProof/>
            <w:webHidden/>
          </w:rPr>
          <w:instrText xml:space="preserve"> PAGEREF _Toc140399816 \h </w:instrText>
        </w:r>
        <w:r w:rsidR="00D408AD">
          <w:rPr>
            <w:noProof/>
            <w:webHidden/>
          </w:rPr>
        </w:r>
        <w:r w:rsidR="00D408AD">
          <w:rPr>
            <w:noProof/>
            <w:webHidden/>
          </w:rPr>
          <w:fldChar w:fldCharType="separate"/>
        </w:r>
        <w:r w:rsidR="00D408AD">
          <w:rPr>
            <w:noProof/>
            <w:webHidden/>
          </w:rPr>
          <w:t>22</w:t>
        </w:r>
        <w:r w:rsidR="00D408AD">
          <w:rPr>
            <w:noProof/>
            <w:webHidden/>
          </w:rPr>
          <w:fldChar w:fldCharType="end"/>
        </w:r>
      </w:hyperlink>
    </w:p>
    <w:p w14:paraId="78DD4830" w14:textId="1655F7DC" w:rsidR="00D408AD" w:rsidRDefault="00000000">
      <w:pPr>
        <w:pStyle w:val="TOC3"/>
        <w:tabs>
          <w:tab w:val="right" w:leader="dot" w:pos="8630"/>
        </w:tabs>
        <w:rPr>
          <w:rFonts w:asciiTheme="minorHAnsi" w:eastAsiaTheme="minorEastAsia" w:hAnsiTheme="minorHAnsi" w:cstheme="minorBidi"/>
          <w:noProof/>
        </w:rPr>
      </w:pPr>
      <w:hyperlink w:anchor="_Toc140399817" w:history="1">
        <w:r w:rsidR="00D408AD" w:rsidRPr="00C544C6">
          <w:rPr>
            <w:rStyle w:val="Hyperlink"/>
            <w:rFonts w:cs="Times New Roman"/>
            <w:noProof/>
          </w:rPr>
          <w:t>HP-TES Configurations and Definitions</w:t>
        </w:r>
        <w:r w:rsidR="00D408AD">
          <w:rPr>
            <w:noProof/>
            <w:webHidden/>
          </w:rPr>
          <w:tab/>
        </w:r>
        <w:r w:rsidR="00D408AD">
          <w:rPr>
            <w:noProof/>
            <w:webHidden/>
          </w:rPr>
          <w:fldChar w:fldCharType="begin"/>
        </w:r>
        <w:r w:rsidR="00D408AD">
          <w:rPr>
            <w:noProof/>
            <w:webHidden/>
          </w:rPr>
          <w:instrText xml:space="preserve"> PAGEREF _Toc140399817 \h </w:instrText>
        </w:r>
        <w:r w:rsidR="00D408AD">
          <w:rPr>
            <w:noProof/>
            <w:webHidden/>
          </w:rPr>
        </w:r>
        <w:r w:rsidR="00D408AD">
          <w:rPr>
            <w:noProof/>
            <w:webHidden/>
          </w:rPr>
          <w:fldChar w:fldCharType="separate"/>
        </w:r>
        <w:r w:rsidR="00D408AD">
          <w:rPr>
            <w:noProof/>
            <w:webHidden/>
          </w:rPr>
          <w:t>24</w:t>
        </w:r>
        <w:r w:rsidR="00D408AD">
          <w:rPr>
            <w:noProof/>
            <w:webHidden/>
          </w:rPr>
          <w:fldChar w:fldCharType="end"/>
        </w:r>
      </w:hyperlink>
    </w:p>
    <w:p w14:paraId="5C276208" w14:textId="18796FAC" w:rsidR="00D408AD" w:rsidRDefault="00000000">
      <w:pPr>
        <w:pStyle w:val="TOC2"/>
        <w:tabs>
          <w:tab w:val="right" w:leader="dot" w:pos="8630"/>
        </w:tabs>
        <w:rPr>
          <w:rFonts w:asciiTheme="minorHAnsi" w:eastAsiaTheme="minorEastAsia" w:hAnsiTheme="minorHAnsi" w:cstheme="minorBidi"/>
          <w:noProof/>
        </w:rPr>
      </w:pPr>
      <w:hyperlink w:anchor="_Toc140399818" w:history="1">
        <w:r w:rsidR="00D408AD" w:rsidRPr="00C544C6">
          <w:rPr>
            <w:rStyle w:val="Hyperlink"/>
            <w:rFonts w:cs="Times New Roman"/>
            <w:noProof/>
          </w:rPr>
          <w:t>Literature Review</w:t>
        </w:r>
        <w:r w:rsidR="00D408AD">
          <w:rPr>
            <w:noProof/>
            <w:webHidden/>
          </w:rPr>
          <w:tab/>
        </w:r>
        <w:r w:rsidR="00D408AD">
          <w:rPr>
            <w:noProof/>
            <w:webHidden/>
          </w:rPr>
          <w:fldChar w:fldCharType="begin"/>
        </w:r>
        <w:r w:rsidR="00D408AD">
          <w:rPr>
            <w:noProof/>
            <w:webHidden/>
          </w:rPr>
          <w:instrText xml:space="preserve"> PAGEREF _Toc140399818 \h </w:instrText>
        </w:r>
        <w:r w:rsidR="00D408AD">
          <w:rPr>
            <w:noProof/>
            <w:webHidden/>
          </w:rPr>
        </w:r>
        <w:r w:rsidR="00D408AD">
          <w:rPr>
            <w:noProof/>
            <w:webHidden/>
          </w:rPr>
          <w:fldChar w:fldCharType="separate"/>
        </w:r>
        <w:r w:rsidR="00D408AD">
          <w:rPr>
            <w:noProof/>
            <w:webHidden/>
          </w:rPr>
          <w:t>26</w:t>
        </w:r>
        <w:r w:rsidR="00D408AD">
          <w:rPr>
            <w:noProof/>
            <w:webHidden/>
          </w:rPr>
          <w:fldChar w:fldCharType="end"/>
        </w:r>
      </w:hyperlink>
    </w:p>
    <w:p w14:paraId="6DE8ABD7" w14:textId="5E8C9B74" w:rsidR="00D408AD" w:rsidRDefault="00000000">
      <w:pPr>
        <w:pStyle w:val="TOC3"/>
        <w:tabs>
          <w:tab w:val="right" w:leader="dot" w:pos="8630"/>
        </w:tabs>
        <w:rPr>
          <w:rFonts w:asciiTheme="minorHAnsi" w:eastAsiaTheme="minorEastAsia" w:hAnsiTheme="minorHAnsi" w:cstheme="minorBidi"/>
          <w:noProof/>
        </w:rPr>
      </w:pPr>
      <w:hyperlink w:anchor="_Toc140399819" w:history="1">
        <w:r w:rsidR="00D408AD" w:rsidRPr="00C544C6">
          <w:rPr>
            <w:rStyle w:val="Hyperlink"/>
            <w:rFonts w:cs="Times New Roman"/>
            <w:noProof/>
          </w:rPr>
          <w:t>Controls for HPs without TES</w:t>
        </w:r>
        <w:r w:rsidR="00D408AD">
          <w:rPr>
            <w:noProof/>
            <w:webHidden/>
          </w:rPr>
          <w:tab/>
        </w:r>
        <w:r w:rsidR="00D408AD">
          <w:rPr>
            <w:noProof/>
            <w:webHidden/>
          </w:rPr>
          <w:fldChar w:fldCharType="begin"/>
        </w:r>
        <w:r w:rsidR="00D408AD">
          <w:rPr>
            <w:noProof/>
            <w:webHidden/>
          </w:rPr>
          <w:instrText xml:space="preserve"> PAGEREF _Toc140399819 \h </w:instrText>
        </w:r>
        <w:r w:rsidR="00D408AD">
          <w:rPr>
            <w:noProof/>
            <w:webHidden/>
          </w:rPr>
        </w:r>
        <w:r w:rsidR="00D408AD">
          <w:rPr>
            <w:noProof/>
            <w:webHidden/>
          </w:rPr>
          <w:fldChar w:fldCharType="separate"/>
        </w:r>
        <w:r w:rsidR="00D408AD">
          <w:rPr>
            <w:noProof/>
            <w:webHidden/>
          </w:rPr>
          <w:t>26</w:t>
        </w:r>
        <w:r w:rsidR="00D408AD">
          <w:rPr>
            <w:noProof/>
            <w:webHidden/>
          </w:rPr>
          <w:fldChar w:fldCharType="end"/>
        </w:r>
      </w:hyperlink>
    </w:p>
    <w:p w14:paraId="12153644" w14:textId="0EDCDF04" w:rsidR="00D408AD" w:rsidRDefault="00000000">
      <w:pPr>
        <w:pStyle w:val="TOC2"/>
        <w:tabs>
          <w:tab w:val="right" w:leader="dot" w:pos="8630"/>
        </w:tabs>
        <w:rPr>
          <w:rFonts w:asciiTheme="minorHAnsi" w:eastAsiaTheme="minorEastAsia" w:hAnsiTheme="minorHAnsi" w:cstheme="minorBidi"/>
          <w:noProof/>
        </w:rPr>
      </w:pPr>
      <w:hyperlink w:anchor="_Toc140399820" w:history="1">
        <w:r w:rsidR="00D408AD" w:rsidRPr="00C544C6">
          <w:rPr>
            <w:rStyle w:val="Hyperlink"/>
            <w:rFonts w:cs="Times New Roman"/>
            <w:noProof/>
          </w:rPr>
          <w:t>HP-TES Configurations</w:t>
        </w:r>
        <w:r w:rsidR="00D408AD">
          <w:rPr>
            <w:noProof/>
            <w:webHidden/>
          </w:rPr>
          <w:tab/>
        </w:r>
        <w:r w:rsidR="00D408AD">
          <w:rPr>
            <w:noProof/>
            <w:webHidden/>
          </w:rPr>
          <w:fldChar w:fldCharType="begin"/>
        </w:r>
        <w:r w:rsidR="00D408AD">
          <w:rPr>
            <w:noProof/>
            <w:webHidden/>
          </w:rPr>
          <w:instrText xml:space="preserve"> PAGEREF _Toc140399820 \h </w:instrText>
        </w:r>
        <w:r w:rsidR="00D408AD">
          <w:rPr>
            <w:noProof/>
            <w:webHidden/>
          </w:rPr>
        </w:r>
        <w:r w:rsidR="00D408AD">
          <w:rPr>
            <w:noProof/>
            <w:webHidden/>
          </w:rPr>
          <w:fldChar w:fldCharType="separate"/>
        </w:r>
        <w:r w:rsidR="00D408AD">
          <w:rPr>
            <w:noProof/>
            <w:webHidden/>
          </w:rPr>
          <w:t>32</w:t>
        </w:r>
        <w:r w:rsidR="00D408AD">
          <w:rPr>
            <w:noProof/>
            <w:webHidden/>
          </w:rPr>
          <w:fldChar w:fldCharType="end"/>
        </w:r>
      </w:hyperlink>
    </w:p>
    <w:p w14:paraId="52CF9C8E" w14:textId="5B0C5C02" w:rsidR="00D408AD" w:rsidRDefault="00000000">
      <w:pPr>
        <w:pStyle w:val="TOC3"/>
        <w:tabs>
          <w:tab w:val="right" w:leader="dot" w:pos="8630"/>
        </w:tabs>
        <w:rPr>
          <w:rFonts w:asciiTheme="minorHAnsi" w:eastAsiaTheme="minorEastAsia" w:hAnsiTheme="minorHAnsi" w:cstheme="minorBidi"/>
          <w:noProof/>
        </w:rPr>
      </w:pPr>
      <w:hyperlink w:anchor="_Toc140399821" w:history="1">
        <w:r w:rsidR="00D408AD" w:rsidRPr="00C544C6">
          <w:rPr>
            <w:rStyle w:val="Hyperlink"/>
            <w:rFonts w:cs="Times New Roman"/>
            <w:noProof/>
          </w:rPr>
          <w:t>Passive HP-TES</w:t>
        </w:r>
        <w:r w:rsidR="00D408AD">
          <w:rPr>
            <w:noProof/>
            <w:webHidden/>
          </w:rPr>
          <w:tab/>
        </w:r>
        <w:r w:rsidR="00D408AD">
          <w:rPr>
            <w:noProof/>
            <w:webHidden/>
          </w:rPr>
          <w:fldChar w:fldCharType="begin"/>
        </w:r>
        <w:r w:rsidR="00D408AD">
          <w:rPr>
            <w:noProof/>
            <w:webHidden/>
          </w:rPr>
          <w:instrText xml:space="preserve"> PAGEREF _Toc140399821 \h </w:instrText>
        </w:r>
        <w:r w:rsidR="00D408AD">
          <w:rPr>
            <w:noProof/>
            <w:webHidden/>
          </w:rPr>
        </w:r>
        <w:r w:rsidR="00D408AD">
          <w:rPr>
            <w:noProof/>
            <w:webHidden/>
          </w:rPr>
          <w:fldChar w:fldCharType="separate"/>
        </w:r>
        <w:r w:rsidR="00D408AD">
          <w:rPr>
            <w:noProof/>
            <w:webHidden/>
          </w:rPr>
          <w:t>32</w:t>
        </w:r>
        <w:r w:rsidR="00D408AD">
          <w:rPr>
            <w:noProof/>
            <w:webHidden/>
          </w:rPr>
          <w:fldChar w:fldCharType="end"/>
        </w:r>
      </w:hyperlink>
    </w:p>
    <w:p w14:paraId="01B5C2DD" w14:textId="3AAD4501" w:rsidR="00D408AD" w:rsidRDefault="00000000">
      <w:pPr>
        <w:pStyle w:val="TOC3"/>
        <w:tabs>
          <w:tab w:val="right" w:leader="dot" w:pos="8630"/>
        </w:tabs>
        <w:rPr>
          <w:rFonts w:asciiTheme="minorHAnsi" w:eastAsiaTheme="minorEastAsia" w:hAnsiTheme="minorHAnsi" w:cstheme="minorBidi"/>
          <w:noProof/>
        </w:rPr>
      </w:pPr>
      <w:hyperlink w:anchor="_Toc140399822" w:history="1">
        <w:r w:rsidR="00D408AD" w:rsidRPr="00C544C6">
          <w:rPr>
            <w:rStyle w:val="Hyperlink"/>
            <w:rFonts w:cs="Times New Roman"/>
            <w:noProof/>
          </w:rPr>
          <w:t>Active HP-TES</w:t>
        </w:r>
        <w:r w:rsidR="00D408AD">
          <w:rPr>
            <w:noProof/>
            <w:webHidden/>
          </w:rPr>
          <w:tab/>
        </w:r>
        <w:r w:rsidR="00D408AD">
          <w:rPr>
            <w:noProof/>
            <w:webHidden/>
          </w:rPr>
          <w:fldChar w:fldCharType="begin"/>
        </w:r>
        <w:r w:rsidR="00D408AD">
          <w:rPr>
            <w:noProof/>
            <w:webHidden/>
          </w:rPr>
          <w:instrText xml:space="preserve"> PAGEREF _Toc140399822 \h </w:instrText>
        </w:r>
        <w:r w:rsidR="00D408AD">
          <w:rPr>
            <w:noProof/>
            <w:webHidden/>
          </w:rPr>
        </w:r>
        <w:r w:rsidR="00D408AD">
          <w:rPr>
            <w:noProof/>
            <w:webHidden/>
          </w:rPr>
          <w:fldChar w:fldCharType="separate"/>
        </w:r>
        <w:r w:rsidR="00D408AD">
          <w:rPr>
            <w:noProof/>
            <w:webHidden/>
          </w:rPr>
          <w:t>39</w:t>
        </w:r>
        <w:r w:rsidR="00D408AD">
          <w:rPr>
            <w:noProof/>
            <w:webHidden/>
          </w:rPr>
          <w:fldChar w:fldCharType="end"/>
        </w:r>
      </w:hyperlink>
    </w:p>
    <w:p w14:paraId="35015281" w14:textId="57624A0C" w:rsidR="00D408AD" w:rsidRDefault="00000000">
      <w:pPr>
        <w:pStyle w:val="TOC3"/>
        <w:tabs>
          <w:tab w:val="right" w:leader="dot" w:pos="8630"/>
        </w:tabs>
        <w:rPr>
          <w:rFonts w:asciiTheme="minorHAnsi" w:eastAsiaTheme="minorEastAsia" w:hAnsiTheme="minorHAnsi" w:cstheme="minorBidi"/>
          <w:noProof/>
        </w:rPr>
      </w:pPr>
      <w:hyperlink w:anchor="_Toc140399823" w:history="1">
        <w:r w:rsidR="00D408AD" w:rsidRPr="00C544C6">
          <w:rPr>
            <w:rStyle w:val="Hyperlink"/>
            <w:rFonts w:cs="Times New Roman"/>
            <w:noProof/>
          </w:rPr>
          <w:t>Building Envelope</w:t>
        </w:r>
        <w:r w:rsidR="00D408AD">
          <w:rPr>
            <w:noProof/>
            <w:webHidden/>
          </w:rPr>
          <w:tab/>
        </w:r>
        <w:r w:rsidR="00D408AD">
          <w:rPr>
            <w:noProof/>
            <w:webHidden/>
          </w:rPr>
          <w:fldChar w:fldCharType="begin"/>
        </w:r>
        <w:r w:rsidR="00D408AD">
          <w:rPr>
            <w:noProof/>
            <w:webHidden/>
          </w:rPr>
          <w:instrText xml:space="preserve"> PAGEREF _Toc140399823 \h </w:instrText>
        </w:r>
        <w:r w:rsidR="00D408AD">
          <w:rPr>
            <w:noProof/>
            <w:webHidden/>
          </w:rPr>
        </w:r>
        <w:r w:rsidR="00D408AD">
          <w:rPr>
            <w:noProof/>
            <w:webHidden/>
          </w:rPr>
          <w:fldChar w:fldCharType="separate"/>
        </w:r>
        <w:r w:rsidR="00D408AD">
          <w:rPr>
            <w:noProof/>
            <w:webHidden/>
          </w:rPr>
          <w:t>41</w:t>
        </w:r>
        <w:r w:rsidR="00D408AD">
          <w:rPr>
            <w:noProof/>
            <w:webHidden/>
          </w:rPr>
          <w:fldChar w:fldCharType="end"/>
        </w:r>
      </w:hyperlink>
    </w:p>
    <w:p w14:paraId="0EC6FDE1" w14:textId="66095BD4" w:rsidR="00D408AD" w:rsidRDefault="00000000">
      <w:pPr>
        <w:pStyle w:val="TOC3"/>
        <w:tabs>
          <w:tab w:val="right" w:leader="dot" w:pos="8630"/>
        </w:tabs>
        <w:rPr>
          <w:rFonts w:asciiTheme="minorHAnsi" w:eastAsiaTheme="minorEastAsia" w:hAnsiTheme="minorHAnsi" w:cstheme="minorBidi"/>
          <w:noProof/>
        </w:rPr>
      </w:pPr>
      <w:hyperlink w:anchor="_Toc140399824" w:history="1">
        <w:r w:rsidR="00D408AD" w:rsidRPr="00C544C6">
          <w:rPr>
            <w:rStyle w:val="Hyperlink"/>
            <w:rFonts w:cs="Times New Roman"/>
            <w:noProof/>
          </w:rPr>
          <w:t>Air Distribution</w:t>
        </w:r>
        <w:r w:rsidR="00D408AD">
          <w:rPr>
            <w:noProof/>
            <w:webHidden/>
          </w:rPr>
          <w:tab/>
        </w:r>
        <w:r w:rsidR="00D408AD">
          <w:rPr>
            <w:noProof/>
            <w:webHidden/>
          </w:rPr>
          <w:fldChar w:fldCharType="begin"/>
        </w:r>
        <w:r w:rsidR="00D408AD">
          <w:rPr>
            <w:noProof/>
            <w:webHidden/>
          </w:rPr>
          <w:instrText xml:space="preserve"> PAGEREF _Toc140399824 \h </w:instrText>
        </w:r>
        <w:r w:rsidR="00D408AD">
          <w:rPr>
            <w:noProof/>
            <w:webHidden/>
          </w:rPr>
        </w:r>
        <w:r w:rsidR="00D408AD">
          <w:rPr>
            <w:noProof/>
            <w:webHidden/>
          </w:rPr>
          <w:fldChar w:fldCharType="separate"/>
        </w:r>
        <w:r w:rsidR="00D408AD">
          <w:rPr>
            <w:noProof/>
            <w:webHidden/>
          </w:rPr>
          <w:t>41</w:t>
        </w:r>
        <w:r w:rsidR="00D408AD">
          <w:rPr>
            <w:noProof/>
            <w:webHidden/>
          </w:rPr>
          <w:fldChar w:fldCharType="end"/>
        </w:r>
      </w:hyperlink>
    </w:p>
    <w:p w14:paraId="03065125" w14:textId="0967C67F" w:rsidR="00D408AD" w:rsidRDefault="00000000">
      <w:pPr>
        <w:pStyle w:val="TOC3"/>
        <w:tabs>
          <w:tab w:val="right" w:leader="dot" w:pos="8630"/>
        </w:tabs>
        <w:rPr>
          <w:rFonts w:asciiTheme="minorHAnsi" w:eastAsiaTheme="minorEastAsia" w:hAnsiTheme="minorHAnsi" w:cstheme="minorBidi"/>
          <w:noProof/>
        </w:rPr>
      </w:pPr>
      <w:hyperlink w:anchor="_Toc140399825" w:history="1">
        <w:r w:rsidR="00D408AD" w:rsidRPr="00C544C6">
          <w:rPr>
            <w:rStyle w:val="Hyperlink"/>
            <w:rFonts w:cs="Times New Roman"/>
            <w:noProof/>
          </w:rPr>
          <w:t>Vapor Compression System</w:t>
        </w:r>
        <w:r w:rsidR="00D408AD">
          <w:rPr>
            <w:noProof/>
            <w:webHidden/>
          </w:rPr>
          <w:tab/>
        </w:r>
        <w:r w:rsidR="00D408AD">
          <w:rPr>
            <w:noProof/>
            <w:webHidden/>
          </w:rPr>
          <w:fldChar w:fldCharType="begin"/>
        </w:r>
        <w:r w:rsidR="00D408AD">
          <w:rPr>
            <w:noProof/>
            <w:webHidden/>
          </w:rPr>
          <w:instrText xml:space="preserve"> PAGEREF _Toc140399825 \h </w:instrText>
        </w:r>
        <w:r w:rsidR="00D408AD">
          <w:rPr>
            <w:noProof/>
            <w:webHidden/>
          </w:rPr>
        </w:r>
        <w:r w:rsidR="00D408AD">
          <w:rPr>
            <w:noProof/>
            <w:webHidden/>
          </w:rPr>
          <w:fldChar w:fldCharType="separate"/>
        </w:r>
        <w:r w:rsidR="00D408AD">
          <w:rPr>
            <w:noProof/>
            <w:webHidden/>
          </w:rPr>
          <w:t>42</w:t>
        </w:r>
        <w:r w:rsidR="00D408AD">
          <w:rPr>
            <w:noProof/>
            <w:webHidden/>
          </w:rPr>
          <w:fldChar w:fldCharType="end"/>
        </w:r>
      </w:hyperlink>
    </w:p>
    <w:p w14:paraId="2463B8F5" w14:textId="66BB90C3" w:rsidR="00D408AD" w:rsidRDefault="00000000">
      <w:pPr>
        <w:pStyle w:val="TOC2"/>
        <w:tabs>
          <w:tab w:val="right" w:leader="dot" w:pos="8630"/>
        </w:tabs>
        <w:rPr>
          <w:rFonts w:asciiTheme="minorHAnsi" w:eastAsiaTheme="minorEastAsia" w:hAnsiTheme="minorHAnsi" w:cstheme="minorBidi"/>
          <w:noProof/>
        </w:rPr>
      </w:pPr>
      <w:hyperlink w:anchor="_Toc140399826" w:history="1">
        <w:r w:rsidR="00D408AD" w:rsidRPr="00C544C6">
          <w:rPr>
            <w:rStyle w:val="Hyperlink"/>
            <w:rFonts w:cs="Times New Roman"/>
            <w:noProof/>
          </w:rPr>
          <w:t>Comparative Research Trends</w:t>
        </w:r>
        <w:r w:rsidR="00D408AD">
          <w:rPr>
            <w:noProof/>
            <w:webHidden/>
          </w:rPr>
          <w:tab/>
        </w:r>
        <w:r w:rsidR="00D408AD">
          <w:rPr>
            <w:noProof/>
            <w:webHidden/>
          </w:rPr>
          <w:fldChar w:fldCharType="begin"/>
        </w:r>
        <w:r w:rsidR="00D408AD">
          <w:rPr>
            <w:noProof/>
            <w:webHidden/>
          </w:rPr>
          <w:instrText xml:space="preserve"> PAGEREF _Toc140399826 \h </w:instrText>
        </w:r>
        <w:r w:rsidR="00D408AD">
          <w:rPr>
            <w:noProof/>
            <w:webHidden/>
          </w:rPr>
        </w:r>
        <w:r w:rsidR="00D408AD">
          <w:rPr>
            <w:noProof/>
            <w:webHidden/>
          </w:rPr>
          <w:fldChar w:fldCharType="separate"/>
        </w:r>
        <w:r w:rsidR="00D408AD">
          <w:rPr>
            <w:noProof/>
            <w:webHidden/>
          </w:rPr>
          <w:t>54</w:t>
        </w:r>
        <w:r w:rsidR="00D408AD">
          <w:rPr>
            <w:noProof/>
            <w:webHidden/>
          </w:rPr>
          <w:fldChar w:fldCharType="end"/>
        </w:r>
      </w:hyperlink>
    </w:p>
    <w:p w14:paraId="20BB518B" w14:textId="5C894905" w:rsidR="00D408AD" w:rsidRDefault="00000000">
      <w:pPr>
        <w:pStyle w:val="TOC3"/>
        <w:tabs>
          <w:tab w:val="right" w:leader="dot" w:pos="8630"/>
        </w:tabs>
        <w:rPr>
          <w:rFonts w:asciiTheme="minorHAnsi" w:eastAsiaTheme="minorEastAsia" w:hAnsiTheme="minorHAnsi" w:cstheme="minorBidi"/>
          <w:noProof/>
        </w:rPr>
      </w:pPr>
      <w:hyperlink w:anchor="_Toc140399827" w:history="1">
        <w:r w:rsidR="00D408AD" w:rsidRPr="00C544C6">
          <w:rPr>
            <w:rStyle w:val="Hyperlink"/>
            <w:rFonts w:cs="Times New Roman"/>
            <w:noProof/>
          </w:rPr>
          <w:t>HP-TES Research</w:t>
        </w:r>
        <w:r w:rsidR="00D408AD">
          <w:rPr>
            <w:noProof/>
            <w:webHidden/>
          </w:rPr>
          <w:tab/>
        </w:r>
        <w:r w:rsidR="00D408AD">
          <w:rPr>
            <w:noProof/>
            <w:webHidden/>
          </w:rPr>
          <w:fldChar w:fldCharType="begin"/>
        </w:r>
        <w:r w:rsidR="00D408AD">
          <w:rPr>
            <w:noProof/>
            <w:webHidden/>
          </w:rPr>
          <w:instrText xml:space="preserve"> PAGEREF _Toc140399827 \h </w:instrText>
        </w:r>
        <w:r w:rsidR="00D408AD">
          <w:rPr>
            <w:noProof/>
            <w:webHidden/>
          </w:rPr>
        </w:r>
        <w:r w:rsidR="00D408AD">
          <w:rPr>
            <w:noProof/>
            <w:webHidden/>
          </w:rPr>
          <w:fldChar w:fldCharType="separate"/>
        </w:r>
        <w:r w:rsidR="00D408AD">
          <w:rPr>
            <w:noProof/>
            <w:webHidden/>
          </w:rPr>
          <w:t>54</w:t>
        </w:r>
        <w:r w:rsidR="00D408AD">
          <w:rPr>
            <w:noProof/>
            <w:webHidden/>
          </w:rPr>
          <w:fldChar w:fldCharType="end"/>
        </w:r>
      </w:hyperlink>
    </w:p>
    <w:p w14:paraId="4D34175D" w14:textId="38612B54" w:rsidR="00D408AD" w:rsidRDefault="00000000">
      <w:pPr>
        <w:pStyle w:val="TOC3"/>
        <w:tabs>
          <w:tab w:val="right" w:leader="dot" w:pos="8630"/>
        </w:tabs>
        <w:rPr>
          <w:rFonts w:asciiTheme="minorHAnsi" w:eastAsiaTheme="minorEastAsia" w:hAnsiTheme="minorHAnsi" w:cstheme="minorBidi"/>
          <w:noProof/>
        </w:rPr>
      </w:pPr>
      <w:hyperlink w:anchor="_Toc140399828" w:history="1">
        <w:r w:rsidR="00D408AD" w:rsidRPr="00C544C6">
          <w:rPr>
            <w:rStyle w:val="Hyperlink"/>
            <w:rFonts w:cs="Times New Roman"/>
            <w:noProof/>
          </w:rPr>
          <w:t>PCMs for HP-TES</w:t>
        </w:r>
        <w:r w:rsidR="00D408AD">
          <w:rPr>
            <w:noProof/>
            <w:webHidden/>
          </w:rPr>
          <w:tab/>
        </w:r>
        <w:r w:rsidR="00D408AD">
          <w:rPr>
            <w:noProof/>
            <w:webHidden/>
          </w:rPr>
          <w:fldChar w:fldCharType="begin"/>
        </w:r>
        <w:r w:rsidR="00D408AD">
          <w:rPr>
            <w:noProof/>
            <w:webHidden/>
          </w:rPr>
          <w:instrText xml:space="preserve"> PAGEREF _Toc140399828 \h </w:instrText>
        </w:r>
        <w:r w:rsidR="00D408AD">
          <w:rPr>
            <w:noProof/>
            <w:webHidden/>
          </w:rPr>
        </w:r>
        <w:r w:rsidR="00D408AD">
          <w:rPr>
            <w:noProof/>
            <w:webHidden/>
          </w:rPr>
          <w:fldChar w:fldCharType="separate"/>
        </w:r>
        <w:r w:rsidR="00D408AD">
          <w:rPr>
            <w:noProof/>
            <w:webHidden/>
          </w:rPr>
          <w:t>54</w:t>
        </w:r>
        <w:r w:rsidR="00D408AD">
          <w:rPr>
            <w:noProof/>
            <w:webHidden/>
          </w:rPr>
          <w:fldChar w:fldCharType="end"/>
        </w:r>
      </w:hyperlink>
    </w:p>
    <w:p w14:paraId="62712AC4" w14:textId="2B568DD3" w:rsidR="00D408AD" w:rsidRDefault="00000000">
      <w:pPr>
        <w:pStyle w:val="TOC3"/>
        <w:tabs>
          <w:tab w:val="right" w:leader="dot" w:pos="8630"/>
        </w:tabs>
        <w:rPr>
          <w:rFonts w:asciiTheme="minorHAnsi" w:eastAsiaTheme="minorEastAsia" w:hAnsiTheme="minorHAnsi" w:cstheme="minorBidi"/>
          <w:noProof/>
        </w:rPr>
      </w:pPr>
      <w:hyperlink w:anchor="_Toc140399829" w:history="1">
        <w:r w:rsidR="00D408AD" w:rsidRPr="00C544C6">
          <w:rPr>
            <w:rStyle w:val="Hyperlink"/>
            <w:rFonts w:cs="Times New Roman"/>
            <w:noProof/>
          </w:rPr>
          <w:t>Climate Zones and TES Application</w:t>
        </w:r>
        <w:r w:rsidR="00D408AD">
          <w:rPr>
            <w:noProof/>
            <w:webHidden/>
          </w:rPr>
          <w:tab/>
        </w:r>
        <w:r w:rsidR="00D408AD">
          <w:rPr>
            <w:noProof/>
            <w:webHidden/>
          </w:rPr>
          <w:fldChar w:fldCharType="begin"/>
        </w:r>
        <w:r w:rsidR="00D408AD">
          <w:rPr>
            <w:noProof/>
            <w:webHidden/>
          </w:rPr>
          <w:instrText xml:space="preserve"> PAGEREF _Toc140399829 \h </w:instrText>
        </w:r>
        <w:r w:rsidR="00D408AD">
          <w:rPr>
            <w:noProof/>
            <w:webHidden/>
          </w:rPr>
        </w:r>
        <w:r w:rsidR="00D408AD">
          <w:rPr>
            <w:noProof/>
            <w:webHidden/>
          </w:rPr>
          <w:fldChar w:fldCharType="separate"/>
        </w:r>
        <w:r w:rsidR="00D408AD">
          <w:rPr>
            <w:noProof/>
            <w:webHidden/>
          </w:rPr>
          <w:t>56</w:t>
        </w:r>
        <w:r w:rsidR="00D408AD">
          <w:rPr>
            <w:noProof/>
            <w:webHidden/>
          </w:rPr>
          <w:fldChar w:fldCharType="end"/>
        </w:r>
      </w:hyperlink>
    </w:p>
    <w:p w14:paraId="2A829532" w14:textId="185B9FAE" w:rsidR="00D408AD" w:rsidRDefault="00000000">
      <w:pPr>
        <w:pStyle w:val="TOC2"/>
        <w:tabs>
          <w:tab w:val="right" w:leader="dot" w:pos="8630"/>
        </w:tabs>
        <w:rPr>
          <w:rFonts w:asciiTheme="minorHAnsi" w:eastAsiaTheme="minorEastAsia" w:hAnsiTheme="minorHAnsi" w:cstheme="minorBidi"/>
          <w:noProof/>
        </w:rPr>
      </w:pPr>
      <w:hyperlink w:anchor="_Toc140399830" w:history="1">
        <w:r w:rsidR="00D408AD" w:rsidRPr="00C544C6">
          <w:rPr>
            <w:rStyle w:val="Hyperlink"/>
            <w:rFonts w:cs="Times New Roman"/>
            <w:noProof/>
          </w:rPr>
          <w:t>Impact Analysis</w:t>
        </w:r>
        <w:r w:rsidR="00D408AD">
          <w:rPr>
            <w:noProof/>
            <w:webHidden/>
          </w:rPr>
          <w:tab/>
        </w:r>
        <w:r w:rsidR="00D408AD">
          <w:rPr>
            <w:noProof/>
            <w:webHidden/>
          </w:rPr>
          <w:fldChar w:fldCharType="begin"/>
        </w:r>
        <w:r w:rsidR="00D408AD">
          <w:rPr>
            <w:noProof/>
            <w:webHidden/>
          </w:rPr>
          <w:instrText xml:space="preserve"> PAGEREF _Toc140399830 \h </w:instrText>
        </w:r>
        <w:r w:rsidR="00D408AD">
          <w:rPr>
            <w:noProof/>
            <w:webHidden/>
          </w:rPr>
        </w:r>
        <w:r w:rsidR="00D408AD">
          <w:rPr>
            <w:noProof/>
            <w:webHidden/>
          </w:rPr>
          <w:fldChar w:fldCharType="separate"/>
        </w:r>
        <w:r w:rsidR="00D408AD">
          <w:rPr>
            <w:noProof/>
            <w:webHidden/>
          </w:rPr>
          <w:t>56</w:t>
        </w:r>
        <w:r w:rsidR="00D408AD">
          <w:rPr>
            <w:noProof/>
            <w:webHidden/>
          </w:rPr>
          <w:fldChar w:fldCharType="end"/>
        </w:r>
      </w:hyperlink>
    </w:p>
    <w:p w14:paraId="6EA25988" w14:textId="1D79B767" w:rsidR="00D408AD" w:rsidRDefault="00000000">
      <w:pPr>
        <w:pStyle w:val="TOC3"/>
        <w:tabs>
          <w:tab w:val="right" w:leader="dot" w:pos="8630"/>
        </w:tabs>
        <w:rPr>
          <w:rFonts w:asciiTheme="minorHAnsi" w:eastAsiaTheme="minorEastAsia" w:hAnsiTheme="minorHAnsi" w:cstheme="minorBidi"/>
          <w:noProof/>
        </w:rPr>
      </w:pPr>
      <w:hyperlink w:anchor="_Toc140399831" w:history="1">
        <w:r w:rsidR="00D408AD" w:rsidRPr="00C544C6">
          <w:rPr>
            <w:rStyle w:val="Hyperlink"/>
            <w:rFonts w:cs="Times New Roman"/>
            <w:noProof/>
          </w:rPr>
          <w:t>Comparison of Active HP-TES Configurations</w:t>
        </w:r>
        <w:r w:rsidR="00D408AD">
          <w:rPr>
            <w:noProof/>
            <w:webHidden/>
          </w:rPr>
          <w:tab/>
        </w:r>
        <w:r w:rsidR="00D408AD">
          <w:rPr>
            <w:noProof/>
            <w:webHidden/>
          </w:rPr>
          <w:fldChar w:fldCharType="begin"/>
        </w:r>
        <w:r w:rsidR="00D408AD">
          <w:rPr>
            <w:noProof/>
            <w:webHidden/>
          </w:rPr>
          <w:instrText xml:space="preserve"> PAGEREF _Toc140399831 \h </w:instrText>
        </w:r>
        <w:r w:rsidR="00D408AD">
          <w:rPr>
            <w:noProof/>
            <w:webHidden/>
          </w:rPr>
        </w:r>
        <w:r w:rsidR="00D408AD">
          <w:rPr>
            <w:noProof/>
            <w:webHidden/>
          </w:rPr>
          <w:fldChar w:fldCharType="separate"/>
        </w:r>
        <w:r w:rsidR="00D408AD">
          <w:rPr>
            <w:noProof/>
            <w:webHidden/>
          </w:rPr>
          <w:t>58</w:t>
        </w:r>
        <w:r w:rsidR="00D408AD">
          <w:rPr>
            <w:noProof/>
            <w:webHidden/>
          </w:rPr>
          <w:fldChar w:fldCharType="end"/>
        </w:r>
      </w:hyperlink>
    </w:p>
    <w:p w14:paraId="6551A35A" w14:textId="498E8649" w:rsidR="00D408AD" w:rsidRDefault="00000000">
      <w:pPr>
        <w:pStyle w:val="TOC3"/>
        <w:tabs>
          <w:tab w:val="right" w:leader="dot" w:pos="8630"/>
        </w:tabs>
        <w:rPr>
          <w:rFonts w:asciiTheme="minorHAnsi" w:eastAsiaTheme="minorEastAsia" w:hAnsiTheme="minorHAnsi" w:cstheme="minorBidi"/>
          <w:noProof/>
        </w:rPr>
      </w:pPr>
      <w:hyperlink w:anchor="_Toc140399832" w:history="1">
        <w:r w:rsidR="00D408AD" w:rsidRPr="00C544C6">
          <w:rPr>
            <w:rStyle w:val="Hyperlink"/>
            <w:rFonts w:cs="Times New Roman"/>
            <w:noProof/>
          </w:rPr>
          <w:t>Utility Cost Savings</w:t>
        </w:r>
        <w:r w:rsidR="00D408AD">
          <w:rPr>
            <w:noProof/>
            <w:webHidden/>
          </w:rPr>
          <w:tab/>
        </w:r>
        <w:r w:rsidR="00D408AD">
          <w:rPr>
            <w:noProof/>
            <w:webHidden/>
          </w:rPr>
          <w:fldChar w:fldCharType="begin"/>
        </w:r>
        <w:r w:rsidR="00D408AD">
          <w:rPr>
            <w:noProof/>
            <w:webHidden/>
          </w:rPr>
          <w:instrText xml:space="preserve"> PAGEREF _Toc140399832 \h </w:instrText>
        </w:r>
        <w:r w:rsidR="00D408AD">
          <w:rPr>
            <w:noProof/>
            <w:webHidden/>
          </w:rPr>
        </w:r>
        <w:r w:rsidR="00D408AD">
          <w:rPr>
            <w:noProof/>
            <w:webHidden/>
          </w:rPr>
          <w:fldChar w:fldCharType="separate"/>
        </w:r>
        <w:r w:rsidR="00D408AD">
          <w:rPr>
            <w:noProof/>
            <w:webHidden/>
          </w:rPr>
          <w:t>58</w:t>
        </w:r>
        <w:r w:rsidR="00D408AD">
          <w:rPr>
            <w:noProof/>
            <w:webHidden/>
          </w:rPr>
          <w:fldChar w:fldCharType="end"/>
        </w:r>
      </w:hyperlink>
    </w:p>
    <w:p w14:paraId="07F491BC" w14:textId="276F6A1A" w:rsidR="00D408AD" w:rsidRDefault="00000000">
      <w:pPr>
        <w:pStyle w:val="TOC3"/>
        <w:tabs>
          <w:tab w:val="right" w:leader="dot" w:pos="8630"/>
        </w:tabs>
        <w:rPr>
          <w:rFonts w:asciiTheme="minorHAnsi" w:eastAsiaTheme="minorEastAsia" w:hAnsiTheme="minorHAnsi" w:cstheme="minorBidi"/>
          <w:noProof/>
        </w:rPr>
      </w:pPr>
      <w:hyperlink w:anchor="_Toc140399833" w:history="1">
        <w:r w:rsidR="00D408AD" w:rsidRPr="00C544C6">
          <w:rPr>
            <w:rStyle w:val="Hyperlink"/>
            <w:rFonts w:cs="Times New Roman"/>
            <w:noProof/>
          </w:rPr>
          <w:t>Energy Savings</w:t>
        </w:r>
        <w:r w:rsidR="00D408AD">
          <w:rPr>
            <w:noProof/>
            <w:webHidden/>
          </w:rPr>
          <w:tab/>
        </w:r>
        <w:r w:rsidR="00D408AD">
          <w:rPr>
            <w:noProof/>
            <w:webHidden/>
          </w:rPr>
          <w:fldChar w:fldCharType="begin"/>
        </w:r>
        <w:r w:rsidR="00D408AD">
          <w:rPr>
            <w:noProof/>
            <w:webHidden/>
          </w:rPr>
          <w:instrText xml:space="preserve"> PAGEREF _Toc140399833 \h </w:instrText>
        </w:r>
        <w:r w:rsidR="00D408AD">
          <w:rPr>
            <w:noProof/>
            <w:webHidden/>
          </w:rPr>
        </w:r>
        <w:r w:rsidR="00D408AD">
          <w:rPr>
            <w:noProof/>
            <w:webHidden/>
          </w:rPr>
          <w:fldChar w:fldCharType="separate"/>
        </w:r>
        <w:r w:rsidR="00D408AD">
          <w:rPr>
            <w:noProof/>
            <w:webHidden/>
          </w:rPr>
          <w:t>60</w:t>
        </w:r>
        <w:r w:rsidR="00D408AD">
          <w:rPr>
            <w:noProof/>
            <w:webHidden/>
          </w:rPr>
          <w:fldChar w:fldCharType="end"/>
        </w:r>
      </w:hyperlink>
    </w:p>
    <w:p w14:paraId="4C878B33" w14:textId="6FC87574" w:rsidR="00D408AD" w:rsidRDefault="00000000">
      <w:pPr>
        <w:pStyle w:val="TOC3"/>
        <w:tabs>
          <w:tab w:val="right" w:leader="dot" w:pos="8630"/>
        </w:tabs>
        <w:rPr>
          <w:rFonts w:asciiTheme="minorHAnsi" w:eastAsiaTheme="minorEastAsia" w:hAnsiTheme="minorHAnsi" w:cstheme="minorBidi"/>
          <w:noProof/>
        </w:rPr>
      </w:pPr>
      <w:hyperlink w:anchor="_Toc140399834" w:history="1">
        <w:r w:rsidR="00D408AD" w:rsidRPr="00C544C6">
          <w:rPr>
            <w:rStyle w:val="Hyperlink"/>
            <w:rFonts w:cs="Times New Roman"/>
            <w:noProof/>
          </w:rPr>
          <w:t>Demand Impact</w:t>
        </w:r>
        <w:r w:rsidR="00D408AD">
          <w:rPr>
            <w:noProof/>
            <w:webHidden/>
          </w:rPr>
          <w:tab/>
        </w:r>
        <w:r w:rsidR="00D408AD">
          <w:rPr>
            <w:noProof/>
            <w:webHidden/>
          </w:rPr>
          <w:fldChar w:fldCharType="begin"/>
        </w:r>
        <w:r w:rsidR="00D408AD">
          <w:rPr>
            <w:noProof/>
            <w:webHidden/>
          </w:rPr>
          <w:instrText xml:space="preserve"> PAGEREF _Toc140399834 \h </w:instrText>
        </w:r>
        <w:r w:rsidR="00D408AD">
          <w:rPr>
            <w:noProof/>
            <w:webHidden/>
          </w:rPr>
        </w:r>
        <w:r w:rsidR="00D408AD">
          <w:rPr>
            <w:noProof/>
            <w:webHidden/>
          </w:rPr>
          <w:fldChar w:fldCharType="separate"/>
        </w:r>
        <w:r w:rsidR="00D408AD">
          <w:rPr>
            <w:noProof/>
            <w:webHidden/>
          </w:rPr>
          <w:t>62</w:t>
        </w:r>
        <w:r w:rsidR="00D408AD">
          <w:rPr>
            <w:noProof/>
            <w:webHidden/>
          </w:rPr>
          <w:fldChar w:fldCharType="end"/>
        </w:r>
      </w:hyperlink>
    </w:p>
    <w:p w14:paraId="06F3FC52" w14:textId="219B8E23" w:rsidR="00D408AD" w:rsidRDefault="00000000">
      <w:pPr>
        <w:pStyle w:val="TOC3"/>
        <w:tabs>
          <w:tab w:val="right" w:leader="dot" w:pos="8630"/>
        </w:tabs>
        <w:rPr>
          <w:rFonts w:asciiTheme="minorHAnsi" w:eastAsiaTheme="minorEastAsia" w:hAnsiTheme="minorHAnsi" w:cstheme="minorBidi"/>
          <w:noProof/>
        </w:rPr>
      </w:pPr>
      <w:hyperlink w:anchor="_Toc140399835" w:history="1">
        <w:r w:rsidR="00D408AD" w:rsidRPr="00C544C6">
          <w:rPr>
            <w:rStyle w:val="Hyperlink"/>
            <w:rFonts w:cs="Times New Roman"/>
            <w:noProof/>
          </w:rPr>
          <w:t>Comparison of Active and Passive HP-TES</w:t>
        </w:r>
        <w:r w:rsidR="00D408AD">
          <w:rPr>
            <w:noProof/>
            <w:webHidden/>
          </w:rPr>
          <w:tab/>
        </w:r>
        <w:r w:rsidR="00D408AD">
          <w:rPr>
            <w:noProof/>
            <w:webHidden/>
          </w:rPr>
          <w:fldChar w:fldCharType="begin"/>
        </w:r>
        <w:r w:rsidR="00D408AD">
          <w:rPr>
            <w:noProof/>
            <w:webHidden/>
          </w:rPr>
          <w:instrText xml:space="preserve"> PAGEREF _Toc140399835 \h </w:instrText>
        </w:r>
        <w:r w:rsidR="00D408AD">
          <w:rPr>
            <w:noProof/>
            <w:webHidden/>
          </w:rPr>
        </w:r>
        <w:r w:rsidR="00D408AD">
          <w:rPr>
            <w:noProof/>
            <w:webHidden/>
          </w:rPr>
          <w:fldChar w:fldCharType="separate"/>
        </w:r>
        <w:r w:rsidR="00D408AD">
          <w:rPr>
            <w:noProof/>
            <w:webHidden/>
          </w:rPr>
          <w:t>64</w:t>
        </w:r>
        <w:r w:rsidR="00D408AD">
          <w:rPr>
            <w:noProof/>
            <w:webHidden/>
          </w:rPr>
          <w:fldChar w:fldCharType="end"/>
        </w:r>
      </w:hyperlink>
    </w:p>
    <w:p w14:paraId="592392A1" w14:textId="0D02C9FA" w:rsidR="00D408AD" w:rsidRDefault="00000000">
      <w:pPr>
        <w:pStyle w:val="TOC3"/>
        <w:tabs>
          <w:tab w:val="right" w:leader="dot" w:pos="8630"/>
        </w:tabs>
        <w:rPr>
          <w:rFonts w:asciiTheme="minorHAnsi" w:eastAsiaTheme="minorEastAsia" w:hAnsiTheme="minorHAnsi" w:cstheme="minorBidi"/>
          <w:noProof/>
        </w:rPr>
      </w:pPr>
      <w:hyperlink w:anchor="_Toc140399836" w:history="1">
        <w:r w:rsidR="00D408AD" w:rsidRPr="00C544C6">
          <w:rPr>
            <w:rStyle w:val="Hyperlink"/>
            <w:rFonts w:cs="Times New Roman"/>
            <w:noProof/>
          </w:rPr>
          <w:t>Load Shifting</w:t>
        </w:r>
        <w:r w:rsidR="00D408AD">
          <w:rPr>
            <w:noProof/>
            <w:webHidden/>
          </w:rPr>
          <w:tab/>
        </w:r>
        <w:r w:rsidR="00D408AD">
          <w:rPr>
            <w:noProof/>
            <w:webHidden/>
          </w:rPr>
          <w:fldChar w:fldCharType="begin"/>
        </w:r>
        <w:r w:rsidR="00D408AD">
          <w:rPr>
            <w:noProof/>
            <w:webHidden/>
          </w:rPr>
          <w:instrText xml:space="preserve"> PAGEREF _Toc140399836 \h </w:instrText>
        </w:r>
        <w:r w:rsidR="00D408AD">
          <w:rPr>
            <w:noProof/>
            <w:webHidden/>
          </w:rPr>
        </w:r>
        <w:r w:rsidR="00D408AD">
          <w:rPr>
            <w:noProof/>
            <w:webHidden/>
          </w:rPr>
          <w:fldChar w:fldCharType="separate"/>
        </w:r>
        <w:r w:rsidR="00D408AD">
          <w:rPr>
            <w:noProof/>
            <w:webHidden/>
          </w:rPr>
          <w:t>65</w:t>
        </w:r>
        <w:r w:rsidR="00D408AD">
          <w:rPr>
            <w:noProof/>
            <w:webHidden/>
          </w:rPr>
          <w:fldChar w:fldCharType="end"/>
        </w:r>
      </w:hyperlink>
    </w:p>
    <w:p w14:paraId="44BD1736" w14:textId="120B368E" w:rsidR="00D408AD" w:rsidRDefault="00000000">
      <w:pPr>
        <w:pStyle w:val="TOC3"/>
        <w:tabs>
          <w:tab w:val="right" w:leader="dot" w:pos="8630"/>
        </w:tabs>
        <w:rPr>
          <w:rFonts w:asciiTheme="minorHAnsi" w:eastAsiaTheme="minorEastAsia" w:hAnsiTheme="minorHAnsi" w:cstheme="minorBidi"/>
          <w:noProof/>
        </w:rPr>
      </w:pPr>
      <w:hyperlink w:anchor="_Toc140399837" w:history="1">
        <w:r w:rsidR="00D408AD" w:rsidRPr="00C544C6">
          <w:rPr>
            <w:rStyle w:val="Hyperlink"/>
            <w:rFonts w:cs="Times New Roman"/>
            <w:noProof/>
          </w:rPr>
          <w:t>Payback Period</w:t>
        </w:r>
        <w:r w:rsidR="00D408AD">
          <w:rPr>
            <w:noProof/>
            <w:webHidden/>
          </w:rPr>
          <w:tab/>
        </w:r>
        <w:r w:rsidR="00D408AD">
          <w:rPr>
            <w:noProof/>
            <w:webHidden/>
          </w:rPr>
          <w:fldChar w:fldCharType="begin"/>
        </w:r>
        <w:r w:rsidR="00D408AD">
          <w:rPr>
            <w:noProof/>
            <w:webHidden/>
          </w:rPr>
          <w:instrText xml:space="preserve"> PAGEREF _Toc140399837 \h </w:instrText>
        </w:r>
        <w:r w:rsidR="00D408AD">
          <w:rPr>
            <w:noProof/>
            <w:webHidden/>
          </w:rPr>
        </w:r>
        <w:r w:rsidR="00D408AD">
          <w:rPr>
            <w:noProof/>
            <w:webHidden/>
          </w:rPr>
          <w:fldChar w:fldCharType="separate"/>
        </w:r>
        <w:r w:rsidR="00D408AD">
          <w:rPr>
            <w:noProof/>
            <w:webHidden/>
          </w:rPr>
          <w:t>65</w:t>
        </w:r>
        <w:r w:rsidR="00D408AD">
          <w:rPr>
            <w:noProof/>
            <w:webHidden/>
          </w:rPr>
          <w:fldChar w:fldCharType="end"/>
        </w:r>
      </w:hyperlink>
    </w:p>
    <w:p w14:paraId="25303B99" w14:textId="2FCCBC67" w:rsidR="00D408AD" w:rsidRDefault="00000000">
      <w:pPr>
        <w:pStyle w:val="TOC3"/>
        <w:tabs>
          <w:tab w:val="right" w:leader="dot" w:pos="8630"/>
        </w:tabs>
        <w:rPr>
          <w:rFonts w:asciiTheme="minorHAnsi" w:eastAsiaTheme="minorEastAsia" w:hAnsiTheme="minorHAnsi" w:cstheme="minorBidi"/>
          <w:noProof/>
        </w:rPr>
      </w:pPr>
      <w:hyperlink w:anchor="_Toc140399838" w:history="1">
        <w:r w:rsidR="00D408AD" w:rsidRPr="00C544C6">
          <w:rPr>
            <w:rStyle w:val="Hyperlink"/>
            <w:rFonts w:cs="Times New Roman"/>
            <w:noProof/>
          </w:rPr>
          <w:t>Performance Analysis with and without TES</w:t>
        </w:r>
        <w:r w:rsidR="00D408AD">
          <w:rPr>
            <w:noProof/>
            <w:webHidden/>
          </w:rPr>
          <w:tab/>
        </w:r>
        <w:r w:rsidR="00D408AD">
          <w:rPr>
            <w:noProof/>
            <w:webHidden/>
          </w:rPr>
          <w:fldChar w:fldCharType="begin"/>
        </w:r>
        <w:r w:rsidR="00D408AD">
          <w:rPr>
            <w:noProof/>
            <w:webHidden/>
          </w:rPr>
          <w:instrText xml:space="preserve"> PAGEREF _Toc140399838 \h </w:instrText>
        </w:r>
        <w:r w:rsidR="00D408AD">
          <w:rPr>
            <w:noProof/>
            <w:webHidden/>
          </w:rPr>
        </w:r>
        <w:r w:rsidR="00D408AD">
          <w:rPr>
            <w:noProof/>
            <w:webHidden/>
          </w:rPr>
          <w:fldChar w:fldCharType="separate"/>
        </w:r>
        <w:r w:rsidR="00D408AD">
          <w:rPr>
            <w:noProof/>
            <w:webHidden/>
          </w:rPr>
          <w:t>67</w:t>
        </w:r>
        <w:r w:rsidR="00D408AD">
          <w:rPr>
            <w:noProof/>
            <w:webHidden/>
          </w:rPr>
          <w:fldChar w:fldCharType="end"/>
        </w:r>
      </w:hyperlink>
    </w:p>
    <w:p w14:paraId="466B3346" w14:textId="6F13FC67" w:rsidR="00D408AD" w:rsidRDefault="00000000">
      <w:pPr>
        <w:pStyle w:val="TOC2"/>
        <w:tabs>
          <w:tab w:val="right" w:leader="dot" w:pos="8630"/>
        </w:tabs>
        <w:rPr>
          <w:rFonts w:asciiTheme="minorHAnsi" w:eastAsiaTheme="minorEastAsia" w:hAnsiTheme="minorHAnsi" w:cstheme="minorBidi"/>
          <w:noProof/>
        </w:rPr>
      </w:pPr>
      <w:hyperlink w:anchor="_Toc140399839" w:history="1">
        <w:r w:rsidR="00D408AD" w:rsidRPr="00C544C6">
          <w:rPr>
            <w:rStyle w:val="Hyperlink"/>
            <w:rFonts w:cs="Times New Roman"/>
            <w:noProof/>
          </w:rPr>
          <w:t>Discussion and Future Work</w:t>
        </w:r>
        <w:r w:rsidR="00D408AD">
          <w:rPr>
            <w:noProof/>
            <w:webHidden/>
          </w:rPr>
          <w:tab/>
        </w:r>
        <w:r w:rsidR="00D408AD">
          <w:rPr>
            <w:noProof/>
            <w:webHidden/>
          </w:rPr>
          <w:fldChar w:fldCharType="begin"/>
        </w:r>
        <w:r w:rsidR="00D408AD">
          <w:rPr>
            <w:noProof/>
            <w:webHidden/>
          </w:rPr>
          <w:instrText xml:space="preserve"> PAGEREF _Toc140399839 \h </w:instrText>
        </w:r>
        <w:r w:rsidR="00D408AD">
          <w:rPr>
            <w:noProof/>
            <w:webHidden/>
          </w:rPr>
        </w:r>
        <w:r w:rsidR="00D408AD">
          <w:rPr>
            <w:noProof/>
            <w:webHidden/>
          </w:rPr>
          <w:fldChar w:fldCharType="separate"/>
        </w:r>
        <w:r w:rsidR="00D408AD">
          <w:rPr>
            <w:noProof/>
            <w:webHidden/>
          </w:rPr>
          <w:t>70</w:t>
        </w:r>
        <w:r w:rsidR="00D408AD">
          <w:rPr>
            <w:noProof/>
            <w:webHidden/>
          </w:rPr>
          <w:fldChar w:fldCharType="end"/>
        </w:r>
      </w:hyperlink>
    </w:p>
    <w:p w14:paraId="199AE457" w14:textId="0EB14A12" w:rsidR="00D408AD" w:rsidRDefault="00000000">
      <w:pPr>
        <w:pStyle w:val="TOC1"/>
        <w:tabs>
          <w:tab w:val="right" w:leader="dot" w:pos="8630"/>
        </w:tabs>
        <w:rPr>
          <w:rFonts w:asciiTheme="minorHAnsi" w:eastAsiaTheme="minorEastAsia" w:hAnsiTheme="minorHAnsi" w:cstheme="minorBidi"/>
          <w:noProof/>
        </w:rPr>
      </w:pPr>
      <w:hyperlink w:anchor="_Toc140399840" w:history="1">
        <w:r w:rsidR="00D408AD" w:rsidRPr="00C544C6">
          <w:rPr>
            <w:rStyle w:val="Hyperlink"/>
            <w:noProof/>
          </w:rPr>
          <w:t>Conclusions</w:t>
        </w:r>
        <w:r w:rsidR="00D408AD">
          <w:rPr>
            <w:noProof/>
            <w:webHidden/>
          </w:rPr>
          <w:tab/>
        </w:r>
        <w:r w:rsidR="00D408AD">
          <w:rPr>
            <w:noProof/>
            <w:webHidden/>
          </w:rPr>
          <w:fldChar w:fldCharType="begin"/>
        </w:r>
        <w:r w:rsidR="00D408AD">
          <w:rPr>
            <w:noProof/>
            <w:webHidden/>
          </w:rPr>
          <w:instrText xml:space="preserve"> PAGEREF _Toc140399840 \h </w:instrText>
        </w:r>
        <w:r w:rsidR="00D408AD">
          <w:rPr>
            <w:noProof/>
            <w:webHidden/>
          </w:rPr>
        </w:r>
        <w:r w:rsidR="00D408AD">
          <w:rPr>
            <w:noProof/>
            <w:webHidden/>
          </w:rPr>
          <w:fldChar w:fldCharType="separate"/>
        </w:r>
        <w:r w:rsidR="00D408AD">
          <w:rPr>
            <w:noProof/>
            <w:webHidden/>
          </w:rPr>
          <w:t>73</w:t>
        </w:r>
        <w:r w:rsidR="00D408AD">
          <w:rPr>
            <w:noProof/>
            <w:webHidden/>
          </w:rPr>
          <w:fldChar w:fldCharType="end"/>
        </w:r>
      </w:hyperlink>
    </w:p>
    <w:p w14:paraId="6636A443" w14:textId="57B97390" w:rsidR="00D408AD" w:rsidRDefault="00000000">
      <w:pPr>
        <w:pStyle w:val="TOC1"/>
        <w:tabs>
          <w:tab w:val="right" w:leader="dot" w:pos="8630"/>
        </w:tabs>
        <w:rPr>
          <w:rFonts w:asciiTheme="minorHAnsi" w:eastAsiaTheme="minorEastAsia" w:hAnsiTheme="minorHAnsi" w:cstheme="minorBidi"/>
          <w:noProof/>
        </w:rPr>
      </w:pPr>
      <w:hyperlink w:anchor="_Toc140399841" w:history="1">
        <w:r w:rsidR="00D408AD" w:rsidRPr="00C544C6">
          <w:rPr>
            <w:rStyle w:val="Hyperlink"/>
            <w:rFonts w:cs="Times New Roman"/>
            <w:noProof/>
          </w:rPr>
          <w:t>CHAPTER II PHASE CHANGE MATERIAL FOR HEAT PUMP INTEGRATED WITH TES</w:t>
        </w:r>
        <w:r w:rsidR="00D408AD">
          <w:rPr>
            <w:noProof/>
            <w:webHidden/>
          </w:rPr>
          <w:tab/>
        </w:r>
        <w:r w:rsidR="00D408AD">
          <w:rPr>
            <w:noProof/>
            <w:webHidden/>
          </w:rPr>
          <w:fldChar w:fldCharType="begin"/>
        </w:r>
        <w:r w:rsidR="00D408AD">
          <w:rPr>
            <w:noProof/>
            <w:webHidden/>
          </w:rPr>
          <w:instrText xml:space="preserve"> PAGEREF _Toc140399841 \h </w:instrText>
        </w:r>
        <w:r w:rsidR="00D408AD">
          <w:rPr>
            <w:noProof/>
            <w:webHidden/>
          </w:rPr>
        </w:r>
        <w:r w:rsidR="00D408AD">
          <w:rPr>
            <w:noProof/>
            <w:webHidden/>
          </w:rPr>
          <w:fldChar w:fldCharType="separate"/>
        </w:r>
        <w:r w:rsidR="00D408AD">
          <w:rPr>
            <w:noProof/>
            <w:webHidden/>
          </w:rPr>
          <w:t>74</w:t>
        </w:r>
        <w:r w:rsidR="00D408AD">
          <w:rPr>
            <w:noProof/>
            <w:webHidden/>
          </w:rPr>
          <w:fldChar w:fldCharType="end"/>
        </w:r>
      </w:hyperlink>
    </w:p>
    <w:p w14:paraId="59488331" w14:textId="3141FC31" w:rsidR="00D408AD" w:rsidRDefault="00000000">
      <w:pPr>
        <w:pStyle w:val="TOC2"/>
        <w:tabs>
          <w:tab w:val="right" w:leader="dot" w:pos="8630"/>
        </w:tabs>
        <w:rPr>
          <w:rFonts w:asciiTheme="minorHAnsi" w:eastAsiaTheme="minorEastAsia" w:hAnsiTheme="minorHAnsi" w:cstheme="minorBidi"/>
          <w:noProof/>
        </w:rPr>
      </w:pPr>
      <w:hyperlink w:anchor="_Toc140399842" w:history="1">
        <w:r w:rsidR="00D408AD" w:rsidRPr="00C544C6">
          <w:rPr>
            <w:rStyle w:val="Hyperlink"/>
            <w:rFonts w:cs="Times New Roman"/>
            <w:noProof/>
          </w:rPr>
          <w:t>Abstract</w:t>
        </w:r>
        <w:r w:rsidR="00D408AD">
          <w:rPr>
            <w:noProof/>
            <w:webHidden/>
          </w:rPr>
          <w:tab/>
        </w:r>
        <w:r w:rsidR="00D408AD">
          <w:rPr>
            <w:noProof/>
            <w:webHidden/>
          </w:rPr>
          <w:fldChar w:fldCharType="begin"/>
        </w:r>
        <w:r w:rsidR="00D408AD">
          <w:rPr>
            <w:noProof/>
            <w:webHidden/>
          </w:rPr>
          <w:instrText xml:space="preserve"> PAGEREF _Toc140399842 \h </w:instrText>
        </w:r>
        <w:r w:rsidR="00D408AD">
          <w:rPr>
            <w:noProof/>
            <w:webHidden/>
          </w:rPr>
        </w:r>
        <w:r w:rsidR="00D408AD">
          <w:rPr>
            <w:noProof/>
            <w:webHidden/>
          </w:rPr>
          <w:fldChar w:fldCharType="separate"/>
        </w:r>
        <w:r w:rsidR="00D408AD">
          <w:rPr>
            <w:noProof/>
            <w:webHidden/>
          </w:rPr>
          <w:t>75</w:t>
        </w:r>
        <w:r w:rsidR="00D408AD">
          <w:rPr>
            <w:noProof/>
            <w:webHidden/>
          </w:rPr>
          <w:fldChar w:fldCharType="end"/>
        </w:r>
      </w:hyperlink>
    </w:p>
    <w:p w14:paraId="4DDDDB5F" w14:textId="3F53E344" w:rsidR="00D408AD" w:rsidRDefault="00000000">
      <w:pPr>
        <w:pStyle w:val="TOC2"/>
        <w:tabs>
          <w:tab w:val="right" w:leader="dot" w:pos="8630"/>
        </w:tabs>
        <w:rPr>
          <w:rFonts w:asciiTheme="minorHAnsi" w:eastAsiaTheme="minorEastAsia" w:hAnsiTheme="minorHAnsi" w:cstheme="minorBidi"/>
          <w:noProof/>
        </w:rPr>
      </w:pPr>
      <w:hyperlink w:anchor="_Toc140399843" w:history="1">
        <w:r w:rsidR="00D408AD" w:rsidRPr="00C544C6">
          <w:rPr>
            <w:rStyle w:val="Hyperlink"/>
            <w:rFonts w:cs="Times New Roman"/>
            <w:noProof/>
          </w:rPr>
          <w:t>Research Question</w:t>
        </w:r>
        <w:r w:rsidR="00D408AD">
          <w:rPr>
            <w:noProof/>
            <w:webHidden/>
          </w:rPr>
          <w:tab/>
        </w:r>
        <w:r w:rsidR="00D408AD">
          <w:rPr>
            <w:noProof/>
            <w:webHidden/>
          </w:rPr>
          <w:fldChar w:fldCharType="begin"/>
        </w:r>
        <w:r w:rsidR="00D408AD">
          <w:rPr>
            <w:noProof/>
            <w:webHidden/>
          </w:rPr>
          <w:instrText xml:space="preserve"> PAGEREF _Toc140399843 \h </w:instrText>
        </w:r>
        <w:r w:rsidR="00D408AD">
          <w:rPr>
            <w:noProof/>
            <w:webHidden/>
          </w:rPr>
        </w:r>
        <w:r w:rsidR="00D408AD">
          <w:rPr>
            <w:noProof/>
            <w:webHidden/>
          </w:rPr>
          <w:fldChar w:fldCharType="separate"/>
        </w:r>
        <w:r w:rsidR="00D408AD">
          <w:rPr>
            <w:noProof/>
            <w:webHidden/>
          </w:rPr>
          <w:t>76</w:t>
        </w:r>
        <w:r w:rsidR="00D408AD">
          <w:rPr>
            <w:noProof/>
            <w:webHidden/>
          </w:rPr>
          <w:fldChar w:fldCharType="end"/>
        </w:r>
      </w:hyperlink>
    </w:p>
    <w:p w14:paraId="5335ACEB" w14:textId="30CC0BE4" w:rsidR="00D408AD" w:rsidRDefault="00000000">
      <w:pPr>
        <w:pStyle w:val="TOC2"/>
        <w:tabs>
          <w:tab w:val="right" w:leader="dot" w:pos="8630"/>
        </w:tabs>
        <w:rPr>
          <w:rFonts w:asciiTheme="minorHAnsi" w:eastAsiaTheme="minorEastAsia" w:hAnsiTheme="minorHAnsi" w:cstheme="minorBidi"/>
          <w:noProof/>
        </w:rPr>
      </w:pPr>
      <w:hyperlink w:anchor="_Toc140399844" w:history="1">
        <w:r w:rsidR="00D408AD" w:rsidRPr="00C544C6">
          <w:rPr>
            <w:rStyle w:val="Hyperlink"/>
            <w:rFonts w:cs="Times New Roman"/>
            <w:noProof/>
          </w:rPr>
          <w:t>Background</w:t>
        </w:r>
        <w:r w:rsidR="00D408AD">
          <w:rPr>
            <w:noProof/>
            <w:webHidden/>
          </w:rPr>
          <w:tab/>
        </w:r>
        <w:r w:rsidR="00D408AD">
          <w:rPr>
            <w:noProof/>
            <w:webHidden/>
          </w:rPr>
          <w:fldChar w:fldCharType="begin"/>
        </w:r>
        <w:r w:rsidR="00D408AD">
          <w:rPr>
            <w:noProof/>
            <w:webHidden/>
          </w:rPr>
          <w:instrText xml:space="preserve"> PAGEREF _Toc140399844 \h </w:instrText>
        </w:r>
        <w:r w:rsidR="00D408AD">
          <w:rPr>
            <w:noProof/>
            <w:webHidden/>
          </w:rPr>
        </w:r>
        <w:r w:rsidR="00D408AD">
          <w:rPr>
            <w:noProof/>
            <w:webHidden/>
          </w:rPr>
          <w:fldChar w:fldCharType="separate"/>
        </w:r>
        <w:r w:rsidR="00D408AD">
          <w:rPr>
            <w:noProof/>
            <w:webHidden/>
          </w:rPr>
          <w:t>76</w:t>
        </w:r>
        <w:r w:rsidR="00D408AD">
          <w:rPr>
            <w:noProof/>
            <w:webHidden/>
          </w:rPr>
          <w:fldChar w:fldCharType="end"/>
        </w:r>
      </w:hyperlink>
    </w:p>
    <w:p w14:paraId="4D37924E" w14:textId="6FE89972" w:rsidR="00D408AD" w:rsidRDefault="00000000">
      <w:pPr>
        <w:pStyle w:val="TOC2"/>
        <w:tabs>
          <w:tab w:val="right" w:leader="dot" w:pos="8630"/>
        </w:tabs>
        <w:rPr>
          <w:rFonts w:asciiTheme="minorHAnsi" w:eastAsiaTheme="minorEastAsia" w:hAnsiTheme="minorHAnsi" w:cstheme="minorBidi"/>
          <w:noProof/>
        </w:rPr>
      </w:pPr>
      <w:hyperlink w:anchor="_Toc140399845" w:history="1">
        <w:r w:rsidR="00D408AD" w:rsidRPr="00C544C6">
          <w:rPr>
            <w:rStyle w:val="Hyperlink"/>
            <w:rFonts w:cs="Times New Roman"/>
            <w:noProof/>
          </w:rPr>
          <w:t>PCM for HP-TES</w:t>
        </w:r>
        <w:r w:rsidR="00D408AD">
          <w:rPr>
            <w:noProof/>
            <w:webHidden/>
          </w:rPr>
          <w:tab/>
        </w:r>
        <w:r w:rsidR="00D408AD">
          <w:rPr>
            <w:noProof/>
            <w:webHidden/>
          </w:rPr>
          <w:fldChar w:fldCharType="begin"/>
        </w:r>
        <w:r w:rsidR="00D408AD">
          <w:rPr>
            <w:noProof/>
            <w:webHidden/>
          </w:rPr>
          <w:instrText xml:space="preserve"> PAGEREF _Toc140399845 \h </w:instrText>
        </w:r>
        <w:r w:rsidR="00D408AD">
          <w:rPr>
            <w:noProof/>
            <w:webHidden/>
          </w:rPr>
        </w:r>
        <w:r w:rsidR="00D408AD">
          <w:rPr>
            <w:noProof/>
            <w:webHidden/>
          </w:rPr>
          <w:fldChar w:fldCharType="separate"/>
        </w:r>
        <w:r w:rsidR="00D408AD">
          <w:rPr>
            <w:noProof/>
            <w:webHidden/>
          </w:rPr>
          <w:t>80</w:t>
        </w:r>
        <w:r w:rsidR="00D408AD">
          <w:rPr>
            <w:noProof/>
            <w:webHidden/>
          </w:rPr>
          <w:fldChar w:fldCharType="end"/>
        </w:r>
      </w:hyperlink>
    </w:p>
    <w:p w14:paraId="67F4997E" w14:textId="77D3A963" w:rsidR="00D408AD" w:rsidRDefault="00000000">
      <w:pPr>
        <w:pStyle w:val="TOC3"/>
        <w:tabs>
          <w:tab w:val="right" w:leader="dot" w:pos="8630"/>
        </w:tabs>
        <w:rPr>
          <w:rFonts w:asciiTheme="minorHAnsi" w:eastAsiaTheme="minorEastAsia" w:hAnsiTheme="minorHAnsi" w:cstheme="minorBidi"/>
          <w:noProof/>
        </w:rPr>
      </w:pPr>
      <w:hyperlink w:anchor="_Toc140399846" w:history="1">
        <w:r w:rsidR="00D408AD" w:rsidRPr="00C544C6">
          <w:rPr>
            <w:rStyle w:val="Hyperlink"/>
            <w:rFonts w:cs="Times New Roman"/>
            <w:noProof/>
          </w:rPr>
          <w:t>PCM Selection</w:t>
        </w:r>
        <w:r w:rsidR="00D408AD">
          <w:rPr>
            <w:noProof/>
            <w:webHidden/>
          </w:rPr>
          <w:tab/>
        </w:r>
        <w:r w:rsidR="00D408AD">
          <w:rPr>
            <w:noProof/>
            <w:webHidden/>
          </w:rPr>
          <w:fldChar w:fldCharType="begin"/>
        </w:r>
        <w:r w:rsidR="00D408AD">
          <w:rPr>
            <w:noProof/>
            <w:webHidden/>
          </w:rPr>
          <w:instrText xml:space="preserve"> PAGEREF _Toc140399846 \h </w:instrText>
        </w:r>
        <w:r w:rsidR="00D408AD">
          <w:rPr>
            <w:noProof/>
            <w:webHidden/>
          </w:rPr>
        </w:r>
        <w:r w:rsidR="00D408AD">
          <w:rPr>
            <w:noProof/>
            <w:webHidden/>
          </w:rPr>
          <w:fldChar w:fldCharType="separate"/>
        </w:r>
        <w:r w:rsidR="00D408AD">
          <w:rPr>
            <w:noProof/>
            <w:webHidden/>
          </w:rPr>
          <w:t>80</w:t>
        </w:r>
        <w:r w:rsidR="00D408AD">
          <w:rPr>
            <w:noProof/>
            <w:webHidden/>
          </w:rPr>
          <w:fldChar w:fldCharType="end"/>
        </w:r>
      </w:hyperlink>
    </w:p>
    <w:p w14:paraId="2DB16AD7" w14:textId="6C5DAE72" w:rsidR="00D408AD" w:rsidRDefault="00000000">
      <w:pPr>
        <w:pStyle w:val="TOC2"/>
        <w:tabs>
          <w:tab w:val="right" w:leader="dot" w:pos="8630"/>
        </w:tabs>
        <w:rPr>
          <w:rFonts w:asciiTheme="minorHAnsi" w:eastAsiaTheme="minorEastAsia" w:hAnsiTheme="minorHAnsi" w:cstheme="minorBidi"/>
          <w:noProof/>
        </w:rPr>
      </w:pPr>
      <w:hyperlink w:anchor="_Toc140399847" w:history="1">
        <w:r w:rsidR="00D408AD" w:rsidRPr="00C544C6">
          <w:rPr>
            <w:rStyle w:val="Hyperlink"/>
            <w:rFonts w:cs="Times New Roman"/>
            <w:noProof/>
          </w:rPr>
          <w:t>Integration in Heat Pump Components</w:t>
        </w:r>
        <w:r w:rsidR="00D408AD">
          <w:rPr>
            <w:noProof/>
            <w:webHidden/>
          </w:rPr>
          <w:tab/>
        </w:r>
        <w:r w:rsidR="00D408AD">
          <w:rPr>
            <w:noProof/>
            <w:webHidden/>
          </w:rPr>
          <w:fldChar w:fldCharType="begin"/>
        </w:r>
        <w:r w:rsidR="00D408AD">
          <w:rPr>
            <w:noProof/>
            <w:webHidden/>
          </w:rPr>
          <w:instrText xml:space="preserve"> PAGEREF _Toc140399847 \h </w:instrText>
        </w:r>
        <w:r w:rsidR="00D408AD">
          <w:rPr>
            <w:noProof/>
            <w:webHidden/>
          </w:rPr>
        </w:r>
        <w:r w:rsidR="00D408AD">
          <w:rPr>
            <w:noProof/>
            <w:webHidden/>
          </w:rPr>
          <w:fldChar w:fldCharType="separate"/>
        </w:r>
        <w:r w:rsidR="00D408AD">
          <w:rPr>
            <w:noProof/>
            <w:webHidden/>
          </w:rPr>
          <w:t>81</w:t>
        </w:r>
        <w:r w:rsidR="00D408AD">
          <w:rPr>
            <w:noProof/>
            <w:webHidden/>
          </w:rPr>
          <w:fldChar w:fldCharType="end"/>
        </w:r>
      </w:hyperlink>
    </w:p>
    <w:p w14:paraId="0A5C7B72" w14:textId="69021271" w:rsidR="00D408AD" w:rsidRDefault="00000000">
      <w:pPr>
        <w:pStyle w:val="TOC3"/>
        <w:tabs>
          <w:tab w:val="right" w:leader="dot" w:pos="8630"/>
        </w:tabs>
        <w:rPr>
          <w:rFonts w:asciiTheme="minorHAnsi" w:eastAsiaTheme="minorEastAsia" w:hAnsiTheme="minorHAnsi" w:cstheme="minorBidi"/>
          <w:noProof/>
        </w:rPr>
      </w:pPr>
      <w:hyperlink w:anchor="_Toc140399848" w:history="1">
        <w:r w:rsidR="00D408AD" w:rsidRPr="00C544C6">
          <w:rPr>
            <w:rStyle w:val="Hyperlink"/>
            <w:rFonts w:cs="Times New Roman"/>
            <w:noProof/>
          </w:rPr>
          <w:t>Heat Pump Integration</w:t>
        </w:r>
        <w:r w:rsidR="00D408AD">
          <w:rPr>
            <w:noProof/>
            <w:webHidden/>
          </w:rPr>
          <w:tab/>
        </w:r>
        <w:r w:rsidR="00D408AD">
          <w:rPr>
            <w:noProof/>
            <w:webHidden/>
          </w:rPr>
          <w:fldChar w:fldCharType="begin"/>
        </w:r>
        <w:r w:rsidR="00D408AD">
          <w:rPr>
            <w:noProof/>
            <w:webHidden/>
          </w:rPr>
          <w:instrText xml:space="preserve"> PAGEREF _Toc140399848 \h </w:instrText>
        </w:r>
        <w:r w:rsidR="00D408AD">
          <w:rPr>
            <w:noProof/>
            <w:webHidden/>
          </w:rPr>
        </w:r>
        <w:r w:rsidR="00D408AD">
          <w:rPr>
            <w:noProof/>
            <w:webHidden/>
          </w:rPr>
          <w:fldChar w:fldCharType="separate"/>
        </w:r>
        <w:r w:rsidR="00D408AD">
          <w:rPr>
            <w:noProof/>
            <w:webHidden/>
          </w:rPr>
          <w:t>84</w:t>
        </w:r>
        <w:r w:rsidR="00D408AD">
          <w:rPr>
            <w:noProof/>
            <w:webHidden/>
          </w:rPr>
          <w:fldChar w:fldCharType="end"/>
        </w:r>
      </w:hyperlink>
    </w:p>
    <w:p w14:paraId="18F886E1" w14:textId="65F85C28" w:rsidR="00D408AD" w:rsidRDefault="00000000">
      <w:pPr>
        <w:pStyle w:val="TOC3"/>
        <w:tabs>
          <w:tab w:val="right" w:leader="dot" w:pos="8630"/>
        </w:tabs>
        <w:rPr>
          <w:rFonts w:asciiTheme="minorHAnsi" w:eastAsiaTheme="minorEastAsia" w:hAnsiTheme="minorHAnsi" w:cstheme="minorBidi"/>
          <w:noProof/>
        </w:rPr>
      </w:pPr>
      <w:hyperlink w:anchor="_Toc140399849" w:history="1">
        <w:r w:rsidR="00D408AD" w:rsidRPr="00C544C6">
          <w:rPr>
            <w:rStyle w:val="Hyperlink"/>
            <w:rFonts w:cs="Times New Roman"/>
            <w:noProof/>
          </w:rPr>
          <w:t>Application and Configuration</w:t>
        </w:r>
        <w:r w:rsidR="00D408AD">
          <w:rPr>
            <w:noProof/>
            <w:webHidden/>
          </w:rPr>
          <w:tab/>
        </w:r>
        <w:r w:rsidR="00D408AD">
          <w:rPr>
            <w:noProof/>
            <w:webHidden/>
          </w:rPr>
          <w:fldChar w:fldCharType="begin"/>
        </w:r>
        <w:r w:rsidR="00D408AD">
          <w:rPr>
            <w:noProof/>
            <w:webHidden/>
          </w:rPr>
          <w:instrText xml:space="preserve"> PAGEREF _Toc140399849 \h </w:instrText>
        </w:r>
        <w:r w:rsidR="00D408AD">
          <w:rPr>
            <w:noProof/>
            <w:webHidden/>
          </w:rPr>
        </w:r>
        <w:r w:rsidR="00D408AD">
          <w:rPr>
            <w:noProof/>
            <w:webHidden/>
          </w:rPr>
          <w:fldChar w:fldCharType="separate"/>
        </w:r>
        <w:r w:rsidR="00D408AD">
          <w:rPr>
            <w:noProof/>
            <w:webHidden/>
          </w:rPr>
          <w:t>84</w:t>
        </w:r>
        <w:r w:rsidR="00D408AD">
          <w:rPr>
            <w:noProof/>
            <w:webHidden/>
          </w:rPr>
          <w:fldChar w:fldCharType="end"/>
        </w:r>
      </w:hyperlink>
    </w:p>
    <w:p w14:paraId="115B1DA3" w14:textId="632C20AF" w:rsidR="00D408AD" w:rsidRDefault="00000000">
      <w:pPr>
        <w:pStyle w:val="TOC2"/>
        <w:tabs>
          <w:tab w:val="right" w:leader="dot" w:pos="8630"/>
        </w:tabs>
        <w:rPr>
          <w:rFonts w:asciiTheme="minorHAnsi" w:eastAsiaTheme="minorEastAsia" w:hAnsiTheme="minorHAnsi" w:cstheme="minorBidi"/>
          <w:noProof/>
        </w:rPr>
      </w:pPr>
      <w:hyperlink w:anchor="_Toc140399850" w:history="1">
        <w:r w:rsidR="00D408AD" w:rsidRPr="00C544C6">
          <w:rPr>
            <w:rStyle w:val="Hyperlink"/>
            <w:rFonts w:cs="Times New Roman"/>
            <w:noProof/>
          </w:rPr>
          <w:t>Results and Discussion</w:t>
        </w:r>
        <w:r w:rsidR="00D408AD">
          <w:rPr>
            <w:noProof/>
            <w:webHidden/>
          </w:rPr>
          <w:tab/>
        </w:r>
        <w:r w:rsidR="00D408AD">
          <w:rPr>
            <w:noProof/>
            <w:webHidden/>
          </w:rPr>
          <w:fldChar w:fldCharType="begin"/>
        </w:r>
        <w:r w:rsidR="00D408AD">
          <w:rPr>
            <w:noProof/>
            <w:webHidden/>
          </w:rPr>
          <w:instrText xml:space="preserve"> PAGEREF _Toc140399850 \h </w:instrText>
        </w:r>
        <w:r w:rsidR="00D408AD">
          <w:rPr>
            <w:noProof/>
            <w:webHidden/>
          </w:rPr>
        </w:r>
        <w:r w:rsidR="00D408AD">
          <w:rPr>
            <w:noProof/>
            <w:webHidden/>
          </w:rPr>
          <w:fldChar w:fldCharType="separate"/>
        </w:r>
        <w:r w:rsidR="00D408AD">
          <w:rPr>
            <w:noProof/>
            <w:webHidden/>
          </w:rPr>
          <w:t>87</w:t>
        </w:r>
        <w:r w:rsidR="00D408AD">
          <w:rPr>
            <w:noProof/>
            <w:webHidden/>
          </w:rPr>
          <w:fldChar w:fldCharType="end"/>
        </w:r>
      </w:hyperlink>
    </w:p>
    <w:p w14:paraId="6F8CBD05" w14:textId="16D73B12" w:rsidR="00D408AD" w:rsidRDefault="00000000">
      <w:pPr>
        <w:pStyle w:val="TOC3"/>
        <w:tabs>
          <w:tab w:val="right" w:leader="dot" w:pos="8630"/>
        </w:tabs>
        <w:rPr>
          <w:rFonts w:asciiTheme="minorHAnsi" w:eastAsiaTheme="minorEastAsia" w:hAnsiTheme="minorHAnsi" w:cstheme="minorBidi"/>
          <w:noProof/>
        </w:rPr>
      </w:pPr>
      <w:hyperlink w:anchor="_Toc140399851" w:history="1">
        <w:r w:rsidR="00D408AD" w:rsidRPr="00C544C6">
          <w:rPr>
            <w:rStyle w:val="Hyperlink"/>
            <w:rFonts w:cs="Times New Roman"/>
            <w:noProof/>
          </w:rPr>
          <w:t>Melting Temperature</w:t>
        </w:r>
        <w:r w:rsidR="00D408AD">
          <w:rPr>
            <w:noProof/>
            <w:webHidden/>
          </w:rPr>
          <w:tab/>
        </w:r>
        <w:r w:rsidR="00D408AD">
          <w:rPr>
            <w:noProof/>
            <w:webHidden/>
          </w:rPr>
          <w:fldChar w:fldCharType="begin"/>
        </w:r>
        <w:r w:rsidR="00D408AD">
          <w:rPr>
            <w:noProof/>
            <w:webHidden/>
          </w:rPr>
          <w:instrText xml:space="preserve"> PAGEREF _Toc140399851 \h </w:instrText>
        </w:r>
        <w:r w:rsidR="00D408AD">
          <w:rPr>
            <w:noProof/>
            <w:webHidden/>
          </w:rPr>
        </w:r>
        <w:r w:rsidR="00D408AD">
          <w:rPr>
            <w:noProof/>
            <w:webHidden/>
          </w:rPr>
          <w:fldChar w:fldCharType="separate"/>
        </w:r>
        <w:r w:rsidR="00D408AD">
          <w:rPr>
            <w:noProof/>
            <w:webHidden/>
          </w:rPr>
          <w:t>87</w:t>
        </w:r>
        <w:r w:rsidR="00D408AD">
          <w:rPr>
            <w:noProof/>
            <w:webHidden/>
          </w:rPr>
          <w:fldChar w:fldCharType="end"/>
        </w:r>
      </w:hyperlink>
    </w:p>
    <w:p w14:paraId="053C5B9C" w14:textId="60F531D2" w:rsidR="00D408AD" w:rsidRDefault="00000000">
      <w:pPr>
        <w:pStyle w:val="TOC3"/>
        <w:tabs>
          <w:tab w:val="right" w:leader="dot" w:pos="8630"/>
        </w:tabs>
        <w:rPr>
          <w:rFonts w:asciiTheme="minorHAnsi" w:eastAsiaTheme="minorEastAsia" w:hAnsiTheme="minorHAnsi" w:cstheme="minorBidi"/>
          <w:noProof/>
        </w:rPr>
      </w:pPr>
      <w:hyperlink w:anchor="_Toc140399852" w:history="1">
        <w:r w:rsidR="00D408AD" w:rsidRPr="00C544C6">
          <w:rPr>
            <w:rStyle w:val="Hyperlink"/>
            <w:rFonts w:cs="Times New Roman"/>
            <w:noProof/>
          </w:rPr>
          <w:t>Configuration</w:t>
        </w:r>
        <w:r w:rsidR="00D408AD">
          <w:rPr>
            <w:noProof/>
            <w:webHidden/>
          </w:rPr>
          <w:tab/>
        </w:r>
        <w:r w:rsidR="00D408AD">
          <w:rPr>
            <w:noProof/>
            <w:webHidden/>
          </w:rPr>
          <w:fldChar w:fldCharType="begin"/>
        </w:r>
        <w:r w:rsidR="00D408AD">
          <w:rPr>
            <w:noProof/>
            <w:webHidden/>
          </w:rPr>
          <w:instrText xml:space="preserve"> PAGEREF _Toc140399852 \h </w:instrText>
        </w:r>
        <w:r w:rsidR="00D408AD">
          <w:rPr>
            <w:noProof/>
            <w:webHidden/>
          </w:rPr>
        </w:r>
        <w:r w:rsidR="00D408AD">
          <w:rPr>
            <w:noProof/>
            <w:webHidden/>
          </w:rPr>
          <w:fldChar w:fldCharType="separate"/>
        </w:r>
        <w:r w:rsidR="00D408AD">
          <w:rPr>
            <w:noProof/>
            <w:webHidden/>
          </w:rPr>
          <w:t>87</w:t>
        </w:r>
        <w:r w:rsidR="00D408AD">
          <w:rPr>
            <w:noProof/>
            <w:webHidden/>
          </w:rPr>
          <w:fldChar w:fldCharType="end"/>
        </w:r>
      </w:hyperlink>
    </w:p>
    <w:p w14:paraId="77932DA2" w14:textId="58DCE1BA" w:rsidR="00D408AD" w:rsidRDefault="00000000">
      <w:pPr>
        <w:pStyle w:val="TOC1"/>
        <w:tabs>
          <w:tab w:val="right" w:leader="dot" w:pos="8630"/>
        </w:tabs>
        <w:rPr>
          <w:rFonts w:asciiTheme="minorHAnsi" w:eastAsiaTheme="minorEastAsia" w:hAnsiTheme="minorHAnsi" w:cstheme="minorBidi"/>
          <w:noProof/>
        </w:rPr>
      </w:pPr>
      <w:hyperlink w:anchor="_Toc140399853" w:history="1">
        <w:r w:rsidR="00D408AD" w:rsidRPr="00C544C6">
          <w:rPr>
            <w:rStyle w:val="Hyperlink"/>
            <w:noProof/>
          </w:rPr>
          <w:t>Conclusions</w:t>
        </w:r>
        <w:r w:rsidR="00D408AD">
          <w:rPr>
            <w:noProof/>
            <w:webHidden/>
          </w:rPr>
          <w:tab/>
        </w:r>
        <w:r w:rsidR="00D408AD">
          <w:rPr>
            <w:noProof/>
            <w:webHidden/>
          </w:rPr>
          <w:fldChar w:fldCharType="begin"/>
        </w:r>
        <w:r w:rsidR="00D408AD">
          <w:rPr>
            <w:noProof/>
            <w:webHidden/>
          </w:rPr>
          <w:instrText xml:space="preserve"> PAGEREF _Toc140399853 \h </w:instrText>
        </w:r>
        <w:r w:rsidR="00D408AD">
          <w:rPr>
            <w:noProof/>
            <w:webHidden/>
          </w:rPr>
        </w:r>
        <w:r w:rsidR="00D408AD">
          <w:rPr>
            <w:noProof/>
            <w:webHidden/>
          </w:rPr>
          <w:fldChar w:fldCharType="separate"/>
        </w:r>
        <w:r w:rsidR="00D408AD">
          <w:rPr>
            <w:noProof/>
            <w:webHidden/>
          </w:rPr>
          <w:t>90</w:t>
        </w:r>
        <w:r w:rsidR="00D408AD">
          <w:rPr>
            <w:noProof/>
            <w:webHidden/>
          </w:rPr>
          <w:fldChar w:fldCharType="end"/>
        </w:r>
      </w:hyperlink>
    </w:p>
    <w:p w14:paraId="644AA85E" w14:textId="0834C7F7" w:rsidR="00D408AD" w:rsidRDefault="00000000">
      <w:pPr>
        <w:pStyle w:val="TOC1"/>
        <w:tabs>
          <w:tab w:val="right" w:leader="dot" w:pos="8630"/>
        </w:tabs>
        <w:rPr>
          <w:rFonts w:asciiTheme="minorHAnsi" w:eastAsiaTheme="minorEastAsia" w:hAnsiTheme="minorHAnsi" w:cstheme="minorBidi"/>
          <w:noProof/>
        </w:rPr>
      </w:pPr>
      <w:hyperlink w:anchor="_Toc140399854" w:history="1">
        <w:r w:rsidR="00D408AD" w:rsidRPr="00C544C6">
          <w:rPr>
            <w:rStyle w:val="Hyperlink"/>
            <w:rFonts w:cs="Times New Roman"/>
            <w:noProof/>
          </w:rPr>
          <w:t>CHAPTER III CASE STUDY – ECONOMIC IMPLICATIONS OF RESIDENTIAL BUILDINGS</w:t>
        </w:r>
        <w:r w:rsidR="00D408AD">
          <w:rPr>
            <w:noProof/>
            <w:webHidden/>
          </w:rPr>
          <w:tab/>
        </w:r>
        <w:r w:rsidR="00D408AD">
          <w:rPr>
            <w:noProof/>
            <w:webHidden/>
          </w:rPr>
          <w:fldChar w:fldCharType="begin"/>
        </w:r>
        <w:r w:rsidR="00D408AD">
          <w:rPr>
            <w:noProof/>
            <w:webHidden/>
          </w:rPr>
          <w:instrText xml:space="preserve"> PAGEREF _Toc140399854 \h </w:instrText>
        </w:r>
        <w:r w:rsidR="00D408AD">
          <w:rPr>
            <w:noProof/>
            <w:webHidden/>
          </w:rPr>
        </w:r>
        <w:r w:rsidR="00D408AD">
          <w:rPr>
            <w:noProof/>
            <w:webHidden/>
          </w:rPr>
          <w:fldChar w:fldCharType="separate"/>
        </w:r>
        <w:r w:rsidR="00D408AD">
          <w:rPr>
            <w:noProof/>
            <w:webHidden/>
          </w:rPr>
          <w:t>91</w:t>
        </w:r>
        <w:r w:rsidR="00D408AD">
          <w:rPr>
            <w:noProof/>
            <w:webHidden/>
          </w:rPr>
          <w:fldChar w:fldCharType="end"/>
        </w:r>
      </w:hyperlink>
    </w:p>
    <w:p w14:paraId="1F2A1C8E" w14:textId="171C38A4" w:rsidR="00D408AD" w:rsidRDefault="00000000">
      <w:pPr>
        <w:pStyle w:val="TOC2"/>
        <w:tabs>
          <w:tab w:val="right" w:leader="dot" w:pos="8630"/>
        </w:tabs>
        <w:rPr>
          <w:rFonts w:asciiTheme="minorHAnsi" w:eastAsiaTheme="minorEastAsia" w:hAnsiTheme="minorHAnsi" w:cstheme="minorBidi"/>
          <w:noProof/>
        </w:rPr>
      </w:pPr>
      <w:hyperlink w:anchor="_Toc140399855" w:history="1">
        <w:r w:rsidR="00D408AD" w:rsidRPr="00C544C6">
          <w:rPr>
            <w:rStyle w:val="Hyperlink"/>
            <w:rFonts w:cs="Times New Roman"/>
            <w:noProof/>
          </w:rPr>
          <w:t>Abstract</w:t>
        </w:r>
        <w:r w:rsidR="00D408AD">
          <w:rPr>
            <w:noProof/>
            <w:webHidden/>
          </w:rPr>
          <w:tab/>
        </w:r>
        <w:r w:rsidR="00D408AD">
          <w:rPr>
            <w:noProof/>
            <w:webHidden/>
          </w:rPr>
          <w:fldChar w:fldCharType="begin"/>
        </w:r>
        <w:r w:rsidR="00D408AD">
          <w:rPr>
            <w:noProof/>
            <w:webHidden/>
          </w:rPr>
          <w:instrText xml:space="preserve"> PAGEREF _Toc140399855 \h </w:instrText>
        </w:r>
        <w:r w:rsidR="00D408AD">
          <w:rPr>
            <w:noProof/>
            <w:webHidden/>
          </w:rPr>
        </w:r>
        <w:r w:rsidR="00D408AD">
          <w:rPr>
            <w:noProof/>
            <w:webHidden/>
          </w:rPr>
          <w:fldChar w:fldCharType="separate"/>
        </w:r>
        <w:r w:rsidR="00D408AD">
          <w:rPr>
            <w:noProof/>
            <w:webHidden/>
          </w:rPr>
          <w:t>92</w:t>
        </w:r>
        <w:r w:rsidR="00D408AD">
          <w:rPr>
            <w:noProof/>
            <w:webHidden/>
          </w:rPr>
          <w:fldChar w:fldCharType="end"/>
        </w:r>
      </w:hyperlink>
    </w:p>
    <w:p w14:paraId="2D963779" w14:textId="410C439D" w:rsidR="00D408AD" w:rsidRDefault="00000000">
      <w:pPr>
        <w:pStyle w:val="TOC2"/>
        <w:tabs>
          <w:tab w:val="right" w:leader="dot" w:pos="8630"/>
        </w:tabs>
        <w:rPr>
          <w:rFonts w:asciiTheme="minorHAnsi" w:eastAsiaTheme="minorEastAsia" w:hAnsiTheme="minorHAnsi" w:cstheme="minorBidi"/>
          <w:noProof/>
        </w:rPr>
      </w:pPr>
      <w:hyperlink w:anchor="_Toc140399856" w:history="1">
        <w:r w:rsidR="00D408AD" w:rsidRPr="00C544C6">
          <w:rPr>
            <w:rStyle w:val="Hyperlink"/>
            <w:rFonts w:cs="Times New Roman"/>
            <w:noProof/>
          </w:rPr>
          <w:t>Research Question</w:t>
        </w:r>
        <w:r w:rsidR="00D408AD">
          <w:rPr>
            <w:noProof/>
            <w:webHidden/>
          </w:rPr>
          <w:tab/>
        </w:r>
        <w:r w:rsidR="00D408AD">
          <w:rPr>
            <w:noProof/>
            <w:webHidden/>
          </w:rPr>
          <w:fldChar w:fldCharType="begin"/>
        </w:r>
        <w:r w:rsidR="00D408AD">
          <w:rPr>
            <w:noProof/>
            <w:webHidden/>
          </w:rPr>
          <w:instrText xml:space="preserve"> PAGEREF _Toc140399856 \h </w:instrText>
        </w:r>
        <w:r w:rsidR="00D408AD">
          <w:rPr>
            <w:noProof/>
            <w:webHidden/>
          </w:rPr>
        </w:r>
        <w:r w:rsidR="00D408AD">
          <w:rPr>
            <w:noProof/>
            <w:webHidden/>
          </w:rPr>
          <w:fldChar w:fldCharType="separate"/>
        </w:r>
        <w:r w:rsidR="00D408AD">
          <w:rPr>
            <w:noProof/>
            <w:webHidden/>
          </w:rPr>
          <w:t>93</w:t>
        </w:r>
        <w:r w:rsidR="00D408AD">
          <w:rPr>
            <w:noProof/>
            <w:webHidden/>
          </w:rPr>
          <w:fldChar w:fldCharType="end"/>
        </w:r>
      </w:hyperlink>
    </w:p>
    <w:p w14:paraId="76DAE629" w14:textId="073A5062" w:rsidR="00D408AD" w:rsidRDefault="00000000">
      <w:pPr>
        <w:pStyle w:val="TOC2"/>
        <w:tabs>
          <w:tab w:val="right" w:leader="dot" w:pos="8630"/>
        </w:tabs>
        <w:rPr>
          <w:rFonts w:asciiTheme="minorHAnsi" w:eastAsiaTheme="minorEastAsia" w:hAnsiTheme="minorHAnsi" w:cstheme="minorBidi"/>
          <w:noProof/>
        </w:rPr>
      </w:pPr>
      <w:hyperlink w:anchor="_Toc140399857" w:history="1">
        <w:r w:rsidR="00D408AD" w:rsidRPr="00C544C6">
          <w:rPr>
            <w:rStyle w:val="Hyperlink"/>
            <w:rFonts w:cs="Times New Roman"/>
            <w:noProof/>
          </w:rPr>
          <w:t>Background</w:t>
        </w:r>
        <w:r w:rsidR="00D408AD">
          <w:rPr>
            <w:noProof/>
            <w:webHidden/>
          </w:rPr>
          <w:tab/>
        </w:r>
        <w:r w:rsidR="00D408AD">
          <w:rPr>
            <w:noProof/>
            <w:webHidden/>
          </w:rPr>
          <w:fldChar w:fldCharType="begin"/>
        </w:r>
        <w:r w:rsidR="00D408AD">
          <w:rPr>
            <w:noProof/>
            <w:webHidden/>
          </w:rPr>
          <w:instrText xml:space="preserve"> PAGEREF _Toc140399857 \h </w:instrText>
        </w:r>
        <w:r w:rsidR="00D408AD">
          <w:rPr>
            <w:noProof/>
            <w:webHidden/>
          </w:rPr>
        </w:r>
        <w:r w:rsidR="00D408AD">
          <w:rPr>
            <w:noProof/>
            <w:webHidden/>
          </w:rPr>
          <w:fldChar w:fldCharType="separate"/>
        </w:r>
        <w:r w:rsidR="00D408AD">
          <w:rPr>
            <w:noProof/>
            <w:webHidden/>
          </w:rPr>
          <w:t>93</w:t>
        </w:r>
        <w:r w:rsidR="00D408AD">
          <w:rPr>
            <w:noProof/>
            <w:webHidden/>
          </w:rPr>
          <w:fldChar w:fldCharType="end"/>
        </w:r>
      </w:hyperlink>
    </w:p>
    <w:p w14:paraId="46BC9E7E" w14:textId="64E2478A" w:rsidR="00D408AD" w:rsidRDefault="00000000">
      <w:pPr>
        <w:pStyle w:val="TOC2"/>
        <w:tabs>
          <w:tab w:val="right" w:leader="dot" w:pos="8630"/>
        </w:tabs>
        <w:rPr>
          <w:rFonts w:asciiTheme="minorHAnsi" w:eastAsiaTheme="minorEastAsia" w:hAnsiTheme="minorHAnsi" w:cstheme="minorBidi"/>
          <w:noProof/>
        </w:rPr>
      </w:pPr>
      <w:hyperlink w:anchor="_Toc140399858" w:history="1">
        <w:r w:rsidR="00D408AD" w:rsidRPr="00C544C6">
          <w:rPr>
            <w:rStyle w:val="Hyperlink"/>
            <w:rFonts w:cs="Times New Roman"/>
            <w:noProof/>
          </w:rPr>
          <w:t>Methodology</w:t>
        </w:r>
        <w:r w:rsidR="00D408AD">
          <w:rPr>
            <w:noProof/>
            <w:webHidden/>
          </w:rPr>
          <w:tab/>
        </w:r>
        <w:r w:rsidR="00D408AD">
          <w:rPr>
            <w:noProof/>
            <w:webHidden/>
          </w:rPr>
          <w:fldChar w:fldCharType="begin"/>
        </w:r>
        <w:r w:rsidR="00D408AD">
          <w:rPr>
            <w:noProof/>
            <w:webHidden/>
          </w:rPr>
          <w:instrText xml:space="preserve"> PAGEREF _Toc140399858 \h </w:instrText>
        </w:r>
        <w:r w:rsidR="00D408AD">
          <w:rPr>
            <w:noProof/>
            <w:webHidden/>
          </w:rPr>
        </w:r>
        <w:r w:rsidR="00D408AD">
          <w:rPr>
            <w:noProof/>
            <w:webHidden/>
          </w:rPr>
          <w:fldChar w:fldCharType="separate"/>
        </w:r>
        <w:r w:rsidR="00D408AD">
          <w:rPr>
            <w:noProof/>
            <w:webHidden/>
          </w:rPr>
          <w:t>97</w:t>
        </w:r>
        <w:r w:rsidR="00D408AD">
          <w:rPr>
            <w:noProof/>
            <w:webHidden/>
          </w:rPr>
          <w:fldChar w:fldCharType="end"/>
        </w:r>
      </w:hyperlink>
    </w:p>
    <w:p w14:paraId="4D191B51" w14:textId="47B77012" w:rsidR="00D408AD" w:rsidRDefault="00000000">
      <w:pPr>
        <w:pStyle w:val="TOC3"/>
        <w:tabs>
          <w:tab w:val="right" w:leader="dot" w:pos="8630"/>
        </w:tabs>
        <w:rPr>
          <w:rFonts w:asciiTheme="minorHAnsi" w:eastAsiaTheme="minorEastAsia" w:hAnsiTheme="minorHAnsi" w:cstheme="minorBidi"/>
          <w:noProof/>
        </w:rPr>
      </w:pPr>
      <w:hyperlink w:anchor="_Toc140399859" w:history="1">
        <w:r w:rsidR="00D408AD" w:rsidRPr="00C544C6">
          <w:rPr>
            <w:rStyle w:val="Hyperlink"/>
            <w:rFonts w:cs="Times New Roman"/>
            <w:noProof/>
          </w:rPr>
          <w:t>System Overview</w:t>
        </w:r>
        <w:r w:rsidR="00D408AD">
          <w:rPr>
            <w:noProof/>
            <w:webHidden/>
          </w:rPr>
          <w:tab/>
        </w:r>
        <w:r w:rsidR="00D408AD">
          <w:rPr>
            <w:noProof/>
            <w:webHidden/>
          </w:rPr>
          <w:fldChar w:fldCharType="begin"/>
        </w:r>
        <w:r w:rsidR="00D408AD">
          <w:rPr>
            <w:noProof/>
            <w:webHidden/>
          </w:rPr>
          <w:instrText xml:space="preserve"> PAGEREF _Toc140399859 \h </w:instrText>
        </w:r>
        <w:r w:rsidR="00D408AD">
          <w:rPr>
            <w:noProof/>
            <w:webHidden/>
          </w:rPr>
        </w:r>
        <w:r w:rsidR="00D408AD">
          <w:rPr>
            <w:noProof/>
            <w:webHidden/>
          </w:rPr>
          <w:fldChar w:fldCharType="separate"/>
        </w:r>
        <w:r w:rsidR="00D408AD">
          <w:rPr>
            <w:noProof/>
            <w:webHidden/>
          </w:rPr>
          <w:t>97</w:t>
        </w:r>
        <w:r w:rsidR="00D408AD">
          <w:rPr>
            <w:noProof/>
            <w:webHidden/>
          </w:rPr>
          <w:fldChar w:fldCharType="end"/>
        </w:r>
      </w:hyperlink>
    </w:p>
    <w:p w14:paraId="5739E092" w14:textId="6E35386C" w:rsidR="00D408AD" w:rsidRDefault="00000000">
      <w:pPr>
        <w:pStyle w:val="TOC3"/>
        <w:tabs>
          <w:tab w:val="right" w:leader="dot" w:pos="8630"/>
        </w:tabs>
        <w:rPr>
          <w:rFonts w:asciiTheme="minorHAnsi" w:eastAsiaTheme="minorEastAsia" w:hAnsiTheme="minorHAnsi" w:cstheme="minorBidi"/>
          <w:noProof/>
        </w:rPr>
      </w:pPr>
      <w:hyperlink w:anchor="_Toc140399860" w:history="1">
        <w:r w:rsidR="00D408AD" w:rsidRPr="00C544C6">
          <w:rPr>
            <w:rStyle w:val="Hyperlink"/>
            <w:rFonts w:cs="Times New Roman"/>
            <w:noProof/>
          </w:rPr>
          <w:t>System Operating Modes and Controls</w:t>
        </w:r>
        <w:r w:rsidR="00D408AD">
          <w:rPr>
            <w:noProof/>
            <w:webHidden/>
          </w:rPr>
          <w:tab/>
        </w:r>
        <w:r w:rsidR="00D408AD">
          <w:rPr>
            <w:noProof/>
            <w:webHidden/>
          </w:rPr>
          <w:fldChar w:fldCharType="begin"/>
        </w:r>
        <w:r w:rsidR="00D408AD">
          <w:rPr>
            <w:noProof/>
            <w:webHidden/>
          </w:rPr>
          <w:instrText xml:space="preserve"> PAGEREF _Toc140399860 \h </w:instrText>
        </w:r>
        <w:r w:rsidR="00D408AD">
          <w:rPr>
            <w:noProof/>
            <w:webHidden/>
          </w:rPr>
        </w:r>
        <w:r w:rsidR="00D408AD">
          <w:rPr>
            <w:noProof/>
            <w:webHidden/>
          </w:rPr>
          <w:fldChar w:fldCharType="separate"/>
        </w:r>
        <w:r w:rsidR="00D408AD">
          <w:rPr>
            <w:noProof/>
            <w:webHidden/>
          </w:rPr>
          <w:t>98</w:t>
        </w:r>
        <w:r w:rsidR="00D408AD">
          <w:rPr>
            <w:noProof/>
            <w:webHidden/>
          </w:rPr>
          <w:fldChar w:fldCharType="end"/>
        </w:r>
      </w:hyperlink>
    </w:p>
    <w:p w14:paraId="62691B53" w14:textId="71E19696" w:rsidR="00D408AD" w:rsidRDefault="00000000">
      <w:pPr>
        <w:pStyle w:val="TOC2"/>
        <w:tabs>
          <w:tab w:val="right" w:leader="dot" w:pos="8630"/>
        </w:tabs>
        <w:rPr>
          <w:rFonts w:asciiTheme="minorHAnsi" w:eastAsiaTheme="minorEastAsia" w:hAnsiTheme="minorHAnsi" w:cstheme="minorBidi"/>
          <w:noProof/>
        </w:rPr>
      </w:pPr>
      <w:hyperlink w:anchor="_Toc140399861" w:history="1">
        <w:r w:rsidR="00D408AD" w:rsidRPr="00C544C6">
          <w:rPr>
            <w:rStyle w:val="Hyperlink"/>
            <w:rFonts w:cs="Times New Roman"/>
            <w:noProof/>
          </w:rPr>
          <w:t>Component Models</w:t>
        </w:r>
        <w:r w:rsidR="00D408AD">
          <w:rPr>
            <w:noProof/>
            <w:webHidden/>
          </w:rPr>
          <w:tab/>
        </w:r>
        <w:r w:rsidR="00D408AD">
          <w:rPr>
            <w:noProof/>
            <w:webHidden/>
          </w:rPr>
          <w:fldChar w:fldCharType="begin"/>
        </w:r>
        <w:r w:rsidR="00D408AD">
          <w:rPr>
            <w:noProof/>
            <w:webHidden/>
          </w:rPr>
          <w:instrText xml:space="preserve"> PAGEREF _Toc140399861 \h </w:instrText>
        </w:r>
        <w:r w:rsidR="00D408AD">
          <w:rPr>
            <w:noProof/>
            <w:webHidden/>
          </w:rPr>
        </w:r>
        <w:r w:rsidR="00D408AD">
          <w:rPr>
            <w:noProof/>
            <w:webHidden/>
          </w:rPr>
          <w:fldChar w:fldCharType="separate"/>
        </w:r>
        <w:r w:rsidR="00D408AD">
          <w:rPr>
            <w:noProof/>
            <w:webHidden/>
          </w:rPr>
          <w:t>103</w:t>
        </w:r>
        <w:r w:rsidR="00D408AD">
          <w:rPr>
            <w:noProof/>
            <w:webHidden/>
          </w:rPr>
          <w:fldChar w:fldCharType="end"/>
        </w:r>
      </w:hyperlink>
    </w:p>
    <w:p w14:paraId="754A3AA2" w14:textId="07ABEC13" w:rsidR="00D408AD" w:rsidRDefault="00000000">
      <w:pPr>
        <w:pStyle w:val="TOC3"/>
        <w:tabs>
          <w:tab w:val="right" w:leader="dot" w:pos="8630"/>
        </w:tabs>
        <w:rPr>
          <w:rFonts w:asciiTheme="minorHAnsi" w:eastAsiaTheme="minorEastAsia" w:hAnsiTheme="minorHAnsi" w:cstheme="minorBidi"/>
          <w:noProof/>
        </w:rPr>
      </w:pPr>
      <w:hyperlink w:anchor="_Toc140399862" w:history="1">
        <w:r w:rsidR="00D408AD" w:rsidRPr="00C544C6">
          <w:rPr>
            <w:rStyle w:val="Hyperlink"/>
            <w:rFonts w:cs="Times New Roman"/>
            <w:noProof/>
          </w:rPr>
          <w:t>Weather Data</w:t>
        </w:r>
        <w:r w:rsidR="00D408AD">
          <w:rPr>
            <w:noProof/>
            <w:webHidden/>
          </w:rPr>
          <w:tab/>
        </w:r>
        <w:r w:rsidR="00D408AD">
          <w:rPr>
            <w:noProof/>
            <w:webHidden/>
          </w:rPr>
          <w:fldChar w:fldCharType="begin"/>
        </w:r>
        <w:r w:rsidR="00D408AD">
          <w:rPr>
            <w:noProof/>
            <w:webHidden/>
          </w:rPr>
          <w:instrText xml:space="preserve"> PAGEREF _Toc140399862 \h </w:instrText>
        </w:r>
        <w:r w:rsidR="00D408AD">
          <w:rPr>
            <w:noProof/>
            <w:webHidden/>
          </w:rPr>
        </w:r>
        <w:r w:rsidR="00D408AD">
          <w:rPr>
            <w:noProof/>
            <w:webHidden/>
          </w:rPr>
          <w:fldChar w:fldCharType="separate"/>
        </w:r>
        <w:r w:rsidR="00D408AD">
          <w:rPr>
            <w:noProof/>
            <w:webHidden/>
          </w:rPr>
          <w:t>103</w:t>
        </w:r>
        <w:r w:rsidR="00D408AD">
          <w:rPr>
            <w:noProof/>
            <w:webHidden/>
          </w:rPr>
          <w:fldChar w:fldCharType="end"/>
        </w:r>
      </w:hyperlink>
    </w:p>
    <w:p w14:paraId="3BB83FE1" w14:textId="43364056" w:rsidR="00D408AD" w:rsidRDefault="00000000">
      <w:pPr>
        <w:pStyle w:val="TOC3"/>
        <w:tabs>
          <w:tab w:val="right" w:leader="dot" w:pos="8630"/>
        </w:tabs>
        <w:rPr>
          <w:rFonts w:asciiTheme="minorHAnsi" w:eastAsiaTheme="minorEastAsia" w:hAnsiTheme="minorHAnsi" w:cstheme="minorBidi"/>
          <w:noProof/>
        </w:rPr>
      </w:pPr>
      <w:hyperlink w:anchor="_Toc140399863" w:history="1">
        <w:r w:rsidR="00D408AD" w:rsidRPr="00C544C6">
          <w:rPr>
            <w:rStyle w:val="Hyperlink"/>
            <w:rFonts w:cs="Times New Roman"/>
            <w:noProof/>
          </w:rPr>
          <w:t>Building Model</w:t>
        </w:r>
        <w:r w:rsidR="00D408AD">
          <w:rPr>
            <w:noProof/>
            <w:webHidden/>
          </w:rPr>
          <w:tab/>
        </w:r>
        <w:r w:rsidR="00D408AD">
          <w:rPr>
            <w:noProof/>
            <w:webHidden/>
          </w:rPr>
          <w:fldChar w:fldCharType="begin"/>
        </w:r>
        <w:r w:rsidR="00D408AD">
          <w:rPr>
            <w:noProof/>
            <w:webHidden/>
          </w:rPr>
          <w:instrText xml:space="preserve"> PAGEREF _Toc140399863 \h </w:instrText>
        </w:r>
        <w:r w:rsidR="00D408AD">
          <w:rPr>
            <w:noProof/>
            <w:webHidden/>
          </w:rPr>
        </w:r>
        <w:r w:rsidR="00D408AD">
          <w:rPr>
            <w:noProof/>
            <w:webHidden/>
          </w:rPr>
          <w:fldChar w:fldCharType="separate"/>
        </w:r>
        <w:r w:rsidR="00D408AD">
          <w:rPr>
            <w:noProof/>
            <w:webHidden/>
          </w:rPr>
          <w:t>103</w:t>
        </w:r>
        <w:r w:rsidR="00D408AD">
          <w:rPr>
            <w:noProof/>
            <w:webHidden/>
          </w:rPr>
          <w:fldChar w:fldCharType="end"/>
        </w:r>
      </w:hyperlink>
    </w:p>
    <w:p w14:paraId="26776B4A" w14:textId="2F0E29CC" w:rsidR="00D408AD" w:rsidRDefault="00000000">
      <w:pPr>
        <w:pStyle w:val="TOC3"/>
        <w:tabs>
          <w:tab w:val="right" w:leader="dot" w:pos="8630"/>
        </w:tabs>
        <w:rPr>
          <w:rFonts w:asciiTheme="minorHAnsi" w:eastAsiaTheme="minorEastAsia" w:hAnsiTheme="minorHAnsi" w:cstheme="minorBidi"/>
          <w:noProof/>
        </w:rPr>
      </w:pPr>
      <w:hyperlink w:anchor="_Toc140399864" w:history="1">
        <w:r w:rsidR="00D408AD" w:rsidRPr="00C544C6">
          <w:rPr>
            <w:rStyle w:val="Hyperlink"/>
            <w:rFonts w:cs="Times New Roman"/>
            <w:noProof/>
          </w:rPr>
          <w:t>Building Thermostat Model</w:t>
        </w:r>
        <w:r w:rsidR="00D408AD">
          <w:rPr>
            <w:noProof/>
            <w:webHidden/>
          </w:rPr>
          <w:tab/>
        </w:r>
        <w:r w:rsidR="00D408AD">
          <w:rPr>
            <w:noProof/>
            <w:webHidden/>
          </w:rPr>
          <w:fldChar w:fldCharType="begin"/>
        </w:r>
        <w:r w:rsidR="00D408AD">
          <w:rPr>
            <w:noProof/>
            <w:webHidden/>
          </w:rPr>
          <w:instrText xml:space="preserve"> PAGEREF _Toc140399864 \h </w:instrText>
        </w:r>
        <w:r w:rsidR="00D408AD">
          <w:rPr>
            <w:noProof/>
            <w:webHidden/>
          </w:rPr>
        </w:r>
        <w:r w:rsidR="00D408AD">
          <w:rPr>
            <w:noProof/>
            <w:webHidden/>
          </w:rPr>
          <w:fldChar w:fldCharType="separate"/>
        </w:r>
        <w:r w:rsidR="00D408AD">
          <w:rPr>
            <w:noProof/>
            <w:webHidden/>
          </w:rPr>
          <w:t>105</w:t>
        </w:r>
        <w:r w:rsidR="00D408AD">
          <w:rPr>
            <w:noProof/>
            <w:webHidden/>
          </w:rPr>
          <w:fldChar w:fldCharType="end"/>
        </w:r>
      </w:hyperlink>
    </w:p>
    <w:p w14:paraId="4E5BB379" w14:textId="43E32DCC" w:rsidR="00D408AD" w:rsidRDefault="00000000">
      <w:pPr>
        <w:pStyle w:val="TOC3"/>
        <w:tabs>
          <w:tab w:val="right" w:leader="dot" w:pos="8630"/>
        </w:tabs>
        <w:rPr>
          <w:rFonts w:asciiTheme="minorHAnsi" w:eastAsiaTheme="minorEastAsia" w:hAnsiTheme="minorHAnsi" w:cstheme="minorBidi"/>
          <w:noProof/>
        </w:rPr>
      </w:pPr>
      <w:hyperlink w:anchor="_Toc140399865" w:history="1">
        <w:r w:rsidR="00D408AD" w:rsidRPr="00C544C6">
          <w:rPr>
            <w:rStyle w:val="Hyperlink"/>
            <w:rFonts w:cs="Times New Roman"/>
            <w:noProof/>
          </w:rPr>
          <w:t>VCS Model</w:t>
        </w:r>
        <w:r w:rsidR="00D408AD">
          <w:rPr>
            <w:noProof/>
            <w:webHidden/>
          </w:rPr>
          <w:tab/>
        </w:r>
        <w:r w:rsidR="00D408AD">
          <w:rPr>
            <w:noProof/>
            <w:webHidden/>
          </w:rPr>
          <w:fldChar w:fldCharType="begin"/>
        </w:r>
        <w:r w:rsidR="00D408AD">
          <w:rPr>
            <w:noProof/>
            <w:webHidden/>
          </w:rPr>
          <w:instrText xml:space="preserve"> PAGEREF _Toc140399865 \h </w:instrText>
        </w:r>
        <w:r w:rsidR="00D408AD">
          <w:rPr>
            <w:noProof/>
            <w:webHidden/>
          </w:rPr>
        </w:r>
        <w:r w:rsidR="00D408AD">
          <w:rPr>
            <w:noProof/>
            <w:webHidden/>
          </w:rPr>
          <w:fldChar w:fldCharType="separate"/>
        </w:r>
        <w:r w:rsidR="00D408AD">
          <w:rPr>
            <w:noProof/>
            <w:webHidden/>
          </w:rPr>
          <w:t>105</w:t>
        </w:r>
        <w:r w:rsidR="00D408AD">
          <w:rPr>
            <w:noProof/>
            <w:webHidden/>
          </w:rPr>
          <w:fldChar w:fldCharType="end"/>
        </w:r>
      </w:hyperlink>
    </w:p>
    <w:p w14:paraId="2F010EA3" w14:textId="2FA82952" w:rsidR="00D408AD" w:rsidRDefault="00000000">
      <w:pPr>
        <w:pStyle w:val="TOC3"/>
        <w:tabs>
          <w:tab w:val="right" w:leader="dot" w:pos="8630"/>
        </w:tabs>
        <w:rPr>
          <w:rFonts w:asciiTheme="minorHAnsi" w:eastAsiaTheme="minorEastAsia" w:hAnsiTheme="minorHAnsi" w:cstheme="minorBidi"/>
          <w:noProof/>
        </w:rPr>
      </w:pPr>
      <w:hyperlink w:anchor="_Toc140399866" w:history="1">
        <w:r w:rsidR="00D408AD" w:rsidRPr="00C544C6">
          <w:rPr>
            <w:rStyle w:val="Hyperlink"/>
            <w:rFonts w:cs="Times New Roman"/>
            <w:noProof/>
          </w:rPr>
          <w:t>TES Model</w:t>
        </w:r>
        <w:r w:rsidR="00D408AD">
          <w:rPr>
            <w:noProof/>
            <w:webHidden/>
          </w:rPr>
          <w:tab/>
        </w:r>
        <w:r w:rsidR="00D408AD">
          <w:rPr>
            <w:noProof/>
            <w:webHidden/>
          </w:rPr>
          <w:fldChar w:fldCharType="begin"/>
        </w:r>
        <w:r w:rsidR="00D408AD">
          <w:rPr>
            <w:noProof/>
            <w:webHidden/>
          </w:rPr>
          <w:instrText xml:space="preserve"> PAGEREF _Toc140399866 \h </w:instrText>
        </w:r>
        <w:r w:rsidR="00D408AD">
          <w:rPr>
            <w:noProof/>
            <w:webHidden/>
          </w:rPr>
        </w:r>
        <w:r w:rsidR="00D408AD">
          <w:rPr>
            <w:noProof/>
            <w:webHidden/>
          </w:rPr>
          <w:fldChar w:fldCharType="separate"/>
        </w:r>
        <w:r w:rsidR="00D408AD">
          <w:rPr>
            <w:noProof/>
            <w:webHidden/>
          </w:rPr>
          <w:t>106</w:t>
        </w:r>
        <w:r w:rsidR="00D408AD">
          <w:rPr>
            <w:noProof/>
            <w:webHidden/>
          </w:rPr>
          <w:fldChar w:fldCharType="end"/>
        </w:r>
      </w:hyperlink>
    </w:p>
    <w:p w14:paraId="569B4959" w14:textId="2EAA30CE" w:rsidR="00D408AD" w:rsidRDefault="00000000">
      <w:pPr>
        <w:pStyle w:val="TOC3"/>
        <w:tabs>
          <w:tab w:val="right" w:leader="dot" w:pos="8630"/>
        </w:tabs>
        <w:rPr>
          <w:rFonts w:asciiTheme="minorHAnsi" w:eastAsiaTheme="minorEastAsia" w:hAnsiTheme="minorHAnsi" w:cstheme="minorBidi"/>
          <w:noProof/>
        </w:rPr>
      </w:pPr>
      <w:hyperlink w:anchor="_Toc140399867" w:history="1">
        <w:r w:rsidR="00D408AD" w:rsidRPr="00C544C6">
          <w:rPr>
            <w:rStyle w:val="Hyperlink"/>
            <w:rFonts w:cs="Times New Roman"/>
            <w:noProof/>
          </w:rPr>
          <w:t>Utility Rate Analysis</w:t>
        </w:r>
        <w:r w:rsidR="00D408AD">
          <w:rPr>
            <w:noProof/>
            <w:webHidden/>
          </w:rPr>
          <w:tab/>
        </w:r>
        <w:r w:rsidR="00D408AD">
          <w:rPr>
            <w:noProof/>
            <w:webHidden/>
          </w:rPr>
          <w:fldChar w:fldCharType="begin"/>
        </w:r>
        <w:r w:rsidR="00D408AD">
          <w:rPr>
            <w:noProof/>
            <w:webHidden/>
          </w:rPr>
          <w:instrText xml:space="preserve"> PAGEREF _Toc140399867 \h </w:instrText>
        </w:r>
        <w:r w:rsidR="00D408AD">
          <w:rPr>
            <w:noProof/>
            <w:webHidden/>
          </w:rPr>
        </w:r>
        <w:r w:rsidR="00D408AD">
          <w:rPr>
            <w:noProof/>
            <w:webHidden/>
          </w:rPr>
          <w:fldChar w:fldCharType="separate"/>
        </w:r>
        <w:r w:rsidR="00D408AD">
          <w:rPr>
            <w:noProof/>
            <w:webHidden/>
          </w:rPr>
          <w:t>106</w:t>
        </w:r>
        <w:r w:rsidR="00D408AD">
          <w:rPr>
            <w:noProof/>
            <w:webHidden/>
          </w:rPr>
          <w:fldChar w:fldCharType="end"/>
        </w:r>
      </w:hyperlink>
    </w:p>
    <w:p w14:paraId="1E59B5C6" w14:textId="05D0A6A0" w:rsidR="00D408AD" w:rsidRDefault="00000000">
      <w:pPr>
        <w:pStyle w:val="TOC2"/>
        <w:tabs>
          <w:tab w:val="right" w:leader="dot" w:pos="8630"/>
        </w:tabs>
        <w:rPr>
          <w:rFonts w:asciiTheme="minorHAnsi" w:eastAsiaTheme="minorEastAsia" w:hAnsiTheme="minorHAnsi" w:cstheme="minorBidi"/>
          <w:noProof/>
        </w:rPr>
      </w:pPr>
      <w:hyperlink w:anchor="_Toc140399868" w:history="1">
        <w:r w:rsidR="00D408AD" w:rsidRPr="00C544C6">
          <w:rPr>
            <w:rStyle w:val="Hyperlink"/>
            <w:rFonts w:cs="Times New Roman"/>
            <w:noProof/>
          </w:rPr>
          <w:t>Results and Discussion</w:t>
        </w:r>
        <w:r w:rsidR="00D408AD">
          <w:rPr>
            <w:noProof/>
            <w:webHidden/>
          </w:rPr>
          <w:tab/>
        </w:r>
        <w:r w:rsidR="00D408AD">
          <w:rPr>
            <w:noProof/>
            <w:webHidden/>
          </w:rPr>
          <w:fldChar w:fldCharType="begin"/>
        </w:r>
        <w:r w:rsidR="00D408AD">
          <w:rPr>
            <w:noProof/>
            <w:webHidden/>
          </w:rPr>
          <w:instrText xml:space="preserve"> PAGEREF _Toc140399868 \h </w:instrText>
        </w:r>
        <w:r w:rsidR="00D408AD">
          <w:rPr>
            <w:noProof/>
            <w:webHidden/>
          </w:rPr>
        </w:r>
        <w:r w:rsidR="00D408AD">
          <w:rPr>
            <w:noProof/>
            <w:webHidden/>
          </w:rPr>
          <w:fldChar w:fldCharType="separate"/>
        </w:r>
        <w:r w:rsidR="00D408AD">
          <w:rPr>
            <w:noProof/>
            <w:webHidden/>
          </w:rPr>
          <w:t>108</w:t>
        </w:r>
        <w:r w:rsidR="00D408AD">
          <w:rPr>
            <w:noProof/>
            <w:webHidden/>
          </w:rPr>
          <w:fldChar w:fldCharType="end"/>
        </w:r>
      </w:hyperlink>
    </w:p>
    <w:p w14:paraId="729F299E" w14:textId="6B8E7259" w:rsidR="00D408AD" w:rsidRDefault="00000000">
      <w:pPr>
        <w:pStyle w:val="TOC1"/>
        <w:tabs>
          <w:tab w:val="right" w:leader="dot" w:pos="8630"/>
        </w:tabs>
        <w:rPr>
          <w:rFonts w:asciiTheme="minorHAnsi" w:eastAsiaTheme="minorEastAsia" w:hAnsiTheme="minorHAnsi" w:cstheme="minorBidi"/>
          <w:noProof/>
        </w:rPr>
      </w:pPr>
      <w:hyperlink w:anchor="_Toc140399869" w:history="1">
        <w:r w:rsidR="00D408AD" w:rsidRPr="00C544C6">
          <w:rPr>
            <w:rStyle w:val="Hyperlink"/>
            <w:noProof/>
          </w:rPr>
          <w:t>Conclusions</w:t>
        </w:r>
        <w:r w:rsidR="00D408AD">
          <w:rPr>
            <w:noProof/>
            <w:webHidden/>
          </w:rPr>
          <w:tab/>
        </w:r>
        <w:r w:rsidR="00D408AD">
          <w:rPr>
            <w:noProof/>
            <w:webHidden/>
          </w:rPr>
          <w:fldChar w:fldCharType="begin"/>
        </w:r>
        <w:r w:rsidR="00D408AD">
          <w:rPr>
            <w:noProof/>
            <w:webHidden/>
          </w:rPr>
          <w:instrText xml:space="preserve"> PAGEREF _Toc140399869 \h </w:instrText>
        </w:r>
        <w:r w:rsidR="00D408AD">
          <w:rPr>
            <w:noProof/>
            <w:webHidden/>
          </w:rPr>
        </w:r>
        <w:r w:rsidR="00D408AD">
          <w:rPr>
            <w:noProof/>
            <w:webHidden/>
          </w:rPr>
          <w:fldChar w:fldCharType="separate"/>
        </w:r>
        <w:r w:rsidR="00D408AD">
          <w:rPr>
            <w:noProof/>
            <w:webHidden/>
          </w:rPr>
          <w:t>113</w:t>
        </w:r>
        <w:r w:rsidR="00D408AD">
          <w:rPr>
            <w:noProof/>
            <w:webHidden/>
          </w:rPr>
          <w:fldChar w:fldCharType="end"/>
        </w:r>
      </w:hyperlink>
    </w:p>
    <w:p w14:paraId="5F0C978B" w14:textId="7E530632" w:rsidR="00D408AD" w:rsidRDefault="00000000">
      <w:pPr>
        <w:pStyle w:val="TOC1"/>
        <w:tabs>
          <w:tab w:val="right" w:leader="dot" w:pos="8630"/>
        </w:tabs>
        <w:rPr>
          <w:rFonts w:asciiTheme="minorHAnsi" w:eastAsiaTheme="minorEastAsia" w:hAnsiTheme="minorHAnsi" w:cstheme="minorBidi"/>
          <w:noProof/>
        </w:rPr>
      </w:pPr>
      <w:hyperlink w:anchor="_Toc140399870" w:history="1">
        <w:r w:rsidR="00D408AD" w:rsidRPr="00C544C6">
          <w:rPr>
            <w:rStyle w:val="Hyperlink"/>
            <w:rFonts w:cs="Times New Roman"/>
            <w:noProof/>
          </w:rPr>
          <w:t>CHAPTER IV OPTIMISING PHASE CHANGE TEMPERATURE FOR HEAT PUMP INTEGRATED WITH TES</w:t>
        </w:r>
        <w:r w:rsidR="00D408AD">
          <w:rPr>
            <w:noProof/>
            <w:webHidden/>
          </w:rPr>
          <w:tab/>
        </w:r>
        <w:r w:rsidR="00D408AD">
          <w:rPr>
            <w:noProof/>
            <w:webHidden/>
          </w:rPr>
          <w:fldChar w:fldCharType="begin"/>
        </w:r>
        <w:r w:rsidR="00D408AD">
          <w:rPr>
            <w:noProof/>
            <w:webHidden/>
          </w:rPr>
          <w:instrText xml:space="preserve"> PAGEREF _Toc140399870 \h </w:instrText>
        </w:r>
        <w:r w:rsidR="00D408AD">
          <w:rPr>
            <w:noProof/>
            <w:webHidden/>
          </w:rPr>
        </w:r>
        <w:r w:rsidR="00D408AD">
          <w:rPr>
            <w:noProof/>
            <w:webHidden/>
          </w:rPr>
          <w:fldChar w:fldCharType="separate"/>
        </w:r>
        <w:r w:rsidR="00D408AD">
          <w:rPr>
            <w:noProof/>
            <w:webHidden/>
          </w:rPr>
          <w:t>114</w:t>
        </w:r>
        <w:r w:rsidR="00D408AD">
          <w:rPr>
            <w:noProof/>
            <w:webHidden/>
          </w:rPr>
          <w:fldChar w:fldCharType="end"/>
        </w:r>
      </w:hyperlink>
    </w:p>
    <w:p w14:paraId="011EA729" w14:textId="30076757" w:rsidR="00D408AD" w:rsidRDefault="00000000">
      <w:pPr>
        <w:pStyle w:val="TOC2"/>
        <w:tabs>
          <w:tab w:val="right" w:leader="dot" w:pos="8630"/>
        </w:tabs>
        <w:rPr>
          <w:rFonts w:asciiTheme="minorHAnsi" w:eastAsiaTheme="minorEastAsia" w:hAnsiTheme="minorHAnsi" w:cstheme="minorBidi"/>
          <w:noProof/>
        </w:rPr>
      </w:pPr>
      <w:hyperlink w:anchor="_Toc140399871" w:history="1">
        <w:r w:rsidR="00D408AD" w:rsidRPr="00C544C6">
          <w:rPr>
            <w:rStyle w:val="Hyperlink"/>
            <w:rFonts w:cs="Times New Roman"/>
            <w:noProof/>
          </w:rPr>
          <w:t>Abstract</w:t>
        </w:r>
        <w:r w:rsidR="00D408AD">
          <w:rPr>
            <w:noProof/>
            <w:webHidden/>
          </w:rPr>
          <w:tab/>
        </w:r>
        <w:r w:rsidR="00D408AD">
          <w:rPr>
            <w:noProof/>
            <w:webHidden/>
          </w:rPr>
          <w:fldChar w:fldCharType="begin"/>
        </w:r>
        <w:r w:rsidR="00D408AD">
          <w:rPr>
            <w:noProof/>
            <w:webHidden/>
          </w:rPr>
          <w:instrText xml:space="preserve"> PAGEREF _Toc140399871 \h </w:instrText>
        </w:r>
        <w:r w:rsidR="00D408AD">
          <w:rPr>
            <w:noProof/>
            <w:webHidden/>
          </w:rPr>
        </w:r>
        <w:r w:rsidR="00D408AD">
          <w:rPr>
            <w:noProof/>
            <w:webHidden/>
          </w:rPr>
          <w:fldChar w:fldCharType="separate"/>
        </w:r>
        <w:r w:rsidR="00D408AD">
          <w:rPr>
            <w:noProof/>
            <w:webHidden/>
          </w:rPr>
          <w:t>115</w:t>
        </w:r>
        <w:r w:rsidR="00D408AD">
          <w:rPr>
            <w:noProof/>
            <w:webHidden/>
          </w:rPr>
          <w:fldChar w:fldCharType="end"/>
        </w:r>
      </w:hyperlink>
    </w:p>
    <w:p w14:paraId="0FFF8672" w14:textId="0B211B40" w:rsidR="00D408AD" w:rsidRDefault="00000000">
      <w:pPr>
        <w:pStyle w:val="TOC2"/>
        <w:tabs>
          <w:tab w:val="right" w:leader="dot" w:pos="8630"/>
        </w:tabs>
        <w:rPr>
          <w:rFonts w:asciiTheme="minorHAnsi" w:eastAsiaTheme="minorEastAsia" w:hAnsiTheme="minorHAnsi" w:cstheme="minorBidi"/>
          <w:noProof/>
        </w:rPr>
      </w:pPr>
      <w:hyperlink w:anchor="_Toc140399872" w:history="1">
        <w:r w:rsidR="00D408AD" w:rsidRPr="00C544C6">
          <w:rPr>
            <w:rStyle w:val="Hyperlink"/>
            <w:rFonts w:cs="Times New Roman"/>
            <w:noProof/>
          </w:rPr>
          <w:t>Research Question</w:t>
        </w:r>
        <w:r w:rsidR="00D408AD">
          <w:rPr>
            <w:noProof/>
            <w:webHidden/>
          </w:rPr>
          <w:tab/>
        </w:r>
        <w:r w:rsidR="00D408AD">
          <w:rPr>
            <w:noProof/>
            <w:webHidden/>
          </w:rPr>
          <w:fldChar w:fldCharType="begin"/>
        </w:r>
        <w:r w:rsidR="00D408AD">
          <w:rPr>
            <w:noProof/>
            <w:webHidden/>
          </w:rPr>
          <w:instrText xml:space="preserve"> PAGEREF _Toc140399872 \h </w:instrText>
        </w:r>
        <w:r w:rsidR="00D408AD">
          <w:rPr>
            <w:noProof/>
            <w:webHidden/>
          </w:rPr>
        </w:r>
        <w:r w:rsidR="00D408AD">
          <w:rPr>
            <w:noProof/>
            <w:webHidden/>
          </w:rPr>
          <w:fldChar w:fldCharType="separate"/>
        </w:r>
        <w:r w:rsidR="00D408AD">
          <w:rPr>
            <w:noProof/>
            <w:webHidden/>
          </w:rPr>
          <w:t>116</w:t>
        </w:r>
        <w:r w:rsidR="00D408AD">
          <w:rPr>
            <w:noProof/>
            <w:webHidden/>
          </w:rPr>
          <w:fldChar w:fldCharType="end"/>
        </w:r>
      </w:hyperlink>
    </w:p>
    <w:p w14:paraId="58D57FE2" w14:textId="0ECB4D3F" w:rsidR="00D408AD" w:rsidRDefault="00000000">
      <w:pPr>
        <w:pStyle w:val="TOC2"/>
        <w:tabs>
          <w:tab w:val="right" w:leader="dot" w:pos="8630"/>
        </w:tabs>
        <w:rPr>
          <w:rFonts w:asciiTheme="minorHAnsi" w:eastAsiaTheme="minorEastAsia" w:hAnsiTheme="minorHAnsi" w:cstheme="minorBidi"/>
          <w:noProof/>
        </w:rPr>
      </w:pPr>
      <w:hyperlink w:anchor="_Toc140399873" w:history="1">
        <w:r w:rsidR="00D408AD" w:rsidRPr="00C544C6">
          <w:rPr>
            <w:rStyle w:val="Hyperlink"/>
            <w:rFonts w:cs="Times New Roman"/>
            <w:noProof/>
          </w:rPr>
          <w:t>Background</w:t>
        </w:r>
        <w:r w:rsidR="00D408AD">
          <w:rPr>
            <w:noProof/>
            <w:webHidden/>
          </w:rPr>
          <w:tab/>
        </w:r>
        <w:r w:rsidR="00D408AD">
          <w:rPr>
            <w:noProof/>
            <w:webHidden/>
          </w:rPr>
          <w:fldChar w:fldCharType="begin"/>
        </w:r>
        <w:r w:rsidR="00D408AD">
          <w:rPr>
            <w:noProof/>
            <w:webHidden/>
          </w:rPr>
          <w:instrText xml:space="preserve"> PAGEREF _Toc140399873 \h </w:instrText>
        </w:r>
        <w:r w:rsidR="00D408AD">
          <w:rPr>
            <w:noProof/>
            <w:webHidden/>
          </w:rPr>
        </w:r>
        <w:r w:rsidR="00D408AD">
          <w:rPr>
            <w:noProof/>
            <w:webHidden/>
          </w:rPr>
          <w:fldChar w:fldCharType="separate"/>
        </w:r>
        <w:r w:rsidR="00D408AD">
          <w:rPr>
            <w:noProof/>
            <w:webHidden/>
          </w:rPr>
          <w:t>116</w:t>
        </w:r>
        <w:r w:rsidR="00D408AD">
          <w:rPr>
            <w:noProof/>
            <w:webHidden/>
          </w:rPr>
          <w:fldChar w:fldCharType="end"/>
        </w:r>
      </w:hyperlink>
    </w:p>
    <w:p w14:paraId="1197D67C" w14:textId="17D54F7F" w:rsidR="00D408AD" w:rsidRDefault="00000000">
      <w:pPr>
        <w:pStyle w:val="TOC3"/>
        <w:tabs>
          <w:tab w:val="right" w:leader="dot" w:pos="8630"/>
        </w:tabs>
        <w:rPr>
          <w:rFonts w:asciiTheme="minorHAnsi" w:eastAsiaTheme="minorEastAsia" w:hAnsiTheme="minorHAnsi" w:cstheme="minorBidi"/>
          <w:noProof/>
        </w:rPr>
      </w:pPr>
      <w:hyperlink w:anchor="_Toc140399874" w:history="1">
        <w:r w:rsidR="00D408AD" w:rsidRPr="00C544C6">
          <w:rPr>
            <w:rStyle w:val="Hyperlink"/>
            <w:rFonts w:cs="Times New Roman"/>
            <w:noProof/>
            <w:lang w:val="en-GB"/>
          </w:rPr>
          <w:t>State of the art</w:t>
        </w:r>
        <w:r w:rsidR="00D408AD">
          <w:rPr>
            <w:noProof/>
            <w:webHidden/>
          </w:rPr>
          <w:tab/>
        </w:r>
        <w:r w:rsidR="00D408AD">
          <w:rPr>
            <w:noProof/>
            <w:webHidden/>
          </w:rPr>
          <w:fldChar w:fldCharType="begin"/>
        </w:r>
        <w:r w:rsidR="00D408AD">
          <w:rPr>
            <w:noProof/>
            <w:webHidden/>
          </w:rPr>
          <w:instrText xml:space="preserve"> PAGEREF _Toc140399874 \h </w:instrText>
        </w:r>
        <w:r w:rsidR="00D408AD">
          <w:rPr>
            <w:noProof/>
            <w:webHidden/>
          </w:rPr>
        </w:r>
        <w:r w:rsidR="00D408AD">
          <w:rPr>
            <w:noProof/>
            <w:webHidden/>
          </w:rPr>
          <w:fldChar w:fldCharType="separate"/>
        </w:r>
        <w:r w:rsidR="00D408AD">
          <w:rPr>
            <w:noProof/>
            <w:webHidden/>
          </w:rPr>
          <w:t>117</w:t>
        </w:r>
        <w:r w:rsidR="00D408AD">
          <w:rPr>
            <w:noProof/>
            <w:webHidden/>
          </w:rPr>
          <w:fldChar w:fldCharType="end"/>
        </w:r>
      </w:hyperlink>
    </w:p>
    <w:p w14:paraId="090C18E2" w14:textId="151BA425" w:rsidR="00D408AD" w:rsidRDefault="00000000">
      <w:pPr>
        <w:pStyle w:val="TOC3"/>
        <w:tabs>
          <w:tab w:val="right" w:leader="dot" w:pos="8630"/>
        </w:tabs>
        <w:rPr>
          <w:rFonts w:asciiTheme="minorHAnsi" w:eastAsiaTheme="minorEastAsia" w:hAnsiTheme="minorHAnsi" w:cstheme="minorBidi"/>
          <w:noProof/>
        </w:rPr>
      </w:pPr>
      <w:hyperlink w:anchor="_Toc140399875" w:history="1">
        <w:r w:rsidR="00D408AD" w:rsidRPr="00C544C6">
          <w:rPr>
            <w:rStyle w:val="Hyperlink"/>
            <w:rFonts w:cs="Times New Roman"/>
            <w:noProof/>
            <w:lang w:val="en-GB"/>
          </w:rPr>
          <w:t>Research Gap and Objectives</w:t>
        </w:r>
        <w:r w:rsidR="00D408AD">
          <w:rPr>
            <w:noProof/>
            <w:webHidden/>
          </w:rPr>
          <w:tab/>
        </w:r>
        <w:r w:rsidR="00D408AD">
          <w:rPr>
            <w:noProof/>
            <w:webHidden/>
          </w:rPr>
          <w:fldChar w:fldCharType="begin"/>
        </w:r>
        <w:r w:rsidR="00D408AD">
          <w:rPr>
            <w:noProof/>
            <w:webHidden/>
          </w:rPr>
          <w:instrText xml:space="preserve"> PAGEREF _Toc140399875 \h </w:instrText>
        </w:r>
        <w:r w:rsidR="00D408AD">
          <w:rPr>
            <w:noProof/>
            <w:webHidden/>
          </w:rPr>
        </w:r>
        <w:r w:rsidR="00D408AD">
          <w:rPr>
            <w:noProof/>
            <w:webHidden/>
          </w:rPr>
          <w:fldChar w:fldCharType="separate"/>
        </w:r>
        <w:r w:rsidR="00D408AD">
          <w:rPr>
            <w:noProof/>
            <w:webHidden/>
          </w:rPr>
          <w:t>119</w:t>
        </w:r>
        <w:r w:rsidR="00D408AD">
          <w:rPr>
            <w:noProof/>
            <w:webHidden/>
          </w:rPr>
          <w:fldChar w:fldCharType="end"/>
        </w:r>
      </w:hyperlink>
    </w:p>
    <w:p w14:paraId="302354AB" w14:textId="54B2A9CA" w:rsidR="00D408AD" w:rsidRDefault="00000000">
      <w:pPr>
        <w:pStyle w:val="TOC2"/>
        <w:tabs>
          <w:tab w:val="right" w:leader="dot" w:pos="8630"/>
        </w:tabs>
        <w:rPr>
          <w:rFonts w:asciiTheme="minorHAnsi" w:eastAsiaTheme="minorEastAsia" w:hAnsiTheme="minorHAnsi" w:cstheme="minorBidi"/>
          <w:noProof/>
        </w:rPr>
      </w:pPr>
      <w:hyperlink w:anchor="_Toc140399876" w:history="1">
        <w:r w:rsidR="00D408AD" w:rsidRPr="00C544C6">
          <w:rPr>
            <w:rStyle w:val="Hyperlink"/>
            <w:rFonts w:cs="Times New Roman"/>
            <w:noProof/>
            <w:lang w:val="en-GB"/>
          </w:rPr>
          <w:t>Methodology</w:t>
        </w:r>
        <w:r w:rsidR="00D408AD">
          <w:rPr>
            <w:noProof/>
            <w:webHidden/>
          </w:rPr>
          <w:tab/>
        </w:r>
        <w:r w:rsidR="00D408AD">
          <w:rPr>
            <w:noProof/>
            <w:webHidden/>
          </w:rPr>
          <w:fldChar w:fldCharType="begin"/>
        </w:r>
        <w:r w:rsidR="00D408AD">
          <w:rPr>
            <w:noProof/>
            <w:webHidden/>
          </w:rPr>
          <w:instrText xml:space="preserve"> PAGEREF _Toc140399876 \h </w:instrText>
        </w:r>
        <w:r w:rsidR="00D408AD">
          <w:rPr>
            <w:noProof/>
            <w:webHidden/>
          </w:rPr>
        </w:r>
        <w:r w:rsidR="00D408AD">
          <w:rPr>
            <w:noProof/>
            <w:webHidden/>
          </w:rPr>
          <w:fldChar w:fldCharType="separate"/>
        </w:r>
        <w:r w:rsidR="00D408AD">
          <w:rPr>
            <w:noProof/>
            <w:webHidden/>
          </w:rPr>
          <w:t>121</w:t>
        </w:r>
        <w:r w:rsidR="00D408AD">
          <w:rPr>
            <w:noProof/>
            <w:webHidden/>
          </w:rPr>
          <w:fldChar w:fldCharType="end"/>
        </w:r>
      </w:hyperlink>
    </w:p>
    <w:p w14:paraId="5673F14C" w14:textId="51DBDAC0" w:rsidR="00D408AD" w:rsidRDefault="00000000">
      <w:pPr>
        <w:pStyle w:val="TOC3"/>
        <w:tabs>
          <w:tab w:val="right" w:leader="dot" w:pos="8630"/>
        </w:tabs>
        <w:rPr>
          <w:rFonts w:asciiTheme="minorHAnsi" w:eastAsiaTheme="minorEastAsia" w:hAnsiTheme="minorHAnsi" w:cstheme="minorBidi"/>
          <w:noProof/>
        </w:rPr>
      </w:pPr>
      <w:hyperlink w:anchor="_Toc140399877" w:history="1">
        <w:r w:rsidR="00D408AD" w:rsidRPr="00C544C6">
          <w:rPr>
            <w:rStyle w:val="Hyperlink"/>
            <w:rFonts w:cs="Times New Roman"/>
            <w:noProof/>
            <w:lang w:val="en-GB"/>
          </w:rPr>
          <w:t>System Overview</w:t>
        </w:r>
        <w:r w:rsidR="00D408AD">
          <w:rPr>
            <w:noProof/>
            <w:webHidden/>
          </w:rPr>
          <w:tab/>
        </w:r>
        <w:r w:rsidR="00D408AD">
          <w:rPr>
            <w:noProof/>
            <w:webHidden/>
          </w:rPr>
          <w:fldChar w:fldCharType="begin"/>
        </w:r>
        <w:r w:rsidR="00D408AD">
          <w:rPr>
            <w:noProof/>
            <w:webHidden/>
          </w:rPr>
          <w:instrText xml:space="preserve"> PAGEREF _Toc140399877 \h </w:instrText>
        </w:r>
        <w:r w:rsidR="00D408AD">
          <w:rPr>
            <w:noProof/>
            <w:webHidden/>
          </w:rPr>
        </w:r>
        <w:r w:rsidR="00D408AD">
          <w:rPr>
            <w:noProof/>
            <w:webHidden/>
          </w:rPr>
          <w:fldChar w:fldCharType="separate"/>
        </w:r>
        <w:r w:rsidR="00D408AD">
          <w:rPr>
            <w:noProof/>
            <w:webHidden/>
          </w:rPr>
          <w:t>122</w:t>
        </w:r>
        <w:r w:rsidR="00D408AD">
          <w:rPr>
            <w:noProof/>
            <w:webHidden/>
          </w:rPr>
          <w:fldChar w:fldCharType="end"/>
        </w:r>
      </w:hyperlink>
    </w:p>
    <w:p w14:paraId="38FCCDE5" w14:textId="00664876" w:rsidR="00D408AD" w:rsidRDefault="00000000">
      <w:pPr>
        <w:pStyle w:val="TOC3"/>
        <w:tabs>
          <w:tab w:val="right" w:leader="dot" w:pos="8630"/>
        </w:tabs>
        <w:rPr>
          <w:rFonts w:asciiTheme="minorHAnsi" w:eastAsiaTheme="minorEastAsia" w:hAnsiTheme="minorHAnsi" w:cstheme="minorBidi"/>
          <w:noProof/>
        </w:rPr>
      </w:pPr>
      <w:hyperlink w:anchor="_Toc140399878" w:history="1">
        <w:r w:rsidR="00D408AD" w:rsidRPr="00C544C6">
          <w:rPr>
            <w:rStyle w:val="Hyperlink"/>
            <w:rFonts w:cs="Times New Roman"/>
            <w:noProof/>
            <w:lang w:val="en-GB"/>
          </w:rPr>
          <w:t>Operating Modes</w:t>
        </w:r>
        <w:r w:rsidR="00D408AD">
          <w:rPr>
            <w:noProof/>
            <w:webHidden/>
          </w:rPr>
          <w:tab/>
        </w:r>
        <w:r w:rsidR="00D408AD">
          <w:rPr>
            <w:noProof/>
            <w:webHidden/>
          </w:rPr>
          <w:fldChar w:fldCharType="begin"/>
        </w:r>
        <w:r w:rsidR="00D408AD">
          <w:rPr>
            <w:noProof/>
            <w:webHidden/>
          </w:rPr>
          <w:instrText xml:space="preserve"> PAGEREF _Toc140399878 \h </w:instrText>
        </w:r>
        <w:r w:rsidR="00D408AD">
          <w:rPr>
            <w:noProof/>
            <w:webHidden/>
          </w:rPr>
        </w:r>
        <w:r w:rsidR="00D408AD">
          <w:rPr>
            <w:noProof/>
            <w:webHidden/>
          </w:rPr>
          <w:fldChar w:fldCharType="separate"/>
        </w:r>
        <w:r w:rsidR="00D408AD">
          <w:rPr>
            <w:noProof/>
            <w:webHidden/>
          </w:rPr>
          <w:t>124</w:t>
        </w:r>
        <w:r w:rsidR="00D408AD">
          <w:rPr>
            <w:noProof/>
            <w:webHidden/>
          </w:rPr>
          <w:fldChar w:fldCharType="end"/>
        </w:r>
      </w:hyperlink>
    </w:p>
    <w:p w14:paraId="5573A980" w14:textId="08B8796B" w:rsidR="00D408AD" w:rsidRDefault="00000000">
      <w:pPr>
        <w:pStyle w:val="TOC3"/>
        <w:tabs>
          <w:tab w:val="right" w:leader="dot" w:pos="8630"/>
        </w:tabs>
        <w:rPr>
          <w:rFonts w:asciiTheme="minorHAnsi" w:eastAsiaTheme="minorEastAsia" w:hAnsiTheme="minorHAnsi" w:cstheme="minorBidi"/>
          <w:noProof/>
        </w:rPr>
      </w:pPr>
      <w:hyperlink w:anchor="_Toc140399879" w:history="1">
        <w:r w:rsidR="00D408AD" w:rsidRPr="00C544C6">
          <w:rPr>
            <w:rStyle w:val="Hyperlink"/>
            <w:rFonts w:cs="Times New Roman"/>
            <w:noProof/>
            <w:lang w:val="en-GB"/>
          </w:rPr>
          <w:t>Component Models</w:t>
        </w:r>
        <w:r w:rsidR="00D408AD">
          <w:rPr>
            <w:noProof/>
            <w:webHidden/>
          </w:rPr>
          <w:tab/>
        </w:r>
        <w:r w:rsidR="00D408AD">
          <w:rPr>
            <w:noProof/>
            <w:webHidden/>
          </w:rPr>
          <w:fldChar w:fldCharType="begin"/>
        </w:r>
        <w:r w:rsidR="00D408AD">
          <w:rPr>
            <w:noProof/>
            <w:webHidden/>
          </w:rPr>
          <w:instrText xml:space="preserve"> PAGEREF _Toc140399879 \h </w:instrText>
        </w:r>
        <w:r w:rsidR="00D408AD">
          <w:rPr>
            <w:noProof/>
            <w:webHidden/>
          </w:rPr>
        </w:r>
        <w:r w:rsidR="00D408AD">
          <w:rPr>
            <w:noProof/>
            <w:webHidden/>
          </w:rPr>
          <w:fldChar w:fldCharType="separate"/>
        </w:r>
        <w:r w:rsidR="00D408AD">
          <w:rPr>
            <w:noProof/>
            <w:webHidden/>
          </w:rPr>
          <w:t>125</w:t>
        </w:r>
        <w:r w:rsidR="00D408AD">
          <w:rPr>
            <w:noProof/>
            <w:webHidden/>
          </w:rPr>
          <w:fldChar w:fldCharType="end"/>
        </w:r>
      </w:hyperlink>
    </w:p>
    <w:p w14:paraId="513A6F23" w14:textId="7964E1C5" w:rsidR="00D408AD" w:rsidRDefault="00000000">
      <w:pPr>
        <w:pStyle w:val="TOC3"/>
        <w:tabs>
          <w:tab w:val="right" w:leader="dot" w:pos="8630"/>
        </w:tabs>
        <w:rPr>
          <w:rFonts w:asciiTheme="minorHAnsi" w:eastAsiaTheme="minorEastAsia" w:hAnsiTheme="minorHAnsi" w:cstheme="minorBidi"/>
          <w:noProof/>
        </w:rPr>
      </w:pPr>
      <w:hyperlink w:anchor="_Toc140399880" w:history="1">
        <w:r w:rsidR="00D408AD" w:rsidRPr="00C544C6">
          <w:rPr>
            <w:rStyle w:val="Hyperlink"/>
            <w:rFonts w:cs="Times New Roman"/>
            <w:noProof/>
            <w:lang w:val="en-GB"/>
          </w:rPr>
          <w:t>Weather Data</w:t>
        </w:r>
        <w:r w:rsidR="00D408AD">
          <w:rPr>
            <w:noProof/>
            <w:webHidden/>
          </w:rPr>
          <w:tab/>
        </w:r>
        <w:r w:rsidR="00D408AD">
          <w:rPr>
            <w:noProof/>
            <w:webHidden/>
          </w:rPr>
          <w:fldChar w:fldCharType="begin"/>
        </w:r>
        <w:r w:rsidR="00D408AD">
          <w:rPr>
            <w:noProof/>
            <w:webHidden/>
          </w:rPr>
          <w:instrText xml:space="preserve"> PAGEREF _Toc140399880 \h </w:instrText>
        </w:r>
        <w:r w:rsidR="00D408AD">
          <w:rPr>
            <w:noProof/>
            <w:webHidden/>
          </w:rPr>
        </w:r>
        <w:r w:rsidR="00D408AD">
          <w:rPr>
            <w:noProof/>
            <w:webHidden/>
          </w:rPr>
          <w:fldChar w:fldCharType="separate"/>
        </w:r>
        <w:r w:rsidR="00D408AD">
          <w:rPr>
            <w:noProof/>
            <w:webHidden/>
          </w:rPr>
          <w:t>125</w:t>
        </w:r>
        <w:r w:rsidR="00D408AD">
          <w:rPr>
            <w:noProof/>
            <w:webHidden/>
          </w:rPr>
          <w:fldChar w:fldCharType="end"/>
        </w:r>
      </w:hyperlink>
    </w:p>
    <w:p w14:paraId="49C6712C" w14:textId="4E46D497" w:rsidR="00D408AD" w:rsidRDefault="00000000">
      <w:pPr>
        <w:pStyle w:val="TOC3"/>
        <w:tabs>
          <w:tab w:val="right" w:leader="dot" w:pos="8630"/>
        </w:tabs>
        <w:rPr>
          <w:rFonts w:asciiTheme="minorHAnsi" w:eastAsiaTheme="minorEastAsia" w:hAnsiTheme="minorHAnsi" w:cstheme="minorBidi"/>
          <w:noProof/>
        </w:rPr>
      </w:pPr>
      <w:hyperlink w:anchor="_Toc140399881" w:history="1">
        <w:r w:rsidR="00D408AD" w:rsidRPr="00C544C6">
          <w:rPr>
            <w:rStyle w:val="Hyperlink"/>
            <w:rFonts w:cs="Times New Roman"/>
            <w:noProof/>
            <w:lang w:val="en-GB"/>
          </w:rPr>
          <w:t>Utility Data</w:t>
        </w:r>
        <w:r w:rsidR="00D408AD">
          <w:rPr>
            <w:noProof/>
            <w:webHidden/>
          </w:rPr>
          <w:tab/>
        </w:r>
        <w:r w:rsidR="00D408AD">
          <w:rPr>
            <w:noProof/>
            <w:webHidden/>
          </w:rPr>
          <w:fldChar w:fldCharType="begin"/>
        </w:r>
        <w:r w:rsidR="00D408AD">
          <w:rPr>
            <w:noProof/>
            <w:webHidden/>
          </w:rPr>
          <w:instrText xml:space="preserve"> PAGEREF _Toc140399881 \h </w:instrText>
        </w:r>
        <w:r w:rsidR="00D408AD">
          <w:rPr>
            <w:noProof/>
            <w:webHidden/>
          </w:rPr>
        </w:r>
        <w:r w:rsidR="00D408AD">
          <w:rPr>
            <w:noProof/>
            <w:webHidden/>
          </w:rPr>
          <w:fldChar w:fldCharType="separate"/>
        </w:r>
        <w:r w:rsidR="00D408AD">
          <w:rPr>
            <w:noProof/>
            <w:webHidden/>
          </w:rPr>
          <w:t>128</w:t>
        </w:r>
        <w:r w:rsidR="00D408AD">
          <w:rPr>
            <w:noProof/>
            <w:webHidden/>
          </w:rPr>
          <w:fldChar w:fldCharType="end"/>
        </w:r>
      </w:hyperlink>
    </w:p>
    <w:p w14:paraId="5CF08E8F" w14:textId="56952AD1" w:rsidR="00D408AD" w:rsidRDefault="00000000">
      <w:pPr>
        <w:pStyle w:val="TOC3"/>
        <w:tabs>
          <w:tab w:val="right" w:leader="dot" w:pos="8630"/>
        </w:tabs>
        <w:rPr>
          <w:rFonts w:asciiTheme="minorHAnsi" w:eastAsiaTheme="minorEastAsia" w:hAnsiTheme="minorHAnsi" w:cstheme="minorBidi"/>
          <w:noProof/>
        </w:rPr>
      </w:pPr>
      <w:hyperlink w:anchor="_Toc140399882" w:history="1">
        <w:r w:rsidR="00D408AD" w:rsidRPr="00C544C6">
          <w:rPr>
            <w:rStyle w:val="Hyperlink"/>
            <w:rFonts w:cs="Times New Roman"/>
            <w:noProof/>
            <w:lang w:val="en-GB"/>
          </w:rPr>
          <w:t>TES Model</w:t>
        </w:r>
        <w:r w:rsidR="00D408AD">
          <w:rPr>
            <w:noProof/>
            <w:webHidden/>
          </w:rPr>
          <w:tab/>
        </w:r>
        <w:r w:rsidR="00D408AD">
          <w:rPr>
            <w:noProof/>
            <w:webHidden/>
          </w:rPr>
          <w:fldChar w:fldCharType="begin"/>
        </w:r>
        <w:r w:rsidR="00D408AD">
          <w:rPr>
            <w:noProof/>
            <w:webHidden/>
          </w:rPr>
          <w:instrText xml:space="preserve"> PAGEREF _Toc140399882 \h </w:instrText>
        </w:r>
        <w:r w:rsidR="00D408AD">
          <w:rPr>
            <w:noProof/>
            <w:webHidden/>
          </w:rPr>
        </w:r>
        <w:r w:rsidR="00D408AD">
          <w:rPr>
            <w:noProof/>
            <w:webHidden/>
          </w:rPr>
          <w:fldChar w:fldCharType="separate"/>
        </w:r>
        <w:r w:rsidR="00D408AD">
          <w:rPr>
            <w:noProof/>
            <w:webHidden/>
          </w:rPr>
          <w:t>128</w:t>
        </w:r>
        <w:r w:rsidR="00D408AD">
          <w:rPr>
            <w:noProof/>
            <w:webHidden/>
          </w:rPr>
          <w:fldChar w:fldCharType="end"/>
        </w:r>
      </w:hyperlink>
    </w:p>
    <w:p w14:paraId="1399DB2B" w14:textId="4F78BDAA" w:rsidR="00D408AD" w:rsidRDefault="00000000">
      <w:pPr>
        <w:pStyle w:val="TOC3"/>
        <w:tabs>
          <w:tab w:val="right" w:leader="dot" w:pos="8630"/>
        </w:tabs>
        <w:rPr>
          <w:rFonts w:asciiTheme="minorHAnsi" w:eastAsiaTheme="minorEastAsia" w:hAnsiTheme="minorHAnsi" w:cstheme="minorBidi"/>
          <w:noProof/>
        </w:rPr>
      </w:pPr>
      <w:hyperlink w:anchor="_Toc140399883" w:history="1">
        <w:r w:rsidR="00D408AD" w:rsidRPr="00C544C6">
          <w:rPr>
            <w:rStyle w:val="Hyperlink"/>
            <w:rFonts w:cs="Times New Roman"/>
            <w:noProof/>
            <w:lang w:val="en-GB"/>
          </w:rPr>
          <w:t>Thermostat Controls</w:t>
        </w:r>
        <w:r w:rsidR="00D408AD">
          <w:rPr>
            <w:noProof/>
            <w:webHidden/>
          </w:rPr>
          <w:tab/>
        </w:r>
        <w:r w:rsidR="00D408AD">
          <w:rPr>
            <w:noProof/>
            <w:webHidden/>
          </w:rPr>
          <w:fldChar w:fldCharType="begin"/>
        </w:r>
        <w:r w:rsidR="00D408AD">
          <w:rPr>
            <w:noProof/>
            <w:webHidden/>
          </w:rPr>
          <w:instrText xml:space="preserve"> PAGEREF _Toc140399883 \h </w:instrText>
        </w:r>
        <w:r w:rsidR="00D408AD">
          <w:rPr>
            <w:noProof/>
            <w:webHidden/>
          </w:rPr>
        </w:r>
        <w:r w:rsidR="00D408AD">
          <w:rPr>
            <w:noProof/>
            <w:webHidden/>
          </w:rPr>
          <w:fldChar w:fldCharType="separate"/>
        </w:r>
        <w:r w:rsidR="00D408AD">
          <w:rPr>
            <w:noProof/>
            <w:webHidden/>
          </w:rPr>
          <w:t>131</w:t>
        </w:r>
        <w:r w:rsidR="00D408AD">
          <w:rPr>
            <w:noProof/>
            <w:webHidden/>
          </w:rPr>
          <w:fldChar w:fldCharType="end"/>
        </w:r>
      </w:hyperlink>
    </w:p>
    <w:p w14:paraId="1079C496" w14:textId="7C838231" w:rsidR="00D408AD" w:rsidRDefault="00000000">
      <w:pPr>
        <w:pStyle w:val="TOC3"/>
        <w:tabs>
          <w:tab w:val="right" w:leader="dot" w:pos="8630"/>
        </w:tabs>
        <w:rPr>
          <w:rFonts w:asciiTheme="minorHAnsi" w:eastAsiaTheme="minorEastAsia" w:hAnsiTheme="minorHAnsi" w:cstheme="minorBidi"/>
          <w:noProof/>
        </w:rPr>
      </w:pPr>
      <w:hyperlink w:anchor="_Toc140399884" w:history="1">
        <w:r w:rsidR="00D408AD" w:rsidRPr="00C544C6">
          <w:rPr>
            <w:rStyle w:val="Hyperlink"/>
            <w:rFonts w:cs="Times New Roman"/>
            <w:noProof/>
            <w:lang w:val="en-GB"/>
          </w:rPr>
          <w:t>Heat Pump Model</w:t>
        </w:r>
        <w:r w:rsidR="00D408AD">
          <w:rPr>
            <w:noProof/>
            <w:webHidden/>
          </w:rPr>
          <w:tab/>
        </w:r>
        <w:r w:rsidR="00D408AD">
          <w:rPr>
            <w:noProof/>
            <w:webHidden/>
          </w:rPr>
          <w:fldChar w:fldCharType="begin"/>
        </w:r>
        <w:r w:rsidR="00D408AD">
          <w:rPr>
            <w:noProof/>
            <w:webHidden/>
          </w:rPr>
          <w:instrText xml:space="preserve"> PAGEREF _Toc140399884 \h </w:instrText>
        </w:r>
        <w:r w:rsidR="00D408AD">
          <w:rPr>
            <w:noProof/>
            <w:webHidden/>
          </w:rPr>
        </w:r>
        <w:r w:rsidR="00D408AD">
          <w:rPr>
            <w:noProof/>
            <w:webHidden/>
          </w:rPr>
          <w:fldChar w:fldCharType="separate"/>
        </w:r>
        <w:r w:rsidR="00D408AD">
          <w:rPr>
            <w:noProof/>
            <w:webHidden/>
          </w:rPr>
          <w:t>132</w:t>
        </w:r>
        <w:r w:rsidR="00D408AD">
          <w:rPr>
            <w:noProof/>
            <w:webHidden/>
          </w:rPr>
          <w:fldChar w:fldCharType="end"/>
        </w:r>
      </w:hyperlink>
    </w:p>
    <w:p w14:paraId="2A77584E" w14:textId="68B8648B" w:rsidR="00D408AD" w:rsidRDefault="00000000">
      <w:pPr>
        <w:pStyle w:val="TOC3"/>
        <w:tabs>
          <w:tab w:val="right" w:leader="dot" w:pos="8630"/>
        </w:tabs>
        <w:rPr>
          <w:rFonts w:asciiTheme="minorHAnsi" w:eastAsiaTheme="minorEastAsia" w:hAnsiTheme="minorHAnsi" w:cstheme="minorBidi"/>
          <w:noProof/>
        </w:rPr>
      </w:pPr>
      <w:hyperlink w:anchor="_Toc140399885" w:history="1">
        <w:r w:rsidR="00D408AD" w:rsidRPr="00C544C6">
          <w:rPr>
            <w:rStyle w:val="Hyperlink"/>
            <w:rFonts w:cs="Times New Roman"/>
            <w:noProof/>
            <w:lang w:val="en-GB"/>
          </w:rPr>
          <w:t>Building Model</w:t>
        </w:r>
        <w:r w:rsidR="00D408AD">
          <w:rPr>
            <w:noProof/>
            <w:webHidden/>
          </w:rPr>
          <w:tab/>
        </w:r>
        <w:r w:rsidR="00D408AD">
          <w:rPr>
            <w:noProof/>
            <w:webHidden/>
          </w:rPr>
          <w:fldChar w:fldCharType="begin"/>
        </w:r>
        <w:r w:rsidR="00D408AD">
          <w:rPr>
            <w:noProof/>
            <w:webHidden/>
          </w:rPr>
          <w:instrText xml:space="preserve"> PAGEREF _Toc140399885 \h </w:instrText>
        </w:r>
        <w:r w:rsidR="00D408AD">
          <w:rPr>
            <w:noProof/>
            <w:webHidden/>
          </w:rPr>
        </w:r>
        <w:r w:rsidR="00D408AD">
          <w:rPr>
            <w:noProof/>
            <w:webHidden/>
          </w:rPr>
          <w:fldChar w:fldCharType="separate"/>
        </w:r>
        <w:r w:rsidR="00D408AD">
          <w:rPr>
            <w:noProof/>
            <w:webHidden/>
          </w:rPr>
          <w:t>135</w:t>
        </w:r>
        <w:r w:rsidR="00D408AD">
          <w:rPr>
            <w:noProof/>
            <w:webHidden/>
          </w:rPr>
          <w:fldChar w:fldCharType="end"/>
        </w:r>
      </w:hyperlink>
    </w:p>
    <w:p w14:paraId="3F836973" w14:textId="133CAAD1" w:rsidR="00D408AD" w:rsidRDefault="00000000">
      <w:pPr>
        <w:pStyle w:val="TOC2"/>
        <w:tabs>
          <w:tab w:val="right" w:leader="dot" w:pos="8630"/>
        </w:tabs>
        <w:rPr>
          <w:rFonts w:asciiTheme="minorHAnsi" w:eastAsiaTheme="minorEastAsia" w:hAnsiTheme="minorHAnsi" w:cstheme="minorBidi"/>
          <w:noProof/>
        </w:rPr>
      </w:pPr>
      <w:hyperlink w:anchor="_Toc140399886" w:history="1">
        <w:r w:rsidR="00D408AD" w:rsidRPr="00C544C6">
          <w:rPr>
            <w:rStyle w:val="Hyperlink"/>
            <w:rFonts w:cs="Times New Roman"/>
            <w:noProof/>
            <w:lang w:val="en-GB"/>
          </w:rPr>
          <w:t>Results</w:t>
        </w:r>
        <w:r w:rsidR="00D408AD">
          <w:rPr>
            <w:noProof/>
            <w:webHidden/>
          </w:rPr>
          <w:tab/>
        </w:r>
        <w:r w:rsidR="00D408AD">
          <w:rPr>
            <w:noProof/>
            <w:webHidden/>
          </w:rPr>
          <w:fldChar w:fldCharType="begin"/>
        </w:r>
        <w:r w:rsidR="00D408AD">
          <w:rPr>
            <w:noProof/>
            <w:webHidden/>
          </w:rPr>
          <w:instrText xml:space="preserve"> PAGEREF _Toc140399886 \h </w:instrText>
        </w:r>
        <w:r w:rsidR="00D408AD">
          <w:rPr>
            <w:noProof/>
            <w:webHidden/>
          </w:rPr>
        </w:r>
        <w:r w:rsidR="00D408AD">
          <w:rPr>
            <w:noProof/>
            <w:webHidden/>
          </w:rPr>
          <w:fldChar w:fldCharType="separate"/>
        </w:r>
        <w:r w:rsidR="00D408AD">
          <w:rPr>
            <w:noProof/>
            <w:webHidden/>
          </w:rPr>
          <w:t>137</w:t>
        </w:r>
        <w:r w:rsidR="00D408AD">
          <w:rPr>
            <w:noProof/>
            <w:webHidden/>
          </w:rPr>
          <w:fldChar w:fldCharType="end"/>
        </w:r>
      </w:hyperlink>
    </w:p>
    <w:p w14:paraId="2F7134B3" w14:textId="2706D89F" w:rsidR="00D408AD" w:rsidRDefault="00000000">
      <w:pPr>
        <w:pStyle w:val="TOC3"/>
        <w:tabs>
          <w:tab w:val="right" w:leader="dot" w:pos="8630"/>
        </w:tabs>
        <w:rPr>
          <w:rFonts w:asciiTheme="minorHAnsi" w:eastAsiaTheme="minorEastAsia" w:hAnsiTheme="minorHAnsi" w:cstheme="minorBidi"/>
          <w:noProof/>
        </w:rPr>
      </w:pPr>
      <w:hyperlink w:anchor="_Toc140399887" w:history="1">
        <w:r w:rsidR="00D408AD" w:rsidRPr="00C544C6">
          <w:rPr>
            <w:rStyle w:val="Hyperlink"/>
            <w:rFonts w:cs="Times New Roman"/>
            <w:noProof/>
            <w:lang w:val="en-GB"/>
          </w:rPr>
          <w:t>Birmingham, Alabama</w:t>
        </w:r>
        <w:r w:rsidR="00D408AD">
          <w:rPr>
            <w:noProof/>
            <w:webHidden/>
          </w:rPr>
          <w:tab/>
        </w:r>
        <w:r w:rsidR="00D408AD">
          <w:rPr>
            <w:noProof/>
            <w:webHidden/>
          </w:rPr>
          <w:fldChar w:fldCharType="begin"/>
        </w:r>
        <w:r w:rsidR="00D408AD">
          <w:rPr>
            <w:noProof/>
            <w:webHidden/>
          </w:rPr>
          <w:instrText xml:space="preserve"> PAGEREF _Toc140399887 \h </w:instrText>
        </w:r>
        <w:r w:rsidR="00D408AD">
          <w:rPr>
            <w:noProof/>
            <w:webHidden/>
          </w:rPr>
        </w:r>
        <w:r w:rsidR="00D408AD">
          <w:rPr>
            <w:noProof/>
            <w:webHidden/>
          </w:rPr>
          <w:fldChar w:fldCharType="separate"/>
        </w:r>
        <w:r w:rsidR="00D408AD">
          <w:rPr>
            <w:noProof/>
            <w:webHidden/>
          </w:rPr>
          <w:t>138</w:t>
        </w:r>
        <w:r w:rsidR="00D408AD">
          <w:rPr>
            <w:noProof/>
            <w:webHidden/>
          </w:rPr>
          <w:fldChar w:fldCharType="end"/>
        </w:r>
      </w:hyperlink>
    </w:p>
    <w:p w14:paraId="24FF7B4A" w14:textId="65F11C1B" w:rsidR="00D408AD" w:rsidRDefault="00000000">
      <w:pPr>
        <w:pStyle w:val="TOC3"/>
        <w:tabs>
          <w:tab w:val="right" w:leader="dot" w:pos="8630"/>
        </w:tabs>
        <w:rPr>
          <w:rFonts w:asciiTheme="minorHAnsi" w:eastAsiaTheme="minorEastAsia" w:hAnsiTheme="minorHAnsi" w:cstheme="minorBidi"/>
          <w:noProof/>
        </w:rPr>
      </w:pPr>
      <w:hyperlink w:anchor="_Toc140399888" w:history="1">
        <w:r w:rsidR="00D408AD" w:rsidRPr="00C544C6">
          <w:rPr>
            <w:rStyle w:val="Hyperlink"/>
            <w:rFonts w:cs="Times New Roman"/>
            <w:noProof/>
            <w:lang w:val="en-GB"/>
          </w:rPr>
          <w:t>New York City, New York</w:t>
        </w:r>
        <w:r w:rsidR="00D408AD">
          <w:rPr>
            <w:noProof/>
            <w:webHidden/>
          </w:rPr>
          <w:tab/>
        </w:r>
        <w:r w:rsidR="00D408AD">
          <w:rPr>
            <w:noProof/>
            <w:webHidden/>
          </w:rPr>
          <w:fldChar w:fldCharType="begin"/>
        </w:r>
        <w:r w:rsidR="00D408AD">
          <w:rPr>
            <w:noProof/>
            <w:webHidden/>
          </w:rPr>
          <w:instrText xml:space="preserve"> PAGEREF _Toc140399888 \h </w:instrText>
        </w:r>
        <w:r w:rsidR="00D408AD">
          <w:rPr>
            <w:noProof/>
            <w:webHidden/>
          </w:rPr>
        </w:r>
        <w:r w:rsidR="00D408AD">
          <w:rPr>
            <w:noProof/>
            <w:webHidden/>
          </w:rPr>
          <w:fldChar w:fldCharType="separate"/>
        </w:r>
        <w:r w:rsidR="00D408AD">
          <w:rPr>
            <w:noProof/>
            <w:webHidden/>
          </w:rPr>
          <w:t>144</w:t>
        </w:r>
        <w:r w:rsidR="00D408AD">
          <w:rPr>
            <w:noProof/>
            <w:webHidden/>
          </w:rPr>
          <w:fldChar w:fldCharType="end"/>
        </w:r>
      </w:hyperlink>
    </w:p>
    <w:p w14:paraId="78298B90" w14:textId="77BFE5D1" w:rsidR="00D408AD" w:rsidRDefault="00000000">
      <w:pPr>
        <w:pStyle w:val="TOC3"/>
        <w:tabs>
          <w:tab w:val="right" w:leader="dot" w:pos="8630"/>
        </w:tabs>
        <w:rPr>
          <w:rFonts w:asciiTheme="minorHAnsi" w:eastAsiaTheme="minorEastAsia" w:hAnsiTheme="minorHAnsi" w:cstheme="minorBidi"/>
          <w:noProof/>
        </w:rPr>
      </w:pPr>
      <w:hyperlink w:anchor="_Toc140399889" w:history="1">
        <w:r w:rsidR="00D408AD" w:rsidRPr="00C544C6">
          <w:rPr>
            <w:rStyle w:val="Hyperlink"/>
            <w:rFonts w:cs="Times New Roman"/>
            <w:noProof/>
            <w:lang w:val="en-GB"/>
          </w:rPr>
          <w:t>Houston, Texas</w:t>
        </w:r>
        <w:r w:rsidR="00D408AD">
          <w:rPr>
            <w:noProof/>
            <w:webHidden/>
          </w:rPr>
          <w:tab/>
        </w:r>
        <w:r w:rsidR="00D408AD">
          <w:rPr>
            <w:noProof/>
            <w:webHidden/>
          </w:rPr>
          <w:fldChar w:fldCharType="begin"/>
        </w:r>
        <w:r w:rsidR="00D408AD">
          <w:rPr>
            <w:noProof/>
            <w:webHidden/>
          </w:rPr>
          <w:instrText xml:space="preserve"> PAGEREF _Toc140399889 \h </w:instrText>
        </w:r>
        <w:r w:rsidR="00D408AD">
          <w:rPr>
            <w:noProof/>
            <w:webHidden/>
          </w:rPr>
        </w:r>
        <w:r w:rsidR="00D408AD">
          <w:rPr>
            <w:noProof/>
            <w:webHidden/>
          </w:rPr>
          <w:fldChar w:fldCharType="separate"/>
        </w:r>
        <w:r w:rsidR="00D408AD">
          <w:rPr>
            <w:noProof/>
            <w:webHidden/>
          </w:rPr>
          <w:t>147</w:t>
        </w:r>
        <w:r w:rsidR="00D408AD">
          <w:rPr>
            <w:noProof/>
            <w:webHidden/>
          </w:rPr>
          <w:fldChar w:fldCharType="end"/>
        </w:r>
      </w:hyperlink>
    </w:p>
    <w:p w14:paraId="6CDC10AA" w14:textId="4AFA0F71" w:rsidR="00D408AD" w:rsidRDefault="00000000">
      <w:pPr>
        <w:pStyle w:val="TOC3"/>
        <w:tabs>
          <w:tab w:val="right" w:leader="dot" w:pos="8630"/>
        </w:tabs>
        <w:rPr>
          <w:rFonts w:asciiTheme="minorHAnsi" w:eastAsiaTheme="minorEastAsia" w:hAnsiTheme="minorHAnsi" w:cstheme="minorBidi"/>
          <w:noProof/>
        </w:rPr>
      </w:pPr>
      <w:hyperlink w:anchor="_Toc140399890" w:history="1">
        <w:r w:rsidR="00D408AD" w:rsidRPr="00C544C6">
          <w:rPr>
            <w:rStyle w:val="Hyperlink"/>
            <w:rFonts w:cs="Times New Roman"/>
            <w:noProof/>
            <w:lang w:val="en-GB"/>
          </w:rPr>
          <w:t>Discussion</w:t>
        </w:r>
        <w:r w:rsidR="00D408AD">
          <w:rPr>
            <w:noProof/>
            <w:webHidden/>
          </w:rPr>
          <w:tab/>
        </w:r>
        <w:r w:rsidR="00D408AD">
          <w:rPr>
            <w:noProof/>
            <w:webHidden/>
          </w:rPr>
          <w:fldChar w:fldCharType="begin"/>
        </w:r>
        <w:r w:rsidR="00D408AD">
          <w:rPr>
            <w:noProof/>
            <w:webHidden/>
          </w:rPr>
          <w:instrText xml:space="preserve"> PAGEREF _Toc140399890 \h </w:instrText>
        </w:r>
        <w:r w:rsidR="00D408AD">
          <w:rPr>
            <w:noProof/>
            <w:webHidden/>
          </w:rPr>
        </w:r>
        <w:r w:rsidR="00D408AD">
          <w:rPr>
            <w:noProof/>
            <w:webHidden/>
          </w:rPr>
          <w:fldChar w:fldCharType="separate"/>
        </w:r>
        <w:r w:rsidR="00D408AD">
          <w:rPr>
            <w:noProof/>
            <w:webHidden/>
          </w:rPr>
          <w:t>153</w:t>
        </w:r>
        <w:r w:rsidR="00D408AD">
          <w:rPr>
            <w:noProof/>
            <w:webHidden/>
          </w:rPr>
          <w:fldChar w:fldCharType="end"/>
        </w:r>
      </w:hyperlink>
    </w:p>
    <w:p w14:paraId="5178459D" w14:textId="7A160E7A" w:rsidR="00D408AD" w:rsidRDefault="00000000">
      <w:pPr>
        <w:pStyle w:val="TOC1"/>
        <w:tabs>
          <w:tab w:val="right" w:leader="dot" w:pos="8630"/>
        </w:tabs>
        <w:rPr>
          <w:rFonts w:asciiTheme="minorHAnsi" w:eastAsiaTheme="minorEastAsia" w:hAnsiTheme="minorHAnsi" w:cstheme="minorBidi"/>
          <w:noProof/>
        </w:rPr>
      </w:pPr>
      <w:hyperlink w:anchor="_Toc140399891" w:history="1">
        <w:r w:rsidR="00D408AD" w:rsidRPr="00C544C6">
          <w:rPr>
            <w:rStyle w:val="Hyperlink"/>
            <w:noProof/>
            <w:lang w:val="en-GB"/>
          </w:rPr>
          <w:t>Conclusions</w:t>
        </w:r>
        <w:r w:rsidR="00D408AD">
          <w:rPr>
            <w:noProof/>
            <w:webHidden/>
          </w:rPr>
          <w:tab/>
        </w:r>
        <w:r w:rsidR="00D408AD">
          <w:rPr>
            <w:noProof/>
            <w:webHidden/>
          </w:rPr>
          <w:fldChar w:fldCharType="begin"/>
        </w:r>
        <w:r w:rsidR="00D408AD">
          <w:rPr>
            <w:noProof/>
            <w:webHidden/>
          </w:rPr>
          <w:instrText xml:space="preserve"> PAGEREF _Toc140399891 \h </w:instrText>
        </w:r>
        <w:r w:rsidR="00D408AD">
          <w:rPr>
            <w:noProof/>
            <w:webHidden/>
          </w:rPr>
        </w:r>
        <w:r w:rsidR="00D408AD">
          <w:rPr>
            <w:noProof/>
            <w:webHidden/>
          </w:rPr>
          <w:fldChar w:fldCharType="separate"/>
        </w:r>
        <w:r w:rsidR="00D408AD">
          <w:rPr>
            <w:noProof/>
            <w:webHidden/>
          </w:rPr>
          <w:t>158</w:t>
        </w:r>
        <w:r w:rsidR="00D408AD">
          <w:rPr>
            <w:noProof/>
            <w:webHidden/>
          </w:rPr>
          <w:fldChar w:fldCharType="end"/>
        </w:r>
      </w:hyperlink>
    </w:p>
    <w:p w14:paraId="0E137B9E" w14:textId="15B7E2BF" w:rsidR="00D408AD" w:rsidRDefault="00000000">
      <w:pPr>
        <w:pStyle w:val="TOC1"/>
        <w:tabs>
          <w:tab w:val="right" w:leader="dot" w:pos="8630"/>
        </w:tabs>
        <w:rPr>
          <w:rFonts w:asciiTheme="minorHAnsi" w:eastAsiaTheme="minorEastAsia" w:hAnsiTheme="minorHAnsi" w:cstheme="minorBidi"/>
          <w:noProof/>
        </w:rPr>
      </w:pPr>
      <w:hyperlink w:anchor="_Toc140399892" w:history="1">
        <w:r w:rsidR="00D408AD" w:rsidRPr="00C544C6">
          <w:rPr>
            <w:rStyle w:val="Hyperlink"/>
            <w:rFonts w:cs="Times New Roman"/>
            <w:noProof/>
          </w:rPr>
          <w:t>CHAPTER V ANALYSIS ON HP-TES IN VARIOUS CLIMATE ZONES IN U.S. AND EXPERIMENTAL VALIDATION</w:t>
        </w:r>
        <w:r w:rsidR="00D408AD">
          <w:rPr>
            <w:noProof/>
            <w:webHidden/>
          </w:rPr>
          <w:tab/>
        </w:r>
        <w:r w:rsidR="00D408AD">
          <w:rPr>
            <w:noProof/>
            <w:webHidden/>
          </w:rPr>
          <w:fldChar w:fldCharType="begin"/>
        </w:r>
        <w:r w:rsidR="00D408AD">
          <w:rPr>
            <w:noProof/>
            <w:webHidden/>
          </w:rPr>
          <w:instrText xml:space="preserve"> PAGEREF _Toc140399892 \h </w:instrText>
        </w:r>
        <w:r w:rsidR="00D408AD">
          <w:rPr>
            <w:noProof/>
            <w:webHidden/>
          </w:rPr>
        </w:r>
        <w:r w:rsidR="00D408AD">
          <w:rPr>
            <w:noProof/>
            <w:webHidden/>
          </w:rPr>
          <w:fldChar w:fldCharType="separate"/>
        </w:r>
        <w:r w:rsidR="00D408AD">
          <w:rPr>
            <w:noProof/>
            <w:webHidden/>
          </w:rPr>
          <w:t>160</w:t>
        </w:r>
        <w:r w:rsidR="00D408AD">
          <w:rPr>
            <w:noProof/>
            <w:webHidden/>
          </w:rPr>
          <w:fldChar w:fldCharType="end"/>
        </w:r>
      </w:hyperlink>
    </w:p>
    <w:p w14:paraId="1C7A1F3D" w14:textId="015656FD" w:rsidR="00D408AD" w:rsidRDefault="00000000">
      <w:pPr>
        <w:pStyle w:val="TOC2"/>
        <w:tabs>
          <w:tab w:val="right" w:leader="dot" w:pos="8630"/>
        </w:tabs>
        <w:rPr>
          <w:rFonts w:asciiTheme="minorHAnsi" w:eastAsiaTheme="minorEastAsia" w:hAnsiTheme="minorHAnsi" w:cstheme="minorBidi"/>
          <w:noProof/>
        </w:rPr>
      </w:pPr>
      <w:hyperlink w:anchor="_Toc140399893" w:history="1">
        <w:r w:rsidR="00D408AD" w:rsidRPr="00C544C6">
          <w:rPr>
            <w:rStyle w:val="Hyperlink"/>
            <w:rFonts w:cs="Times New Roman"/>
            <w:noProof/>
          </w:rPr>
          <w:t>Abstract</w:t>
        </w:r>
        <w:r w:rsidR="00D408AD">
          <w:rPr>
            <w:noProof/>
            <w:webHidden/>
          </w:rPr>
          <w:tab/>
        </w:r>
        <w:r w:rsidR="00D408AD">
          <w:rPr>
            <w:noProof/>
            <w:webHidden/>
          </w:rPr>
          <w:fldChar w:fldCharType="begin"/>
        </w:r>
        <w:r w:rsidR="00D408AD">
          <w:rPr>
            <w:noProof/>
            <w:webHidden/>
          </w:rPr>
          <w:instrText xml:space="preserve"> PAGEREF _Toc140399893 \h </w:instrText>
        </w:r>
        <w:r w:rsidR="00D408AD">
          <w:rPr>
            <w:noProof/>
            <w:webHidden/>
          </w:rPr>
        </w:r>
        <w:r w:rsidR="00D408AD">
          <w:rPr>
            <w:noProof/>
            <w:webHidden/>
          </w:rPr>
          <w:fldChar w:fldCharType="separate"/>
        </w:r>
        <w:r w:rsidR="00D408AD">
          <w:rPr>
            <w:noProof/>
            <w:webHidden/>
          </w:rPr>
          <w:t>161</w:t>
        </w:r>
        <w:r w:rsidR="00D408AD">
          <w:rPr>
            <w:noProof/>
            <w:webHidden/>
          </w:rPr>
          <w:fldChar w:fldCharType="end"/>
        </w:r>
      </w:hyperlink>
    </w:p>
    <w:p w14:paraId="140D1B8A" w14:textId="40EB60FC" w:rsidR="00D408AD" w:rsidRDefault="00000000">
      <w:pPr>
        <w:pStyle w:val="TOC2"/>
        <w:tabs>
          <w:tab w:val="right" w:leader="dot" w:pos="8630"/>
        </w:tabs>
        <w:rPr>
          <w:rFonts w:asciiTheme="minorHAnsi" w:eastAsiaTheme="minorEastAsia" w:hAnsiTheme="minorHAnsi" w:cstheme="minorBidi"/>
          <w:noProof/>
        </w:rPr>
      </w:pPr>
      <w:hyperlink w:anchor="_Toc140399894" w:history="1">
        <w:r w:rsidR="00D408AD" w:rsidRPr="00C544C6">
          <w:rPr>
            <w:rStyle w:val="Hyperlink"/>
            <w:rFonts w:cs="Times New Roman"/>
            <w:noProof/>
          </w:rPr>
          <w:t>Research Questions</w:t>
        </w:r>
        <w:r w:rsidR="00D408AD">
          <w:rPr>
            <w:noProof/>
            <w:webHidden/>
          </w:rPr>
          <w:tab/>
        </w:r>
        <w:r w:rsidR="00D408AD">
          <w:rPr>
            <w:noProof/>
            <w:webHidden/>
          </w:rPr>
          <w:fldChar w:fldCharType="begin"/>
        </w:r>
        <w:r w:rsidR="00D408AD">
          <w:rPr>
            <w:noProof/>
            <w:webHidden/>
          </w:rPr>
          <w:instrText xml:space="preserve"> PAGEREF _Toc140399894 \h </w:instrText>
        </w:r>
        <w:r w:rsidR="00D408AD">
          <w:rPr>
            <w:noProof/>
            <w:webHidden/>
          </w:rPr>
        </w:r>
        <w:r w:rsidR="00D408AD">
          <w:rPr>
            <w:noProof/>
            <w:webHidden/>
          </w:rPr>
          <w:fldChar w:fldCharType="separate"/>
        </w:r>
        <w:r w:rsidR="00D408AD">
          <w:rPr>
            <w:noProof/>
            <w:webHidden/>
          </w:rPr>
          <w:t>161</w:t>
        </w:r>
        <w:r w:rsidR="00D408AD">
          <w:rPr>
            <w:noProof/>
            <w:webHidden/>
          </w:rPr>
          <w:fldChar w:fldCharType="end"/>
        </w:r>
      </w:hyperlink>
    </w:p>
    <w:p w14:paraId="55E62F55" w14:textId="422BE5C2" w:rsidR="00D408AD" w:rsidRDefault="00000000">
      <w:pPr>
        <w:pStyle w:val="TOC2"/>
        <w:tabs>
          <w:tab w:val="right" w:leader="dot" w:pos="8630"/>
        </w:tabs>
        <w:rPr>
          <w:rFonts w:asciiTheme="minorHAnsi" w:eastAsiaTheme="minorEastAsia" w:hAnsiTheme="minorHAnsi" w:cstheme="minorBidi"/>
          <w:noProof/>
        </w:rPr>
      </w:pPr>
      <w:hyperlink w:anchor="_Toc140399895" w:history="1">
        <w:r w:rsidR="00D408AD" w:rsidRPr="00C544C6">
          <w:rPr>
            <w:rStyle w:val="Hyperlink"/>
            <w:rFonts w:cs="Times New Roman"/>
            <w:noProof/>
          </w:rPr>
          <w:t>Background and Literature Review</w:t>
        </w:r>
        <w:r w:rsidR="00D408AD">
          <w:rPr>
            <w:noProof/>
            <w:webHidden/>
          </w:rPr>
          <w:tab/>
        </w:r>
        <w:r w:rsidR="00D408AD">
          <w:rPr>
            <w:noProof/>
            <w:webHidden/>
          </w:rPr>
          <w:fldChar w:fldCharType="begin"/>
        </w:r>
        <w:r w:rsidR="00D408AD">
          <w:rPr>
            <w:noProof/>
            <w:webHidden/>
          </w:rPr>
          <w:instrText xml:space="preserve"> PAGEREF _Toc140399895 \h </w:instrText>
        </w:r>
        <w:r w:rsidR="00D408AD">
          <w:rPr>
            <w:noProof/>
            <w:webHidden/>
          </w:rPr>
        </w:r>
        <w:r w:rsidR="00D408AD">
          <w:rPr>
            <w:noProof/>
            <w:webHidden/>
          </w:rPr>
          <w:fldChar w:fldCharType="separate"/>
        </w:r>
        <w:r w:rsidR="00D408AD">
          <w:rPr>
            <w:noProof/>
            <w:webHidden/>
          </w:rPr>
          <w:t>162</w:t>
        </w:r>
        <w:r w:rsidR="00D408AD">
          <w:rPr>
            <w:noProof/>
            <w:webHidden/>
          </w:rPr>
          <w:fldChar w:fldCharType="end"/>
        </w:r>
      </w:hyperlink>
    </w:p>
    <w:p w14:paraId="7AB2C48A" w14:textId="6F541533" w:rsidR="00D408AD" w:rsidRDefault="00000000">
      <w:pPr>
        <w:pStyle w:val="TOC3"/>
        <w:tabs>
          <w:tab w:val="right" w:leader="dot" w:pos="8630"/>
        </w:tabs>
        <w:rPr>
          <w:rFonts w:asciiTheme="minorHAnsi" w:eastAsiaTheme="minorEastAsia" w:hAnsiTheme="minorHAnsi" w:cstheme="minorBidi"/>
          <w:noProof/>
        </w:rPr>
      </w:pPr>
      <w:hyperlink w:anchor="_Toc140399896" w:history="1">
        <w:r w:rsidR="00D408AD" w:rsidRPr="00C544C6">
          <w:rPr>
            <w:rStyle w:val="Hyperlink"/>
            <w:noProof/>
            <w:lang w:val="en-GB"/>
          </w:rPr>
          <w:t>Marginal Grid Emissions</w:t>
        </w:r>
        <w:r w:rsidR="00D408AD">
          <w:rPr>
            <w:noProof/>
            <w:webHidden/>
          </w:rPr>
          <w:tab/>
        </w:r>
        <w:r w:rsidR="00D408AD">
          <w:rPr>
            <w:noProof/>
            <w:webHidden/>
          </w:rPr>
          <w:fldChar w:fldCharType="begin"/>
        </w:r>
        <w:r w:rsidR="00D408AD">
          <w:rPr>
            <w:noProof/>
            <w:webHidden/>
          </w:rPr>
          <w:instrText xml:space="preserve"> PAGEREF _Toc140399896 \h </w:instrText>
        </w:r>
        <w:r w:rsidR="00D408AD">
          <w:rPr>
            <w:noProof/>
            <w:webHidden/>
          </w:rPr>
        </w:r>
        <w:r w:rsidR="00D408AD">
          <w:rPr>
            <w:noProof/>
            <w:webHidden/>
          </w:rPr>
          <w:fldChar w:fldCharType="separate"/>
        </w:r>
        <w:r w:rsidR="00D408AD">
          <w:rPr>
            <w:noProof/>
            <w:webHidden/>
          </w:rPr>
          <w:t>164</w:t>
        </w:r>
        <w:r w:rsidR="00D408AD">
          <w:rPr>
            <w:noProof/>
            <w:webHidden/>
          </w:rPr>
          <w:fldChar w:fldCharType="end"/>
        </w:r>
      </w:hyperlink>
    </w:p>
    <w:p w14:paraId="372ADB38" w14:textId="5103782D" w:rsidR="00D408AD" w:rsidRDefault="00000000">
      <w:pPr>
        <w:pStyle w:val="TOC2"/>
        <w:tabs>
          <w:tab w:val="right" w:leader="dot" w:pos="8630"/>
        </w:tabs>
        <w:rPr>
          <w:rFonts w:asciiTheme="minorHAnsi" w:eastAsiaTheme="minorEastAsia" w:hAnsiTheme="minorHAnsi" w:cstheme="minorBidi"/>
          <w:noProof/>
        </w:rPr>
      </w:pPr>
      <w:hyperlink w:anchor="_Toc140399897" w:history="1">
        <w:r w:rsidR="00D408AD" w:rsidRPr="00C544C6">
          <w:rPr>
            <w:rStyle w:val="Hyperlink"/>
            <w:rFonts w:cs="Times New Roman"/>
            <w:noProof/>
            <w:lang w:val="en-GB"/>
          </w:rPr>
          <w:t>Case Study</w:t>
        </w:r>
        <w:r w:rsidR="00D408AD">
          <w:rPr>
            <w:noProof/>
            <w:webHidden/>
          </w:rPr>
          <w:tab/>
        </w:r>
        <w:r w:rsidR="00D408AD">
          <w:rPr>
            <w:noProof/>
            <w:webHidden/>
          </w:rPr>
          <w:fldChar w:fldCharType="begin"/>
        </w:r>
        <w:r w:rsidR="00D408AD">
          <w:rPr>
            <w:noProof/>
            <w:webHidden/>
          </w:rPr>
          <w:instrText xml:space="preserve"> PAGEREF _Toc140399897 \h </w:instrText>
        </w:r>
        <w:r w:rsidR="00D408AD">
          <w:rPr>
            <w:noProof/>
            <w:webHidden/>
          </w:rPr>
        </w:r>
        <w:r w:rsidR="00D408AD">
          <w:rPr>
            <w:noProof/>
            <w:webHidden/>
          </w:rPr>
          <w:fldChar w:fldCharType="separate"/>
        </w:r>
        <w:r w:rsidR="00D408AD">
          <w:rPr>
            <w:noProof/>
            <w:webHidden/>
          </w:rPr>
          <w:t>167</w:t>
        </w:r>
        <w:r w:rsidR="00D408AD">
          <w:rPr>
            <w:noProof/>
            <w:webHidden/>
          </w:rPr>
          <w:fldChar w:fldCharType="end"/>
        </w:r>
      </w:hyperlink>
    </w:p>
    <w:p w14:paraId="0228BB34" w14:textId="47780CAB" w:rsidR="00D408AD" w:rsidRDefault="00000000">
      <w:pPr>
        <w:pStyle w:val="TOC3"/>
        <w:tabs>
          <w:tab w:val="right" w:leader="dot" w:pos="8630"/>
        </w:tabs>
        <w:rPr>
          <w:rFonts w:asciiTheme="minorHAnsi" w:eastAsiaTheme="minorEastAsia" w:hAnsiTheme="minorHAnsi" w:cstheme="minorBidi"/>
          <w:noProof/>
        </w:rPr>
      </w:pPr>
      <w:hyperlink w:anchor="_Toc140399898" w:history="1">
        <w:r w:rsidR="00D408AD" w:rsidRPr="00C544C6">
          <w:rPr>
            <w:rStyle w:val="Hyperlink"/>
            <w:rFonts w:cs="Times New Roman"/>
            <w:noProof/>
          </w:rPr>
          <w:t>Methodology</w:t>
        </w:r>
        <w:r w:rsidR="00D408AD">
          <w:rPr>
            <w:noProof/>
            <w:webHidden/>
          </w:rPr>
          <w:tab/>
        </w:r>
        <w:r w:rsidR="00D408AD">
          <w:rPr>
            <w:noProof/>
            <w:webHidden/>
          </w:rPr>
          <w:fldChar w:fldCharType="begin"/>
        </w:r>
        <w:r w:rsidR="00D408AD">
          <w:rPr>
            <w:noProof/>
            <w:webHidden/>
          </w:rPr>
          <w:instrText xml:space="preserve"> PAGEREF _Toc140399898 \h </w:instrText>
        </w:r>
        <w:r w:rsidR="00D408AD">
          <w:rPr>
            <w:noProof/>
            <w:webHidden/>
          </w:rPr>
        </w:r>
        <w:r w:rsidR="00D408AD">
          <w:rPr>
            <w:noProof/>
            <w:webHidden/>
          </w:rPr>
          <w:fldChar w:fldCharType="separate"/>
        </w:r>
        <w:r w:rsidR="00D408AD">
          <w:rPr>
            <w:noProof/>
            <w:webHidden/>
          </w:rPr>
          <w:t>168</w:t>
        </w:r>
        <w:r w:rsidR="00D408AD">
          <w:rPr>
            <w:noProof/>
            <w:webHidden/>
          </w:rPr>
          <w:fldChar w:fldCharType="end"/>
        </w:r>
      </w:hyperlink>
    </w:p>
    <w:p w14:paraId="6FA274C8" w14:textId="318ED671" w:rsidR="00D408AD" w:rsidRDefault="00000000">
      <w:pPr>
        <w:pStyle w:val="TOC3"/>
        <w:tabs>
          <w:tab w:val="right" w:leader="dot" w:pos="8630"/>
        </w:tabs>
        <w:rPr>
          <w:rFonts w:asciiTheme="minorHAnsi" w:eastAsiaTheme="minorEastAsia" w:hAnsiTheme="minorHAnsi" w:cstheme="minorBidi"/>
          <w:noProof/>
        </w:rPr>
      </w:pPr>
      <w:hyperlink w:anchor="_Toc140399899" w:history="1">
        <w:r w:rsidR="00D408AD" w:rsidRPr="00C544C6">
          <w:rPr>
            <w:rStyle w:val="Hyperlink"/>
            <w:rFonts w:cs="Times New Roman"/>
            <w:noProof/>
          </w:rPr>
          <w:t>Component Models</w:t>
        </w:r>
        <w:r w:rsidR="00D408AD">
          <w:rPr>
            <w:noProof/>
            <w:webHidden/>
          </w:rPr>
          <w:tab/>
        </w:r>
        <w:r w:rsidR="00D408AD">
          <w:rPr>
            <w:noProof/>
            <w:webHidden/>
          </w:rPr>
          <w:fldChar w:fldCharType="begin"/>
        </w:r>
        <w:r w:rsidR="00D408AD">
          <w:rPr>
            <w:noProof/>
            <w:webHidden/>
          </w:rPr>
          <w:instrText xml:space="preserve"> PAGEREF _Toc140399899 \h </w:instrText>
        </w:r>
        <w:r w:rsidR="00D408AD">
          <w:rPr>
            <w:noProof/>
            <w:webHidden/>
          </w:rPr>
        </w:r>
        <w:r w:rsidR="00D408AD">
          <w:rPr>
            <w:noProof/>
            <w:webHidden/>
          </w:rPr>
          <w:fldChar w:fldCharType="separate"/>
        </w:r>
        <w:r w:rsidR="00D408AD">
          <w:rPr>
            <w:noProof/>
            <w:webHidden/>
          </w:rPr>
          <w:t>174</w:t>
        </w:r>
        <w:r w:rsidR="00D408AD">
          <w:rPr>
            <w:noProof/>
            <w:webHidden/>
          </w:rPr>
          <w:fldChar w:fldCharType="end"/>
        </w:r>
      </w:hyperlink>
    </w:p>
    <w:p w14:paraId="46671405" w14:textId="7CE5D7EF" w:rsidR="00D408AD" w:rsidRDefault="00000000">
      <w:pPr>
        <w:pStyle w:val="TOC3"/>
        <w:tabs>
          <w:tab w:val="right" w:leader="dot" w:pos="8630"/>
        </w:tabs>
        <w:rPr>
          <w:rFonts w:asciiTheme="minorHAnsi" w:eastAsiaTheme="minorEastAsia" w:hAnsiTheme="minorHAnsi" w:cstheme="minorBidi"/>
          <w:noProof/>
        </w:rPr>
      </w:pPr>
      <w:hyperlink w:anchor="_Toc140399900" w:history="1">
        <w:r w:rsidR="00D408AD" w:rsidRPr="00C544C6">
          <w:rPr>
            <w:rStyle w:val="Hyperlink"/>
            <w:rFonts w:cs="Times New Roman"/>
            <w:noProof/>
          </w:rPr>
          <w:t>Results and Discussion</w:t>
        </w:r>
        <w:r w:rsidR="00D408AD">
          <w:rPr>
            <w:noProof/>
            <w:webHidden/>
          </w:rPr>
          <w:tab/>
        </w:r>
        <w:r w:rsidR="00D408AD">
          <w:rPr>
            <w:noProof/>
            <w:webHidden/>
          </w:rPr>
          <w:fldChar w:fldCharType="begin"/>
        </w:r>
        <w:r w:rsidR="00D408AD">
          <w:rPr>
            <w:noProof/>
            <w:webHidden/>
          </w:rPr>
          <w:instrText xml:space="preserve"> PAGEREF _Toc140399900 \h </w:instrText>
        </w:r>
        <w:r w:rsidR="00D408AD">
          <w:rPr>
            <w:noProof/>
            <w:webHidden/>
          </w:rPr>
        </w:r>
        <w:r w:rsidR="00D408AD">
          <w:rPr>
            <w:noProof/>
            <w:webHidden/>
          </w:rPr>
          <w:fldChar w:fldCharType="separate"/>
        </w:r>
        <w:r w:rsidR="00D408AD">
          <w:rPr>
            <w:noProof/>
            <w:webHidden/>
          </w:rPr>
          <w:t>179</w:t>
        </w:r>
        <w:r w:rsidR="00D408AD">
          <w:rPr>
            <w:noProof/>
            <w:webHidden/>
          </w:rPr>
          <w:fldChar w:fldCharType="end"/>
        </w:r>
      </w:hyperlink>
    </w:p>
    <w:p w14:paraId="7B77DBDB" w14:textId="6E3E52A4" w:rsidR="00D408AD" w:rsidRDefault="00000000">
      <w:pPr>
        <w:pStyle w:val="TOC1"/>
        <w:tabs>
          <w:tab w:val="right" w:leader="dot" w:pos="8630"/>
        </w:tabs>
        <w:rPr>
          <w:rFonts w:asciiTheme="minorHAnsi" w:eastAsiaTheme="minorEastAsia" w:hAnsiTheme="minorHAnsi" w:cstheme="minorBidi"/>
          <w:noProof/>
        </w:rPr>
      </w:pPr>
      <w:hyperlink w:anchor="_Toc140399901" w:history="1">
        <w:r w:rsidR="00D408AD" w:rsidRPr="00C544C6">
          <w:rPr>
            <w:rStyle w:val="Hyperlink"/>
            <w:noProof/>
          </w:rPr>
          <w:t>Figure 58: Utility Cost reduced using TES.ConclusIONS</w:t>
        </w:r>
        <w:r w:rsidR="00D408AD">
          <w:rPr>
            <w:noProof/>
            <w:webHidden/>
          </w:rPr>
          <w:tab/>
        </w:r>
        <w:r w:rsidR="00D408AD">
          <w:rPr>
            <w:noProof/>
            <w:webHidden/>
          </w:rPr>
          <w:fldChar w:fldCharType="begin"/>
        </w:r>
        <w:r w:rsidR="00D408AD">
          <w:rPr>
            <w:noProof/>
            <w:webHidden/>
          </w:rPr>
          <w:instrText xml:space="preserve"> PAGEREF _Toc140399901 \h </w:instrText>
        </w:r>
        <w:r w:rsidR="00D408AD">
          <w:rPr>
            <w:noProof/>
            <w:webHidden/>
          </w:rPr>
        </w:r>
        <w:r w:rsidR="00D408AD">
          <w:rPr>
            <w:noProof/>
            <w:webHidden/>
          </w:rPr>
          <w:fldChar w:fldCharType="separate"/>
        </w:r>
        <w:r w:rsidR="00D408AD">
          <w:rPr>
            <w:noProof/>
            <w:webHidden/>
          </w:rPr>
          <w:t>183</w:t>
        </w:r>
        <w:r w:rsidR="00D408AD">
          <w:rPr>
            <w:noProof/>
            <w:webHidden/>
          </w:rPr>
          <w:fldChar w:fldCharType="end"/>
        </w:r>
      </w:hyperlink>
    </w:p>
    <w:p w14:paraId="403A4ACF" w14:textId="2613780B" w:rsidR="00D408AD" w:rsidRDefault="00000000">
      <w:pPr>
        <w:pStyle w:val="TOC2"/>
        <w:tabs>
          <w:tab w:val="right" w:leader="dot" w:pos="8630"/>
        </w:tabs>
        <w:rPr>
          <w:rFonts w:asciiTheme="minorHAnsi" w:eastAsiaTheme="minorEastAsia" w:hAnsiTheme="minorHAnsi" w:cstheme="minorBidi"/>
          <w:noProof/>
        </w:rPr>
      </w:pPr>
      <w:hyperlink w:anchor="_Toc140399902" w:history="1">
        <w:r w:rsidR="00D408AD" w:rsidRPr="00C544C6">
          <w:rPr>
            <w:rStyle w:val="Hyperlink"/>
            <w:rFonts w:cs="Times New Roman"/>
            <w:noProof/>
          </w:rPr>
          <w:t>Annual Simulations</w:t>
        </w:r>
        <w:r w:rsidR="00D408AD">
          <w:rPr>
            <w:noProof/>
            <w:webHidden/>
          </w:rPr>
          <w:tab/>
        </w:r>
        <w:r w:rsidR="00D408AD">
          <w:rPr>
            <w:noProof/>
            <w:webHidden/>
          </w:rPr>
          <w:fldChar w:fldCharType="begin"/>
        </w:r>
        <w:r w:rsidR="00D408AD">
          <w:rPr>
            <w:noProof/>
            <w:webHidden/>
          </w:rPr>
          <w:instrText xml:space="preserve"> PAGEREF _Toc140399902 \h </w:instrText>
        </w:r>
        <w:r w:rsidR="00D408AD">
          <w:rPr>
            <w:noProof/>
            <w:webHidden/>
          </w:rPr>
        </w:r>
        <w:r w:rsidR="00D408AD">
          <w:rPr>
            <w:noProof/>
            <w:webHidden/>
          </w:rPr>
          <w:fldChar w:fldCharType="separate"/>
        </w:r>
        <w:r w:rsidR="00D408AD">
          <w:rPr>
            <w:noProof/>
            <w:webHidden/>
          </w:rPr>
          <w:t>185</w:t>
        </w:r>
        <w:r w:rsidR="00D408AD">
          <w:rPr>
            <w:noProof/>
            <w:webHidden/>
          </w:rPr>
          <w:fldChar w:fldCharType="end"/>
        </w:r>
      </w:hyperlink>
    </w:p>
    <w:p w14:paraId="1754B08F" w14:textId="43934B43" w:rsidR="00D408AD" w:rsidRDefault="00000000">
      <w:pPr>
        <w:pStyle w:val="TOC3"/>
        <w:tabs>
          <w:tab w:val="right" w:leader="dot" w:pos="8630"/>
        </w:tabs>
        <w:rPr>
          <w:rFonts w:asciiTheme="minorHAnsi" w:eastAsiaTheme="minorEastAsia" w:hAnsiTheme="minorHAnsi" w:cstheme="minorBidi"/>
          <w:noProof/>
        </w:rPr>
      </w:pPr>
      <w:hyperlink w:anchor="_Toc140399903" w:history="1">
        <w:r w:rsidR="00D408AD" w:rsidRPr="00C544C6">
          <w:rPr>
            <w:rStyle w:val="Hyperlink"/>
            <w:rFonts w:cs="Times New Roman"/>
            <w:noProof/>
          </w:rPr>
          <w:t>Overview</w:t>
        </w:r>
        <w:r w:rsidR="00D408AD">
          <w:rPr>
            <w:noProof/>
            <w:webHidden/>
          </w:rPr>
          <w:tab/>
        </w:r>
        <w:r w:rsidR="00D408AD">
          <w:rPr>
            <w:noProof/>
            <w:webHidden/>
          </w:rPr>
          <w:fldChar w:fldCharType="begin"/>
        </w:r>
        <w:r w:rsidR="00D408AD">
          <w:rPr>
            <w:noProof/>
            <w:webHidden/>
          </w:rPr>
          <w:instrText xml:space="preserve"> PAGEREF _Toc140399903 \h </w:instrText>
        </w:r>
        <w:r w:rsidR="00D408AD">
          <w:rPr>
            <w:noProof/>
            <w:webHidden/>
          </w:rPr>
        </w:r>
        <w:r w:rsidR="00D408AD">
          <w:rPr>
            <w:noProof/>
            <w:webHidden/>
          </w:rPr>
          <w:fldChar w:fldCharType="separate"/>
        </w:r>
        <w:r w:rsidR="00D408AD">
          <w:rPr>
            <w:noProof/>
            <w:webHidden/>
          </w:rPr>
          <w:t>185</w:t>
        </w:r>
        <w:r w:rsidR="00D408AD">
          <w:rPr>
            <w:noProof/>
            <w:webHidden/>
          </w:rPr>
          <w:fldChar w:fldCharType="end"/>
        </w:r>
      </w:hyperlink>
    </w:p>
    <w:p w14:paraId="27060AC2" w14:textId="0DD78BD5" w:rsidR="00D408AD" w:rsidRDefault="00000000">
      <w:pPr>
        <w:pStyle w:val="TOC3"/>
        <w:tabs>
          <w:tab w:val="right" w:leader="dot" w:pos="8630"/>
        </w:tabs>
        <w:rPr>
          <w:rFonts w:asciiTheme="minorHAnsi" w:eastAsiaTheme="minorEastAsia" w:hAnsiTheme="minorHAnsi" w:cstheme="minorBidi"/>
          <w:noProof/>
        </w:rPr>
      </w:pPr>
      <w:hyperlink w:anchor="_Toc140399904" w:history="1">
        <w:r w:rsidR="00D408AD" w:rsidRPr="00C544C6">
          <w:rPr>
            <w:rStyle w:val="Hyperlink"/>
            <w:rFonts w:cs="Times New Roman"/>
            <w:noProof/>
          </w:rPr>
          <w:t>MATLAB flow chart</w:t>
        </w:r>
        <w:r w:rsidR="00D408AD">
          <w:rPr>
            <w:noProof/>
            <w:webHidden/>
          </w:rPr>
          <w:tab/>
        </w:r>
        <w:r w:rsidR="00D408AD">
          <w:rPr>
            <w:noProof/>
            <w:webHidden/>
          </w:rPr>
          <w:fldChar w:fldCharType="begin"/>
        </w:r>
        <w:r w:rsidR="00D408AD">
          <w:rPr>
            <w:noProof/>
            <w:webHidden/>
          </w:rPr>
          <w:instrText xml:space="preserve"> PAGEREF _Toc140399904 \h </w:instrText>
        </w:r>
        <w:r w:rsidR="00D408AD">
          <w:rPr>
            <w:noProof/>
            <w:webHidden/>
          </w:rPr>
        </w:r>
        <w:r w:rsidR="00D408AD">
          <w:rPr>
            <w:noProof/>
            <w:webHidden/>
          </w:rPr>
          <w:fldChar w:fldCharType="separate"/>
        </w:r>
        <w:r w:rsidR="00D408AD">
          <w:rPr>
            <w:noProof/>
            <w:webHidden/>
          </w:rPr>
          <w:t>185</w:t>
        </w:r>
        <w:r w:rsidR="00D408AD">
          <w:rPr>
            <w:noProof/>
            <w:webHidden/>
          </w:rPr>
          <w:fldChar w:fldCharType="end"/>
        </w:r>
      </w:hyperlink>
    </w:p>
    <w:p w14:paraId="2DD77FC8" w14:textId="43FD10EA" w:rsidR="00D408AD" w:rsidRDefault="00000000">
      <w:pPr>
        <w:pStyle w:val="TOC3"/>
        <w:tabs>
          <w:tab w:val="right" w:leader="dot" w:pos="8630"/>
        </w:tabs>
        <w:rPr>
          <w:rFonts w:asciiTheme="minorHAnsi" w:eastAsiaTheme="minorEastAsia" w:hAnsiTheme="minorHAnsi" w:cstheme="minorBidi"/>
          <w:noProof/>
        </w:rPr>
      </w:pPr>
      <w:hyperlink w:anchor="_Toc140399905" w:history="1">
        <w:r w:rsidR="00D408AD" w:rsidRPr="00C544C6">
          <w:rPr>
            <w:rStyle w:val="Hyperlink"/>
            <w:rFonts w:cs="Times New Roman"/>
            <w:noProof/>
          </w:rPr>
          <w:t>Thermostat model</w:t>
        </w:r>
        <w:r w:rsidR="00D408AD">
          <w:rPr>
            <w:noProof/>
            <w:webHidden/>
          </w:rPr>
          <w:tab/>
        </w:r>
        <w:r w:rsidR="00D408AD">
          <w:rPr>
            <w:noProof/>
            <w:webHidden/>
          </w:rPr>
          <w:fldChar w:fldCharType="begin"/>
        </w:r>
        <w:r w:rsidR="00D408AD">
          <w:rPr>
            <w:noProof/>
            <w:webHidden/>
          </w:rPr>
          <w:instrText xml:space="preserve"> PAGEREF _Toc140399905 \h </w:instrText>
        </w:r>
        <w:r w:rsidR="00D408AD">
          <w:rPr>
            <w:noProof/>
            <w:webHidden/>
          </w:rPr>
        </w:r>
        <w:r w:rsidR="00D408AD">
          <w:rPr>
            <w:noProof/>
            <w:webHidden/>
          </w:rPr>
          <w:fldChar w:fldCharType="separate"/>
        </w:r>
        <w:r w:rsidR="00D408AD">
          <w:rPr>
            <w:noProof/>
            <w:webHidden/>
          </w:rPr>
          <w:t>188</w:t>
        </w:r>
        <w:r w:rsidR="00D408AD">
          <w:rPr>
            <w:noProof/>
            <w:webHidden/>
          </w:rPr>
          <w:fldChar w:fldCharType="end"/>
        </w:r>
      </w:hyperlink>
    </w:p>
    <w:p w14:paraId="3F4DE430" w14:textId="229B15AD" w:rsidR="00D408AD" w:rsidRDefault="00000000">
      <w:pPr>
        <w:pStyle w:val="TOC3"/>
        <w:tabs>
          <w:tab w:val="right" w:leader="dot" w:pos="8630"/>
        </w:tabs>
        <w:rPr>
          <w:rFonts w:asciiTheme="minorHAnsi" w:eastAsiaTheme="minorEastAsia" w:hAnsiTheme="minorHAnsi" w:cstheme="minorBidi"/>
          <w:noProof/>
        </w:rPr>
      </w:pPr>
      <w:hyperlink w:anchor="_Toc140399906" w:history="1">
        <w:r w:rsidR="00D408AD" w:rsidRPr="00C544C6">
          <w:rPr>
            <w:rStyle w:val="Hyperlink"/>
            <w:rFonts w:cs="Times New Roman"/>
            <w:noProof/>
          </w:rPr>
          <w:t>Building Model</w:t>
        </w:r>
        <w:r w:rsidR="00D408AD">
          <w:rPr>
            <w:noProof/>
            <w:webHidden/>
          </w:rPr>
          <w:tab/>
        </w:r>
        <w:r w:rsidR="00D408AD">
          <w:rPr>
            <w:noProof/>
            <w:webHidden/>
          </w:rPr>
          <w:fldChar w:fldCharType="begin"/>
        </w:r>
        <w:r w:rsidR="00D408AD">
          <w:rPr>
            <w:noProof/>
            <w:webHidden/>
          </w:rPr>
          <w:instrText xml:space="preserve"> PAGEREF _Toc140399906 \h </w:instrText>
        </w:r>
        <w:r w:rsidR="00D408AD">
          <w:rPr>
            <w:noProof/>
            <w:webHidden/>
          </w:rPr>
        </w:r>
        <w:r w:rsidR="00D408AD">
          <w:rPr>
            <w:noProof/>
            <w:webHidden/>
          </w:rPr>
          <w:fldChar w:fldCharType="separate"/>
        </w:r>
        <w:r w:rsidR="00D408AD">
          <w:rPr>
            <w:noProof/>
            <w:webHidden/>
          </w:rPr>
          <w:t>188</w:t>
        </w:r>
        <w:r w:rsidR="00D408AD">
          <w:rPr>
            <w:noProof/>
            <w:webHidden/>
          </w:rPr>
          <w:fldChar w:fldCharType="end"/>
        </w:r>
      </w:hyperlink>
    </w:p>
    <w:p w14:paraId="2A37D8AF" w14:textId="5532E61D" w:rsidR="00D408AD" w:rsidRDefault="00000000">
      <w:pPr>
        <w:pStyle w:val="TOC3"/>
        <w:tabs>
          <w:tab w:val="right" w:leader="dot" w:pos="8630"/>
        </w:tabs>
        <w:rPr>
          <w:rFonts w:asciiTheme="minorHAnsi" w:eastAsiaTheme="minorEastAsia" w:hAnsiTheme="minorHAnsi" w:cstheme="minorBidi"/>
          <w:noProof/>
        </w:rPr>
      </w:pPr>
      <w:hyperlink w:anchor="_Toc140399907" w:history="1">
        <w:r w:rsidR="00D408AD" w:rsidRPr="00C544C6">
          <w:rPr>
            <w:rStyle w:val="Hyperlink"/>
            <w:rFonts w:cs="Times New Roman"/>
            <w:noProof/>
          </w:rPr>
          <w:t>HP Model</w:t>
        </w:r>
        <w:r w:rsidR="00D408AD">
          <w:rPr>
            <w:noProof/>
            <w:webHidden/>
          </w:rPr>
          <w:tab/>
        </w:r>
        <w:r w:rsidR="00D408AD">
          <w:rPr>
            <w:noProof/>
            <w:webHidden/>
          </w:rPr>
          <w:fldChar w:fldCharType="begin"/>
        </w:r>
        <w:r w:rsidR="00D408AD">
          <w:rPr>
            <w:noProof/>
            <w:webHidden/>
          </w:rPr>
          <w:instrText xml:space="preserve"> PAGEREF _Toc140399907 \h </w:instrText>
        </w:r>
        <w:r w:rsidR="00D408AD">
          <w:rPr>
            <w:noProof/>
            <w:webHidden/>
          </w:rPr>
        </w:r>
        <w:r w:rsidR="00D408AD">
          <w:rPr>
            <w:noProof/>
            <w:webHidden/>
          </w:rPr>
          <w:fldChar w:fldCharType="separate"/>
        </w:r>
        <w:r w:rsidR="00D408AD">
          <w:rPr>
            <w:noProof/>
            <w:webHidden/>
          </w:rPr>
          <w:t>192</w:t>
        </w:r>
        <w:r w:rsidR="00D408AD">
          <w:rPr>
            <w:noProof/>
            <w:webHidden/>
          </w:rPr>
          <w:fldChar w:fldCharType="end"/>
        </w:r>
      </w:hyperlink>
    </w:p>
    <w:p w14:paraId="3B8083D9" w14:textId="491EB386" w:rsidR="00D408AD" w:rsidRDefault="00000000">
      <w:pPr>
        <w:pStyle w:val="TOC3"/>
        <w:tabs>
          <w:tab w:val="right" w:leader="dot" w:pos="8630"/>
        </w:tabs>
        <w:rPr>
          <w:rFonts w:asciiTheme="minorHAnsi" w:eastAsiaTheme="minorEastAsia" w:hAnsiTheme="minorHAnsi" w:cstheme="minorBidi"/>
          <w:noProof/>
        </w:rPr>
      </w:pPr>
      <w:hyperlink w:anchor="_Toc140399908" w:history="1">
        <w:r w:rsidR="00D408AD" w:rsidRPr="00C544C6">
          <w:rPr>
            <w:rStyle w:val="Hyperlink"/>
            <w:noProof/>
          </w:rPr>
          <w:t>Operating modes</w:t>
        </w:r>
        <w:r w:rsidR="00D408AD">
          <w:rPr>
            <w:noProof/>
            <w:webHidden/>
          </w:rPr>
          <w:tab/>
        </w:r>
        <w:r w:rsidR="00D408AD">
          <w:rPr>
            <w:noProof/>
            <w:webHidden/>
          </w:rPr>
          <w:fldChar w:fldCharType="begin"/>
        </w:r>
        <w:r w:rsidR="00D408AD">
          <w:rPr>
            <w:noProof/>
            <w:webHidden/>
          </w:rPr>
          <w:instrText xml:space="preserve"> PAGEREF _Toc140399908 \h </w:instrText>
        </w:r>
        <w:r w:rsidR="00D408AD">
          <w:rPr>
            <w:noProof/>
            <w:webHidden/>
          </w:rPr>
        </w:r>
        <w:r w:rsidR="00D408AD">
          <w:rPr>
            <w:noProof/>
            <w:webHidden/>
          </w:rPr>
          <w:fldChar w:fldCharType="separate"/>
        </w:r>
        <w:r w:rsidR="00D408AD">
          <w:rPr>
            <w:noProof/>
            <w:webHidden/>
          </w:rPr>
          <w:t>192</w:t>
        </w:r>
        <w:r w:rsidR="00D408AD">
          <w:rPr>
            <w:noProof/>
            <w:webHidden/>
          </w:rPr>
          <w:fldChar w:fldCharType="end"/>
        </w:r>
      </w:hyperlink>
    </w:p>
    <w:p w14:paraId="4C4EE03E" w14:textId="4D9DFE97" w:rsidR="00D408AD" w:rsidRDefault="00000000">
      <w:pPr>
        <w:pStyle w:val="TOC3"/>
        <w:tabs>
          <w:tab w:val="right" w:leader="dot" w:pos="8630"/>
        </w:tabs>
        <w:rPr>
          <w:rFonts w:asciiTheme="minorHAnsi" w:eastAsiaTheme="minorEastAsia" w:hAnsiTheme="minorHAnsi" w:cstheme="minorBidi"/>
          <w:noProof/>
        </w:rPr>
      </w:pPr>
      <w:hyperlink w:anchor="_Toc140399909" w:history="1">
        <w:r w:rsidR="00D408AD" w:rsidRPr="00C544C6">
          <w:rPr>
            <w:rStyle w:val="Hyperlink"/>
            <w:rFonts w:cs="Times New Roman"/>
            <w:noProof/>
          </w:rPr>
          <w:t>Configurations</w:t>
        </w:r>
        <w:r w:rsidR="00D408AD">
          <w:rPr>
            <w:noProof/>
            <w:webHidden/>
          </w:rPr>
          <w:tab/>
        </w:r>
        <w:r w:rsidR="00D408AD">
          <w:rPr>
            <w:noProof/>
            <w:webHidden/>
          </w:rPr>
          <w:fldChar w:fldCharType="begin"/>
        </w:r>
        <w:r w:rsidR="00D408AD">
          <w:rPr>
            <w:noProof/>
            <w:webHidden/>
          </w:rPr>
          <w:instrText xml:space="preserve"> PAGEREF _Toc140399909 \h </w:instrText>
        </w:r>
        <w:r w:rsidR="00D408AD">
          <w:rPr>
            <w:noProof/>
            <w:webHidden/>
          </w:rPr>
        </w:r>
        <w:r w:rsidR="00D408AD">
          <w:rPr>
            <w:noProof/>
            <w:webHidden/>
          </w:rPr>
          <w:fldChar w:fldCharType="separate"/>
        </w:r>
        <w:r w:rsidR="00D408AD">
          <w:rPr>
            <w:noProof/>
            <w:webHidden/>
          </w:rPr>
          <w:t>194</w:t>
        </w:r>
        <w:r w:rsidR="00D408AD">
          <w:rPr>
            <w:noProof/>
            <w:webHidden/>
          </w:rPr>
          <w:fldChar w:fldCharType="end"/>
        </w:r>
      </w:hyperlink>
    </w:p>
    <w:p w14:paraId="08FD7E26" w14:textId="7A6567E0" w:rsidR="00D408AD" w:rsidRDefault="00000000">
      <w:pPr>
        <w:pStyle w:val="TOC3"/>
        <w:tabs>
          <w:tab w:val="right" w:leader="dot" w:pos="8630"/>
        </w:tabs>
        <w:rPr>
          <w:rFonts w:asciiTheme="minorHAnsi" w:eastAsiaTheme="minorEastAsia" w:hAnsiTheme="minorHAnsi" w:cstheme="minorBidi"/>
          <w:noProof/>
        </w:rPr>
      </w:pPr>
      <w:hyperlink w:anchor="_Toc140399910" w:history="1">
        <w:r w:rsidR="00D408AD" w:rsidRPr="00C544C6">
          <w:rPr>
            <w:rStyle w:val="Hyperlink"/>
            <w:rFonts w:cs="Times New Roman"/>
            <w:noProof/>
          </w:rPr>
          <w:t>TES Model</w:t>
        </w:r>
        <w:r w:rsidR="00D408AD">
          <w:rPr>
            <w:noProof/>
            <w:webHidden/>
          </w:rPr>
          <w:tab/>
        </w:r>
        <w:r w:rsidR="00D408AD">
          <w:rPr>
            <w:noProof/>
            <w:webHidden/>
          </w:rPr>
          <w:fldChar w:fldCharType="begin"/>
        </w:r>
        <w:r w:rsidR="00D408AD">
          <w:rPr>
            <w:noProof/>
            <w:webHidden/>
          </w:rPr>
          <w:instrText xml:space="preserve"> PAGEREF _Toc140399910 \h </w:instrText>
        </w:r>
        <w:r w:rsidR="00D408AD">
          <w:rPr>
            <w:noProof/>
            <w:webHidden/>
          </w:rPr>
        </w:r>
        <w:r w:rsidR="00D408AD">
          <w:rPr>
            <w:noProof/>
            <w:webHidden/>
          </w:rPr>
          <w:fldChar w:fldCharType="separate"/>
        </w:r>
        <w:r w:rsidR="00D408AD">
          <w:rPr>
            <w:noProof/>
            <w:webHidden/>
          </w:rPr>
          <w:t>194</w:t>
        </w:r>
        <w:r w:rsidR="00D408AD">
          <w:rPr>
            <w:noProof/>
            <w:webHidden/>
          </w:rPr>
          <w:fldChar w:fldCharType="end"/>
        </w:r>
      </w:hyperlink>
    </w:p>
    <w:p w14:paraId="7FDD2030" w14:textId="77EC8648" w:rsidR="00D408AD" w:rsidRDefault="00000000">
      <w:pPr>
        <w:pStyle w:val="TOC3"/>
        <w:tabs>
          <w:tab w:val="right" w:leader="dot" w:pos="8630"/>
        </w:tabs>
        <w:rPr>
          <w:rFonts w:asciiTheme="minorHAnsi" w:eastAsiaTheme="minorEastAsia" w:hAnsiTheme="minorHAnsi" w:cstheme="minorBidi"/>
          <w:noProof/>
        </w:rPr>
      </w:pPr>
      <w:hyperlink w:anchor="_Toc140399911" w:history="1">
        <w:r w:rsidR="00D408AD" w:rsidRPr="00C544C6">
          <w:rPr>
            <w:rStyle w:val="Hyperlink"/>
            <w:noProof/>
          </w:rPr>
          <w:t>Controls logic</w:t>
        </w:r>
        <w:r w:rsidR="00D408AD">
          <w:rPr>
            <w:noProof/>
            <w:webHidden/>
          </w:rPr>
          <w:tab/>
        </w:r>
        <w:r w:rsidR="00D408AD">
          <w:rPr>
            <w:noProof/>
            <w:webHidden/>
          </w:rPr>
          <w:fldChar w:fldCharType="begin"/>
        </w:r>
        <w:r w:rsidR="00D408AD">
          <w:rPr>
            <w:noProof/>
            <w:webHidden/>
          </w:rPr>
          <w:instrText xml:space="preserve"> PAGEREF _Toc140399911 \h </w:instrText>
        </w:r>
        <w:r w:rsidR="00D408AD">
          <w:rPr>
            <w:noProof/>
            <w:webHidden/>
          </w:rPr>
        </w:r>
        <w:r w:rsidR="00D408AD">
          <w:rPr>
            <w:noProof/>
            <w:webHidden/>
          </w:rPr>
          <w:fldChar w:fldCharType="separate"/>
        </w:r>
        <w:r w:rsidR="00D408AD">
          <w:rPr>
            <w:noProof/>
            <w:webHidden/>
          </w:rPr>
          <w:t>203</w:t>
        </w:r>
        <w:r w:rsidR="00D408AD">
          <w:rPr>
            <w:noProof/>
            <w:webHidden/>
          </w:rPr>
          <w:fldChar w:fldCharType="end"/>
        </w:r>
      </w:hyperlink>
    </w:p>
    <w:p w14:paraId="6128CDF7" w14:textId="324FEDF2" w:rsidR="00D408AD" w:rsidRDefault="00000000">
      <w:pPr>
        <w:pStyle w:val="TOC2"/>
        <w:tabs>
          <w:tab w:val="right" w:leader="dot" w:pos="8630"/>
        </w:tabs>
        <w:rPr>
          <w:rFonts w:asciiTheme="minorHAnsi" w:eastAsiaTheme="minorEastAsia" w:hAnsiTheme="minorHAnsi" w:cstheme="minorBidi"/>
          <w:noProof/>
        </w:rPr>
      </w:pPr>
      <w:hyperlink w:anchor="_Toc140399912" w:history="1">
        <w:r w:rsidR="00D408AD" w:rsidRPr="00C544C6">
          <w:rPr>
            <w:rStyle w:val="Hyperlink"/>
            <w:rFonts w:cs="Times New Roman"/>
            <w:noProof/>
          </w:rPr>
          <w:t>Experimental Validation</w:t>
        </w:r>
        <w:r w:rsidR="00D408AD">
          <w:rPr>
            <w:noProof/>
            <w:webHidden/>
          </w:rPr>
          <w:tab/>
        </w:r>
        <w:r w:rsidR="00D408AD">
          <w:rPr>
            <w:noProof/>
            <w:webHidden/>
          </w:rPr>
          <w:fldChar w:fldCharType="begin"/>
        </w:r>
        <w:r w:rsidR="00D408AD">
          <w:rPr>
            <w:noProof/>
            <w:webHidden/>
          </w:rPr>
          <w:instrText xml:space="preserve"> PAGEREF _Toc140399912 \h </w:instrText>
        </w:r>
        <w:r w:rsidR="00D408AD">
          <w:rPr>
            <w:noProof/>
            <w:webHidden/>
          </w:rPr>
        </w:r>
        <w:r w:rsidR="00D408AD">
          <w:rPr>
            <w:noProof/>
            <w:webHidden/>
          </w:rPr>
          <w:fldChar w:fldCharType="separate"/>
        </w:r>
        <w:r w:rsidR="00D408AD">
          <w:rPr>
            <w:noProof/>
            <w:webHidden/>
          </w:rPr>
          <w:t>203</w:t>
        </w:r>
        <w:r w:rsidR="00D408AD">
          <w:rPr>
            <w:noProof/>
            <w:webHidden/>
          </w:rPr>
          <w:fldChar w:fldCharType="end"/>
        </w:r>
      </w:hyperlink>
    </w:p>
    <w:p w14:paraId="757278BC" w14:textId="285E5B38" w:rsidR="00D408AD" w:rsidRDefault="00000000">
      <w:pPr>
        <w:pStyle w:val="TOC3"/>
        <w:tabs>
          <w:tab w:val="right" w:leader="dot" w:pos="8630"/>
        </w:tabs>
        <w:rPr>
          <w:rFonts w:asciiTheme="minorHAnsi" w:eastAsiaTheme="minorEastAsia" w:hAnsiTheme="minorHAnsi" w:cstheme="minorBidi"/>
          <w:noProof/>
        </w:rPr>
      </w:pPr>
      <w:hyperlink w:anchor="_Toc140399913" w:history="1">
        <w:r w:rsidR="00D408AD" w:rsidRPr="00C544C6">
          <w:rPr>
            <w:rStyle w:val="Hyperlink"/>
            <w:rFonts w:cs="Times New Roman"/>
            <w:noProof/>
          </w:rPr>
          <w:t>Building RC Model</w:t>
        </w:r>
        <w:r w:rsidR="00D408AD">
          <w:rPr>
            <w:noProof/>
            <w:webHidden/>
          </w:rPr>
          <w:tab/>
        </w:r>
        <w:r w:rsidR="00D408AD">
          <w:rPr>
            <w:noProof/>
            <w:webHidden/>
          </w:rPr>
          <w:fldChar w:fldCharType="begin"/>
        </w:r>
        <w:r w:rsidR="00D408AD">
          <w:rPr>
            <w:noProof/>
            <w:webHidden/>
          </w:rPr>
          <w:instrText xml:space="preserve"> PAGEREF _Toc140399913 \h </w:instrText>
        </w:r>
        <w:r w:rsidR="00D408AD">
          <w:rPr>
            <w:noProof/>
            <w:webHidden/>
          </w:rPr>
        </w:r>
        <w:r w:rsidR="00D408AD">
          <w:rPr>
            <w:noProof/>
            <w:webHidden/>
          </w:rPr>
          <w:fldChar w:fldCharType="separate"/>
        </w:r>
        <w:r w:rsidR="00D408AD">
          <w:rPr>
            <w:noProof/>
            <w:webHidden/>
          </w:rPr>
          <w:t>206</w:t>
        </w:r>
        <w:r w:rsidR="00D408AD">
          <w:rPr>
            <w:noProof/>
            <w:webHidden/>
          </w:rPr>
          <w:fldChar w:fldCharType="end"/>
        </w:r>
      </w:hyperlink>
    </w:p>
    <w:p w14:paraId="438EB5BD" w14:textId="461627C9" w:rsidR="00D408AD" w:rsidRDefault="00000000">
      <w:pPr>
        <w:pStyle w:val="TOC3"/>
        <w:tabs>
          <w:tab w:val="right" w:leader="dot" w:pos="8630"/>
        </w:tabs>
        <w:rPr>
          <w:rFonts w:asciiTheme="minorHAnsi" w:eastAsiaTheme="minorEastAsia" w:hAnsiTheme="minorHAnsi" w:cstheme="minorBidi"/>
          <w:noProof/>
        </w:rPr>
      </w:pPr>
      <w:hyperlink w:anchor="_Toc140399914" w:history="1">
        <w:r w:rsidR="00D408AD" w:rsidRPr="00C544C6">
          <w:rPr>
            <w:rStyle w:val="Hyperlink"/>
            <w:rFonts w:cs="Times New Roman"/>
            <w:noProof/>
          </w:rPr>
          <w:t>Experimental setup with HP in FRP-2</w:t>
        </w:r>
        <w:r w:rsidR="00D408AD">
          <w:rPr>
            <w:noProof/>
            <w:webHidden/>
          </w:rPr>
          <w:tab/>
        </w:r>
        <w:r w:rsidR="00D408AD">
          <w:rPr>
            <w:noProof/>
            <w:webHidden/>
          </w:rPr>
          <w:fldChar w:fldCharType="begin"/>
        </w:r>
        <w:r w:rsidR="00D408AD">
          <w:rPr>
            <w:noProof/>
            <w:webHidden/>
          </w:rPr>
          <w:instrText xml:space="preserve"> PAGEREF _Toc140399914 \h </w:instrText>
        </w:r>
        <w:r w:rsidR="00D408AD">
          <w:rPr>
            <w:noProof/>
            <w:webHidden/>
          </w:rPr>
        </w:r>
        <w:r w:rsidR="00D408AD">
          <w:rPr>
            <w:noProof/>
            <w:webHidden/>
          </w:rPr>
          <w:fldChar w:fldCharType="separate"/>
        </w:r>
        <w:r w:rsidR="00D408AD">
          <w:rPr>
            <w:noProof/>
            <w:webHidden/>
          </w:rPr>
          <w:t>211</w:t>
        </w:r>
        <w:r w:rsidR="00D408AD">
          <w:rPr>
            <w:noProof/>
            <w:webHidden/>
          </w:rPr>
          <w:fldChar w:fldCharType="end"/>
        </w:r>
      </w:hyperlink>
    </w:p>
    <w:p w14:paraId="54DEEDCC" w14:textId="5DB019A3" w:rsidR="00D408AD" w:rsidRDefault="00000000">
      <w:pPr>
        <w:pStyle w:val="TOC3"/>
        <w:tabs>
          <w:tab w:val="right" w:leader="dot" w:pos="8630"/>
        </w:tabs>
        <w:rPr>
          <w:rFonts w:asciiTheme="minorHAnsi" w:eastAsiaTheme="minorEastAsia" w:hAnsiTheme="minorHAnsi" w:cstheme="minorBidi"/>
          <w:noProof/>
        </w:rPr>
      </w:pPr>
      <w:hyperlink w:anchor="_Toc140399915" w:history="1">
        <w:r w:rsidR="00D408AD" w:rsidRPr="00C544C6">
          <w:rPr>
            <w:rStyle w:val="Hyperlink"/>
            <w:rFonts w:cs="Times New Roman"/>
            <w:noProof/>
          </w:rPr>
          <w:t>PCM Heat exchanger and HP-TES integration</w:t>
        </w:r>
        <w:r w:rsidR="00D408AD">
          <w:rPr>
            <w:noProof/>
            <w:webHidden/>
          </w:rPr>
          <w:tab/>
        </w:r>
        <w:r w:rsidR="00D408AD">
          <w:rPr>
            <w:noProof/>
            <w:webHidden/>
          </w:rPr>
          <w:fldChar w:fldCharType="begin"/>
        </w:r>
        <w:r w:rsidR="00D408AD">
          <w:rPr>
            <w:noProof/>
            <w:webHidden/>
          </w:rPr>
          <w:instrText xml:space="preserve"> PAGEREF _Toc140399915 \h </w:instrText>
        </w:r>
        <w:r w:rsidR="00D408AD">
          <w:rPr>
            <w:noProof/>
            <w:webHidden/>
          </w:rPr>
        </w:r>
        <w:r w:rsidR="00D408AD">
          <w:rPr>
            <w:noProof/>
            <w:webHidden/>
          </w:rPr>
          <w:fldChar w:fldCharType="separate"/>
        </w:r>
        <w:r w:rsidR="00D408AD">
          <w:rPr>
            <w:noProof/>
            <w:webHidden/>
          </w:rPr>
          <w:t>211</w:t>
        </w:r>
        <w:r w:rsidR="00D408AD">
          <w:rPr>
            <w:noProof/>
            <w:webHidden/>
          </w:rPr>
          <w:fldChar w:fldCharType="end"/>
        </w:r>
      </w:hyperlink>
    </w:p>
    <w:p w14:paraId="075598A9" w14:textId="2CE7B1FB" w:rsidR="00D408AD" w:rsidRDefault="00000000">
      <w:pPr>
        <w:pStyle w:val="TOC2"/>
        <w:tabs>
          <w:tab w:val="right" w:leader="dot" w:pos="8630"/>
        </w:tabs>
        <w:rPr>
          <w:rFonts w:asciiTheme="minorHAnsi" w:eastAsiaTheme="minorEastAsia" w:hAnsiTheme="minorHAnsi" w:cstheme="minorBidi"/>
          <w:noProof/>
        </w:rPr>
      </w:pPr>
      <w:hyperlink w:anchor="_Toc140399916" w:history="1">
        <w:r w:rsidR="00D408AD" w:rsidRPr="00C544C6">
          <w:rPr>
            <w:rStyle w:val="Hyperlink"/>
            <w:rFonts w:cs="Times New Roman"/>
            <w:noProof/>
          </w:rPr>
          <w:t>Analysis</w:t>
        </w:r>
        <w:r w:rsidR="00D408AD">
          <w:rPr>
            <w:noProof/>
            <w:webHidden/>
          </w:rPr>
          <w:tab/>
        </w:r>
        <w:r w:rsidR="00D408AD">
          <w:rPr>
            <w:noProof/>
            <w:webHidden/>
          </w:rPr>
          <w:fldChar w:fldCharType="begin"/>
        </w:r>
        <w:r w:rsidR="00D408AD">
          <w:rPr>
            <w:noProof/>
            <w:webHidden/>
          </w:rPr>
          <w:instrText xml:space="preserve"> PAGEREF _Toc140399916 \h </w:instrText>
        </w:r>
        <w:r w:rsidR="00D408AD">
          <w:rPr>
            <w:noProof/>
            <w:webHidden/>
          </w:rPr>
        </w:r>
        <w:r w:rsidR="00D408AD">
          <w:rPr>
            <w:noProof/>
            <w:webHidden/>
          </w:rPr>
          <w:fldChar w:fldCharType="separate"/>
        </w:r>
        <w:r w:rsidR="00D408AD">
          <w:rPr>
            <w:noProof/>
            <w:webHidden/>
          </w:rPr>
          <w:t>215</w:t>
        </w:r>
        <w:r w:rsidR="00D408AD">
          <w:rPr>
            <w:noProof/>
            <w:webHidden/>
          </w:rPr>
          <w:fldChar w:fldCharType="end"/>
        </w:r>
      </w:hyperlink>
    </w:p>
    <w:p w14:paraId="79CE2DEF" w14:textId="5ACEA715" w:rsidR="00D408AD" w:rsidRDefault="00000000">
      <w:pPr>
        <w:pStyle w:val="TOC3"/>
        <w:tabs>
          <w:tab w:val="right" w:leader="dot" w:pos="8630"/>
        </w:tabs>
        <w:rPr>
          <w:rFonts w:asciiTheme="minorHAnsi" w:eastAsiaTheme="minorEastAsia" w:hAnsiTheme="minorHAnsi" w:cstheme="minorBidi"/>
          <w:noProof/>
        </w:rPr>
      </w:pPr>
      <w:hyperlink w:anchor="_Toc140399917" w:history="1">
        <w:r w:rsidR="00D408AD" w:rsidRPr="00C544C6">
          <w:rPr>
            <w:rStyle w:val="Hyperlink"/>
            <w:rFonts w:cs="Times New Roman"/>
            <w:noProof/>
          </w:rPr>
          <w:t>Climate Zone and Input Data</w:t>
        </w:r>
        <w:r w:rsidR="00D408AD">
          <w:rPr>
            <w:noProof/>
            <w:webHidden/>
          </w:rPr>
          <w:tab/>
        </w:r>
        <w:r w:rsidR="00D408AD">
          <w:rPr>
            <w:noProof/>
            <w:webHidden/>
          </w:rPr>
          <w:fldChar w:fldCharType="begin"/>
        </w:r>
        <w:r w:rsidR="00D408AD">
          <w:rPr>
            <w:noProof/>
            <w:webHidden/>
          </w:rPr>
          <w:instrText xml:space="preserve"> PAGEREF _Toc140399917 \h </w:instrText>
        </w:r>
        <w:r w:rsidR="00D408AD">
          <w:rPr>
            <w:noProof/>
            <w:webHidden/>
          </w:rPr>
        </w:r>
        <w:r w:rsidR="00D408AD">
          <w:rPr>
            <w:noProof/>
            <w:webHidden/>
          </w:rPr>
          <w:fldChar w:fldCharType="separate"/>
        </w:r>
        <w:r w:rsidR="00D408AD">
          <w:rPr>
            <w:noProof/>
            <w:webHidden/>
          </w:rPr>
          <w:t>215</w:t>
        </w:r>
        <w:r w:rsidR="00D408AD">
          <w:rPr>
            <w:noProof/>
            <w:webHidden/>
          </w:rPr>
          <w:fldChar w:fldCharType="end"/>
        </w:r>
      </w:hyperlink>
    </w:p>
    <w:p w14:paraId="75C51FE9" w14:textId="1138798E" w:rsidR="00D408AD" w:rsidRDefault="00000000">
      <w:pPr>
        <w:pStyle w:val="TOC3"/>
        <w:tabs>
          <w:tab w:val="right" w:leader="dot" w:pos="8630"/>
        </w:tabs>
        <w:rPr>
          <w:rFonts w:asciiTheme="minorHAnsi" w:eastAsiaTheme="minorEastAsia" w:hAnsiTheme="minorHAnsi" w:cstheme="minorBidi"/>
          <w:noProof/>
        </w:rPr>
      </w:pPr>
      <w:hyperlink w:anchor="_Toc140399918" w:history="1">
        <w:r w:rsidR="00D408AD" w:rsidRPr="00C544C6">
          <w:rPr>
            <w:rStyle w:val="Hyperlink"/>
            <w:noProof/>
          </w:rPr>
          <w:t>Analysis on Baltimore, MD</w:t>
        </w:r>
        <w:r w:rsidR="00D408AD">
          <w:rPr>
            <w:noProof/>
            <w:webHidden/>
          </w:rPr>
          <w:tab/>
        </w:r>
        <w:r w:rsidR="00D408AD">
          <w:rPr>
            <w:noProof/>
            <w:webHidden/>
          </w:rPr>
          <w:fldChar w:fldCharType="begin"/>
        </w:r>
        <w:r w:rsidR="00D408AD">
          <w:rPr>
            <w:noProof/>
            <w:webHidden/>
          </w:rPr>
          <w:instrText xml:space="preserve"> PAGEREF _Toc140399918 \h </w:instrText>
        </w:r>
        <w:r w:rsidR="00D408AD">
          <w:rPr>
            <w:noProof/>
            <w:webHidden/>
          </w:rPr>
        </w:r>
        <w:r w:rsidR="00D408AD">
          <w:rPr>
            <w:noProof/>
            <w:webHidden/>
          </w:rPr>
          <w:fldChar w:fldCharType="separate"/>
        </w:r>
        <w:r w:rsidR="00D408AD">
          <w:rPr>
            <w:noProof/>
            <w:webHidden/>
          </w:rPr>
          <w:t>221</w:t>
        </w:r>
        <w:r w:rsidR="00D408AD">
          <w:rPr>
            <w:noProof/>
            <w:webHidden/>
          </w:rPr>
          <w:fldChar w:fldCharType="end"/>
        </w:r>
      </w:hyperlink>
    </w:p>
    <w:p w14:paraId="266611AD" w14:textId="05E762AC" w:rsidR="00D408AD" w:rsidRDefault="00000000">
      <w:pPr>
        <w:pStyle w:val="TOC3"/>
        <w:tabs>
          <w:tab w:val="right" w:leader="dot" w:pos="8630"/>
        </w:tabs>
        <w:rPr>
          <w:rFonts w:asciiTheme="minorHAnsi" w:eastAsiaTheme="minorEastAsia" w:hAnsiTheme="minorHAnsi" w:cstheme="minorBidi"/>
          <w:noProof/>
        </w:rPr>
      </w:pPr>
      <w:hyperlink w:anchor="_Toc140399919" w:history="1">
        <w:r w:rsidR="00D408AD" w:rsidRPr="00C544C6">
          <w:rPr>
            <w:rStyle w:val="Hyperlink"/>
            <w:noProof/>
          </w:rPr>
          <w:t>Analysis on Golden, CO</w:t>
        </w:r>
        <w:r w:rsidR="00D408AD">
          <w:rPr>
            <w:noProof/>
            <w:webHidden/>
          </w:rPr>
          <w:tab/>
        </w:r>
        <w:r w:rsidR="00D408AD">
          <w:rPr>
            <w:noProof/>
            <w:webHidden/>
          </w:rPr>
          <w:fldChar w:fldCharType="begin"/>
        </w:r>
        <w:r w:rsidR="00D408AD">
          <w:rPr>
            <w:noProof/>
            <w:webHidden/>
          </w:rPr>
          <w:instrText xml:space="preserve"> PAGEREF _Toc140399919 \h </w:instrText>
        </w:r>
        <w:r w:rsidR="00D408AD">
          <w:rPr>
            <w:noProof/>
            <w:webHidden/>
          </w:rPr>
        </w:r>
        <w:r w:rsidR="00D408AD">
          <w:rPr>
            <w:noProof/>
            <w:webHidden/>
          </w:rPr>
          <w:fldChar w:fldCharType="separate"/>
        </w:r>
        <w:r w:rsidR="00D408AD">
          <w:rPr>
            <w:noProof/>
            <w:webHidden/>
          </w:rPr>
          <w:t>221</w:t>
        </w:r>
        <w:r w:rsidR="00D408AD">
          <w:rPr>
            <w:noProof/>
            <w:webHidden/>
          </w:rPr>
          <w:fldChar w:fldCharType="end"/>
        </w:r>
      </w:hyperlink>
    </w:p>
    <w:p w14:paraId="34C0E035" w14:textId="055E2C64" w:rsidR="00D408AD" w:rsidRDefault="00000000">
      <w:pPr>
        <w:pStyle w:val="TOC3"/>
        <w:tabs>
          <w:tab w:val="right" w:leader="dot" w:pos="8630"/>
        </w:tabs>
        <w:rPr>
          <w:rFonts w:asciiTheme="minorHAnsi" w:eastAsiaTheme="minorEastAsia" w:hAnsiTheme="minorHAnsi" w:cstheme="minorBidi"/>
          <w:noProof/>
        </w:rPr>
      </w:pPr>
      <w:hyperlink w:anchor="_Toc140399920" w:history="1">
        <w:r w:rsidR="00D408AD" w:rsidRPr="00C544C6">
          <w:rPr>
            <w:rStyle w:val="Hyperlink"/>
            <w:noProof/>
          </w:rPr>
          <w:t>Analysis on Sacramento, CA</w:t>
        </w:r>
        <w:r w:rsidR="00D408AD">
          <w:rPr>
            <w:noProof/>
            <w:webHidden/>
          </w:rPr>
          <w:tab/>
        </w:r>
        <w:r w:rsidR="00D408AD">
          <w:rPr>
            <w:noProof/>
            <w:webHidden/>
          </w:rPr>
          <w:fldChar w:fldCharType="begin"/>
        </w:r>
        <w:r w:rsidR="00D408AD">
          <w:rPr>
            <w:noProof/>
            <w:webHidden/>
          </w:rPr>
          <w:instrText xml:space="preserve"> PAGEREF _Toc140399920 \h </w:instrText>
        </w:r>
        <w:r w:rsidR="00D408AD">
          <w:rPr>
            <w:noProof/>
            <w:webHidden/>
          </w:rPr>
        </w:r>
        <w:r w:rsidR="00D408AD">
          <w:rPr>
            <w:noProof/>
            <w:webHidden/>
          </w:rPr>
          <w:fldChar w:fldCharType="separate"/>
        </w:r>
        <w:r w:rsidR="00D408AD">
          <w:rPr>
            <w:noProof/>
            <w:webHidden/>
          </w:rPr>
          <w:t>221</w:t>
        </w:r>
        <w:r w:rsidR="00D408AD">
          <w:rPr>
            <w:noProof/>
            <w:webHidden/>
          </w:rPr>
          <w:fldChar w:fldCharType="end"/>
        </w:r>
      </w:hyperlink>
    </w:p>
    <w:p w14:paraId="66661A3B" w14:textId="34F432A3" w:rsidR="00D408AD" w:rsidRDefault="00000000">
      <w:pPr>
        <w:pStyle w:val="TOC2"/>
        <w:tabs>
          <w:tab w:val="right" w:leader="dot" w:pos="8630"/>
        </w:tabs>
        <w:rPr>
          <w:rFonts w:asciiTheme="minorHAnsi" w:eastAsiaTheme="minorEastAsia" w:hAnsiTheme="minorHAnsi" w:cstheme="minorBidi"/>
          <w:noProof/>
        </w:rPr>
      </w:pPr>
      <w:hyperlink w:anchor="_Toc140399921" w:history="1">
        <w:r w:rsidR="00D408AD" w:rsidRPr="00C544C6">
          <w:rPr>
            <w:rStyle w:val="Hyperlink"/>
            <w:rFonts w:cs="Times New Roman"/>
            <w:noProof/>
          </w:rPr>
          <w:t>Conclusions</w:t>
        </w:r>
        <w:r w:rsidR="00D408AD">
          <w:rPr>
            <w:noProof/>
            <w:webHidden/>
          </w:rPr>
          <w:tab/>
        </w:r>
        <w:r w:rsidR="00D408AD">
          <w:rPr>
            <w:noProof/>
            <w:webHidden/>
          </w:rPr>
          <w:fldChar w:fldCharType="begin"/>
        </w:r>
        <w:r w:rsidR="00D408AD">
          <w:rPr>
            <w:noProof/>
            <w:webHidden/>
          </w:rPr>
          <w:instrText xml:space="preserve"> PAGEREF _Toc140399921 \h </w:instrText>
        </w:r>
        <w:r w:rsidR="00D408AD">
          <w:rPr>
            <w:noProof/>
            <w:webHidden/>
          </w:rPr>
        </w:r>
        <w:r w:rsidR="00D408AD">
          <w:rPr>
            <w:noProof/>
            <w:webHidden/>
          </w:rPr>
          <w:fldChar w:fldCharType="separate"/>
        </w:r>
        <w:r w:rsidR="00D408AD">
          <w:rPr>
            <w:noProof/>
            <w:webHidden/>
          </w:rPr>
          <w:t>225</w:t>
        </w:r>
        <w:r w:rsidR="00D408AD">
          <w:rPr>
            <w:noProof/>
            <w:webHidden/>
          </w:rPr>
          <w:fldChar w:fldCharType="end"/>
        </w:r>
      </w:hyperlink>
    </w:p>
    <w:p w14:paraId="7609467C" w14:textId="3BC918E6" w:rsidR="00D408AD" w:rsidRDefault="00000000">
      <w:pPr>
        <w:pStyle w:val="TOC2"/>
        <w:tabs>
          <w:tab w:val="right" w:leader="dot" w:pos="8630"/>
        </w:tabs>
        <w:rPr>
          <w:rFonts w:asciiTheme="minorHAnsi" w:eastAsiaTheme="minorEastAsia" w:hAnsiTheme="minorHAnsi" w:cstheme="minorBidi"/>
          <w:noProof/>
        </w:rPr>
      </w:pPr>
      <w:hyperlink w:anchor="_Toc140399922" w:history="1">
        <w:r w:rsidR="00D408AD" w:rsidRPr="00C544C6">
          <w:rPr>
            <w:rStyle w:val="Hyperlink"/>
            <w:rFonts w:cs="Times New Roman"/>
            <w:noProof/>
          </w:rPr>
          <w:t>Discussions</w:t>
        </w:r>
        <w:r w:rsidR="00D408AD">
          <w:rPr>
            <w:noProof/>
            <w:webHidden/>
          </w:rPr>
          <w:tab/>
        </w:r>
        <w:r w:rsidR="00D408AD">
          <w:rPr>
            <w:noProof/>
            <w:webHidden/>
          </w:rPr>
          <w:fldChar w:fldCharType="begin"/>
        </w:r>
        <w:r w:rsidR="00D408AD">
          <w:rPr>
            <w:noProof/>
            <w:webHidden/>
          </w:rPr>
          <w:instrText xml:space="preserve"> PAGEREF _Toc140399922 \h </w:instrText>
        </w:r>
        <w:r w:rsidR="00D408AD">
          <w:rPr>
            <w:noProof/>
            <w:webHidden/>
          </w:rPr>
        </w:r>
        <w:r w:rsidR="00D408AD">
          <w:rPr>
            <w:noProof/>
            <w:webHidden/>
          </w:rPr>
          <w:fldChar w:fldCharType="separate"/>
        </w:r>
        <w:r w:rsidR="00D408AD">
          <w:rPr>
            <w:noProof/>
            <w:webHidden/>
          </w:rPr>
          <w:t>225</w:t>
        </w:r>
        <w:r w:rsidR="00D408AD">
          <w:rPr>
            <w:noProof/>
            <w:webHidden/>
          </w:rPr>
          <w:fldChar w:fldCharType="end"/>
        </w:r>
      </w:hyperlink>
    </w:p>
    <w:p w14:paraId="5CE20951" w14:textId="3E94CCB5" w:rsidR="00D408AD" w:rsidRDefault="00000000">
      <w:pPr>
        <w:pStyle w:val="TOC1"/>
        <w:tabs>
          <w:tab w:val="right" w:leader="dot" w:pos="8630"/>
        </w:tabs>
        <w:rPr>
          <w:rFonts w:asciiTheme="minorHAnsi" w:eastAsiaTheme="minorEastAsia" w:hAnsiTheme="minorHAnsi" w:cstheme="minorBidi"/>
          <w:noProof/>
        </w:rPr>
      </w:pPr>
      <w:hyperlink w:anchor="_Toc140399923" w:history="1">
        <w:r w:rsidR="00406664">
          <w:rPr>
            <w:rStyle w:val="Hyperlink"/>
            <w:rFonts w:cs="Times New Roman"/>
            <w:noProof/>
          </w:rPr>
          <w:t>DISSERTATION</w:t>
        </w:r>
        <w:r w:rsidR="00D408AD" w:rsidRPr="00C544C6">
          <w:rPr>
            <w:rStyle w:val="Hyperlink"/>
            <w:rFonts w:cs="Times New Roman"/>
            <w:noProof/>
          </w:rPr>
          <w:t xml:space="preserve"> CONCLUSIONS</w:t>
        </w:r>
        <w:r w:rsidR="00D408AD">
          <w:rPr>
            <w:noProof/>
            <w:webHidden/>
          </w:rPr>
          <w:tab/>
        </w:r>
        <w:r w:rsidR="00D408AD">
          <w:rPr>
            <w:noProof/>
            <w:webHidden/>
          </w:rPr>
          <w:fldChar w:fldCharType="begin"/>
        </w:r>
        <w:r w:rsidR="00D408AD">
          <w:rPr>
            <w:noProof/>
            <w:webHidden/>
          </w:rPr>
          <w:instrText xml:space="preserve"> PAGEREF _Toc140399923 \h </w:instrText>
        </w:r>
        <w:r w:rsidR="00D408AD">
          <w:rPr>
            <w:noProof/>
            <w:webHidden/>
          </w:rPr>
        </w:r>
        <w:r w:rsidR="00D408AD">
          <w:rPr>
            <w:noProof/>
            <w:webHidden/>
          </w:rPr>
          <w:fldChar w:fldCharType="separate"/>
        </w:r>
        <w:r w:rsidR="00D408AD">
          <w:rPr>
            <w:noProof/>
            <w:webHidden/>
          </w:rPr>
          <w:t>227</w:t>
        </w:r>
        <w:r w:rsidR="00D408AD">
          <w:rPr>
            <w:noProof/>
            <w:webHidden/>
          </w:rPr>
          <w:fldChar w:fldCharType="end"/>
        </w:r>
      </w:hyperlink>
    </w:p>
    <w:p w14:paraId="668C5572" w14:textId="0FC2D698" w:rsidR="00D408AD" w:rsidRDefault="00000000">
      <w:pPr>
        <w:pStyle w:val="TOC2"/>
        <w:tabs>
          <w:tab w:val="right" w:leader="dot" w:pos="8630"/>
        </w:tabs>
        <w:rPr>
          <w:rFonts w:asciiTheme="minorHAnsi" w:eastAsiaTheme="minorEastAsia" w:hAnsiTheme="minorHAnsi" w:cstheme="minorBidi"/>
          <w:noProof/>
        </w:rPr>
      </w:pPr>
      <w:hyperlink w:anchor="_Toc140399924" w:history="1">
        <w:r w:rsidR="00D408AD" w:rsidRPr="00C544C6">
          <w:rPr>
            <w:rStyle w:val="Hyperlink"/>
            <w:rFonts w:cs="Times New Roman"/>
            <w:noProof/>
          </w:rPr>
          <w:t>Summary</w:t>
        </w:r>
        <w:r w:rsidR="00D408AD">
          <w:rPr>
            <w:noProof/>
            <w:webHidden/>
          </w:rPr>
          <w:tab/>
        </w:r>
        <w:r w:rsidR="00D408AD">
          <w:rPr>
            <w:noProof/>
            <w:webHidden/>
          </w:rPr>
          <w:fldChar w:fldCharType="begin"/>
        </w:r>
        <w:r w:rsidR="00D408AD">
          <w:rPr>
            <w:noProof/>
            <w:webHidden/>
          </w:rPr>
          <w:instrText xml:space="preserve"> PAGEREF _Toc140399924 \h </w:instrText>
        </w:r>
        <w:r w:rsidR="00D408AD">
          <w:rPr>
            <w:noProof/>
            <w:webHidden/>
          </w:rPr>
        </w:r>
        <w:r w:rsidR="00D408AD">
          <w:rPr>
            <w:noProof/>
            <w:webHidden/>
          </w:rPr>
          <w:fldChar w:fldCharType="separate"/>
        </w:r>
        <w:r w:rsidR="00D408AD">
          <w:rPr>
            <w:noProof/>
            <w:webHidden/>
          </w:rPr>
          <w:t>228</w:t>
        </w:r>
        <w:r w:rsidR="00D408AD">
          <w:rPr>
            <w:noProof/>
            <w:webHidden/>
          </w:rPr>
          <w:fldChar w:fldCharType="end"/>
        </w:r>
      </w:hyperlink>
    </w:p>
    <w:p w14:paraId="30B6DB45" w14:textId="6A718C15" w:rsidR="00D408AD" w:rsidRDefault="00000000">
      <w:pPr>
        <w:pStyle w:val="TOC2"/>
        <w:tabs>
          <w:tab w:val="right" w:leader="dot" w:pos="8630"/>
        </w:tabs>
        <w:rPr>
          <w:rFonts w:asciiTheme="minorHAnsi" w:eastAsiaTheme="minorEastAsia" w:hAnsiTheme="minorHAnsi" w:cstheme="minorBidi"/>
          <w:noProof/>
        </w:rPr>
      </w:pPr>
      <w:hyperlink w:anchor="_Toc140399925" w:history="1">
        <w:r w:rsidR="00D408AD" w:rsidRPr="00C544C6">
          <w:rPr>
            <w:rStyle w:val="Hyperlink"/>
            <w:rFonts w:cs="Times New Roman"/>
            <w:noProof/>
          </w:rPr>
          <w:t>Broader Impact</w:t>
        </w:r>
        <w:r w:rsidR="00D408AD">
          <w:rPr>
            <w:noProof/>
            <w:webHidden/>
          </w:rPr>
          <w:tab/>
        </w:r>
        <w:r w:rsidR="00D408AD">
          <w:rPr>
            <w:noProof/>
            <w:webHidden/>
          </w:rPr>
          <w:fldChar w:fldCharType="begin"/>
        </w:r>
        <w:r w:rsidR="00D408AD">
          <w:rPr>
            <w:noProof/>
            <w:webHidden/>
          </w:rPr>
          <w:instrText xml:space="preserve"> PAGEREF _Toc140399925 \h </w:instrText>
        </w:r>
        <w:r w:rsidR="00D408AD">
          <w:rPr>
            <w:noProof/>
            <w:webHidden/>
          </w:rPr>
        </w:r>
        <w:r w:rsidR="00D408AD">
          <w:rPr>
            <w:noProof/>
            <w:webHidden/>
          </w:rPr>
          <w:fldChar w:fldCharType="separate"/>
        </w:r>
        <w:r w:rsidR="00D408AD">
          <w:rPr>
            <w:noProof/>
            <w:webHidden/>
          </w:rPr>
          <w:t>229</w:t>
        </w:r>
        <w:r w:rsidR="00D408AD">
          <w:rPr>
            <w:noProof/>
            <w:webHidden/>
          </w:rPr>
          <w:fldChar w:fldCharType="end"/>
        </w:r>
      </w:hyperlink>
    </w:p>
    <w:p w14:paraId="7206AC46" w14:textId="12317854" w:rsidR="00D408AD" w:rsidRDefault="00000000">
      <w:pPr>
        <w:pStyle w:val="TOC2"/>
        <w:tabs>
          <w:tab w:val="right" w:leader="dot" w:pos="8630"/>
        </w:tabs>
        <w:rPr>
          <w:rFonts w:asciiTheme="minorHAnsi" w:eastAsiaTheme="minorEastAsia" w:hAnsiTheme="minorHAnsi" w:cstheme="minorBidi"/>
          <w:noProof/>
        </w:rPr>
      </w:pPr>
      <w:hyperlink w:anchor="_Toc140399926" w:history="1">
        <w:r w:rsidR="00D408AD" w:rsidRPr="00C544C6">
          <w:rPr>
            <w:rStyle w:val="Hyperlink"/>
            <w:rFonts w:cs="Times New Roman"/>
            <w:noProof/>
          </w:rPr>
          <w:t>Future Work</w:t>
        </w:r>
        <w:r w:rsidR="00D408AD">
          <w:rPr>
            <w:noProof/>
            <w:webHidden/>
          </w:rPr>
          <w:tab/>
        </w:r>
        <w:r w:rsidR="00D408AD">
          <w:rPr>
            <w:noProof/>
            <w:webHidden/>
          </w:rPr>
          <w:fldChar w:fldCharType="begin"/>
        </w:r>
        <w:r w:rsidR="00D408AD">
          <w:rPr>
            <w:noProof/>
            <w:webHidden/>
          </w:rPr>
          <w:instrText xml:space="preserve"> PAGEREF _Toc140399926 \h </w:instrText>
        </w:r>
        <w:r w:rsidR="00D408AD">
          <w:rPr>
            <w:noProof/>
            <w:webHidden/>
          </w:rPr>
        </w:r>
        <w:r w:rsidR="00D408AD">
          <w:rPr>
            <w:noProof/>
            <w:webHidden/>
          </w:rPr>
          <w:fldChar w:fldCharType="separate"/>
        </w:r>
        <w:r w:rsidR="00D408AD">
          <w:rPr>
            <w:noProof/>
            <w:webHidden/>
          </w:rPr>
          <w:t>234</w:t>
        </w:r>
        <w:r w:rsidR="00D408AD">
          <w:rPr>
            <w:noProof/>
            <w:webHidden/>
          </w:rPr>
          <w:fldChar w:fldCharType="end"/>
        </w:r>
      </w:hyperlink>
    </w:p>
    <w:p w14:paraId="050BDAD7" w14:textId="31C6195C" w:rsidR="00D408AD" w:rsidRDefault="00000000">
      <w:pPr>
        <w:pStyle w:val="TOC1"/>
        <w:tabs>
          <w:tab w:val="right" w:leader="dot" w:pos="8630"/>
        </w:tabs>
        <w:rPr>
          <w:rFonts w:asciiTheme="minorHAnsi" w:eastAsiaTheme="minorEastAsia" w:hAnsiTheme="minorHAnsi" w:cstheme="minorBidi"/>
          <w:noProof/>
        </w:rPr>
      </w:pPr>
      <w:hyperlink w:anchor="_Toc140399927" w:history="1">
        <w:r w:rsidR="00D408AD" w:rsidRPr="00C544C6">
          <w:rPr>
            <w:rStyle w:val="Hyperlink"/>
            <w:rFonts w:cs="Times New Roman"/>
            <w:noProof/>
          </w:rPr>
          <w:t>REFERENCES</w:t>
        </w:r>
        <w:r w:rsidR="00D408AD">
          <w:rPr>
            <w:noProof/>
            <w:webHidden/>
          </w:rPr>
          <w:tab/>
        </w:r>
        <w:r w:rsidR="00D408AD">
          <w:rPr>
            <w:noProof/>
            <w:webHidden/>
          </w:rPr>
          <w:fldChar w:fldCharType="begin"/>
        </w:r>
        <w:r w:rsidR="00D408AD">
          <w:rPr>
            <w:noProof/>
            <w:webHidden/>
          </w:rPr>
          <w:instrText xml:space="preserve"> PAGEREF _Toc140399927 \h </w:instrText>
        </w:r>
        <w:r w:rsidR="00D408AD">
          <w:rPr>
            <w:noProof/>
            <w:webHidden/>
          </w:rPr>
        </w:r>
        <w:r w:rsidR="00D408AD">
          <w:rPr>
            <w:noProof/>
            <w:webHidden/>
          </w:rPr>
          <w:fldChar w:fldCharType="separate"/>
        </w:r>
        <w:r w:rsidR="00D408AD">
          <w:rPr>
            <w:noProof/>
            <w:webHidden/>
          </w:rPr>
          <w:t>235</w:t>
        </w:r>
        <w:r w:rsidR="00D408AD">
          <w:rPr>
            <w:noProof/>
            <w:webHidden/>
          </w:rPr>
          <w:fldChar w:fldCharType="end"/>
        </w:r>
      </w:hyperlink>
    </w:p>
    <w:p w14:paraId="32D722AD" w14:textId="0E8FF1AB" w:rsidR="00D408AD" w:rsidRDefault="00000000">
      <w:pPr>
        <w:pStyle w:val="TOC1"/>
        <w:tabs>
          <w:tab w:val="right" w:leader="dot" w:pos="8630"/>
        </w:tabs>
        <w:rPr>
          <w:rFonts w:asciiTheme="minorHAnsi" w:eastAsiaTheme="minorEastAsia" w:hAnsiTheme="minorHAnsi" w:cstheme="minorBidi"/>
          <w:noProof/>
        </w:rPr>
      </w:pPr>
      <w:hyperlink w:anchor="_Toc140399928" w:history="1">
        <w:r w:rsidR="00D408AD" w:rsidRPr="00C544C6">
          <w:rPr>
            <w:rStyle w:val="Hyperlink"/>
            <w:rFonts w:cs="Times New Roman"/>
            <w:noProof/>
          </w:rPr>
          <w:t>APPENDIX</w:t>
        </w:r>
        <w:r w:rsidR="00D408AD">
          <w:rPr>
            <w:noProof/>
            <w:webHidden/>
          </w:rPr>
          <w:tab/>
        </w:r>
        <w:r w:rsidR="00D408AD">
          <w:rPr>
            <w:noProof/>
            <w:webHidden/>
          </w:rPr>
          <w:fldChar w:fldCharType="begin"/>
        </w:r>
        <w:r w:rsidR="00D408AD">
          <w:rPr>
            <w:noProof/>
            <w:webHidden/>
          </w:rPr>
          <w:instrText xml:space="preserve"> PAGEREF _Toc140399928 \h </w:instrText>
        </w:r>
        <w:r w:rsidR="00D408AD">
          <w:rPr>
            <w:noProof/>
            <w:webHidden/>
          </w:rPr>
        </w:r>
        <w:r w:rsidR="00D408AD">
          <w:rPr>
            <w:noProof/>
            <w:webHidden/>
          </w:rPr>
          <w:fldChar w:fldCharType="separate"/>
        </w:r>
        <w:r w:rsidR="00D408AD">
          <w:rPr>
            <w:noProof/>
            <w:webHidden/>
          </w:rPr>
          <w:t>265</w:t>
        </w:r>
        <w:r w:rsidR="00D408AD">
          <w:rPr>
            <w:noProof/>
            <w:webHidden/>
          </w:rPr>
          <w:fldChar w:fldCharType="end"/>
        </w:r>
      </w:hyperlink>
    </w:p>
    <w:p w14:paraId="025A2603" w14:textId="0B8ECAE5" w:rsidR="00D408AD" w:rsidRDefault="00000000">
      <w:pPr>
        <w:pStyle w:val="TOC2"/>
        <w:tabs>
          <w:tab w:val="right" w:leader="dot" w:pos="8630"/>
        </w:tabs>
        <w:rPr>
          <w:rFonts w:asciiTheme="minorHAnsi" w:eastAsiaTheme="minorEastAsia" w:hAnsiTheme="minorHAnsi" w:cstheme="minorBidi"/>
          <w:noProof/>
        </w:rPr>
      </w:pPr>
      <w:hyperlink w:anchor="_Toc140399929" w:history="1">
        <w:r w:rsidR="00D408AD" w:rsidRPr="00C544C6">
          <w:rPr>
            <w:rStyle w:val="Hyperlink"/>
            <w:rFonts w:cs="Times New Roman"/>
            <w:noProof/>
          </w:rPr>
          <w:t>Appendix A: HP-TES configurations review</w:t>
        </w:r>
        <w:r w:rsidR="00D408AD">
          <w:rPr>
            <w:noProof/>
            <w:webHidden/>
          </w:rPr>
          <w:tab/>
        </w:r>
        <w:r w:rsidR="00D408AD">
          <w:rPr>
            <w:noProof/>
            <w:webHidden/>
          </w:rPr>
          <w:fldChar w:fldCharType="begin"/>
        </w:r>
        <w:r w:rsidR="00D408AD">
          <w:rPr>
            <w:noProof/>
            <w:webHidden/>
          </w:rPr>
          <w:instrText xml:space="preserve"> PAGEREF _Toc140399929 \h </w:instrText>
        </w:r>
        <w:r w:rsidR="00D408AD">
          <w:rPr>
            <w:noProof/>
            <w:webHidden/>
          </w:rPr>
        </w:r>
        <w:r w:rsidR="00D408AD">
          <w:rPr>
            <w:noProof/>
            <w:webHidden/>
          </w:rPr>
          <w:fldChar w:fldCharType="separate"/>
        </w:r>
        <w:r w:rsidR="00D408AD">
          <w:rPr>
            <w:noProof/>
            <w:webHidden/>
          </w:rPr>
          <w:t>265</w:t>
        </w:r>
        <w:r w:rsidR="00D408AD">
          <w:rPr>
            <w:noProof/>
            <w:webHidden/>
          </w:rPr>
          <w:fldChar w:fldCharType="end"/>
        </w:r>
      </w:hyperlink>
    </w:p>
    <w:p w14:paraId="5770E86D" w14:textId="13EDC78C" w:rsidR="00D408AD" w:rsidRDefault="00000000">
      <w:pPr>
        <w:pStyle w:val="TOC3"/>
        <w:tabs>
          <w:tab w:val="right" w:leader="dot" w:pos="8630"/>
        </w:tabs>
        <w:rPr>
          <w:rFonts w:asciiTheme="minorHAnsi" w:eastAsiaTheme="minorEastAsia" w:hAnsiTheme="minorHAnsi" w:cstheme="minorBidi"/>
          <w:noProof/>
        </w:rPr>
      </w:pPr>
      <w:hyperlink w:anchor="_Toc140399930" w:history="1">
        <w:r w:rsidR="00D408AD" w:rsidRPr="00C544C6">
          <w:rPr>
            <w:rStyle w:val="Hyperlink"/>
            <w:noProof/>
          </w:rPr>
          <w:t>Comparative Analysis</w:t>
        </w:r>
        <w:r w:rsidR="00D408AD">
          <w:rPr>
            <w:noProof/>
            <w:webHidden/>
          </w:rPr>
          <w:tab/>
        </w:r>
        <w:r w:rsidR="00D408AD">
          <w:rPr>
            <w:noProof/>
            <w:webHidden/>
          </w:rPr>
          <w:fldChar w:fldCharType="begin"/>
        </w:r>
        <w:r w:rsidR="00D408AD">
          <w:rPr>
            <w:noProof/>
            <w:webHidden/>
          </w:rPr>
          <w:instrText xml:space="preserve"> PAGEREF _Toc140399930 \h </w:instrText>
        </w:r>
        <w:r w:rsidR="00D408AD">
          <w:rPr>
            <w:noProof/>
            <w:webHidden/>
          </w:rPr>
        </w:r>
        <w:r w:rsidR="00D408AD">
          <w:rPr>
            <w:noProof/>
            <w:webHidden/>
          </w:rPr>
          <w:fldChar w:fldCharType="separate"/>
        </w:r>
        <w:r w:rsidR="00D408AD">
          <w:rPr>
            <w:noProof/>
            <w:webHidden/>
          </w:rPr>
          <w:t>265</w:t>
        </w:r>
        <w:r w:rsidR="00D408AD">
          <w:rPr>
            <w:noProof/>
            <w:webHidden/>
          </w:rPr>
          <w:fldChar w:fldCharType="end"/>
        </w:r>
      </w:hyperlink>
    </w:p>
    <w:p w14:paraId="2191854E" w14:textId="0472D77D" w:rsidR="00D408AD" w:rsidRDefault="00000000">
      <w:pPr>
        <w:pStyle w:val="TOC3"/>
        <w:tabs>
          <w:tab w:val="right" w:leader="dot" w:pos="8630"/>
        </w:tabs>
        <w:rPr>
          <w:rFonts w:asciiTheme="minorHAnsi" w:eastAsiaTheme="minorEastAsia" w:hAnsiTheme="minorHAnsi" w:cstheme="minorBidi"/>
          <w:noProof/>
        </w:rPr>
      </w:pPr>
      <w:hyperlink w:anchor="_Toc140399931" w:history="1">
        <w:r w:rsidR="00D408AD" w:rsidRPr="00C544C6">
          <w:rPr>
            <w:rStyle w:val="Hyperlink"/>
            <w:noProof/>
          </w:rPr>
          <w:t>Payback Period</w:t>
        </w:r>
        <w:r w:rsidR="00D408AD">
          <w:rPr>
            <w:noProof/>
            <w:webHidden/>
          </w:rPr>
          <w:tab/>
        </w:r>
        <w:r w:rsidR="00D408AD">
          <w:rPr>
            <w:noProof/>
            <w:webHidden/>
          </w:rPr>
          <w:fldChar w:fldCharType="begin"/>
        </w:r>
        <w:r w:rsidR="00D408AD">
          <w:rPr>
            <w:noProof/>
            <w:webHidden/>
          </w:rPr>
          <w:instrText xml:space="preserve"> PAGEREF _Toc140399931 \h </w:instrText>
        </w:r>
        <w:r w:rsidR="00D408AD">
          <w:rPr>
            <w:noProof/>
            <w:webHidden/>
          </w:rPr>
        </w:r>
        <w:r w:rsidR="00D408AD">
          <w:rPr>
            <w:noProof/>
            <w:webHidden/>
          </w:rPr>
          <w:fldChar w:fldCharType="separate"/>
        </w:r>
        <w:r w:rsidR="00D408AD">
          <w:rPr>
            <w:noProof/>
            <w:webHidden/>
          </w:rPr>
          <w:t>266</w:t>
        </w:r>
        <w:r w:rsidR="00D408AD">
          <w:rPr>
            <w:noProof/>
            <w:webHidden/>
          </w:rPr>
          <w:fldChar w:fldCharType="end"/>
        </w:r>
      </w:hyperlink>
    </w:p>
    <w:p w14:paraId="66B3B46F" w14:textId="1999E273" w:rsidR="00D408AD" w:rsidRDefault="00000000">
      <w:pPr>
        <w:pStyle w:val="TOC3"/>
        <w:tabs>
          <w:tab w:val="right" w:leader="dot" w:pos="8630"/>
        </w:tabs>
        <w:rPr>
          <w:rFonts w:asciiTheme="minorHAnsi" w:eastAsiaTheme="minorEastAsia" w:hAnsiTheme="minorHAnsi" w:cstheme="minorBidi"/>
          <w:noProof/>
        </w:rPr>
      </w:pPr>
      <w:hyperlink w:anchor="_Toc140399932" w:history="1">
        <w:r w:rsidR="00D408AD" w:rsidRPr="00C544C6">
          <w:rPr>
            <w:rStyle w:val="Hyperlink"/>
            <w:noProof/>
          </w:rPr>
          <w:t>Load Shifting</w:t>
        </w:r>
        <w:r w:rsidR="00D408AD">
          <w:rPr>
            <w:noProof/>
            <w:webHidden/>
          </w:rPr>
          <w:tab/>
        </w:r>
        <w:r w:rsidR="00D408AD">
          <w:rPr>
            <w:noProof/>
            <w:webHidden/>
          </w:rPr>
          <w:fldChar w:fldCharType="begin"/>
        </w:r>
        <w:r w:rsidR="00D408AD">
          <w:rPr>
            <w:noProof/>
            <w:webHidden/>
          </w:rPr>
          <w:instrText xml:space="preserve"> PAGEREF _Toc140399932 \h </w:instrText>
        </w:r>
        <w:r w:rsidR="00D408AD">
          <w:rPr>
            <w:noProof/>
            <w:webHidden/>
          </w:rPr>
        </w:r>
        <w:r w:rsidR="00D408AD">
          <w:rPr>
            <w:noProof/>
            <w:webHidden/>
          </w:rPr>
          <w:fldChar w:fldCharType="separate"/>
        </w:r>
        <w:r w:rsidR="00D408AD">
          <w:rPr>
            <w:noProof/>
            <w:webHidden/>
          </w:rPr>
          <w:t>267</w:t>
        </w:r>
        <w:r w:rsidR="00D408AD">
          <w:rPr>
            <w:noProof/>
            <w:webHidden/>
          </w:rPr>
          <w:fldChar w:fldCharType="end"/>
        </w:r>
      </w:hyperlink>
    </w:p>
    <w:p w14:paraId="171E01E2" w14:textId="337AE199" w:rsidR="00D408AD" w:rsidRDefault="00000000">
      <w:pPr>
        <w:pStyle w:val="TOC3"/>
        <w:tabs>
          <w:tab w:val="right" w:leader="dot" w:pos="8630"/>
        </w:tabs>
        <w:rPr>
          <w:rFonts w:asciiTheme="minorHAnsi" w:eastAsiaTheme="minorEastAsia" w:hAnsiTheme="minorHAnsi" w:cstheme="minorBidi"/>
          <w:noProof/>
        </w:rPr>
      </w:pPr>
      <w:hyperlink w:anchor="_Toc140399933" w:history="1">
        <w:r w:rsidR="00D408AD" w:rsidRPr="00C544C6">
          <w:rPr>
            <w:rStyle w:val="Hyperlink"/>
            <w:noProof/>
          </w:rPr>
          <w:t>Demand Impact</w:t>
        </w:r>
        <w:r w:rsidR="00D408AD">
          <w:rPr>
            <w:noProof/>
            <w:webHidden/>
          </w:rPr>
          <w:tab/>
        </w:r>
        <w:r w:rsidR="00D408AD">
          <w:rPr>
            <w:noProof/>
            <w:webHidden/>
          </w:rPr>
          <w:fldChar w:fldCharType="begin"/>
        </w:r>
        <w:r w:rsidR="00D408AD">
          <w:rPr>
            <w:noProof/>
            <w:webHidden/>
          </w:rPr>
          <w:instrText xml:space="preserve"> PAGEREF _Toc140399933 \h </w:instrText>
        </w:r>
        <w:r w:rsidR="00D408AD">
          <w:rPr>
            <w:noProof/>
            <w:webHidden/>
          </w:rPr>
        </w:r>
        <w:r w:rsidR="00D408AD">
          <w:rPr>
            <w:noProof/>
            <w:webHidden/>
          </w:rPr>
          <w:fldChar w:fldCharType="separate"/>
        </w:r>
        <w:r w:rsidR="00D408AD">
          <w:rPr>
            <w:noProof/>
            <w:webHidden/>
          </w:rPr>
          <w:t>268</w:t>
        </w:r>
        <w:r w:rsidR="00D408AD">
          <w:rPr>
            <w:noProof/>
            <w:webHidden/>
          </w:rPr>
          <w:fldChar w:fldCharType="end"/>
        </w:r>
      </w:hyperlink>
    </w:p>
    <w:p w14:paraId="753B02BB" w14:textId="773266F8" w:rsidR="00D408AD" w:rsidRDefault="00000000">
      <w:pPr>
        <w:pStyle w:val="TOC3"/>
        <w:tabs>
          <w:tab w:val="right" w:leader="dot" w:pos="8630"/>
        </w:tabs>
        <w:rPr>
          <w:rFonts w:asciiTheme="minorHAnsi" w:eastAsiaTheme="minorEastAsia" w:hAnsiTheme="minorHAnsi" w:cstheme="minorBidi"/>
          <w:noProof/>
        </w:rPr>
      </w:pPr>
      <w:hyperlink w:anchor="_Toc140399934" w:history="1">
        <w:r w:rsidR="00D408AD" w:rsidRPr="00C544C6">
          <w:rPr>
            <w:rStyle w:val="Hyperlink"/>
            <w:noProof/>
          </w:rPr>
          <w:t>Energy Savings</w:t>
        </w:r>
        <w:r w:rsidR="00D408AD">
          <w:rPr>
            <w:noProof/>
            <w:webHidden/>
          </w:rPr>
          <w:tab/>
        </w:r>
        <w:r w:rsidR="00D408AD">
          <w:rPr>
            <w:noProof/>
            <w:webHidden/>
          </w:rPr>
          <w:fldChar w:fldCharType="begin"/>
        </w:r>
        <w:r w:rsidR="00D408AD">
          <w:rPr>
            <w:noProof/>
            <w:webHidden/>
          </w:rPr>
          <w:instrText xml:space="preserve"> PAGEREF _Toc140399934 \h </w:instrText>
        </w:r>
        <w:r w:rsidR="00D408AD">
          <w:rPr>
            <w:noProof/>
            <w:webHidden/>
          </w:rPr>
        </w:r>
        <w:r w:rsidR="00D408AD">
          <w:rPr>
            <w:noProof/>
            <w:webHidden/>
          </w:rPr>
          <w:fldChar w:fldCharType="separate"/>
        </w:r>
        <w:r w:rsidR="00D408AD">
          <w:rPr>
            <w:noProof/>
            <w:webHidden/>
          </w:rPr>
          <w:t>269</w:t>
        </w:r>
        <w:r w:rsidR="00D408AD">
          <w:rPr>
            <w:noProof/>
            <w:webHidden/>
          </w:rPr>
          <w:fldChar w:fldCharType="end"/>
        </w:r>
      </w:hyperlink>
    </w:p>
    <w:p w14:paraId="73E4B2A5" w14:textId="3318D210" w:rsidR="00D408AD" w:rsidRDefault="00000000">
      <w:pPr>
        <w:pStyle w:val="TOC3"/>
        <w:tabs>
          <w:tab w:val="right" w:leader="dot" w:pos="8630"/>
        </w:tabs>
        <w:rPr>
          <w:rFonts w:asciiTheme="minorHAnsi" w:eastAsiaTheme="minorEastAsia" w:hAnsiTheme="minorHAnsi" w:cstheme="minorBidi"/>
          <w:noProof/>
        </w:rPr>
      </w:pPr>
      <w:hyperlink w:anchor="_Toc140399935" w:history="1">
        <w:r w:rsidR="00D408AD" w:rsidRPr="00C544C6">
          <w:rPr>
            <w:rStyle w:val="Hyperlink"/>
            <w:noProof/>
          </w:rPr>
          <w:t>Utility Cost Savings</w:t>
        </w:r>
        <w:r w:rsidR="00D408AD">
          <w:rPr>
            <w:noProof/>
            <w:webHidden/>
          </w:rPr>
          <w:tab/>
        </w:r>
        <w:r w:rsidR="00D408AD">
          <w:rPr>
            <w:noProof/>
            <w:webHidden/>
          </w:rPr>
          <w:fldChar w:fldCharType="begin"/>
        </w:r>
        <w:r w:rsidR="00D408AD">
          <w:rPr>
            <w:noProof/>
            <w:webHidden/>
          </w:rPr>
          <w:instrText xml:space="preserve"> PAGEREF _Toc140399935 \h </w:instrText>
        </w:r>
        <w:r w:rsidR="00D408AD">
          <w:rPr>
            <w:noProof/>
            <w:webHidden/>
          </w:rPr>
        </w:r>
        <w:r w:rsidR="00D408AD">
          <w:rPr>
            <w:noProof/>
            <w:webHidden/>
          </w:rPr>
          <w:fldChar w:fldCharType="separate"/>
        </w:r>
        <w:r w:rsidR="00D408AD">
          <w:rPr>
            <w:noProof/>
            <w:webHidden/>
          </w:rPr>
          <w:t>270</w:t>
        </w:r>
        <w:r w:rsidR="00D408AD">
          <w:rPr>
            <w:noProof/>
            <w:webHidden/>
          </w:rPr>
          <w:fldChar w:fldCharType="end"/>
        </w:r>
      </w:hyperlink>
    </w:p>
    <w:p w14:paraId="27A667BE" w14:textId="1AB19A88" w:rsidR="00D408AD" w:rsidRDefault="00000000">
      <w:pPr>
        <w:pStyle w:val="TOC2"/>
        <w:tabs>
          <w:tab w:val="right" w:leader="dot" w:pos="8630"/>
        </w:tabs>
        <w:rPr>
          <w:rFonts w:asciiTheme="minorHAnsi" w:eastAsiaTheme="minorEastAsia" w:hAnsiTheme="minorHAnsi" w:cstheme="minorBidi"/>
          <w:noProof/>
        </w:rPr>
      </w:pPr>
      <w:hyperlink w:anchor="_Toc140399936" w:history="1">
        <w:r w:rsidR="00D408AD" w:rsidRPr="00C544C6">
          <w:rPr>
            <w:rStyle w:val="Hyperlink"/>
            <w:rFonts w:cs="Times New Roman"/>
            <w:noProof/>
          </w:rPr>
          <w:t>Appendix B: Alabama case study analysis</w:t>
        </w:r>
        <w:r w:rsidR="00D408AD">
          <w:rPr>
            <w:noProof/>
            <w:webHidden/>
          </w:rPr>
          <w:tab/>
        </w:r>
        <w:r w:rsidR="00D408AD">
          <w:rPr>
            <w:noProof/>
            <w:webHidden/>
          </w:rPr>
          <w:fldChar w:fldCharType="begin"/>
        </w:r>
        <w:r w:rsidR="00D408AD">
          <w:rPr>
            <w:noProof/>
            <w:webHidden/>
          </w:rPr>
          <w:instrText xml:space="preserve"> PAGEREF _Toc140399936 \h </w:instrText>
        </w:r>
        <w:r w:rsidR="00D408AD">
          <w:rPr>
            <w:noProof/>
            <w:webHidden/>
          </w:rPr>
        </w:r>
        <w:r w:rsidR="00D408AD">
          <w:rPr>
            <w:noProof/>
            <w:webHidden/>
          </w:rPr>
          <w:fldChar w:fldCharType="separate"/>
        </w:r>
        <w:r w:rsidR="00D408AD">
          <w:rPr>
            <w:noProof/>
            <w:webHidden/>
          </w:rPr>
          <w:t>271</w:t>
        </w:r>
        <w:r w:rsidR="00D408AD">
          <w:rPr>
            <w:noProof/>
            <w:webHidden/>
          </w:rPr>
          <w:fldChar w:fldCharType="end"/>
        </w:r>
      </w:hyperlink>
    </w:p>
    <w:p w14:paraId="35E6AAFB" w14:textId="2DC019EF" w:rsidR="00D408AD" w:rsidRDefault="00000000">
      <w:pPr>
        <w:pStyle w:val="TOC3"/>
        <w:tabs>
          <w:tab w:val="right" w:leader="dot" w:pos="8630"/>
        </w:tabs>
        <w:rPr>
          <w:rFonts w:asciiTheme="minorHAnsi" w:eastAsiaTheme="minorEastAsia" w:hAnsiTheme="minorHAnsi" w:cstheme="minorBidi"/>
          <w:noProof/>
        </w:rPr>
      </w:pPr>
      <w:hyperlink w:anchor="_Toc140399937" w:history="1">
        <w:r w:rsidR="00D408AD" w:rsidRPr="00C544C6">
          <w:rPr>
            <w:rStyle w:val="Hyperlink"/>
            <w:rFonts w:cs="Times New Roman"/>
            <w:noProof/>
          </w:rPr>
          <w:t>Payback Period</w:t>
        </w:r>
        <w:r w:rsidR="00D408AD">
          <w:rPr>
            <w:noProof/>
            <w:webHidden/>
          </w:rPr>
          <w:tab/>
        </w:r>
        <w:r w:rsidR="00D408AD">
          <w:rPr>
            <w:noProof/>
            <w:webHidden/>
          </w:rPr>
          <w:fldChar w:fldCharType="begin"/>
        </w:r>
        <w:r w:rsidR="00D408AD">
          <w:rPr>
            <w:noProof/>
            <w:webHidden/>
          </w:rPr>
          <w:instrText xml:space="preserve"> PAGEREF _Toc140399937 \h </w:instrText>
        </w:r>
        <w:r w:rsidR="00D408AD">
          <w:rPr>
            <w:noProof/>
            <w:webHidden/>
          </w:rPr>
        </w:r>
        <w:r w:rsidR="00D408AD">
          <w:rPr>
            <w:noProof/>
            <w:webHidden/>
          </w:rPr>
          <w:fldChar w:fldCharType="separate"/>
        </w:r>
        <w:r w:rsidR="00D408AD">
          <w:rPr>
            <w:noProof/>
            <w:webHidden/>
          </w:rPr>
          <w:t>271</w:t>
        </w:r>
        <w:r w:rsidR="00D408AD">
          <w:rPr>
            <w:noProof/>
            <w:webHidden/>
          </w:rPr>
          <w:fldChar w:fldCharType="end"/>
        </w:r>
      </w:hyperlink>
    </w:p>
    <w:p w14:paraId="6D3A398B" w14:textId="22592058" w:rsidR="00D408AD" w:rsidRDefault="00000000">
      <w:pPr>
        <w:pStyle w:val="TOC2"/>
        <w:tabs>
          <w:tab w:val="right" w:leader="dot" w:pos="8630"/>
        </w:tabs>
        <w:rPr>
          <w:rFonts w:asciiTheme="minorHAnsi" w:eastAsiaTheme="minorEastAsia" w:hAnsiTheme="minorHAnsi" w:cstheme="minorBidi"/>
          <w:noProof/>
        </w:rPr>
      </w:pPr>
      <w:hyperlink w:anchor="_Toc140399938" w:history="1">
        <w:r w:rsidR="00D408AD" w:rsidRPr="00C544C6">
          <w:rPr>
            <w:rStyle w:val="Hyperlink"/>
            <w:rFonts w:eastAsia="Calibri"/>
            <w:noProof/>
          </w:rPr>
          <w:t>Appendix C: HP Analysis on California Case Study</w:t>
        </w:r>
        <w:r w:rsidR="00D408AD">
          <w:rPr>
            <w:noProof/>
            <w:webHidden/>
          </w:rPr>
          <w:tab/>
        </w:r>
        <w:r w:rsidR="00D408AD">
          <w:rPr>
            <w:noProof/>
            <w:webHidden/>
          </w:rPr>
          <w:fldChar w:fldCharType="begin"/>
        </w:r>
        <w:r w:rsidR="00D408AD">
          <w:rPr>
            <w:noProof/>
            <w:webHidden/>
          </w:rPr>
          <w:instrText xml:space="preserve"> PAGEREF _Toc140399938 \h </w:instrText>
        </w:r>
        <w:r w:rsidR="00D408AD">
          <w:rPr>
            <w:noProof/>
            <w:webHidden/>
          </w:rPr>
        </w:r>
        <w:r w:rsidR="00D408AD">
          <w:rPr>
            <w:noProof/>
            <w:webHidden/>
          </w:rPr>
          <w:fldChar w:fldCharType="separate"/>
        </w:r>
        <w:r w:rsidR="00D408AD">
          <w:rPr>
            <w:noProof/>
            <w:webHidden/>
          </w:rPr>
          <w:t>272</w:t>
        </w:r>
        <w:r w:rsidR="00D408AD">
          <w:rPr>
            <w:noProof/>
            <w:webHidden/>
          </w:rPr>
          <w:fldChar w:fldCharType="end"/>
        </w:r>
      </w:hyperlink>
    </w:p>
    <w:p w14:paraId="6DBE8BF2" w14:textId="2CAB0F5A" w:rsidR="00D408AD" w:rsidRDefault="00000000">
      <w:pPr>
        <w:pStyle w:val="TOC2"/>
        <w:tabs>
          <w:tab w:val="right" w:leader="dot" w:pos="8630"/>
        </w:tabs>
        <w:rPr>
          <w:rFonts w:asciiTheme="minorHAnsi" w:eastAsiaTheme="minorEastAsia" w:hAnsiTheme="minorHAnsi" w:cstheme="minorBidi"/>
          <w:noProof/>
        </w:rPr>
      </w:pPr>
      <w:hyperlink w:anchor="_Toc140399939" w:history="1">
        <w:r w:rsidR="00D408AD" w:rsidRPr="00C544C6">
          <w:rPr>
            <w:rStyle w:val="Hyperlink"/>
            <w:rFonts w:eastAsia="Calibri"/>
            <w:noProof/>
          </w:rPr>
          <w:t>Appendix D: HP-TES Technoeconomic Analysis</w:t>
        </w:r>
        <w:r w:rsidR="00D408AD">
          <w:rPr>
            <w:noProof/>
            <w:webHidden/>
          </w:rPr>
          <w:tab/>
        </w:r>
        <w:r w:rsidR="00D408AD">
          <w:rPr>
            <w:noProof/>
            <w:webHidden/>
          </w:rPr>
          <w:fldChar w:fldCharType="begin"/>
        </w:r>
        <w:r w:rsidR="00D408AD">
          <w:rPr>
            <w:noProof/>
            <w:webHidden/>
          </w:rPr>
          <w:instrText xml:space="preserve"> PAGEREF _Toc140399939 \h </w:instrText>
        </w:r>
        <w:r w:rsidR="00D408AD">
          <w:rPr>
            <w:noProof/>
            <w:webHidden/>
          </w:rPr>
        </w:r>
        <w:r w:rsidR="00D408AD">
          <w:rPr>
            <w:noProof/>
            <w:webHidden/>
          </w:rPr>
          <w:fldChar w:fldCharType="separate"/>
        </w:r>
        <w:r w:rsidR="00D408AD">
          <w:rPr>
            <w:noProof/>
            <w:webHidden/>
          </w:rPr>
          <w:t>273</w:t>
        </w:r>
        <w:r w:rsidR="00D408AD">
          <w:rPr>
            <w:noProof/>
            <w:webHidden/>
          </w:rPr>
          <w:fldChar w:fldCharType="end"/>
        </w:r>
      </w:hyperlink>
    </w:p>
    <w:p w14:paraId="420BA5E5" w14:textId="524438F0" w:rsidR="00D408AD" w:rsidRDefault="00000000">
      <w:pPr>
        <w:pStyle w:val="TOC1"/>
        <w:tabs>
          <w:tab w:val="right" w:leader="dot" w:pos="8630"/>
        </w:tabs>
        <w:rPr>
          <w:rFonts w:asciiTheme="minorHAnsi" w:eastAsiaTheme="minorEastAsia" w:hAnsiTheme="minorHAnsi" w:cstheme="minorBidi"/>
          <w:noProof/>
        </w:rPr>
      </w:pPr>
      <w:hyperlink w:anchor="_Toc140399940" w:history="1">
        <w:r w:rsidR="00D408AD" w:rsidRPr="00C544C6">
          <w:rPr>
            <w:rStyle w:val="Hyperlink"/>
            <w:rFonts w:cs="Times New Roman"/>
            <w:noProof/>
          </w:rPr>
          <w:t>VITA</w:t>
        </w:r>
        <w:r w:rsidR="00D408AD">
          <w:rPr>
            <w:noProof/>
            <w:webHidden/>
          </w:rPr>
          <w:tab/>
        </w:r>
        <w:r w:rsidR="00D408AD">
          <w:rPr>
            <w:noProof/>
            <w:webHidden/>
          </w:rPr>
          <w:fldChar w:fldCharType="begin"/>
        </w:r>
        <w:r w:rsidR="00D408AD">
          <w:rPr>
            <w:noProof/>
            <w:webHidden/>
          </w:rPr>
          <w:instrText xml:space="preserve"> PAGEREF _Toc140399940 \h </w:instrText>
        </w:r>
        <w:r w:rsidR="00D408AD">
          <w:rPr>
            <w:noProof/>
            <w:webHidden/>
          </w:rPr>
        </w:r>
        <w:r w:rsidR="00D408AD">
          <w:rPr>
            <w:noProof/>
            <w:webHidden/>
          </w:rPr>
          <w:fldChar w:fldCharType="separate"/>
        </w:r>
        <w:r w:rsidR="00D408AD">
          <w:rPr>
            <w:noProof/>
            <w:webHidden/>
          </w:rPr>
          <w:t>282</w:t>
        </w:r>
        <w:r w:rsidR="00D408AD">
          <w:rPr>
            <w:noProof/>
            <w:webHidden/>
          </w:rPr>
          <w:fldChar w:fldCharType="end"/>
        </w:r>
      </w:hyperlink>
    </w:p>
    <w:p w14:paraId="176E62B9" w14:textId="51612F71" w:rsidR="00B17E5F" w:rsidRPr="00322E56" w:rsidRDefault="00B17E5F">
      <w:pPr>
        <w:rPr>
          <w:rFonts w:cs="Times New Roman"/>
        </w:rPr>
      </w:pPr>
      <w:r w:rsidRPr="00322E56">
        <w:rPr>
          <w:rFonts w:cs="Times New Roman"/>
          <w:b/>
          <w:bCs/>
          <w:noProof/>
        </w:rPr>
        <w:fldChar w:fldCharType="end"/>
      </w:r>
    </w:p>
    <w:p w14:paraId="00CE0CE8" w14:textId="77777777" w:rsidR="00B17E5F" w:rsidRPr="00322E56" w:rsidRDefault="00B17E5F" w:rsidP="00387656">
      <w:pPr>
        <w:pStyle w:val="Title"/>
        <w:rPr>
          <w:rFonts w:cs="Times New Roman"/>
          <w:sz w:val="24"/>
        </w:rPr>
      </w:pPr>
      <w:r w:rsidRPr="00322E56">
        <w:rPr>
          <w:rFonts w:cs="Times New Roman"/>
          <w:sz w:val="24"/>
        </w:rPr>
        <w:br w:type="page"/>
      </w:r>
    </w:p>
    <w:p w14:paraId="7BD1CE82" w14:textId="77777777" w:rsidR="00B17E5F" w:rsidRPr="00322E56" w:rsidRDefault="00B17E5F" w:rsidP="00387656">
      <w:pPr>
        <w:pStyle w:val="Title"/>
        <w:rPr>
          <w:rFonts w:cs="Times New Roman"/>
          <w:szCs w:val="28"/>
        </w:rPr>
      </w:pPr>
      <w:r w:rsidRPr="00322E56">
        <w:rPr>
          <w:rFonts w:cs="Times New Roman"/>
          <w:szCs w:val="28"/>
        </w:rPr>
        <w:lastRenderedPageBreak/>
        <w:t>LIST OF TABLES</w:t>
      </w:r>
    </w:p>
    <w:p w14:paraId="3AEC5434" w14:textId="77777777" w:rsidR="00B17E5F" w:rsidRPr="00322E56" w:rsidRDefault="00B17E5F" w:rsidP="00387656">
      <w:pPr>
        <w:pStyle w:val="Title"/>
        <w:rPr>
          <w:rFonts w:cs="Times New Roman"/>
          <w:sz w:val="24"/>
        </w:rPr>
      </w:pPr>
    </w:p>
    <w:p w14:paraId="74DDD0F9" w14:textId="65634207" w:rsidR="00D408AD" w:rsidRDefault="00B17E5F">
      <w:pPr>
        <w:pStyle w:val="TableofFigures"/>
        <w:tabs>
          <w:tab w:val="right" w:leader="dot" w:pos="8630"/>
        </w:tabs>
        <w:rPr>
          <w:rFonts w:asciiTheme="minorHAnsi" w:eastAsiaTheme="minorEastAsia" w:hAnsiTheme="minorHAnsi" w:cstheme="minorBidi"/>
          <w:noProof/>
        </w:rPr>
      </w:pPr>
      <w:r w:rsidRPr="00322E56">
        <w:rPr>
          <w:rFonts w:cs="Times New Roman"/>
        </w:rPr>
        <w:fldChar w:fldCharType="begin"/>
      </w:r>
      <w:r w:rsidRPr="00322E56">
        <w:rPr>
          <w:rFonts w:cs="Times New Roman"/>
        </w:rPr>
        <w:instrText xml:space="preserve"> TOC \h \z \c "Table" </w:instrText>
      </w:r>
      <w:r w:rsidRPr="00322E56">
        <w:rPr>
          <w:rFonts w:cs="Times New Roman"/>
        </w:rPr>
        <w:fldChar w:fldCharType="separate"/>
      </w:r>
      <w:hyperlink w:anchor="_Toc140399941" w:history="1">
        <w:r w:rsidR="00D408AD" w:rsidRPr="00B04DA3">
          <w:rPr>
            <w:rStyle w:val="Hyperlink"/>
            <w:rFonts w:cs="Times New Roman"/>
            <w:noProof/>
          </w:rPr>
          <w:t>Table 1: Table showing gap in literature and scope of this work.</w:t>
        </w:r>
        <w:r w:rsidR="00D408AD">
          <w:rPr>
            <w:noProof/>
            <w:webHidden/>
          </w:rPr>
          <w:tab/>
        </w:r>
        <w:r w:rsidR="00D408AD">
          <w:rPr>
            <w:noProof/>
            <w:webHidden/>
          </w:rPr>
          <w:fldChar w:fldCharType="begin"/>
        </w:r>
        <w:r w:rsidR="00D408AD">
          <w:rPr>
            <w:noProof/>
            <w:webHidden/>
          </w:rPr>
          <w:instrText xml:space="preserve"> PAGEREF _Toc140399941 \h </w:instrText>
        </w:r>
        <w:r w:rsidR="00D408AD">
          <w:rPr>
            <w:noProof/>
            <w:webHidden/>
          </w:rPr>
        </w:r>
        <w:r w:rsidR="00D408AD">
          <w:rPr>
            <w:noProof/>
            <w:webHidden/>
          </w:rPr>
          <w:fldChar w:fldCharType="separate"/>
        </w:r>
        <w:r w:rsidR="00D408AD">
          <w:rPr>
            <w:noProof/>
            <w:webHidden/>
          </w:rPr>
          <w:t>4</w:t>
        </w:r>
        <w:r w:rsidR="00D408AD">
          <w:rPr>
            <w:noProof/>
            <w:webHidden/>
          </w:rPr>
          <w:fldChar w:fldCharType="end"/>
        </w:r>
      </w:hyperlink>
    </w:p>
    <w:p w14:paraId="7CA6D0FF" w14:textId="7A50240B" w:rsidR="00D408AD" w:rsidRDefault="00000000">
      <w:pPr>
        <w:pStyle w:val="TableofFigures"/>
        <w:tabs>
          <w:tab w:val="right" w:leader="dot" w:pos="8630"/>
        </w:tabs>
        <w:rPr>
          <w:rFonts w:asciiTheme="minorHAnsi" w:eastAsiaTheme="minorEastAsia" w:hAnsiTheme="minorHAnsi" w:cstheme="minorBidi"/>
          <w:noProof/>
        </w:rPr>
      </w:pPr>
      <w:hyperlink w:anchor="_Toc140399942" w:history="1">
        <w:r w:rsidR="00D408AD" w:rsidRPr="00B04DA3">
          <w:rPr>
            <w:rStyle w:val="Hyperlink"/>
            <w:rFonts w:cs="Times New Roman"/>
            <w:noProof/>
          </w:rPr>
          <w:t>Table 2: Definitions of active, passive, direct, and indirect TES configurations</w:t>
        </w:r>
        <w:r w:rsidR="00D408AD">
          <w:rPr>
            <w:noProof/>
            <w:webHidden/>
          </w:rPr>
          <w:tab/>
        </w:r>
        <w:r w:rsidR="00D408AD">
          <w:rPr>
            <w:noProof/>
            <w:webHidden/>
          </w:rPr>
          <w:fldChar w:fldCharType="begin"/>
        </w:r>
        <w:r w:rsidR="00D408AD">
          <w:rPr>
            <w:noProof/>
            <w:webHidden/>
          </w:rPr>
          <w:instrText xml:space="preserve"> PAGEREF _Toc140399942 \h </w:instrText>
        </w:r>
        <w:r w:rsidR="00D408AD">
          <w:rPr>
            <w:noProof/>
            <w:webHidden/>
          </w:rPr>
        </w:r>
        <w:r w:rsidR="00D408AD">
          <w:rPr>
            <w:noProof/>
            <w:webHidden/>
          </w:rPr>
          <w:fldChar w:fldCharType="separate"/>
        </w:r>
        <w:r w:rsidR="00D408AD">
          <w:rPr>
            <w:noProof/>
            <w:webHidden/>
          </w:rPr>
          <w:t>27</w:t>
        </w:r>
        <w:r w:rsidR="00D408AD">
          <w:rPr>
            <w:noProof/>
            <w:webHidden/>
          </w:rPr>
          <w:fldChar w:fldCharType="end"/>
        </w:r>
      </w:hyperlink>
    </w:p>
    <w:p w14:paraId="26ACC03F" w14:textId="42D3C9C9" w:rsidR="00D408AD" w:rsidRDefault="00000000">
      <w:pPr>
        <w:pStyle w:val="TableofFigures"/>
        <w:tabs>
          <w:tab w:val="right" w:leader="dot" w:pos="8630"/>
        </w:tabs>
        <w:rPr>
          <w:rFonts w:asciiTheme="minorHAnsi" w:eastAsiaTheme="minorEastAsia" w:hAnsiTheme="minorHAnsi" w:cstheme="minorBidi"/>
          <w:noProof/>
        </w:rPr>
      </w:pPr>
      <w:hyperlink w:anchor="_Toc140399943" w:history="1">
        <w:r w:rsidR="00D408AD" w:rsidRPr="00B04DA3">
          <w:rPr>
            <w:rStyle w:val="Hyperlink"/>
            <w:rFonts w:cs="Times New Roman"/>
            <w:noProof/>
          </w:rPr>
          <w:t>Table 3: Demand management without TES</w:t>
        </w:r>
        <w:r w:rsidR="00D408AD">
          <w:rPr>
            <w:noProof/>
            <w:webHidden/>
          </w:rPr>
          <w:tab/>
        </w:r>
        <w:r w:rsidR="00D408AD">
          <w:rPr>
            <w:noProof/>
            <w:webHidden/>
          </w:rPr>
          <w:fldChar w:fldCharType="begin"/>
        </w:r>
        <w:r w:rsidR="00D408AD">
          <w:rPr>
            <w:noProof/>
            <w:webHidden/>
          </w:rPr>
          <w:instrText xml:space="preserve"> PAGEREF _Toc140399943 \h </w:instrText>
        </w:r>
        <w:r w:rsidR="00D408AD">
          <w:rPr>
            <w:noProof/>
            <w:webHidden/>
          </w:rPr>
        </w:r>
        <w:r w:rsidR="00D408AD">
          <w:rPr>
            <w:noProof/>
            <w:webHidden/>
          </w:rPr>
          <w:fldChar w:fldCharType="separate"/>
        </w:r>
        <w:r w:rsidR="00D408AD">
          <w:rPr>
            <w:noProof/>
            <w:webHidden/>
          </w:rPr>
          <w:t>31</w:t>
        </w:r>
        <w:r w:rsidR="00D408AD">
          <w:rPr>
            <w:noProof/>
            <w:webHidden/>
          </w:rPr>
          <w:fldChar w:fldCharType="end"/>
        </w:r>
      </w:hyperlink>
    </w:p>
    <w:p w14:paraId="4C58033C" w14:textId="259E91A6" w:rsidR="00D408AD" w:rsidRDefault="00000000">
      <w:pPr>
        <w:pStyle w:val="TableofFigures"/>
        <w:tabs>
          <w:tab w:val="right" w:leader="dot" w:pos="8630"/>
        </w:tabs>
        <w:rPr>
          <w:rFonts w:asciiTheme="minorHAnsi" w:eastAsiaTheme="minorEastAsia" w:hAnsiTheme="minorHAnsi" w:cstheme="minorBidi"/>
          <w:noProof/>
        </w:rPr>
      </w:pPr>
      <w:hyperlink w:anchor="_Toc140399944" w:history="1">
        <w:r w:rsidR="00D408AD" w:rsidRPr="00B04DA3">
          <w:rPr>
            <w:rStyle w:val="Hyperlink"/>
            <w:rFonts w:cs="Times New Roman"/>
            <w:noProof/>
          </w:rPr>
          <w:t>Table 4: Passive TES configurations with cooling only</w:t>
        </w:r>
        <w:r w:rsidR="00D408AD">
          <w:rPr>
            <w:noProof/>
            <w:webHidden/>
          </w:rPr>
          <w:tab/>
        </w:r>
        <w:r w:rsidR="00D408AD">
          <w:rPr>
            <w:noProof/>
            <w:webHidden/>
          </w:rPr>
          <w:fldChar w:fldCharType="begin"/>
        </w:r>
        <w:r w:rsidR="00D408AD">
          <w:rPr>
            <w:noProof/>
            <w:webHidden/>
          </w:rPr>
          <w:instrText xml:space="preserve"> PAGEREF _Toc140399944 \h </w:instrText>
        </w:r>
        <w:r w:rsidR="00D408AD">
          <w:rPr>
            <w:noProof/>
            <w:webHidden/>
          </w:rPr>
        </w:r>
        <w:r w:rsidR="00D408AD">
          <w:rPr>
            <w:noProof/>
            <w:webHidden/>
          </w:rPr>
          <w:fldChar w:fldCharType="separate"/>
        </w:r>
        <w:r w:rsidR="00D408AD">
          <w:rPr>
            <w:noProof/>
            <w:webHidden/>
          </w:rPr>
          <w:t>35</w:t>
        </w:r>
        <w:r w:rsidR="00D408AD">
          <w:rPr>
            <w:noProof/>
            <w:webHidden/>
          </w:rPr>
          <w:fldChar w:fldCharType="end"/>
        </w:r>
      </w:hyperlink>
    </w:p>
    <w:p w14:paraId="6780E02C" w14:textId="57F2B01A" w:rsidR="00D408AD" w:rsidRDefault="00000000">
      <w:pPr>
        <w:pStyle w:val="TableofFigures"/>
        <w:tabs>
          <w:tab w:val="right" w:leader="dot" w:pos="8630"/>
        </w:tabs>
        <w:rPr>
          <w:rFonts w:asciiTheme="minorHAnsi" w:eastAsiaTheme="minorEastAsia" w:hAnsiTheme="minorHAnsi" w:cstheme="minorBidi"/>
          <w:noProof/>
        </w:rPr>
      </w:pPr>
      <w:hyperlink w:anchor="_Toc140399945" w:history="1">
        <w:r w:rsidR="00D408AD" w:rsidRPr="00B04DA3">
          <w:rPr>
            <w:rStyle w:val="Hyperlink"/>
            <w:rFonts w:cs="Times New Roman"/>
            <w:noProof/>
          </w:rPr>
          <w:t>Table 5: Passive TES configurations with heating only</w:t>
        </w:r>
        <w:r w:rsidR="00D408AD">
          <w:rPr>
            <w:noProof/>
            <w:webHidden/>
          </w:rPr>
          <w:tab/>
        </w:r>
        <w:r w:rsidR="00D408AD">
          <w:rPr>
            <w:noProof/>
            <w:webHidden/>
          </w:rPr>
          <w:fldChar w:fldCharType="begin"/>
        </w:r>
        <w:r w:rsidR="00D408AD">
          <w:rPr>
            <w:noProof/>
            <w:webHidden/>
          </w:rPr>
          <w:instrText xml:space="preserve"> PAGEREF _Toc140399945 \h </w:instrText>
        </w:r>
        <w:r w:rsidR="00D408AD">
          <w:rPr>
            <w:noProof/>
            <w:webHidden/>
          </w:rPr>
        </w:r>
        <w:r w:rsidR="00D408AD">
          <w:rPr>
            <w:noProof/>
            <w:webHidden/>
          </w:rPr>
          <w:fldChar w:fldCharType="separate"/>
        </w:r>
        <w:r w:rsidR="00D408AD">
          <w:rPr>
            <w:noProof/>
            <w:webHidden/>
          </w:rPr>
          <w:t>36</w:t>
        </w:r>
        <w:r w:rsidR="00D408AD">
          <w:rPr>
            <w:noProof/>
            <w:webHidden/>
          </w:rPr>
          <w:fldChar w:fldCharType="end"/>
        </w:r>
      </w:hyperlink>
    </w:p>
    <w:p w14:paraId="5624EDD8" w14:textId="672E7C14" w:rsidR="00D408AD" w:rsidRDefault="00000000">
      <w:pPr>
        <w:pStyle w:val="TableofFigures"/>
        <w:tabs>
          <w:tab w:val="right" w:leader="dot" w:pos="8630"/>
        </w:tabs>
        <w:rPr>
          <w:rFonts w:asciiTheme="minorHAnsi" w:eastAsiaTheme="minorEastAsia" w:hAnsiTheme="minorHAnsi" w:cstheme="minorBidi"/>
          <w:noProof/>
        </w:rPr>
      </w:pPr>
      <w:hyperlink w:anchor="_Toc140399946" w:history="1">
        <w:r w:rsidR="00D408AD" w:rsidRPr="00B04DA3">
          <w:rPr>
            <w:rStyle w:val="Hyperlink"/>
            <w:rFonts w:cs="Times New Roman"/>
            <w:noProof/>
          </w:rPr>
          <w:t>Table 6: Passive TES configurations with both heating and cooling</w:t>
        </w:r>
        <w:r w:rsidR="00D408AD">
          <w:rPr>
            <w:noProof/>
            <w:webHidden/>
          </w:rPr>
          <w:tab/>
        </w:r>
        <w:r w:rsidR="00D408AD">
          <w:rPr>
            <w:noProof/>
            <w:webHidden/>
          </w:rPr>
          <w:fldChar w:fldCharType="begin"/>
        </w:r>
        <w:r w:rsidR="00D408AD">
          <w:rPr>
            <w:noProof/>
            <w:webHidden/>
          </w:rPr>
          <w:instrText xml:space="preserve"> PAGEREF _Toc140399946 \h </w:instrText>
        </w:r>
        <w:r w:rsidR="00D408AD">
          <w:rPr>
            <w:noProof/>
            <w:webHidden/>
          </w:rPr>
        </w:r>
        <w:r w:rsidR="00D408AD">
          <w:rPr>
            <w:noProof/>
            <w:webHidden/>
          </w:rPr>
          <w:fldChar w:fldCharType="separate"/>
        </w:r>
        <w:r w:rsidR="00D408AD">
          <w:rPr>
            <w:noProof/>
            <w:webHidden/>
          </w:rPr>
          <w:t>38</w:t>
        </w:r>
        <w:r w:rsidR="00D408AD">
          <w:rPr>
            <w:noProof/>
            <w:webHidden/>
          </w:rPr>
          <w:fldChar w:fldCharType="end"/>
        </w:r>
      </w:hyperlink>
    </w:p>
    <w:p w14:paraId="61C56CF4" w14:textId="1F9AEE6D" w:rsidR="00D408AD" w:rsidRDefault="00000000">
      <w:pPr>
        <w:pStyle w:val="TableofFigures"/>
        <w:tabs>
          <w:tab w:val="right" w:leader="dot" w:pos="8630"/>
        </w:tabs>
        <w:rPr>
          <w:rFonts w:asciiTheme="minorHAnsi" w:eastAsiaTheme="minorEastAsia" w:hAnsiTheme="minorHAnsi" w:cstheme="minorBidi"/>
          <w:noProof/>
        </w:rPr>
      </w:pPr>
      <w:hyperlink w:anchor="_Toc140399947" w:history="1">
        <w:r w:rsidR="00D408AD" w:rsidRPr="00B04DA3">
          <w:rPr>
            <w:rStyle w:val="Hyperlink"/>
            <w:rFonts w:cs="Times New Roman"/>
            <w:noProof/>
          </w:rPr>
          <w:t>Table 7: Active PCM configurations with cooling only</w:t>
        </w:r>
        <w:r w:rsidR="00D408AD">
          <w:rPr>
            <w:noProof/>
            <w:webHidden/>
          </w:rPr>
          <w:tab/>
        </w:r>
        <w:r w:rsidR="00D408AD">
          <w:rPr>
            <w:noProof/>
            <w:webHidden/>
          </w:rPr>
          <w:fldChar w:fldCharType="begin"/>
        </w:r>
        <w:r w:rsidR="00D408AD">
          <w:rPr>
            <w:noProof/>
            <w:webHidden/>
          </w:rPr>
          <w:instrText xml:space="preserve"> PAGEREF _Toc140399947 \h </w:instrText>
        </w:r>
        <w:r w:rsidR="00D408AD">
          <w:rPr>
            <w:noProof/>
            <w:webHidden/>
          </w:rPr>
        </w:r>
        <w:r w:rsidR="00D408AD">
          <w:rPr>
            <w:noProof/>
            <w:webHidden/>
          </w:rPr>
          <w:fldChar w:fldCharType="separate"/>
        </w:r>
        <w:r w:rsidR="00D408AD">
          <w:rPr>
            <w:noProof/>
            <w:webHidden/>
          </w:rPr>
          <w:t>46</w:t>
        </w:r>
        <w:r w:rsidR="00D408AD">
          <w:rPr>
            <w:noProof/>
            <w:webHidden/>
          </w:rPr>
          <w:fldChar w:fldCharType="end"/>
        </w:r>
      </w:hyperlink>
    </w:p>
    <w:p w14:paraId="6DF1C5A6" w14:textId="361BA55A" w:rsidR="00D408AD" w:rsidRDefault="00000000">
      <w:pPr>
        <w:pStyle w:val="TableofFigures"/>
        <w:tabs>
          <w:tab w:val="right" w:leader="dot" w:pos="8630"/>
        </w:tabs>
        <w:rPr>
          <w:rFonts w:asciiTheme="minorHAnsi" w:eastAsiaTheme="minorEastAsia" w:hAnsiTheme="minorHAnsi" w:cstheme="minorBidi"/>
          <w:noProof/>
        </w:rPr>
      </w:pPr>
      <w:hyperlink w:anchor="_Toc140399948" w:history="1">
        <w:r w:rsidR="00D408AD" w:rsidRPr="00B04DA3">
          <w:rPr>
            <w:rStyle w:val="Hyperlink"/>
            <w:rFonts w:cs="Times New Roman"/>
            <w:noProof/>
          </w:rPr>
          <w:t>Table 8: Active PCM configurations with heating only</w:t>
        </w:r>
        <w:r w:rsidR="00D408AD">
          <w:rPr>
            <w:noProof/>
            <w:webHidden/>
          </w:rPr>
          <w:tab/>
        </w:r>
        <w:r w:rsidR="00D408AD">
          <w:rPr>
            <w:noProof/>
            <w:webHidden/>
          </w:rPr>
          <w:fldChar w:fldCharType="begin"/>
        </w:r>
        <w:r w:rsidR="00D408AD">
          <w:rPr>
            <w:noProof/>
            <w:webHidden/>
          </w:rPr>
          <w:instrText xml:space="preserve"> PAGEREF _Toc140399948 \h </w:instrText>
        </w:r>
        <w:r w:rsidR="00D408AD">
          <w:rPr>
            <w:noProof/>
            <w:webHidden/>
          </w:rPr>
        </w:r>
        <w:r w:rsidR="00D408AD">
          <w:rPr>
            <w:noProof/>
            <w:webHidden/>
          </w:rPr>
          <w:fldChar w:fldCharType="separate"/>
        </w:r>
        <w:r w:rsidR="00D408AD">
          <w:rPr>
            <w:noProof/>
            <w:webHidden/>
          </w:rPr>
          <w:t>50</w:t>
        </w:r>
        <w:r w:rsidR="00D408AD">
          <w:rPr>
            <w:noProof/>
            <w:webHidden/>
          </w:rPr>
          <w:fldChar w:fldCharType="end"/>
        </w:r>
      </w:hyperlink>
    </w:p>
    <w:p w14:paraId="6F38588E" w14:textId="7B26E11F" w:rsidR="00D408AD" w:rsidRDefault="00000000">
      <w:pPr>
        <w:pStyle w:val="TableofFigures"/>
        <w:tabs>
          <w:tab w:val="right" w:leader="dot" w:pos="8630"/>
        </w:tabs>
        <w:rPr>
          <w:rFonts w:asciiTheme="minorHAnsi" w:eastAsiaTheme="minorEastAsia" w:hAnsiTheme="minorHAnsi" w:cstheme="minorBidi"/>
          <w:noProof/>
        </w:rPr>
      </w:pPr>
      <w:hyperlink w:anchor="_Toc140399949" w:history="1">
        <w:r w:rsidR="00D408AD" w:rsidRPr="00B04DA3">
          <w:rPr>
            <w:rStyle w:val="Hyperlink"/>
            <w:rFonts w:cs="Times New Roman"/>
            <w:noProof/>
          </w:rPr>
          <w:t>Table 9: Active PCM configurations with both heating and cooling</w:t>
        </w:r>
        <w:r w:rsidR="00D408AD">
          <w:rPr>
            <w:noProof/>
            <w:webHidden/>
          </w:rPr>
          <w:tab/>
        </w:r>
        <w:r w:rsidR="00D408AD">
          <w:rPr>
            <w:noProof/>
            <w:webHidden/>
          </w:rPr>
          <w:fldChar w:fldCharType="begin"/>
        </w:r>
        <w:r w:rsidR="00D408AD">
          <w:rPr>
            <w:noProof/>
            <w:webHidden/>
          </w:rPr>
          <w:instrText xml:space="preserve"> PAGEREF _Toc140399949 \h </w:instrText>
        </w:r>
        <w:r w:rsidR="00D408AD">
          <w:rPr>
            <w:noProof/>
            <w:webHidden/>
          </w:rPr>
        </w:r>
        <w:r w:rsidR="00D408AD">
          <w:rPr>
            <w:noProof/>
            <w:webHidden/>
          </w:rPr>
          <w:fldChar w:fldCharType="separate"/>
        </w:r>
        <w:r w:rsidR="00D408AD">
          <w:rPr>
            <w:noProof/>
            <w:webHidden/>
          </w:rPr>
          <w:t>51</w:t>
        </w:r>
        <w:r w:rsidR="00D408AD">
          <w:rPr>
            <w:noProof/>
            <w:webHidden/>
          </w:rPr>
          <w:fldChar w:fldCharType="end"/>
        </w:r>
      </w:hyperlink>
    </w:p>
    <w:p w14:paraId="5FAA251D" w14:textId="0FD579B1" w:rsidR="00D408AD" w:rsidRDefault="00000000">
      <w:pPr>
        <w:pStyle w:val="TableofFigures"/>
        <w:tabs>
          <w:tab w:val="right" w:leader="dot" w:pos="8630"/>
        </w:tabs>
        <w:rPr>
          <w:rFonts w:asciiTheme="minorHAnsi" w:eastAsiaTheme="minorEastAsia" w:hAnsiTheme="minorHAnsi" w:cstheme="minorBidi"/>
          <w:noProof/>
        </w:rPr>
      </w:pPr>
      <w:hyperlink w:anchor="_Toc140399950" w:history="1">
        <w:r w:rsidR="00D408AD" w:rsidRPr="00B04DA3">
          <w:rPr>
            <w:rStyle w:val="Hyperlink"/>
            <w:rFonts w:cs="Times New Roman"/>
            <w:noProof/>
          </w:rPr>
          <w:t>Table 10: PCMs for HP-TES</w:t>
        </w:r>
        <w:r w:rsidR="00D408AD">
          <w:rPr>
            <w:noProof/>
            <w:webHidden/>
          </w:rPr>
          <w:tab/>
        </w:r>
        <w:r w:rsidR="00D408AD">
          <w:rPr>
            <w:noProof/>
            <w:webHidden/>
          </w:rPr>
          <w:fldChar w:fldCharType="begin"/>
        </w:r>
        <w:r w:rsidR="00D408AD">
          <w:rPr>
            <w:noProof/>
            <w:webHidden/>
          </w:rPr>
          <w:instrText xml:space="preserve"> PAGEREF _Toc140399950 \h </w:instrText>
        </w:r>
        <w:r w:rsidR="00D408AD">
          <w:rPr>
            <w:noProof/>
            <w:webHidden/>
          </w:rPr>
        </w:r>
        <w:r w:rsidR="00D408AD">
          <w:rPr>
            <w:noProof/>
            <w:webHidden/>
          </w:rPr>
          <w:fldChar w:fldCharType="separate"/>
        </w:r>
        <w:r w:rsidR="00D408AD">
          <w:rPr>
            <w:noProof/>
            <w:webHidden/>
          </w:rPr>
          <w:t>82</w:t>
        </w:r>
        <w:r w:rsidR="00D408AD">
          <w:rPr>
            <w:noProof/>
            <w:webHidden/>
          </w:rPr>
          <w:fldChar w:fldCharType="end"/>
        </w:r>
      </w:hyperlink>
    </w:p>
    <w:p w14:paraId="1D5EA82C" w14:textId="019F390A" w:rsidR="00D408AD" w:rsidRDefault="00000000">
      <w:pPr>
        <w:pStyle w:val="TableofFigures"/>
        <w:tabs>
          <w:tab w:val="right" w:leader="dot" w:pos="8630"/>
        </w:tabs>
        <w:rPr>
          <w:rFonts w:asciiTheme="minorHAnsi" w:eastAsiaTheme="minorEastAsia" w:hAnsiTheme="minorHAnsi" w:cstheme="minorBidi"/>
          <w:noProof/>
        </w:rPr>
      </w:pPr>
      <w:hyperlink w:anchor="_Toc140399951" w:history="1">
        <w:r w:rsidR="00D408AD" w:rsidRPr="00B04DA3">
          <w:rPr>
            <w:rStyle w:val="Hyperlink"/>
            <w:rFonts w:cs="Times New Roman"/>
            <w:noProof/>
          </w:rPr>
          <w:t>Table 11: Active HP-TES Configurations with Salt hydrate PCMS</w:t>
        </w:r>
        <w:r w:rsidR="00D408AD">
          <w:rPr>
            <w:noProof/>
            <w:webHidden/>
          </w:rPr>
          <w:tab/>
        </w:r>
        <w:r w:rsidR="00D408AD">
          <w:rPr>
            <w:noProof/>
            <w:webHidden/>
          </w:rPr>
          <w:fldChar w:fldCharType="begin"/>
        </w:r>
        <w:r w:rsidR="00D408AD">
          <w:rPr>
            <w:noProof/>
            <w:webHidden/>
          </w:rPr>
          <w:instrText xml:space="preserve"> PAGEREF _Toc140399951 \h </w:instrText>
        </w:r>
        <w:r w:rsidR="00D408AD">
          <w:rPr>
            <w:noProof/>
            <w:webHidden/>
          </w:rPr>
        </w:r>
        <w:r w:rsidR="00D408AD">
          <w:rPr>
            <w:noProof/>
            <w:webHidden/>
          </w:rPr>
          <w:fldChar w:fldCharType="separate"/>
        </w:r>
        <w:r w:rsidR="00D408AD">
          <w:rPr>
            <w:noProof/>
            <w:webHidden/>
          </w:rPr>
          <w:t>85</w:t>
        </w:r>
        <w:r w:rsidR="00D408AD">
          <w:rPr>
            <w:noProof/>
            <w:webHidden/>
          </w:rPr>
          <w:fldChar w:fldCharType="end"/>
        </w:r>
      </w:hyperlink>
    </w:p>
    <w:p w14:paraId="53666345" w14:textId="30C6F7D0" w:rsidR="00D408AD" w:rsidRDefault="00000000">
      <w:pPr>
        <w:pStyle w:val="TableofFigures"/>
        <w:tabs>
          <w:tab w:val="right" w:leader="dot" w:pos="8630"/>
        </w:tabs>
        <w:rPr>
          <w:rFonts w:asciiTheme="minorHAnsi" w:eastAsiaTheme="minorEastAsia" w:hAnsiTheme="minorHAnsi" w:cstheme="minorBidi"/>
          <w:noProof/>
        </w:rPr>
      </w:pPr>
      <w:hyperlink w:anchor="_Toc140399952" w:history="1">
        <w:r w:rsidR="00D408AD" w:rsidRPr="00B04DA3">
          <w:rPr>
            <w:rStyle w:val="Hyperlink"/>
            <w:rFonts w:cs="Times New Roman"/>
            <w:noProof/>
          </w:rPr>
          <w:t>Table 12: Active HP-TES Configurations with other PCMS</w:t>
        </w:r>
        <w:r w:rsidR="00D408AD">
          <w:rPr>
            <w:noProof/>
            <w:webHidden/>
          </w:rPr>
          <w:tab/>
        </w:r>
        <w:r w:rsidR="00D408AD">
          <w:rPr>
            <w:noProof/>
            <w:webHidden/>
          </w:rPr>
          <w:fldChar w:fldCharType="begin"/>
        </w:r>
        <w:r w:rsidR="00D408AD">
          <w:rPr>
            <w:noProof/>
            <w:webHidden/>
          </w:rPr>
          <w:instrText xml:space="preserve"> PAGEREF _Toc140399952 \h </w:instrText>
        </w:r>
        <w:r w:rsidR="00D408AD">
          <w:rPr>
            <w:noProof/>
            <w:webHidden/>
          </w:rPr>
        </w:r>
        <w:r w:rsidR="00D408AD">
          <w:rPr>
            <w:noProof/>
            <w:webHidden/>
          </w:rPr>
          <w:fldChar w:fldCharType="separate"/>
        </w:r>
        <w:r w:rsidR="00D408AD">
          <w:rPr>
            <w:noProof/>
            <w:webHidden/>
          </w:rPr>
          <w:t>86</w:t>
        </w:r>
        <w:r w:rsidR="00D408AD">
          <w:rPr>
            <w:noProof/>
            <w:webHidden/>
          </w:rPr>
          <w:fldChar w:fldCharType="end"/>
        </w:r>
      </w:hyperlink>
    </w:p>
    <w:p w14:paraId="19FB2C41" w14:textId="00DBCCD4" w:rsidR="00D408AD" w:rsidRDefault="00000000">
      <w:pPr>
        <w:pStyle w:val="TableofFigures"/>
        <w:tabs>
          <w:tab w:val="right" w:leader="dot" w:pos="8630"/>
        </w:tabs>
        <w:rPr>
          <w:rFonts w:asciiTheme="minorHAnsi" w:eastAsiaTheme="minorEastAsia" w:hAnsiTheme="minorHAnsi" w:cstheme="minorBidi"/>
          <w:noProof/>
        </w:rPr>
      </w:pPr>
      <w:hyperlink w:anchor="_Toc140399953" w:history="1">
        <w:r w:rsidR="00D408AD" w:rsidRPr="00B04DA3">
          <w:rPr>
            <w:rStyle w:val="Hyperlink"/>
            <w:rFonts w:cs="Times New Roman"/>
            <w:noProof/>
          </w:rPr>
          <w:t>Table 13: PCM-based active TES for load shifting.</w:t>
        </w:r>
        <w:r w:rsidR="00D408AD">
          <w:rPr>
            <w:noProof/>
            <w:webHidden/>
          </w:rPr>
          <w:tab/>
        </w:r>
        <w:r w:rsidR="00D408AD">
          <w:rPr>
            <w:noProof/>
            <w:webHidden/>
          </w:rPr>
          <w:fldChar w:fldCharType="begin"/>
        </w:r>
        <w:r w:rsidR="00D408AD">
          <w:rPr>
            <w:noProof/>
            <w:webHidden/>
          </w:rPr>
          <w:instrText xml:space="preserve"> PAGEREF _Toc140399953 \h </w:instrText>
        </w:r>
        <w:r w:rsidR="00D408AD">
          <w:rPr>
            <w:noProof/>
            <w:webHidden/>
          </w:rPr>
        </w:r>
        <w:r w:rsidR="00D408AD">
          <w:rPr>
            <w:noProof/>
            <w:webHidden/>
          </w:rPr>
          <w:fldChar w:fldCharType="separate"/>
        </w:r>
        <w:r w:rsidR="00D408AD">
          <w:rPr>
            <w:noProof/>
            <w:webHidden/>
          </w:rPr>
          <w:t>96</w:t>
        </w:r>
        <w:r w:rsidR="00D408AD">
          <w:rPr>
            <w:noProof/>
            <w:webHidden/>
          </w:rPr>
          <w:fldChar w:fldCharType="end"/>
        </w:r>
      </w:hyperlink>
    </w:p>
    <w:p w14:paraId="53DD7974" w14:textId="682AA06B" w:rsidR="00D408AD" w:rsidRDefault="00000000">
      <w:pPr>
        <w:pStyle w:val="TableofFigures"/>
        <w:tabs>
          <w:tab w:val="right" w:leader="dot" w:pos="8630"/>
        </w:tabs>
        <w:rPr>
          <w:rFonts w:asciiTheme="minorHAnsi" w:eastAsiaTheme="minorEastAsia" w:hAnsiTheme="minorHAnsi" w:cstheme="minorBidi"/>
          <w:noProof/>
        </w:rPr>
      </w:pPr>
      <w:hyperlink w:anchor="_Toc140399954" w:history="1">
        <w:r w:rsidR="00D408AD" w:rsidRPr="00B04DA3">
          <w:rPr>
            <w:rStyle w:val="Hyperlink"/>
            <w:rFonts w:cs="Times New Roman"/>
            <w:noProof/>
          </w:rPr>
          <w:t>Table 14: Literature review on PCM temperature optimization</w:t>
        </w:r>
        <w:r w:rsidR="00D408AD">
          <w:rPr>
            <w:noProof/>
            <w:webHidden/>
          </w:rPr>
          <w:tab/>
        </w:r>
        <w:r w:rsidR="00D408AD">
          <w:rPr>
            <w:noProof/>
            <w:webHidden/>
          </w:rPr>
          <w:fldChar w:fldCharType="begin"/>
        </w:r>
        <w:r w:rsidR="00D408AD">
          <w:rPr>
            <w:noProof/>
            <w:webHidden/>
          </w:rPr>
          <w:instrText xml:space="preserve"> PAGEREF _Toc140399954 \h </w:instrText>
        </w:r>
        <w:r w:rsidR="00D408AD">
          <w:rPr>
            <w:noProof/>
            <w:webHidden/>
          </w:rPr>
        </w:r>
        <w:r w:rsidR="00D408AD">
          <w:rPr>
            <w:noProof/>
            <w:webHidden/>
          </w:rPr>
          <w:fldChar w:fldCharType="separate"/>
        </w:r>
        <w:r w:rsidR="00D408AD">
          <w:rPr>
            <w:noProof/>
            <w:webHidden/>
          </w:rPr>
          <w:t>120</w:t>
        </w:r>
        <w:r w:rsidR="00D408AD">
          <w:rPr>
            <w:noProof/>
            <w:webHidden/>
          </w:rPr>
          <w:fldChar w:fldCharType="end"/>
        </w:r>
      </w:hyperlink>
    </w:p>
    <w:p w14:paraId="728927B0" w14:textId="073370EE" w:rsidR="00D408AD" w:rsidRDefault="00000000">
      <w:pPr>
        <w:pStyle w:val="TableofFigures"/>
        <w:tabs>
          <w:tab w:val="right" w:leader="dot" w:pos="8630"/>
        </w:tabs>
        <w:rPr>
          <w:rFonts w:asciiTheme="minorHAnsi" w:eastAsiaTheme="minorEastAsia" w:hAnsiTheme="minorHAnsi" w:cstheme="minorBidi"/>
          <w:noProof/>
        </w:rPr>
      </w:pPr>
      <w:hyperlink w:anchor="_Toc140399955" w:history="1">
        <w:r w:rsidR="00D408AD" w:rsidRPr="00B04DA3">
          <w:rPr>
            <w:rStyle w:val="Hyperlink"/>
            <w:rFonts w:cs="Times New Roman"/>
            <w:noProof/>
          </w:rPr>
          <w:t>Table 15: Electric utility rates</w:t>
        </w:r>
        <w:r w:rsidR="00D408AD">
          <w:rPr>
            <w:noProof/>
            <w:webHidden/>
          </w:rPr>
          <w:tab/>
        </w:r>
        <w:r w:rsidR="00D408AD">
          <w:rPr>
            <w:noProof/>
            <w:webHidden/>
          </w:rPr>
          <w:fldChar w:fldCharType="begin"/>
        </w:r>
        <w:r w:rsidR="00D408AD">
          <w:rPr>
            <w:noProof/>
            <w:webHidden/>
          </w:rPr>
          <w:instrText xml:space="preserve"> PAGEREF _Toc140399955 \h </w:instrText>
        </w:r>
        <w:r w:rsidR="00D408AD">
          <w:rPr>
            <w:noProof/>
            <w:webHidden/>
          </w:rPr>
        </w:r>
        <w:r w:rsidR="00D408AD">
          <w:rPr>
            <w:noProof/>
            <w:webHidden/>
          </w:rPr>
          <w:fldChar w:fldCharType="separate"/>
        </w:r>
        <w:r w:rsidR="00D408AD">
          <w:rPr>
            <w:noProof/>
            <w:webHidden/>
          </w:rPr>
          <w:t>130</w:t>
        </w:r>
        <w:r w:rsidR="00D408AD">
          <w:rPr>
            <w:noProof/>
            <w:webHidden/>
          </w:rPr>
          <w:fldChar w:fldCharType="end"/>
        </w:r>
      </w:hyperlink>
    </w:p>
    <w:p w14:paraId="12C46EE5" w14:textId="381332F8" w:rsidR="00D408AD" w:rsidRDefault="00000000">
      <w:pPr>
        <w:pStyle w:val="TableofFigures"/>
        <w:tabs>
          <w:tab w:val="right" w:leader="dot" w:pos="8630"/>
        </w:tabs>
        <w:rPr>
          <w:rFonts w:asciiTheme="minorHAnsi" w:eastAsiaTheme="minorEastAsia" w:hAnsiTheme="minorHAnsi" w:cstheme="minorBidi"/>
          <w:noProof/>
        </w:rPr>
      </w:pPr>
      <w:hyperlink w:anchor="_Toc140399956" w:history="1">
        <w:r w:rsidR="00D408AD" w:rsidRPr="00B04DA3">
          <w:rPr>
            <w:rStyle w:val="Hyperlink"/>
            <w:rFonts w:cs="Times New Roman"/>
            <w:noProof/>
          </w:rPr>
          <w:t>Table 16: Operating mode examples</w:t>
        </w:r>
        <w:r w:rsidR="00D408AD">
          <w:rPr>
            <w:noProof/>
            <w:webHidden/>
          </w:rPr>
          <w:tab/>
        </w:r>
        <w:r w:rsidR="00D408AD">
          <w:rPr>
            <w:noProof/>
            <w:webHidden/>
          </w:rPr>
          <w:fldChar w:fldCharType="begin"/>
        </w:r>
        <w:r w:rsidR="00D408AD">
          <w:rPr>
            <w:noProof/>
            <w:webHidden/>
          </w:rPr>
          <w:instrText xml:space="preserve"> PAGEREF _Toc140399956 \h </w:instrText>
        </w:r>
        <w:r w:rsidR="00D408AD">
          <w:rPr>
            <w:noProof/>
            <w:webHidden/>
          </w:rPr>
        </w:r>
        <w:r w:rsidR="00D408AD">
          <w:rPr>
            <w:noProof/>
            <w:webHidden/>
          </w:rPr>
          <w:fldChar w:fldCharType="separate"/>
        </w:r>
        <w:r w:rsidR="00D408AD">
          <w:rPr>
            <w:noProof/>
            <w:webHidden/>
          </w:rPr>
          <w:t>134</w:t>
        </w:r>
        <w:r w:rsidR="00D408AD">
          <w:rPr>
            <w:noProof/>
            <w:webHidden/>
          </w:rPr>
          <w:fldChar w:fldCharType="end"/>
        </w:r>
      </w:hyperlink>
    </w:p>
    <w:p w14:paraId="14DF06A9" w14:textId="53DF8AC1" w:rsidR="00D408AD" w:rsidRDefault="00000000">
      <w:pPr>
        <w:pStyle w:val="TableofFigures"/>
        <w:tabs>
          <w:tab w:val="right" w:leader="dot" w:pos="8630"/>
        </w:tabs>
        <w:rPr>
          <w:rFonts w:asciiTheme="minorHAnsi" w:eastAsiaTheme="minorEastAsia" w:hAnsiTheme="minorHAnsi" w:cstheme="minorBidi"/>
          <w:noProof/>
        </w:rPr>
      </w:pPr>
      <w:hyperlink w:anchor="_Toc140399957" w:history="1">
        <w:r w:rsidR="00D408AD" w:rsidRPr="00B04DA3">
          <w:rPr>
            <w:rStyle w:val="Hyperlink"/>
            <w:rFonts w:cs="Times New Roman"/>
            <w:noProof/>
          </w:rPr>
          <w:t>Table 17: Annual results summary</w:t>
        </w:r>
        <w:r w:rsidR="00D408AD">
          <w:rPr>
            <w:noProof/>
            <w:webHidden/>
          </w:rPr>
          <w:tab/>
        </w:r>
        <w:r w:rsidR="00D408AD">
          <w:rPr>
            <w:noProof/>
            <w:webHidden/>
          </w:rPr>
          <w:fldChar w:fldCharType="begin"/>
        </w:r>
        <w:r w:rsidR="00D408AD">
          <w:rPr>
            <w:noProof/>
            <w:webHidden/>
          </w:rPr>
          <w:instrText xml:space="preserve"> PAGEREF _Toc140399957 \h </w:instrText>
        </w:r>
        <w:r w:rsidR="00D408AD">
          <w:rPr>
            <w:noProof/>
            <w:webHidden/>
          </w:rPr>
        </w:r>
        <w:r w:rsidR="00D408AD">
          <w:rPr>
            <w:noProof/>
            <w:webHidden/>
          </w:rPr>
          <w:fldChar w:fldCharType="separate"/>
        </w:r>
        <w:r w:rsidR="00D408AD">
          <w:rPr>
            <w:noProof/>
            <w:webHidden/>
          </w:rPr>
          <w:t>155</w:t>
        </w:r>
        <w:r w:rsidR="00D408AD">
          <w:rPr>
            <w:noProof/>
            <w:webHidden/>
          </w:rPr>
          <w:fldChar w:fldCharType="end"/>
        </w:r>
      </w:hyperlink>
    </w:p>
    <w:p w14:paraId="4B0F2F1A" w14:textId="5B98A593" w:rsidR="00D408AD" w:rsidRDefault="00000000">
      <w:pPr>
        <w:pStyle w:val="TableofFigures"/>
        <w:tabs>
          <w:tab w:val="right" w:leader="dot" w:pos="8630"/>
        </w:tabs>
        <w:rPr>
          <w:rFonts w:asciiTheme="minorHAnsi" w:eastAsiaTheme="minorEastAsia" w:hAnsiTheme="minorHAnsi" w:cstheme="minorBidi"/>
          <w:noProof/>
        </w:rPr>
      </w:pPr>
      <w:hyperlink w:anchor="_Toc140399958" w:history="1">
        <w:r w:rsidR="00D408AD" w:rsidRPr="00B04DA3">
          <w:rPr>
            <w:rStyle w:val="Hyperlink"/>
            <w:rFonts w:cs="Times New Roman"/>
            <w:noProof/>
          </w:rPr>
          <w:t>Table 18: Load shifting, and carbon mitigation reported in literature using PCM-TES</w:t>
        </w:r>
        <w:r w:rsidR="00D408AD">
          <w:rPr>
            <w:noProof/>
            <w:webHidden/>
          </w:rPr>
          <w:tab/>
        </w:r>
        <w:r w:rsidR="00D408AD">
          <w:rPr>
            <w:noProof/>
            <w:webHidden/>
          </w:rPr>
          <w:fldChar w:fldCharType="begin"/>
        </w:r>
        <w:r w:rsidR="00D408AD">
          <w:rPr>
            <w:noProof/>
            <w:webHidden/>
          </w:rPr>
          <w:instrText xml:space="preserve"> PAGEREF _Toc140399958 \h </w:instrText>
        </w:r>
        <w:r w:rsidR="00D408AD">
          <w:rPr>
            <w:noProof/>
            <w:webHidden/>
          </w:rPr>
        </w:r>
        <w:r w:rsidR="00D408AD">
          <w:rPr>
            <w:noProof/>
            <w:webHidden/>
          </w:rPr>
          <w:fldChar w:fldCharType="separate"/>
        </w:r>
        <w:r w:rsidR="00D408AD">
          <w:rPr>
            <w:noProof/>
            <w:webHidden/>
          </w:rPr>
          <w:t>163</w:t>
        </w:r>
        <w:r w:rsidR="00D408AD">
          <w:rPr>
            <w:noProof/>
            <w:webHidden/>
          </w:rPr>
          <w:fldChar w:fldCharType="end"/>
        </w:r>
      </w:hyperlink>
    </w:p>
    <w:p w14:paraId="208ECAA5" w14:textId="5CD53F22" w:rsidR="00D408AD" w:rsidRDefault="00000000">
      <w:pPr>
        <w:pStyle w:val="TableofFigures"/>
        <w:tabs>
          <w:tab w:val="right" w:leader="dot" w:pos="8630"/>
        </w:tabs>
        <w:rPr>
          <w:rFonts w:asciiTheme="minorHAnsi" w:eastAsiaTheme="minorEastAsia" w:hAnsiTheme="minorHAnsi" w:cstheme="minorBidi"/>
          <w:noProof/>
        </w:rPr>
      </w:pPr>
      <w:hyperlink w:anchor="_Toc140399959" w:history="1">
        <w:r w:rsidR="00D408AD" w:rsidRPr="00B04DA3">
          <w:rPr>
            <w:rStyle w:val="Hyperlink"/>
            <w:rFonts w:cs="Times New Roman"/>
            <w:noProof/>
          </w:rPr>
          <w:t>Table 19: Table showing gap in literature and scope of this work.</w:t>
        </w:r>
        <w:r w:rsidR="00D408AD">
          <w:rPr>
            <w:noProof/>
            <w:webHidden/>
          </w:rPr>
          <w:tab/>
        </w:r>
        <w:r w:rsidR="00D408AD">
          <w:rPr>
            <w:noProof/>
            <w:webHidden/>
          </w:rPr>
          <w:fldChar w:fldCharType="begin"/>
        </w:r>
        <w:r w:rsidR="00D408AD">
          <w:rPr>
            <w:noProof/>
            <w:webHidden/>
          </w:rPr>
          <w:instrText xml:space="preserve"> PAGEREF _Toc140399959 \h </w:instrText>
        </w:r>
        <w:r w:rsidR="00D408AD">
          <w:rPr>
            <w:noProof/>
            <w:webHidden/>
          </w:rPr>
        </w:r>
        <w:r w:rsidR="00D408AD">
          <w:rPr>
            <w:noProof/>
            <w:webHidden/>
          </w:rPr>
          <w:fldChar w:fldCharType="separate"/>
        </w:r>
        <w:r w:rsidR="00D408AD">
          <w:rPr>
            <w:noProof/>
            <w:webHidden/>
          </w:rPr>
          <w:t>166</w:t>
        </w:r>
        <w:r w:rsidR="00D408AD">
          <w:rPr>
            <w:noProof/>
            <w:webHidden/>
          </w:rPr>
          <w:fldChar w:fldCharType="end"/>
        </w:r>
      </w:hyperlink>
    </w:p>
    <w:p w14:paraId="2100D963" w14:textId="67EE4032" w:rsidR="00D408AD" w:rsidRDefault="00000000">
      <w:pPr>
        <w:pStyle w:val="TableofFigures"/>
        <w:tabs>
          <w:tab w:val="right" w:leader="dot" w:pos="8630"/>
        </w:tabs>
        <w:rPr>
          <w:rFonts w:asciiTheme="minorHAnsi" w:eastAsiaTheme="minorEastAsia" w:hAnsiTheme="minorHAnsi" w:cstheme="minorBidi"/>
          <w:noProof/>
        </w:rPr>
      </w:pPr>
      <w:hyperlink w:anchor="_Toc140399960" w:history="1">
        <w:r w:rsidR="00D408AD" w:rsidRPr="00B04DA3">
          <w:rPr>
            <w:rStyle w:val="Hyperlink"/>
            <w:noProof/>
          </w:rPr>
          <w:t>Table 20: Thermostat logic to trigger actions at T</w:t>
        </w:r>
        <w:r w:rsidR="00D408AD" w:rsidRPr="00B04DA3">
          <w:rPr>
            <w:rStyle w:val="Hyperlink"/>
            <w:noProof/>
            <w:vertAlign w:val="subscript"/>
          </w:rPr>
          <w:t>indoor</w:t>
        </w:r>
        <w:r w:rsidR="00D408AD" w:rsidRPr="00B04DA3">
          <w:rPr>
            <w:rStyle w:val="Hyperlink"/>
            <w:noProof/>
          </w:rPr>
          <w:t>, setpoint, and deadband.</w:t>
        </w:r>
        <w:r w:rsidR="00D408AD">
          <w:rPr>
            <w:noProof/>
            <w:webHidden/>
          </w:rPr>
          <w:tab/>
        </w:r>
        <w:r w:rsidR="00D408AD">
          <w:rPr>
            <w:noProof/>
            <w:webHidden/>
          </w:rPr>
          <w:fldChar w:fldCharType="begin"/>
        </w:r>
        <w:r w:rsidR="00D408AD">
          <w:rPr>
            <w:noProof/>
            <w:webHidden/>
          </w:rPr>
          <w:instrText xml:space="preserve"> PAGEREF _Toc140399960 \h </w:instrText>
        </w:r>
        <w:r w:rsidR="00D408AD">
          <w:rPr>
            <w:noProof/>
            <w:webHidden/>
          </w:rPr>
        </w:r>
        <w:r w:rsidR="00D408AD">
          <w:rPr>
            <w:noProof/>
            <w:webHidden/>
          </w:rPr>
          <w:fldChar w:fldCharType="separate"/>
        </w:r>
        <w:r w:rsidR="00D408AD">
          <w:rPr>
            <w:noProof/>
            <w:webHidden/>
          </w:rPr>
          <w:t>189</w:t>
        </w:r>
        <w:r w:rsidR="00D408AD">
          <w:rPr>
            <w:noProof/>
            <w:webHidden/>
          </w:rPr>
          <w:fldChar w:fldCharType="end"/>
        </w:r>
      </w:hyperlink>
    </w:p>
    <w:p w14:paraId="38A05C58" w14:textId="324CD5BE" w:rsidR="00D408AD" w:rsidRDefault="00000000">
      <w:pPr>
        <w:pStyle w:val="TableofFigures"/>
        <w:tabs>
          <w:tab w:val="right" w:leader="dot" w:pos="8630"/>
        </w:tabs>
        <w:rPr>
          <w:rFonts w:asciiTheme="minorHAnsi" w:eastAsiaTheme="minorEastAsia" w:hAnsiTheme="minorHAnsi" w:cstheme="minorBidi"/>
          <w:noProof/>
        </w:rPr>
      </w:pPr>
      <w:hyperlink w:anchor="_Toc140399961" w:history="1">
        <w:r w:rsidR="00D408AD" w:rsidRPr="00B04DA3">
          <w:rPr>
            <w:rStyle w:val="Hyperlink"/>
            <w:noProof/>
          </w:rPr>
          <w:t>Table 21: Building Thermal Energy Simulation Model Parameters</w:t>
        </w:r>
        <w:r w:rsidR="00D408AD">
          <w:rPr>
            <w:noProof/>
            <w:webHidden/>
          </w:rPr>
          <w:tab/>
        </w:r>
        <w:r w:rsidR="00D408AD">
          <w:rPr>
            <w:noProof/>
            <w:webHidden/>
          </w:rPr>
          <w:fldChar w:fldCharType="begin"/>
        </w:r>
        <w:r w:rsidR="00D408AD">
          <w:rPr>
            <w:noProof/>
            <w:webHidden/>
          </w:rPr>
          <w:instrText xml:space="preserve"> PAGEREF _Toc140399961 \h </w:instrText>
        </w:r>
        <w:r w:rsidR="00D408AD">
          <w:rPr>
            <w:noProof/>
            <w:webHidden/>
          </w:rPr>
        </w:r>
        <w:r w:rsidR="00D408AD">
          <w:rPr>
            <w:noProof/>
            <w:webHidden/>
          </w:rPr>
          <w:fldChar w:fldCharType="separate"/>
        </w:r>
        <w:r w:rsidR="00D408AD">
          <w:rPr>
            <w:noProof/>
            <w:webHidden/>
          </w:rPr>
          <w:t>191</w:t>
        </w:r>
        <w:r w:rsidR="00D408AD">
          <w:rPr>
            <w:noProof/>
            <w:webHidden/>
          </w:rPr>
          <w:fldChar w:fldCharType="end"/>
        </w:r>
      </w:hyperlink>
    </w:p>
    <w:p w14:paraId="7B036A57" w14:textId="4D1AE8A6" w:rsidR="00D408AD" w:rsidRDefault="00000000">
      <w:pPr>
        <w:pStyle w:val="TableofFigures"/>
        <w:tabs>
          <w:tab w:val="right" w:leader="dot" w:pos="8630"/>
        </w:tabs>
        <w:rPr>
          <w:rFonts w:asciiTheme="minorHAnsi" w:eastAsiaTheme="minorEastAsia" w:hAnsiTheme="minorHAnsi" w:cstheme="minorBidi"/>
          <w:noProof/>
        </w:rPr>
      </w:pPr>
      <w:hyperlink w:anchor="_Toc140399962" w:history="1">
        <w:r w:rsidR="00D408AD" w:rsidRPr="00B04DA3">
          <w:rPr>
            <w:rStyle w:val="Hyperlink"/>
            <w:noProof/>
          </w:rPr>
          <w:t>Table 22: Buildings selected for analysis.</w:t>
        </w:r>
        <w:r w:rsidR="00D408AD">
          <w:rPr>
            <w:noProof/>
            <w:webHidden/>
          </w:rPr>
          <w:tab/>
        </w:r>
        <w:r w:rsidR="00D408AD">
          <w:rPr>
            <w:noProof/>
            <w:webHidden/>
          </w:rPr>
          <w:fldChar w:fldCharType="begin"/>
        </w:r>
        <w:r w:rsidR="00D408AD">
          <w:rPr>
            <w:noProof/>
            <w:webHidden/>
          </w:rPr>
          <w:instrText xml:space="preserve"> PAGEREF _Toc140399962 \h </w:instrText>
        </w:r>
        <w:r w:rsidR="00D408AD">
          <w:rPr>
            <w:noProof/>
            <w:webHidden/>
          </w:rPr>
        </w:r>
        <w:r w:rsidR="00D408AD">
          <w:rPr>
            <w:noProof/>
            <w:webHidden/>
          </w:rPr>
          <w:fldChar w:fldCharType="separate"/>
        </w:r>
        <w:r w:rsidR="00D408AD">
          <w:rPr>
            <w:noProof/>
            <w:webHidden/>
          </w:rPr>
          <w:t>191</w:t>
        </w:r>
        <w:r w:rsidR="00D408AD">
          <w:rPr>
            <w:noProof/>
            <w:webHidden/>
          </w:rPr>
          <w:fldChar w:fldCharType="end"/>
        </w:r>
      </w:hyperlink>
    </w:p>
    <w:p w14:paraId="4D138BA8" w14:textId="5C67AB33" w:rsidR="00D408AD" w:rsidRDefault="00000000">
      <w:pPr>
        <w:pStyle w:val="TableofFigures"/>
        <w:tabs>
          <w:tab w:val="right" w:leader="dot" w:pos="8630"/>
        </w:tabs>
        <w:rPr>
          <w:rFonts w:asciiTheme="minorHAnsi" w:eastAsiaTheme="minorEastAsia" w:hAnsiTheme="minorHAnsi" w:cstheme="minorBidi"/>
          <w:noProof/>
        </w:rPr>
      </w:pPr>
      <w:hyperlink w:anchor="_Toc140399963" w:history="1">
        <w:r w:rsidR="00D408AD" w:rsidRPr="00B04DA3">
          <w:rPr>
            <w:rStyle w:val="Hyperlink"/>
            <w:noProof/>
          </w:rPr>
          <w:t>Table 23: Definitions of SOC</w:t>
        </w:r>
        <w:r w:rsidR="00D408AD">
          <w:rPr>
            <w:noProof/>
            <w:webHidden/>
          </w:rPr>
          <w:tab/>
        </w:r>
        <w:r w:rsidR="00D408AD">
          <w:rPr>
            <w:noProof/>
            <w:webHidden/>
          </w:rPr>
          <w:fldChar w:fldCharType="begin"/>
        </w:r>
        <w:r w:rsidR="00D408AD">
          <w:rPr>
            <w:noProof/>
            <w:webHidden/>
          </w:rPr>
          <w:instrText xml:space="preserve"> PAGEREF _Toc140399963 \h </w:instrText>
        </w:r>
        <w:r w:rsidR="00D408AD">
          <w:rPr>
            <w:noProof/>
            <w:webHidden/>
          </w:rPr>
        </w:r>
        <w:r w:rsidR="00D408AD">
          <w:rPr>
            <w:noProof/>
            <w:webHidden/>
          </w:rPr>
          <w:fldChar w:fldCharType="separate"/>
        </w:r>
        <w:r w:rsidR="00D408AD">
          <w:rPr>
            <w:noProof/>
            <w:webHidden/>
          </w:rPr>
          <w:t>198</w:t>
        </w:r>
        <w:r w:rsidR="00D408AD">
          <w:rPr>
            <w:noProof/>
            <w:webHidden/>
          </w:rPr>
          <w:fldChar w:fldCharType="end"/>
        </w:r>
      </w:hyperlink>
    </w:p>
    <w:p w14:paraId="01E19635" w14:textId="74B68C0D" w:rsidR="00D408AD" w:rsidRDefault="00000000">
      <w:pPr>
        <w:pStyle w:val="TableofFigures"/>
        <w:tabs>
          <w:tab w:val="right" w:leader="dot" w:pos="8630"/>
        </w:tabs>
        <w:rPr>
          <w:rFonts w:asciiTheme="minorHAnsi" w:eastAsiaTheme="minorEastAsia" w:hAnsiTheme="minorHAnsi" w:cstheme="minorBidi"/>
          <w:noProof/>
        </w:rPr>
      </w:pPr>
      <w:hyperlink w:anchor="_Toc140399964" w:history="1">
        <w:r w:rsidR="00D408AD" w:rsidRPr="00B04DA3">
          <w:rPr>
            <w:rStyle w:val="Hyperlink"/>
            <w:noProof/>
          </w:rPr>
          <w:t>Table 24: Cases for comparative analysis</w:t>
        </w:r>
        <w:r w:rsidR="00D408AD">
          <w:rPr>
            <w:noProof/>
            <w:webHidden/>
          </w:rPr>
          <w:tab/>
        </w:r>
        <w:r w:rsidR="00D408AD">
          <w:rPr>
            <w:noProof/>
            <w:webHidden/>
          </w:rPr>
          <w:fldChar w:fldCharType="begin"/>
        </w:r>
        <w:r w:rsidR="00D408AD">
          <w:rPr>
            <w:noProof/>
            <w:webHidden/>
          </w:rPr>
          <w:instrText xml:space="preserve"> PAGEREF _Toc140399964 \h </w:instrText>
        </w:r>
        <w:r w:rsidR="00D408AD">
          <w:rPr>
            <w:noProof/>
            <w:webHidden/>
          </w:rPr>
        </w:r>
        <w:r w:rsidR="00D408AD">
          <w:rPr>
            <w:noProof/>
            <w:webHidden/>
          </w:rPr>
          <w:fldChar w:fldCharType="separate"/>
        </w:r>
        <w:r w:rsidR="00D408AD">
          <w:rPr>
            <w:noProof/>
            <w:webHidden/>
          </w:rPr>
          <w:t>200</w:t>
        </w:r>
        <w:r w:rsidR="00D408AD">
          <w:rPr>
            <w:noProof/>
            <w:webHidden/>
          </w:rPr>
          <w:fldChar w:fldCharType="end"/>
        </w:r>
      </w:hyperlink>
    </w:p>
    <w:p w14:paraId="464C317E" w14:textId="2D7AD492" w:rsidR="00D408AD" w:rsidRDefault="00000000">
      <w:pPr>
        <w:pStyle w:val="TableofFigures"/>
        <w:tabs>
          <w:tab w:val="right" w:leader="dot" w:pos="8630"/>
        </w:tabs>
        <w:rPr>
          <w:rFonts w:asciiTheme="minorHAnsi" w:eastAsiaTheme="minorEastAsia" w:hAnsiTheme="minorHAnsi" w:cstheme="minorBidi"/>
          <w:noProof/>
        </w:rPr>
      </w:pPr>
      <w:hyperlink w:anchor="_Toc140399965" w:history="1">
        <w:r w:rsidR="00D408AD" w:rsidRPr="00B04DA3">
          <w:rPr>
            <w:rStyle w:val="Hyperlink"/>
            <w:noProof/>
          </w:rPr>
          <w:t>Table 25: HP capacity and COP</w:t>
        </w:r>
        <w:r w:rsidR="00D408AD">
          <w:rPr>
            <w:noProof/>
            <w:webHidden/>
          </w:rPr>
          <w:tab/>
        </w:r>
        <w:r w:rsidR="00D408AD">
          <w:rPr>
            <w:noProof/>
            <w:webHidden/>
          </w:rPr>
          <w:fldChar w:fldCharType="begin"/>
        </w:r>
        <w:r w:rsidR="00D408AD">
          <w:rPr>
            <w:noProof/>
            <w:webHidden/>
          </w:rPr>
          <w:instrText xml:space="preserve"> PAGEREF _Toc140399965 \h </w:instrText>
        </w:r>
        <w:r w:rsidR="00D408AD">
          <w:rPr>
            <w:noProof/>
            <w:webHidden/>
          </w:rPr>
        </w:r>
        <w:r w:rsidR="00D408AD">
          <w:rPr>
            <w:noProof/>
            <w:webHidden/>
          </w:rPr>
          <w:fldChar w:fldCharType="separate"/>
        </w:r>
        <w:r w:rsidR="00D408AD">
          <w:rPr>
            <w:noProof/>
            <w:webHidden/>
          </w:rPr>
          <w:t>212</w:t>
        </w:r>
        <w:r w:rsidR="00D408AD">
          <w:rPr>
            <w:noProof/>
            <w:webHidden/>
          </w:rPr>
          <w:fldChar w:fldCharType="end"/>
        </w:r>
      </w:hyperlink>
    </w:p>
    <w:p w14:paraId="74137821" w14:textId="593F858A" w:rsidR="00D408AD" w:rsidRDefault="00000000">
      <w:pPr>
        <w:pStyle w:val="TableofFigures"/>
        <w:tabs>
          <w:tab w:val="right" w:leader="dot" w:pos="8630"/>
        </w:tabs>
        <w:rPr>
          <w:rFonts w:asciiTheme="minorHAnsi" w:eastAsiaTheme="minorEastAsia" w:hAnsiTheme="minorHAnsi" w:cstheme="minorBidi"/>
          <w:noProof/>
        </w:rPr>
      </w:pPr>
      <w:hyperlink w:anchor="_Toc140399966" w:history="1">
        <w:r w:rsidR="00D408AD" w:rsidRPr="00B04DA3">
          <w:rPr>
            <w:rStyle w:val="Hyperlink"/>
            <w:noProof/>
          </w:rPr>
          <w:t>Table 26: TOU Utility Schedule</w:t>
        </w:r>
        <w:r w:rsidR="00D408AD">
          <w:rPr>
            <w:noProof/>
            <w:webHidden/>
          </w:rPr>
          <w:tab/>
        </w:r>
        <w:r w:rsidR="00D408AD">
          <w:rPr>
            <w:noProof/>
            <w:webHidden/>
          </w:rPr>
          <w:fldChar w:fldCharType="begin"/>
        </w:r>
        <w:r w:rsidR="00D408AD">
          <w:rPr>
            <w:noProof/>
            <w:webHidden/>
          </w:rPr>
          <w:instrText xml:space="preserve"> PAGEREF _Toc140399966 \h </w:instrText>
        </w:r>
        <w:r w:rsidR="00D408AD">
          <w:rPr>
            <w:noProof/>
            <w:webHidden/>
          </w:rPr>
        </w:r>
        <w:r w:rsidR="00D408AD">
          <w:rPr>
            <w:noProof/>
            <w:webHidden/>
          </w:rPr>
          <w:fldChar w:fldCharType="separate"/>
        </w:r>
        <w:r w:rsidR="00D408AD">
          <w:rPr>
            <w:noProof/>
            <w:webHidden/>
          </w:rPr>
          <w:t>216</w:t>
        </w:r>
        <w:r w:rsidR="00D408AD">
          <w:rPr>
            <w:noProof/>
            <w:webHidden/>
          </w:rPr>
          <w:fldChar w:fldCharType="end"/>
        </w:r>
      </w:hyperlink>
    </w:p>
    <w:p w14:paraId="33BBE45E" w14:textId="29F4742A" w:rsidR="00B17E5F" w:rsidRPr="00322E56" w:rsidRDefault="00B17E5F" w:rsidP="00E813DE">
      <w:pPr>
        <w:ind w:firstLine="0"/>
        <w:rPr>
          <w:rFonts w:cs="Times New Roman"/>
        </w:rPr>
      </w:pPr>
      <w:r w:rsidRPr="00322E56">
        <w:rPr>
          <w:rFonts w:cs="Times New Roman"/>
        </w:rPr>
        <w:fldChar w:fldCharType="end"/>
      </w:r>
    </w:p>
    <w:p w14:paraId="4A34A976" w14:textId="77777777" w:rsidR="00B17E5F" w:rsidRPr="00322E56" w:rsidRDefault="00B17E5F" w:rsidP="00904969">
      <w:pPr>
        <w:pStyle w:val="Title"/>
        <w:rPr>
          <w:rFonts w:cs="Times New Roman"/>
          <w:szCs w:val="28"/>
        </w:rPr>
      </w:pPr>
      <w:r w:rsidRPr="00322E56">
        <w:rPr>
          <w:rFonts w:cs="Times New Roman"/>
          <w:sz w:val="24"/>
        </w:rPr>
        <w:br w:type="page"/>
      </w:r>
      <w:r w:rsidRPr="00322E56">
        <w:rPr>
          <w:rFonts w:cs="Times New Roman"/>
          <w:szCs w:val="28"/>
        </w:rPr>
        <w:lastRenderedPageBreak/>
        <w:t>LIST OF FIGURES</w:t>
      </w:r>
    </w:p>
    <w:p w14:paraId="6156005D" w14:textId="77777777" w:rsidR="00B17E5F" w:rsidRPr="00322E56" w:rsidRDefault="00B17E5F" w:rsidP="00904969">
      <w:pPr>
        <w:pStyle w:val="Title"/>
        <w:rPr>
          <w:rFonts w:cs="Times New Roman"/>
          <w:sz w:val="24"/>
        </w:rPr>
      </w:pPr>
    </w:p>
    <w:p w14:paraId="427F5694" w14:textId="2592380E" w:rsidR="00A5526B" w:rsidRDefault="00B17E5F">
      <w:pPr>
        <w:pStyle w:val="TableofFigures"/>
        <w:tabs>
          <w:tab w:val="right" w:leader="dot" w:pos="8630"/>
        </w:tabs>
        <w:rPr>
          <w:rFonts w:asciiTheme="minorHAnsi" w:eastAsiaTheme="minorEastAsia" w:hAnsiTheme="minorHAnsi" w:cstheme="minorBidi"/>
          <w:noProof/>
        </w:rPr>
      </w:pPr>
      <w:r w:rsidRPr="00322E56">
        <w:rPr>
          <w:rFonts w:cs="Times New Roman"/>
        </w:rPr>
        <w:fldChar w:fldCharType="begin"/>
      </w:r>
      <w:r w:rsidRPr="00322E56">
        <w:rPr>
          <w:rFonts w:cs="Times New Roman"/>
        </w:rPr>
        <w:instrText xml:space="preserve"> TOC \h \z \c "Figure" </w:instrText>
      </w:r>
      <w:r w:rsidRPr="00322E56">
        <w:rPr>
          <w:rFonts w:cs="Times New Roman"/>
        </w:rPr>
        <w:fldChar w:fldCharType="separate"/>
      </w:r>
      <w:hyperlink w:anchor="_Toc140403867" w:history="1">
        <w:r w:rsidR="00A5526B" w:rsidRPr="004757F3">
          <w:rPr>
            <w:rStyle w:val="Hyperlink"/>
            <w:rFonts w:cs="Times New Roman"/>
            <w:noProof/>
          </w:rPr>
          <w:t>Figure 1: Gaps in literature filled by this work and final contribution.</w:t>
        </w:r>
        <w:r w:rsidR="00A5526B">
          <w:rPr>
            <w:noProof/>
            <w:webHidden/>
          </w:rPr>
          <w:tab/>
        </w:r>
        <w:r w:rsidR="00A5526B">
          <w:rPr>
            <w:noProof/>
            <w:webHidden/>
          </w:rPr>
          <w:fldChar w:fldCharType="begin"/>
        </w:r>
        <w:r w:rsidR="00A5526B">
          <w:rPr>
            <w:noProof/>
            <w:webHidden/>
          </w:rPr>
          <w:instrText xml:space="preserve"> PAGEREF _Toc140403867 \h </w:instrText>
        </w:r>
        <w:r w:rsidR="00A5526B">
          <w:rPr>
            <w:noProof/>
            <w:webHidden/>
          </w:rPr>
        </w:r>
        <w:r w:rsidR="00A5526B">
          <w:rPr>
            <w:noProof/>
            <w:webHidden/>
          </w:rPr>
          <w:fldChar w:fldCharType="separate"/>
        </w:r>
        <w:r w:rsidR="00A5526B">
          <w:rPr>
            <w:noProof/>
            <w:webHidden/>
          </w:rPr>
          <w:t>6</w:t>
        </w:r>
        <w:r w:rsidR="00A5526B">
          <w:rPr>
            <w:noProof/>
            <w:webHidden/>
          </w:rPr>
          <w:fldChar w:fldCharType="end"/>
        </w:r>
      </w:hyperlink>
    </w:p>
    <w:p w14:paraId="2A295438" w14:textId="69056386" w:rsidR="00A5526B" w:rsidRDefault="00000000">
      <w:pPr>
        <w:pStyle w:val="TableofFigures"/>
        <w:tabs>
          <w:tab w:val="right" w:leader="dot" w:pos="8630"/>
        </w:tabs>
        <w:rPr>
          <w:rFonts w:asciiTheme="minorHAnsi" w:eastAsiaTheme="minorEastAsia" w:hAnsiTheme="minorHAnsi" w:cstheme="minorBidi"/>
          <w:noProof/>
        </w:rPr>
      </w:pPr>
      <w:hyperlink w:anchor="_Toc140403868" w:history="1">
        <w:r w:rsidR="00A5526B" w:rsidRPr="004757F3">
          <w:rPr>
            <w:rStyle w:val="Hyperlink"/>
            <w:noProof/>
          </w:rPr>
          <w:t>Figure 2: Dissertation chapters and publications.</w:t>
        </w:r>
        <w:r w:rsidR="00A5526B">
          <w:rPr>
            <w:noProof/>
            <w:webHidden/>
          </w:rPr>
          <w:tab/>
        </w:r>
        <w:r w:rsidR="00A5526B">
          <w:rPr>
            <w:noProof/>
            <w:webHidden/>
          </w:rPr>
          <w:fldChar w:fldCharType="begin"/>
        </w:r>
        <w:r w:rsidR="00A5526B">
          <w:rPr>
            <w:noProof/>
            <w:webHidden/>
          </w:rPr>
          <w:instrText xml:space="preserve"> PAGEREF _Toc140403868 \h </w:instrText>
        </w:r>
        <w:r w:rsidR="00A5526B">
          <w:rPr>
            <w:noProof/>
            <w:webHidden/>
          </w:rPr>
        </w:r>
        <w:r w:rsidR="00A5526B">
          <w:rPr>
            <w:noProof/>
            <w:webHidden/>
          </w:rPr>
          <w:fldChar w:fldCharType="separate"/>
        </w:r>
        <w:r w:rsidR="00A5526B">
          <w:rPr>
            <w:noProof/>
            <w:webHidden/>
          </w:rPr>
          <w:t>8</w:t>
        </w:r>
        <w:r w:rsidR="00A5526B">
          <w:rPr>
            <w:noProof/>
            <w:webHidden/>
          </w:rPr>
          <w:fldChar w:fldCharType="end"/>
        </w:r>
      </w:hyperlink>
    </w:p>
    <w:p w14:paraId="0E90A3C4" w14:textId="7180DD1B" w:rsidR="00A5526B" w:rsidRDefault="00000000">
      <w:pPr>
        <w:pStyle w:val="TableofFigures"/>
        <w:tabs>
          <w:tab w:val="right" w:leader="dot" w:pos="8630"/>
        </w:tabs>
        <w:rPr>
          <w:rFonts w:asciiTheme="minorHAnsi" w:eastAsiaTheme="minorEastAsia" w:hAnsiTheme="minorHAnsi" w:cstheme="minorBidi"/>
          <w:noProof/>
        </w:rPr>
      </w:pPr>
      <w:hyperlink w:anchor="_Toc140403869" w:history="1">
        <w:r w:rsidR="00A5526B" w:rsidRPr="004757F3">
          <w:rPr>
            <w:rStyle w:val="Hyperlink"/>
            <w:rFonts w:cs="Times New Roman"/>
            <w:noProof/>
          </w:rPr>
          <w:t>Figure 3:PCM-TES in active and passive storage</w:t>
        </w:r>
        <w:r w:rsidR="00A5526B">
          <w:rPr>
            <w:noProof/>
            <w:webHidden/>
          </w:rPr>
          <w:tab/>
        </w:r>
        <w:r w:rsidR="00A5526B">
          <w:rPr>
            <w:noProof/>
            <w:webHidden/>
          </w:rPr>
          <w:fldChar w:fldCharType="begin"/>
        </w:r>
        <w:r w:rsidR="00A5526B">
          <w:rPr>
            <w:noProof/>
            <w:webHidden/>
          </w:rPr>
          <w:instrText xml:space="preserve"> PAGEREF _Toc140403869 \h </w:instrText>
        </w:r>
        <w:r w:rsidR="00A5526B">
          <w:rPr>
            <w:noProof/>
            <w:webHidden/>
          </w:rPr>
        </w:r>
        <w:r w:rsidR="00A5526B">
          <w:rPr>
            <w:noProof/>
            <w:webHidden/>
          </w:rPr>
          <w:fldChar w:fldCharType="separate"/>
        </w:r>
        <w:r w:rsidR="00A5526B">
          <w:rPr>
            <w:noProof/>
            <w:webHidden/>
          </w:rPr>
          <w:t>25</w:t>
        </w:r>
        <w:r w:rsidR="00A5526B">
          <w:rPr>
            <w:noProof/>
            <w:webHidden/>
          </w:rPr>
          <w:fldChar w:fldCharType="end"/>
        </w:r>
      </w:hyperlink>
    </w:p>
    <w:p w14:paraId="5DE74B40" w14:textId="3A9A7F1D" w:rsidR="00A5526B" w:rsidRDefault="00000000">
      <w:pPr>
        <w:pStyle w:val="TableofFigures"/>
        <w:tabs>
          <w:tab w:val="right" w:leader="dot" w:pos="8630"/>
        </w:tabs>
        <w:rPr>
          <w:rFonts w:asciiTheme="minorHAnsi" w:eastAsiaTheme="minorEastAsia" w:hAnsiTheme="minorHAnsi" w:cstheme="minorBidi"/>
          <w:noProof/>
        </w:rPr>
      </w:pPr>
      <w:hyperlink w:anchor="_Toc140403870" w:history="1">
        <w:r w:rsidR="00A5526B" w:rsidRPr="004757F3">
          <w:rPr>
            <w:rStyle w:val="Hyperlink"/>
            <w:rFonts w:cs="Times New Roman"/>
            <w:noProof/>
          </w:rPr>
          <w:t>Figure 4: Possible configurations for PCMs integrated in a building</w:t>
        </w:r>
        <w:r w:rsidR="00A5526B">
          <w:rPr>
            <w:noProof/>
            <w:webHidden/>
          </w:rPr>
          <w:tab/>
        </w:r>
        <w:r w:rsidR="00A5526B">
          <w:rPr>
            <w:noProof/>
            <w:webHidden/>
          </w:rPr>
          <w:fldChar w:fldCharType="begin"/>
        </w:r>
        <w:r w:rsidR="00A5526B">
          <w:rPr>
            <w:noProof/>
            <w:webHidden/>
          </w:rPr>
          <w:instrText xml:space="preserve"> PAGEREF _Toc140403870 \h </w:instrText>
        </w:r>
        <w:r w:rsidR="00A5526B">
          <w:rPr>
            <w:noProof/>
            <w:webHidden/>
          </w:rPr>
        </w:r>
        <w:r w:rsidR="00A5526B">
          <w:rPr>
            <w:noProof/>
            <w:webHidden/>
          </w:rPr>
          <w:fldChar w:fldCharType="separate"/>
        </w:r>
        <w:r w:rsidR="00A5526B">
          <w:rPr>
            <w:noProof/>
            <w:webHidden/>
          </w:rPr>
          <w:t>33</w:t>
        </w:r>
        <w:r w:rsidR="00A5526B">
          <w:rPr>
            <w:noProof/>
            <w:webHidden/>
          </w:rPr>
          <w:fldChar w:fldCharType="end"/>
        </w:r>
      </w:hyperlink>
    </w:p>
    <w:p w14:paraId="0D3EC72C" w14:textId="53B19BB9" w:rsidR="00A5526B" w:rsidRDefault="00000000">
      <w:pPr>
        <w:pStyle w:val="TableofFigures"/>
        <w:tabs>
          <w:tab w:val="right" w:leader="dot" w:pos="8630"/>
        </w:tabs>
        <w:rPr>
          <w:rFonts w:asciiTheme="minorHAnsi" w:eastAsiaTheme="minorEastAsia" w:hAnsiTheme="minorHAnsi" w:cstheme="minorBidi"/>
          <w:noProof/>
        </w:rPr>
      </w:pPr>
      <w:hyperlink w:anchor="_Toc140403871" w:history="1">
        <w:r w:rsidR="00A5526B" w:rsidRPr="004757F3">
          <w:rPr>
            <w:rStyle w:val="Hyperlink"/>
            <w:rFonts w:cs="Times New Roman"/>
            <w:noProof/>
          </w:rPr>
          <w:t>Figure 5: Passive storage locations in the building.</w:t>
        </w:r>
        <w:r w:rsidR="00A5526B">
          <w:rPr>
            <w:noProof/>
            <w:webHidden/>
          </w:rPr>
          <w:tab/>
        </w:r>
        <w:r w:rsidR="00A5526B">
          <w:rPr>
            <w:noProof/>
            <w:webHidden/>
          </w:rPr>
          <w:fldChar w:fldCharType="begin"/>
        </w:r>
        <w:r w:rsidR="00A5526B">
          <w:rPr>
            <w:noProof/>
            <w:webHidden/>
          </w:rPr>
          <w:instrText xml:space="preserve"> PAGEREF _Toc140403871 \h </w:instrText>
        </w:r>
        <w:r w:rsidR="00A5526B">
          <w:rPr>
            <w:noProof/>
            <w:webHidden/>
          </w:rPr>
        </w:r>
        <w:r w:rsidR="00A5526B">
          <w:rPr>
            <w:noProof/>
            <w:webHidden/>
          </w:rPr>
          <w:fldChar w:fldCharType="separate"/>
        </w:r>
        <w:r w:rsidR="00A5526B">
          <w:rPr>
            <w:noProof/>
            <w:webHidden/>
          </w:rPr>
          <w:t>40</w:t>
        </w:r>
        <w:r w:rsidR="00A5526B">
          <w:rPr>
            <w:noProof/>
            <w:webHidden/>
          </w:rPr>
          <w:fldChar w:fldCharType="end"/>
        </w:r>
      </w:hyperlink>
    </w:p>
    <w:p w14:paraId="3C6B8C32" w14:textId="6728DFAA" w:rsidR="00A5526B" w:rsidRDefault="00000000">
      <w:pPr>
        <w:pStyle w:val="TableofFigures"/>
        <w:tabs>
          <w:tab w:val="right" w:leader="dot" w:pos="8630"/>
        </w:tabs>
        <w:rPr>
          <w:rFonts w:asciiTheme="minorHAnsi" w:eastAsiaTheme="minorEastAsia" w:hAnsiTheme="minorHAnsi" w:cstheme="minorBidi"/>
          <w:noProof/>
        </w:rPr>
      </w:pPr>
      <w:hyperlink w:anchor="_Toc140403872" w:history="1">
        <w:r w:rsidR="00A5526B" w:rsidRPr="004757F3">
          <w:rPr>
            <w:rStyle w:val="Hyperlink"/>
            <w:rFonts w:cs="Times New Roman"/>
            <w:noProof/>
          </w:rPr>
          <w:t>Figure 6: Indirect PCM-integrated HVAC configuration</w:t>
        </w:r>
        <w:r w:rsidR="00A5526B">
          <w:rPr>
            <w:noProof/>
            <w:webHidden/>
          </w:rPr>
          <w:tab/>
        </w:r>
        <w:r w:rsidR="00A5526B">
          <w:rPr>
            <w:noProof/>
            <w:webHidden/>
          </w:rPr>
          <w:fldChar w:fldCharType="begin"/>
        </w:r>
        <w:r w:rsidR="00A5526B">
          <w:rPr>
            <w:noProof/>
            <w:webHidden/>
          </w:rPr>
          <w:instrText xml:space="preserve"> PAGEREF _Toc140403872 \h </w:instrText>
        </w:r>
        <w:r w:rsidR="00A5526B">
          <w:rPr>
            <w:noProof/>
            <w:webHidden/>
          </w:rPr>
        </w:r>
        <w:r w:rsidR="00A5526B">
          <w:rPr>
            <w:noProof/>
            <w:webHidden/>
          </w:rPr>
          <w:fldChar w:fldCharType="separate"/>
        </w:r>
        <w:r w:rsidR="00A5526B">
          <w:rPr>
            <w:noProof/>
            <w:webHidden/>
          </w:rPr>
          <w:t>45</w:t>
        </w:r>
        <w:r w:rsidR="00A5526B">
          <w:rPr>
            <w:noProof/>
            <w:webHidden/>
          </w:rPr>
          <w:fldChar w:fldCharType="end"/>
        </w:r>
      </w:hyperlink>
    </w:p>
    <w:p w14:paraId="04EE3043" w14:textId="521445BC" w:rsidR="00A5526B" w:rsidRDefault="00000000">
      <w:pPr>
        <w:pStyle w:val="TableofFigures"/>
        <w:tabs>
          <w:tab w:val="right" w:leader="dot" w:pos="8630"/>
        </w:tabs>
        <w:rPr>
          <w:rFonts w:asciiTheme="minorHAnsi" w:eastAsiaTheme="minorEastAsia" w:hAnsiTheme="minorHAnsi" w:cstheme="minorBidi"/>
          <w:noProof/>
        </w:rPr>
      </w:pPr>
      <w:hyperlink w:anchor="_Toc140403873" w:history="1">
        <w:r w:rsidR="00A5526B" w:rsidRPr="004757F3">
          <w:rPr>
            <w:rStyle w:val="Hyperlink"/>
            <w:rFonts w:cs="Times New Roman"/>
            <w:noProof/>
          </w:rPr>
          <w:t>Figure 7: Active storage locations in the building and HP components</w:t>
        </w:r>
        <w:r w:rsidR="00A5526B">
          <w:rPr>
            <w:noProof/>
            <w:webHidden/>
          </w:rPr>
          <w:tab/>
        </w:r>
        <w:r w:rsidR="00A5526B">
          <w:rPr>
            <w:noProof/>
            <w:webHidden/>
          </w:rPr>
          <w:fldChar w:fldCharType="begin"/>
        </w:r>
        <w:r w:rsidR="00A5526B">
          <w:rPr>
            <w:noProof/>
            <w:webHidden/>
          </w:rPr>
          <w:instrText xml:space="preserve"> PAGEREF _Toc140403873 \h </w:instrText>
        </w:r>
        <w:r w:rsidR="00A5526B">
          <w:rPr>
            <w:noProof/>
            <w:webHidden/>
          </w:rPr>
        </w:r>
        <w:r w:rsidR="00A5526B">
          <w:rPr>
            <w:noProof/>
            <w:webHidden/>
          </w:rPr>
          <w:fldChar w:fldCharType="separate"/>
        </w:r>
        <w:r w:rsidR="00A5526B">
          <w:rPr>
            <w:noProof/>
            <w:webHidden/>
          </w:rPr>
          <w:t>53</w:t>
        </w:r>
        <w:r w:rsidR="00A5526B">
          <w:rPr>
            <w:noProof/>
            <w:webHidden/>
          </w:rPr>
          <w:fldChar w:fldCharType="end"/>
        </w:r>
      </w:hyperlink>
    </w:p>
    <w:p w14:paraId="40BE2280" w14:textId="6F36F5FA" w:rsidR="00A5526B" w:rsidRDefault="00000000">
      <w:pPr>
        <w:pStyle w:val="TableofFigures"/>
        <w:tabs>
          <w:tab w:val="right" w:leader="dot" w:pos="8630"/>
        </w:tabs>
        <w:rPr>
          <w:rFonts w:asciiTheme="minorHAnsi" w:eastAsiaTheme="minorEastAsia" w:hAnsiTheme="minorHAnsi" w:cstheme="minorBidi"/>
          <w:noProof/>
        </w:rPr>
      </w:pPr>
      <w:hyperlink w:anchor="_Toc140403874" w:history="1">
        <w:r w:rsidR="00A5526B" w:rsidRPr="004757F3">
          <w:rPr>
            <w:rStyle w:val="Hyperlink"/>
            <w:noProof/>
          </w:rPr>
          <w:t>Figure 8: Historical trend of HP-TES research</w:t>
        </w:r>
        <w:r w:rsidR="00A5526B">
          <w:rPr>
            <w:noProof/>
            <w:webHidden/>
          </w:rPr>
          <w:tab/>
        </w:r>
        <w:r w:rsidR="00A5526B">
          <w:rPr>
            <w:noProof/>
            <w:webHidden/>
          </w:rPr>
          <w:fldChar w:fldCharType="begin"/>
        </w:r>
        <w:r w:rsidR="00A5526B">
          <w:rPr>
            <w:noProof/>
            <w:webHidden/>
          </w:rPr>
          <w:instrText xml:space="preserve"> PAGEREF _Toc140403874 \h </w:instrText>
        </w:r>
        <w:r w:rsidR="00A5526B">
          <w:rPr>
            <w:noProof/>
            <w:webHidden/>
          </w:rPr>
        </w:r>
        <w:r w:rsidR="00A5526B">
          <w:rPr>
            <w:noProof/>
            <w:webHidden/>
          </w:rPr>
          <w:fldChar w:fldCharType="separate"/>
        </w:r>
        <w:r w:rsidR="00A5526B">
          <w:rPr>
            <w:noProof/>
            <w:webHidden/>
          </w:rPr>
          <w:t>55</w:t>
        </w:r>
        <w:r w:rsidR="00A5526B">
          <w:rPr>
            <w:noProof/>
            <w:webHidden/>
          </w:rPr>
          <w:fldChar w:fldCharType="end"/>
        </w:r>
      </w:hyperlink>
    </w:p>
    <w:p w14:paraId="593E7020" w14:textId="27D419DA" w:rsidR="00A5526B" w:rsidRDefault="00000000">
      <w:pPr>
        <w:pStyle w:val="TableofFigures"/>
        <w:tabs>
          <w:tab w:val="right" w:leader="dot" w:pos="8630"/>
        </w:tabs>
        <w:rPr>
          <w:rFonts w:asciiTheme="minorHAnsi" w:eastAsiaTheme="minorEastAsia" w:hAnsiTheme="minorHAnsi" w:cstheme="minorBidi"/>
          <w:noProof/>
        </w:rPr>
      </w:pPr>
      <w:hyperlink w:anchor="_Toc140403875" w:history="1">
        <w:r w:rsidR="00A5526B" w:rsidRPr="004757F3">
          <w:rPr>
            <w:rStyle w:val="Hyperlink"/>
            <w:rFonts w:cs="Times New Roman"/>
            <w:noProof/>
          </w:rPr>
          <w:t>Figure 9: Historical trend of PCMs used for HP-TES.</w:t>
        </w:r>
        <w:r w:rsidR="00A5526B">
          <w:rPr>
            <w:noProof/>
            <w:webHidden/>
          </w:rPr>
          <w:tab/>
        </w:r>
        <w:r w:rsidR="00A5526B">
          <w:rPr>
            <w:noProof/>
            <w:webHidden/>
          </w:rPr>
          <w:fldChar w:fldCharType="begin"/>
        </w:r>
        <w:r w:rsidR="00A5526B">
          <w:rPr>
            <w:noProof/>
            <w:webHidden/>
          </w:rPr>
          <w:instrText xml:space="preserve"> PAGEREF _Toc140403875 \h </w:instrText>
        </w:r>
        <w:r w:rsidR="00A5526B">
          <w:rPr>
            <w:noProof/>
            <w:webHidden/>
          </w:rPr>
        </w:r>
        <w:r w:rsidR="00A5526B">
          <w:rPr>
            <w:noProof/>
            <w:webHidden/>
          </w:rPr>
          <w:fldChar w:fldCharType="separate"/>
        </w:r>
        <w:r w:rsidR="00A5526B">
          <w:rPr>
            <w:noProof/>
            <w:webHidden/>
          </w:rPr>
          <w:t>55</w:t>
        </w:r>
        <w:r w:rsidR="00A5526B">
          <w:rPr>
            <w:noProof/>
            <w:webHidden/>
          </w:rPr>
          <w:fldChar w:fldCharType="end"/>
        </w:r>
      </w:hyperlink>
    </w:p>
    <w:p w14:paraId="4B605D7B" w14:textId="3A92A9F0" w:rsidR="00A5526B" w:rsidRDefault="00000000">
      <w:pPr>
        <w:pStyle w:val="TableofFigures"/>
        <w:tabs>
          <w:tab w:val="right" w:leader="dot" w:pos="8630"/>
        </w:tabs>
        <w:rPr>
          <w:rFonts w:asciiTheme="minorHAnsi" w:eastAsiaTheme="minorEastAsia" w:hAnsiTheme="minorHAnsi" w:cstheme="minorBidi"/>
          <w:noProof/>
        </w:rPr>
      </w:pPr>
      <w:hyperlink w:anchor="_Toc140403876" w:history="1">
        <w:r w:rsidR="00A5526B" w:rsidRPr="004757F3">
          <w:rPr>
            <w:rStyle w:val="Hyperlink"/>
            <w:rFonts w:cs="Times New Roman"/>
            <w:noProof/>
          </w:rPr>
          <w:t>Figure 10: Phase change temperatures in various climate zones.</w:t>
        </w:r>
        <w:r w:rsidR="00A5526B">
          <w:rPr>
            <w:noProof/>
            <w:webHidden/>
          </w:rPr>
          <w:tab/>
        </w:r>
        <w:r w:rsidR="00A5526B">
          <w:rPr>
            <w:noProof/>
            <w:webHidden/>
          </w:rPr>
          <w:fldChar w:fldCharType="begin"/>
        </w:r>
        <w:r w:rsidR="00A5526B">
          <w:rPr>
            <w:noProof/>
            <w:webHidden/>
          </w:rPr>
          <w:instrText xml:space="preserve"> PAGEREF _Toc140403876 \h </w:instrText>
        </w:r>
        <w:r w:rsidR="00A5526B">
          <w:rPr>
            <w:noProof/>
            <w:webHidden/>
          </w:rPr>
        </w:r>
        <w:r w:rsidR="00A5526B">
          <w:rPr>
            <w:noProof/>
            <w:webHidden/>
          </w:rPr>
          <w:fldChar w:fldCharType="separate"/>
        </w:r>
        <w:r w:rsidR="00A5526B">
          <w:rPr>
            <w:noProof/>
            <w:webHidden/>
          </w:rPr>
          <w:t>57</w:t>
        </w:r>
        <w:r w:rsidR="00A5526B">
          <w:rPr>
            <w:noProof/>
            <w:webHidden/>
          </w:rPr>
          <w:fldChar w:fldCharType="end"/>
        </w:r>
      </w:hyperlink>
    </w:p>
    <w:p w14:paraId="4AEF1A10" w14:textId="44C67153" w:rsidR="00A5526B" w:rsidRDefault="00000000">
      <w:pPr>
        <w:pStyle w:val="TableofFigures"/>
        <w:tabs>
          <w:tab w:val="right" w:leader="dot" w:pos="8630"/>
        </w:tabs>
        <w:rPr>
          <w:rFonts w:asciiTheme="minorHAnsi" w:eastAsiaTheme="minorEastAsia" w:hAnsiTheme="minorHAnsi" w:cstheme="minorBidi"/>
          <w:noProof/>
        </w:rPr>
      </w:pPr>
      <w:hyperlink w:anchor="_Toc140403877" w:history="1">
        <w:r w:rsidR="00A5526B" w:rsidRPr="004757F3">
          <w:rPr>
            <w:rStyle w:val="Hyperlink"/>
            <w:rFonts w:cs="Times New Roman"/>
            <w:noProof/>
          </w:rPr>
          <w:t>Figure 11: Active HP-TES and utility cost savings in literature.</w:t>
        </w:r>
        <w:r w:rsidR="00A5526B">
          <w:rPr>
            <w:noProof/>
            <w:webHidden/>
          </w:rPr>
          <w:tab/>
        </w:r>
        <w:r w:rsidR="00A5526B">
          <w:rPr>
            <w:noProof/>
            <w:webHidden/>
          </w:rPr>
          <w:fldChar w:fldCharType="begin"/>
        </w:r>
        <w:r w:rsidR="00A5526B">
          <w:rPr>
            <w:noProof/>
            <w:webHidden/>
          </w:rPr>
          <w:instrText xml:space="preserve"> PAGEREF _Toc140403877 \h </w:instrText>
        </w:r>
        <w:r w:rsidR="00A5526B">
          <w:rPr>
            <w:noProof/>
            <w:webHidden/>
          </w:rPr>
        </w:r>
        <w:r w:rsidR="00A5526B">
          <w:rPr>
            <w:noProof/>
            <w:webHidden/>
          </w:rPr>
          <w:fldChar w:fldCharType="separate"/>
        </w:r>
        <w:r w:rsidR="00A5526B">
          <w:rPr>
            <w:noProof/>
            <w:webHidden/>
          </w:rPr>
          <w:t>59</w:t>
        </w:r>
        <w:r w:rsidR="00A5526B">
          <w:rPr>
            <w:noProof/>
            <w:webHidden/>
          </w:rPr>
          <w:fldChar w:fldCharType="end"/>
        </w:r>
      </w:hyperlink>
    </w:p>
    <w:p w14:paraId="51C7C49C" w14:textId="623AC906" w:rsidR="00A5526B" w:rsidRDefault="00000000">
      <w:pPr>
        <w:pStyle w:val="TableofFigures"/>
        <w:tabs>
          <w:tab w:val="right" w:leader="dot" w:pos="8630"/>
        </w:tabs>
        <w:rPr>
          <w:rFonts w:asciiTheme="minorHAnsi" w:eastAsiaTheme="minorEastAsia" w:hAnsiTheme="minorHAnsi" w:cstheme="minorBidi"/>
          <w:noProof/>
        </w:rPr>
      </w:pPr>
      <w:hyperlink w:anchor="_Toc140403878" w:history="1">
        <w:r w:rsidR="00A5526B" w:rsidRPr="004757F3">
          <w:rPr>
            <w:rStyle w:val="Hyperlink"/>
            <w:rFonts w:cs="Times New Roman"/>
            <w:noProof/>
          </w:rPr>
          <w:t>Figure 12: Active HP-TES and energy savings in literature.</w:t>
        </w:r>
        <w:r w:rsidR="00A5526B">
          <w:rPr>
            <w:noProof/>
            <w:webHidden/>
          </w:rPr>
          <w:tab/>
        </w:r>
        <w:r w:rsidR="00A5526B">
          <w:rPr>
            <w:noProof/>
            <w:webHidden/>
          </w:rPr>
          <w:fldChar w:fldCharType="begin"/>
        </w:r>
        <w:r w:rsidR="00A5526B">
          <w:rPr>
            <w:noProof/>
            <w:webHidden/>
          </w:rPr>
          <w:instrText xml:space="preserve"> PAGEREF _Toc140403878 \h </w:instrText>
        </w:r>
        <w:r w:rsidR="00A5526B">
          <w:rPr>
            <w:noProof/>
            <w:webHidden/>
          </w:rPr>
        </w:r>
        <w:r w:rsidR="00A5526B">
          <w:rPr>
            <w:noProof/>
            <w:webHidden/>
          </w:rPr>
          <w:fldChar w:fldCharType="separate"/>
        </w:r>
        <w:r w:rsidR="00A5526B">
          <w:rPr>
            <w:noProof/>
            <w:webHidden/>
          </w:rPr>
          <w:t>61</w:t>
        </w:r>
        <w:r w:rsidR="00A5526B">
          <w:rPr>
            <w:noProof/>
            <w:webHidden/>
          </w:rPr>
          <w:fldChar w:fldCharType="end"/>
        </w:r>
      </w:hyperlink>
    </w:p>
    <w:p w14:paraId="77CE649E" w14:textId="72ECDD58" w:rsidR="00A5526B" w:rsidRDefault="00000000">
      <w:pPr>
        <w:pStyle w:val="TableofFigures"/>
        <w:tabs>
          <w:tab w:val="right" w:leader="dot" w:pos="8630"/>
        </w:tabs>
        <w:rPr>
          <w:rFonts w:asciiTheme="minorHAnsi" w:eastAsiaTheme="minorEastAsia" w:hAnsiTheme="minorHAnsi" w:cstheme="minorBidi"/>
          <w:noProof/>
        </w:rPr>
      </w:pPr>
      <w:hyperlink w:anchor="_Toc140403879" w:history="1">
        <w:r w:rsidR="00A5526B" w:rsidRPr="004757F3">
          <w:rPr>
            <w:rStyle w:val="Hyperlink"/>
            <w:rFonts w:cs="Times New Roman"/>
            <w:noProof/>
          </w:rPr>
          <w:t>Figure 13: Active HP-TES and demand impact in literature.</w:t>
        </w:r>
        <w:r w:rsidR="00A5526B">
          <w:rPr>
            <w:noProof/>
            <w:webHidden/>
          </w:rPr>
          <w:tab/>
        </w:r>
        <w:r w:rsidR="00A5526B">
          <w:rPr>
            <w:noProof/>
            <w:webHidden/>
          </w:rPr>
          <w:fldChar w:fldCharType="begin"/>
        </w:r>
        <w:r w:rsidR="00A5526B">
          <w:rPr>
            <w:noProof/>
            <w:webHidden/>
          </w:rPr>
          <w:instrText xml:space="preserve"> PAGEREF _Toc140403879 \h </w:instrText>
        </w:r>
        <w:r w:rsidR="00A5526B">
          <w:rPr>
            <w:noProof/>
            <w:webHidden/>
          </w:rPr>
        </w:r>
        <w:r w:rsidR="00A5526B">
          <w:rPr>
            <w:noProof/>
            <w:webHidden/>
          </w:rPr>
          <w:fldChar w:fldCharType="separate"/>
        </w:r>
        <w:r w:rsidR="00A5526B">
          <w:rPr>
            <w:noProof/>
            <w:webHidden/>
          </w:rPr>
          <w:t>63</w:t>
        </w:r>
        <w:r w:rsidR="00A5526B">
          <w:rPr>
            <w:noProof/>
            <w:webHidden/>
          </w:rPr>
          <w:fldChar w:fldCharType="end"/>
        </w:r>
      </w:hyperlink>
    </w:p>
    <w:p w14:paraId="43F6FA55" w14:textId="289197F9" w:rsidR="00A5526B" w:rsidRDefault="00000000">
      <w:pPr>
        <w:pStyle w:val="TableofFigures"/>
        <w:tabs>
          <w:tab w:val="right" w:leader="dot" w:pos="8630"/>
        </w:tabs>
        <w:rPr>
          <w:rFonts w:asciiTheme="minorHAnsi" w:eastAsiaTheme="minorEastAsia" w:hAnsiTheme="minorHAnsi" w:cstheme="minorBidi"/>
          <w:noProof/>
        </w:rPr>
      </w:pPr>
      <w:hyperlink w:anchor="_Toc140403880" w:history="1">
        <w:r w:rsidR="00A5526B" w:rsidRPr="004757F3">
          <w:rPr>
            <w:rStyle w:val="Hyperlink"/>
            <w:rFonts w:cs="Times New Roman"/>
            <w:noProof/>
          </w:rPr>
          <w:t>Figure 14: Load shifting of active and passive HP-TES in literature.</w:t>
        </w:r>
        <w:r w:rsidR="00A5526B">
          <w:rPr>
            <w:noProof/>
            <w:webHidden/>
          </w:rPr>
          <w:tab/>
        </w:r>
        <w:r w:rsidR="00A5526B">
          <w:rPr>
            <w:noProof/>
            <w:webHidden/>
          </w:rPr>
          <w:fldChar w:fldCharType="begin"/>
        </w:r>
        <w:r w:rsidR="00A5526B">
          <w:rPr>
            <w:noProof/>
            <w:webHidden/>
          </w:rPr>
          <w:instrText xml:space="preserve"> PAGEREF _Toc140403880 \h </w:instrText>
        </w:r>
        <w:r w:rsidR="00A5526B">
          <w:rPr>
            <w:noProof/>
            <w:webHidden/>
          </w:rPr>
        </w:r>
        <w:r w:rsidR="00A5526B">
          <w:rPr>
            <w:noProof/>
            <w:webHidden/>
          </w:rPr>
          <w:fldChar w:fldCharType="separate"/>
        </w:r>
        <w:r w:rsidR="00A5526B">
          <w:rPr>
            <w:noProof/>
            <w:webHidden/>
          </w:rPr>
          <w:t>66</w:t>
        </w:r>
        <w:r w:rsidR="00A5526B">
          <w:rPr>
            <w:noProof/>
            <w:webHidden/>
          </w:rPr>
          <w:fldChar w:fldCharType="end"/>
        </w:r>
      </w:hyperlink>
    </w:p>
    <w:p w14:paraId="74EE6F4F" w14:textId="364E3EF3" w:rsidR="00A5526B" w:rsidRDefault="00000000">
      <w:pPr>
        <w:pStyle w:val="TableofFigures"/>
        <w:tabs>
          <w:tab w:val="right" w:leader="dot" w:pos="8630"/>
        </w:tabs>
        <w:rPr>
          <w:rFonts w:asciiTheme="minorHAnsi" w:eastAsiaTheme="minorEastAsia" w:hAnsiTheme="minorHAnsi" w:cstheme="minorBidi"/>
          <w:noProof/>
        </w:rPr>
      </w:pPr>
      <w:hyperlink w:anchor="_Toc140403881" w:history="1">
        <w:r w:rsidR="00A5526B" w:rsidRPr="004757F3">
          <w:rPr>
            <w:rStyle w:val="Hyperlink"/>
            <w:rFonts w:cs="Times New Roman"/>
            <w:noProof/>
          </w:rPr>
          <w:t>Figure 15: Payback period of active and passive HP-TES in literature.</w:t>
        </w:r>
        <w:r w:rsidR="00A5526B">
          <w:rPr>
            <w:noProof/>
            <w:webHidden/>
          </w:rPr>
          <w:tab/>
        </w:r>
        <w:r w:rsidR="00A5526B">
          <w:rPr>
            <w:noProof/>
            <w:webHidden/>
          </w:rPr>
          <w:fldChar w:fldCharType="begin"/>
        </w:r>
        <w:r w:rsidR="00A5526B">
          <w:rPr>
            <w:noProof/>
            <w:webHidden/>
          </w:rPr>
          <w:instrText xml:space="preserve"> PAGEREF _Toc140403881 \h </w:instrText>
        </w:r>
        <w:r w:rsidR="00A5526B">
          <w:rPr>
            <w:noProof/>
            <w:webHidden/>
          </w:rPr>
        </w:r>
        <w:r w:rsidR="00A5526B">
          <w:rPr>
            <w:noProof/>
            <w:webHidden/>
          </w:rPr>
          <w:fldChar w:fldCharType="separate"/>
        </w:r>
        <w:r w:rsidR="00A5526B">
          <w:rPr>
            <w:noProof/>
            <w:webHidden/>
          </w:rPr>
          <w:t>66</w:t>
        </w:r>
        <w:r w:rsidR="00A5526B">
          <w:rPr>
            <w:noProof/>
            <w:webHidden/>
          </w:rPr>
          <w:fldChar w:fldCharType="end"/>
        </w:r>
      </w:hyperlink>
    </w:p>
    <w:p w14:paraId="7A312122" w14:textId="3D589C73" w:rsidR="00A5526B" w:rsidRDefault="00000000">
      <w:pPr>
        <w:pStyle w:val="TableofFigures"/>
        <w:tabs>
          <w:tab w:val="right" w:leader="dot" w:pos="8630"/>
        </w:tabs>
        <w:rPr>
          <w:rFonts w:asciiTheme="minorHAnsi" w:eastAsiaTheme="minorEastAsia" w:hAnsiTheme="minorHAnsi" w:cstheme="minorBidi"/>
          <w:noProof/>
        </w:rPr>
      </w:pPr>
      <w:hyperlink w:anchor="_Toc140403882" w:history="1">
        <w:r w:rsidR="00A5526B" w:rsidRPr="004757F3">
          <w:rPr>
            <w:rStyle w:val="Hyperlink"/>
            <w:rFonts w:cs="Times New Roman"/>
            <w:noProof/>
          </w:rPr>
          <w:t>Figure 16: Overall comparison: (A) phase change temperature, (B) demand impact, (C) energy savings, and (D) utility cost savings.</w:t>
        </w:r>
        <w:r w:rsidR="00A5526B">
          <w:rPr>
            <w:noProof/>
            <w:webHidden/>
          </w:rPr>
          <w:tab/>
        </w:r>
        <w:r w:rsidR="00A5526B">
          <w:rPr>
            <w:noProof/>
            <w:webHidden/>
          </w:rPr>
          <w:fldChar w:fldCharType="begin"/>
        </w:r>
        <w:r w:rsidR="00A5526B">
          <w:rPr>
            <w:noProof/>
            <w:webHidden/>
          </w:rPr>
          <w:instrText xml:space="preserve"> PAGEREF _Toc140403882 \h </w:instrText>
        </w:r>
        <w:r w:rsidR="00A5526B">
          <w:rPr>
            <w:noProof/>
            <w:webHidden/>
          </w:rPr>
        </w:r>
        <w:r w:rsidR="00A5526B">
          <w:rPr>
            <w:noProof/>
            <w:webHidden/>
          </w:rPr>
          <w:fldChar w:fldCharType="separate"/>
        </w:r>
        <w:r w:rsidR="00A5526B">
          <w:rPr>
            <w:noProof/>
            <w:webHidden/>
          </w:rPr>
          <w:t>69</w:t>
        </w:r>
        <w:r w:rsidR="00A5526B">
          <w:rPr>
            <w:noProof/>
            <w:webHidden/>
          </w:rPr>
          <w:fldChar w:fldCharType="end"/>
        </w:r>
      </w:hyperlink>
    </w:p>
    <w:p w14:paraId="49D103DF" w14:textId="508253CF" w:rsidR="00A5526B" w:rsidRDefault="00000000">
      <w:pPr>
        <w:pStyle w:val="TableofFigures"/>
        <w:tabs>
          <w:tab w:val="right" w:leader="dot" w:pos="8630"/>
        </w:tabs>
        <w:rPr>
          <w:rFonts w:asciiTheme="minorHAnsi" w:eastAsiaTheme="minorEastAsia" w:hAnsiTheme="minorHAnsi" w:cstheme="minorBidi"/>
          <w:noProof/>
        </w:rPr>
      </w:pPr>
      <w:hyperlink w:anchor="_Toc140403883" w:history="1">
        <w:r w:rsidR="00A5526B" w:rsidRPr="004757F3">
          <w:rPr>
            <w:rStyle w:val="Hyperlink"/>
            <w:rFonts w:cs="Times New Roman"/>
            <w:noProof/>
          </w:rPr>
          <w:t>Figure 17: Comparison of load shifting benefits for Active and Passive TES</w:t>
        </w:r>
        <w:r w:rsidR="00A5526B">
          <w:rPr>
            <w:noProof/>
            <w:webHidden/>
          </w:rPr>
          <w:tab/>
        </w:r>
        <w:r w:rsidR="00A5526B">
          <w:rPr>
            <w:noProof/>
            <w:webHidden/>
          </w:rPr>
          <w:fldChar w:fldCharType="begin"/>
        </w:r>
        <w:r w:rsidR="00A5526B">
          <w:rPr>
            <w:noProof/>
            <w:webHidden/>
          </w:rPr>
          <w:instrText xml:space="preserve"> PAGEREF _Toc140403883 \h </w:instrText>
        </w:r>
        <w:r w:rsidR="00A5526B">
          <w:rPr>
            <w:noProof/>
            <w:webHidden/>
          </w:rPr>
        </w:r>
        <w:r w:rsidR="00A5526B">
          <w:rPr>
            <w:noProof/>
            <w:webHidden/>
          </w:rPr>
          <w:fldChar w:fldCharType="separate"/>
        </w:r>
        <w:r w:rsidR="00A5526B">
          <w:rPr>
            <w:noProof/>
            <w:webHidden/>
          </w:rPr>
          <w:t>79</w:t>
        </w:r>
        <w:r w:rsidR="00A5526B">
          <w:rPr>
            <w:noProof/>
            <w:webHidden/>
          </w:rPr>
          <w:fldChar w:fldCharType="end"/>
        </w:r>
      </w:hyperlink>
    </w:p>
    <w:p w14:paraId="728E58DA" w14:textId="7161530F" w:rsidR="00A5526B" w:rsidRDefault="00000000">
      <w:pPr>
        <w:pStyle w:val="TableofFigures"/>
        <w:tabs>
          <w:tab w:val="right" w:leader="dot" w:pos="8630"/>
        </w:tabs>
        <w:rPr>
          <w:rFonts w:asciiTheme="minorHAnsi" w:eastAsiaTheme="minorEastAsia" w:hAnsiTheme="minorHAnsi" w:cstheme="minorBidi"/>
          <w:noProof/>
        </w:rPr>
      </w:pPr>
      <w:hyperlink w:anchor="_Toc140403884" w:history="1">
        <w:r w:rsidR="00A5526B" w:rsidRPr="004757F3">
          <w:rPr>
            <w:rStyle w:val="Hyperlink"/>
            <w:rFonts w:cs="Times New Roman"/>
            <w:noProof/>
          </w:rPr>
          <w:t>Figure 18: Demand Impact and PCM Temperature</w:t>
        </w:r>
        <w:r w:rsidR="00A5526B">
          <w:rPr>
            <w:noProof/>
            <w:webHidden/>
          </w:rPr>
          <w:tab/>
        </w:r>
        <w:r w:rsidR="00A5526B">
          <w:rPr>
            <w:noProof/>
            <w:webHidden/>
          </w:rPr>
          <w:fldChar w:fldCharType="begin"/>
        </w:r>
        <w:r w:rsidR="00A5526B">
          <w:rPr>
            <w:noProof/>
            <w:webHidden/>
          </w:rPr>
          <w:instrText xml:space="preserve"> PAGEREF _Toc140403884 \h </w:instrText>
        </w:r>
        <w:r w:rsidR="00A5526B">
          <w:rPr>
            <w:noProof/>
            <w:webHidden/>
          </w:rPr>
        </w:r>
        <w:r w:rsidR="00A5526B">
          <w:rPr>
            <w:noProof/>
            <w:webHidden/>
          </w:rPr>
          <w:fldChar w:fldCharType="separate"/>
        </w:r>
        <w:r w:rsidR="00A5526B">
          <w:rPr>
            <w:noProof/>
            <w:webHidden/>
          </w:rPr>
          <w:t>88</w:t>
        </w:r>
        <w:r w:rsidR="00A5526B">
          <w:rPr>
            <w:noProof/>
            <w:webHidden/>
          </w:rPr>
          <w:fldChar w:fldCharType="end"/>
        </w:r>
      </w:hyperlink>
    </w:p>
    <w:p w14:paraId="59F3910A" w14:textId="4BCDE376" w:rsidR="00A5526B" w:rsidRDefault="00000000">
      <w:pPr>
        <w:pStyle w:val="TableofFigures"/>
        <w:tabs>
          <w:tab w:val="right" w:leader="dot" w:pos="8630"/>
        </w:tabs>
        <w:rPr>
          <w:rFonts w:asciiTheme="minorHAnsi" w:eastAsiaTheme="minorEastAsia" w:hAnsiTheme="minorHAnsi" w:cstheme="minorBidi"/>
          <w:noProof/>
        </w:rPr>
      </w:pPr>
      <w:hyperlink w:anchor="_Toc140403885" w:history="1">
        <w:r w:rsidR="00A5526B" w:rsidRPr="004757F3">
          <w:rPr>
            <w:rStyle w:val="Hyperlink"/>
            <w:rFonts w:cs="Times New Roman"/>
            <w:noProof/>
          </w:rPr>
          <w:t>Figure 19: Demand Impact and heat pump configurations</w:t>
        </w:r>
        <w:r w:rsidR="00A5526B">
          <w:rPr>
            <w:noProof/>
            <w:webHidden/>
          </w:rPr>
          <w:tab/>
        </w:r>
        <w:r w:rsidR="00A5526B">
          <w:rPr>
            <w:noProof/>
            <w:webHidden/>
          </w:rPr>
          <w:fldChar w:fldCharType="begin"/>
        </w:r>
        <w:r w:rsidR="00A5526B">
          <w:rPr>
            <w:noProof/>
            <w:webHidden/>
          </w:rPr>
          <w:instrText xml:space="preserve"> PAGEREF _Toc140403885 \h </w:instrText>
        </w:r>
        <w:r w:rsidR="00A5526B">
          <w:rPr>
            <w:noProof/>
            <w:webHidden/>
          </w:rPr>
        </w:r>
        <w:r w:rsidR="00A5526B">
          <w:rPr>
            <w:noProof/>
            <w:webHidden/>
          </w:rPr>
          <w:fldChar w:fldCharType="separate"/>
        </w:r>
        <w:r w:rsidR="00A5526B">
          <w:rPr>
            <w:noProof/>
            <w:webHidden/>
          </w:rPr>
          <w:t>89</w:t>
        </w:r>
        <w:r w:rsidR="00A5526B">
          <w:rPr>
            <w:noProof/>
            <w:webHidden/>
          </w:rPr>
          <w:fldChar w:fldCharType="end"/>
        </w:r>
      </w:hyperlink>
    </w:p>
    <w:p w14:paraId="7010118F" w14:textId="675EBF25" w:rsidR="00A5526B" w:rsidRDefault="00000000">
      <w:pPr>
        <w:pStyle w:val="TableofFigures"/>
        <w:tabs>
          <w:tab w:val="right" w:leader="dot" w:pos="8630"/>
        </w:tabs>
        <w:rPr>
          <w:rFonts w:asciiTheme="minorHAnsi" w:eastAsiaTheme="minorEastAsia" w:hAnsiTheme="minorHAnsi" w:cstheme="minorBidi"/>
          <w:noProof/>
        </w:rPr>
      </w:pPr>
      <w:hyperlink w:anchor="_Toc140403886" w:history="1">
        <w:r w:rsidR="00A5526B" w:rsidRPr="004757F3">
          <w:rPr>
            <w:rStyle w:val="Hyperlink"/>
            <w:rFonts w:cs="Times New Roman"/>
            <w:noProof/>
          </w:rPr>
          <w:t>Figure 20: Comparison of temperature gradients for a) normal VCS operation and b) TES-assisted cooling</w:t>
        </w:r>
        <w:r w:rsidR="00A5526B">
          <w:rPr>
            <w:noProof/>
            <w:webHidden/>
          </w:rPr>
          <w:tab/>
        </w:r>
        <w:r w:rsidR="00A5526B">
          <w:rPr>
            <w:noProof/>
            <w:webHidden/>
          </w:rPr>
          <w:fldChar w:fldCharType="begin"/>
        </w:r>
        <w:r w:rsidR="00A5526B">
          <w:rPr>
            <w:noProof/>
            <w:webHidden/>
          </w:rPr>
          <w:instrText xml:space="preserve"> PAGEREF _Toc140403886 \h </w:instrText>
        </w:r>
        <w:r w:rsidR="00A5526B">
          <w:rPr>
            <w:noProof/>
            <w:webHidden/>
          </w:rPr>
        </w:r>
        <w:r w:rsidR="00A5526B">
          <w:rPr>
            <w:noProof/>
            <w:webHidden/>
          </w:rPr>
          <w:fldChar w:fldCharType="separate"/>
        </w:r>
        <w:r w:rsidR="00A5526B">
          <w:rPr>
            <w:noProof/>
            <w:webHidden/>
          </w:rPr>
          <w:t>99</w:t>
        </w:r>
        <w:r w:rsidR="00A5526B">
          <w:rPr>
            <w:noProof/>
            <w:webHidden/>
          </w:rPr>
          <w:fldChar w:fldCharType="end"/>
        </w:r>
      </w:hyperlink>
    </w:p>
    <w:p w14:paraId="337E8E7D" w14:textId="1198D273" w:rsidR="00A5526B" w:rsidRDefault="00000000">
      <w:pPr>
        <w:pStyle w:val="TableofFigures"/>
        <w:tabs>
          <w:tab w:val="right" w:leader="dot" w:pos="8630"/>
        </w:tabs>
        <w:rPr>
          <w:rFonts w:asciiTheme="minorHAnsi" w:eastAsiaTheme="minorEastAsia" w:hAnsiTheme="minorHAnsi" w:cstheme="minorBidi"/>
          <w:noProof/>
        </w:rPr>
      </w:pPr>
      <w:hyperlink w:anchor="_Toc140403887" w:history="1">
        <w:r w:rsidR="00A5526B" w:rsidRPr="004757F3">
          <w:rPr>
            <w:rStyle w:val="Hyperlink"/>
            <w:rFonts w:cs="Times New Roman"/>
            <w:noProof/>
          </w:rPr>
          <w:t>Figure 21: Energy flows in the four operating modes for summer (cooling only)</w:t>
        </w:r>
        <w:r w:rsidR="00A5526B">
          <w:rPr>
            <w:noProof/>
            <w:webHidden/>
          </w:rPr>
          <w:tab/>
        </w:r>
        <w:r w:rsidR="00A5526B">
          <w:rPr>
            <w:noProof/>
            <w:webHidden/>
          </w:rPr>
          <w:fldChar w:fldCharType="begin"/>
        </w:r>
        <w:r w:rsidR="00A5526B">
          <w:rPr>
            <w:noProof/>
            <w:webHidden/>
          </w:rPr>
          <w:instrText xml:space="preserve"> PAGEREF _Toc140403887 \h </w:instrText>
        </w:r>
        <w:r w:rsidR="00A5526B">
          <w:rPr>
            <w:noProof/>
            <w:webHidden/>
          </w:rPr>
        </w:r>
        <w:r w:rsidR="00A5526B">
          <w:rPr>
            <w:noProof/>
            <w:webHidden/>
          </w:rPr>
          <w:fldChar w:fldCharType="separate"/>
        </w:r>
        <w:r w:rsidR="00A5526B">
          <w:rPr>
            <w:noProof/>
            <w:webHidden/>
          </w:rPr>
          <w:t>100</w:t>
        </w:r>
        <w:r w:rsidR="00A5526B">
          <w:rPr>
            <w:noProof/>
            <w:webHidden/>
          </w:rPr>
          <w:fldChar w:fldCharType="end"/>
        </w:r>
      </w:hyperlink>
    </w:p>
    <w:p w14:paraId="192D2ED9" w14:textId="41082204" w:rsidR="00A5526B" w:rsidRDefault="00000000">
      <w:pPr>
        <w:pStyle w:val="TableofFigures"/>
        <w:tabs>
          <w:tab w:val="right" w:leader="dot" w:pos="8630"/>
        </w:tabs>
        <w:rPr>
          <w:rFonts w:asciiTheme="minorHAnsi" w:eastAsiaTheme="minorEastAsia" w:hAnsiTheme="minorHAnsi" w:cstheme="minorBidi"/>
          <w:noProof/>
        </w:rPr>
      </w:pPr>
      <w:hyperlink w:anchor="_Toc140403888" w:history="1">
        <w:r w:rsidR="00A5526B" w:rsidRPr="004757F3">
          <w:rPr>
            <w:rStyle w:val="Hyperlink"/>
            <w:rFonts w:cs="Times New Roman"/>
            <w:noProof/>
          </w:rPr>
          <w:t>Figure 22: Controls decision tree</w:t>
        </w:r>
        <w:r w:rsidR="00A5526B">
          <w:rPr>
            <w:noProof/>
            <w:webHidden/>
          </w:rPr>
          <w:tab/>
        </w:r>
        <w:r w:rsidR="00A5526B">
          <w:rPr>
            <w:noProof/>
            <w:webHidden/>
          </w:rPr>
          <w:fldChar w:fldCharType="begin"/>
        </w:r>
        <w:r w:rsidR="00A5526B">
          <w:rPr>
            <w:noProof/>
            <w:webHidden/>
          </w:rPr>
          <w:instrText xml:space="preserve"> PAGEREF _Toc140403888 \h </w:instrText>
        </w:r>
        <w:r w:rsidR="00A5526B">
          <w:rPr>
            <w:noProof/>
            <w:webHidden/>
          </w:rPr>
        </w:r>
        <w:r w:rsidR="00A5526B">
          <w:rPr>
            <w:noProof/>
            <w:webHidden/>
          </w:rPr>
          <w:fldChar w:fldCharType="separate"/>
        </w:r>
        <w:r w:rsidR="00A5526B">
          <w:rPr>
            <w:noProof/>
            <w:webHidden/>
          </w:rPr>
          <w:t>102</w:t>
        </w:r>
        <w:r w:rsidR="00A5526B">
          <w:rPr>
            <w:noProof/>
            <w:webHidden/>
          </w:rPr>
          <w:fldChar w:fldCharType="end"/>
        </w:r>
      </w:hyperlink>
    </w:p>
    <w:p w14:paraId="756B01B6" w14:textId="13F8FB67" w:rsidR="00A5526B" w:rsidRDefault="00000000">
      <w:pPr>
        <w:pStyle w:val="TableofFigures"/>
        <w:tabs>
          <w:tab w:val="right" w:leader="dot" w:pos="8630"/>
        </w:tabs>
        <w:rPr>
          <w:rFonts w:asciiTheme="minorHAnsi" w:eastAsiaTheme="minorEastAsia" w:hAnsiTheme="minorHAnsi" w:cstheme="minorBidi"/>
          <w:noProof/>
        </w:rPr>
      </w:pPr>
      <w:hyperlink w:anchor="_Toc140403889" w:history="1">
        <w:r w:rsidR="00A5526B" w:rsidRPr="004757F3">
          <w:rPr>
            <w:rStyle w:val="Hyperlink"/>
            <w:rFonts w:cs="Times New Roman"/>
            <w:noProof/>
          </w:rPr>
          <w:t>Figure 23: Total system information flow and relation between sub-models</w:t>
        </w:r>
        <w:r w:rsidR="00A5526B">
          <w:rPr>
            <w:noProof/>
            <w:webHidden/>
          </w:rPr>
          <w:tab/>
        </w:r>
        <w:r w:rsidR="00A5526B">
          <w:rPr>
            <w:noProof/>
            <w:webHidden/>
          </w:rPr>
          <w:fldChar w:fldCharType="begin"/>
        </w:r>
        <w:r w:rsidR="00A5526B">
          <w:rPr>
            <w:noProof/>
            <w:webHidden/>
          </w:rPr>
          <w:instrText xml:space="preserve"> PAGEREF _Toc140403889 \h </w:instrText>
        </w:r>
        <w:r w:rsidR="00A5526B">
          <w:rPr>
            <w:noProof/>
            <w:webHidden/>
          </w:rPr>
        </w:r>
        <w:r w:rsidR="00A5526B">
          <w:rPr>
            <w:noProof/>
            <w:webHidden/>
          </w:rPr>
          <w:fldChar w:fldCharType="separate"/>
        </w:r>
        <w:r w:rsidR="00A5526B">
          <w:rPr>
            <w:noProof/>
            <w:webHidden/>
          </w:rPr>
          <w:t>102</w:t>
        </w:r>
        <w:r w:rsidR="00A5526B">
          <w:rPr>
            <w:noProof/>
            <w:webHidden/>
          </w:rPr>
          <w:fldChar w:fldCharType="end"/>
        </w:r>
      </w:hyperlink>
    </w:p>
    <w:p w14:paraId="252D9CE1" w14:textId="646D72C9" w:rsidR="00A5526B" w:rsidRDefault="00000000">
      <w:pPr>
        <w:pStyle w:val="TableofFigures"/>
        <w:tabs>
          <w:tab w:val="right" w:leader="dot" w:pos="8630"/>
        </w:tabs>
        <w:rPr>
          <w:rFonts w:asciiTheme="minorHAnsi" w:eastAsiaTheme="minorEastAsia" w:hAnsiTheme="minorHAnsi" w:cstheme="minorBidi"/>
          <w:noProof/>
        </w:rPr>
      </w:pPr>
      <w:hyperlink w:anchor="_Toc140403890" w:history="1">
        <w:r w:rsidR="00A5526B" w:rsidRPr="004757F3">
          <w:rPr>
            <w:rStyle w:val="Hyperlink"/>
            <w:rFonts w:cs="Times New Roman"/>
            <w:noProof/>
          </w:rPr>
          <w:t>Figure 24: Ambient dry bulb temperature for the simulated week</w:t>
        </w:r>
        <w:r w:rsidR="00A5526B">
          <w:rPr>
            <w:noProof/>
            <w:webHidden/>
          </w:rPr>
          <w:tab/>
        </w:r>
        <w:r w:rsidR="00A5526B">
          <w:rPr>
            <w:noProof/>
            <w:webHidden/>
          </w:rPr>
          <w:fldChar w:fldCharType="begin"/>
        </w:r>
        <w:r w:rsidR="00A5526B">
          <w:rPr>
            <w:noProof/>
            <w:webHidden/>
          </w:rPr>
          <w:instrText xml:space="preserve"> PAGEREF _Toc140403890 \h </w:instrText>
        </w:r>
        <w:r w:rsidR="00A5526B">
          <w:rPr>
            <w:noProof/>
            <w:webHidden/>
          </w:rPr>
        </w:r>
        <w:r w:rsidR="00A5526B">
          <w:rPr>
            <w:noProof/>
            <w:webHidden/>
          </w:rPr>
          <w:fldChar w:fldCharType="separate"/>
        </w:r>
        <w:r w:rsidR="00A5526B">
          <w:rPr>
            <w:noProof/>
            <w:webHidden/>
          </w:rPr>
          <w:t>104</w:t>
        </w:r>
        <w:r w:rsidR="00A5526B">
          <w:rPr>
            <w:noProof/>
            <w:webHidden/>
          </w:rPr>
          <w:fldChar w:fldCharType="end"/>
        </w:r>
      </w:hyperlink>
    </w:p>
    <w:p w14:paraId="61E81DA8" w14:textId="0DAA2321" w:rsidR="00A5526B" w:rsidRDefault="00000000">
      <w:pPr>
        <w:pStyle w:val="TableofFigures"/>
        <w:tabs>
          <w:tab w:val="right" w:leader="dot" w:pos="8630"/>
        </w:tabs>
        <w:rPr>
          <w:rFonts w:asciiTheme="minorHAnsi" w:eastAsiaTheme="minorEastAsia" w:hAnsiTheme="minorHAnsi" w:cstheme="minorBidi"/>
          <w:noProof/>
        </w:rPr>
      </w:pPr>
      <w:hyperlink w:anchor="_Toc140403891" w:history="1">
        <w:r w:rsidR="00A5526B" w:rsidRPr="004757F3">
          <w:rPr>
            <w:rStyle w:val="Hyperlink"/>
            <w:rFonts w:cs="Times New Roman"/>
            <w:noProof/>
          </w:rPr>
          <w:t>Figure 25: VCS operating power for normal, charging, and discharging modes.</w:t>
        </w:r>
        <w:r w:rsidR="00A5526B">
          <w:rPr>
            <w:noProof/>
            <w:webHidden/>
          </w:rPr>
          <w:tab/>
        </w:r>
        <w:r w:rsidR="00A5526B">
          <w:rPr>
            <w:noProof/>
            <w:webHidden/>
          </w:rPr>
          <w:fldChar w:fldCharType="begin"/>
        </w:r>
        <w:r w:rsidR="00A5526B">
          <w:rPr>
            <w:noProof/>
            <w:webHidden/>
          </w:rPr>
          <w:instrText xml:space="preserve"> PAGEREF _Toc140403891 \h </w:instrText>
        </w:r>
        <w:r w:rsidR="00A5526B">
          <w:rPr>
            <w:noProof/>
            <w:webHidden/>
          </w:rPr>
        </w:r>
        <w:r w:rsidR="00A5526B">
          <w:rPr>
            <w:noProof/>
            <w:webHidden/>
          </w:rPr>
          <w:fldChar w:fldCharType="separate"/>
        </w:r>
        <w:r w:rsidR="00A5526B">
          <w:rPr>
            <w:noProof/>
            <w:webHidden/>
          </w:rPr>
          <w:t>107</w:t>
        </w:r>
        <w:r w:rsidR="00A5526B">
          <w:rPr>
            <w:noProof/>
            <w:webHidden/>
          </w:rPr>
          <w:fldChar w:fldCharType="end"/>
        </w:r>
      </w:hyperlink>
    </w:p>
    <w:p w14:paraId="20C69F88" w14:textId="497B7DC5" w:rsidR="00A5526B" w:rsidRDefault="00000000">
      <w:pPr>
        <w:pStyle w:val="TableofFigures"/>
        <w:tabs>
          <w:tab w:val="right" w:leader="dot" w:pos="8630"/>
        </w:tabs>
        <w:rPr>
          <w:rFonts w:asciiTheme="minorHAnsi" w:eastAsiaTheme="minorEastAsia" w:hAnsiTheme="minorHAnsi" w:cstheme="minorBidi"/>
          <w:noProof/>
        </w:rPr>
      </w:pPr>
      <w:hyperlink w:anchor="_Toc140403892" w:history="1">
        <w:r w:rsidR="00A5526B" w:rsidRPr="004757F3">
          <w:rPr>
            <w:rStyle w:val="Hyperlink"/>
            <w:rFonts w:cs="Times New Roman"/>
            <w:noProof/>
          </w:rPr>
          <w:t>Figure 26: Ambient Temperature and Utility Data</w:t>
        </w:r>
        <w:r w:rsidR="00A5526B">
          <w:rPr>
            <w:noProof/>
            <w:webHidden/>
          </w:rPr>
          <w:tab/>
        </w:r>
        <w:r w:rsidR="00A5526B">
          <w:rPr>
            <w:noProof/>
            <w:webHidden/>
          </w:rPr>
          <w:fldChar w:fldCharType="begin"/>
        </w:r>
        <w:r w:rsidR="00A5526B">
          <w:rPr>
            <w:noProof/>
            <w:webHidden/>
          </w:rPr>
          <w:instrText xml:space="preserve"> PAGEREF _Toc140403892 \h </w:instrText>
        </w:r>
        <w:r w:rsidR="00A5526B">
          <w:rPr>
            <w:noProof/>
            <w:webHidden/>
          </w:rPr>
        </w:r>
        <w:r w:rsidR="00A5526B">
          <w:rPr>
            <w:noProof/>
            <w:webHidden/>
          </w:rPr>
          <w:fldChar w:fldCharType="separate"/>
        </w:r>
        <w:r w:rsidR="00A5526B">
          <w:rPr>
            <w:noProof/>
            <w:webHidden/>
          </w:rPr>
          <w:t>109</w:t>
        </w:r>
        <w:r w:rsidR="00A5526B">
          <w:rPr>
            <w:noProof/>
            <w:webHidden/>
          </w:rPr>
          <w:fldChar w:fldCharType="end"/>
        </w:r>
      </w:hyperlink>
    </w:p>
    <w:p w14:paraId="7EE2F4A7" w14:textId="07D66FBF" w:rsidR="00A5526B" w:rsidRDefault="00000000">
      <w:pPr>
        <w:pStyle w:val="TableofFigures"/>
        <w:tabs>
          <w:tab w:val="right" w:leader="dot" w:pos="8630"/>
        </w:tabs>
        <w:rPr>
          <w:rFonts w:asciiTheme="minorHAnsi" w:eastAsiaTheme="minorEastAsia" w:hAnsiTheme="minorHAnsi" w:cstheme="minorBidi"/>
          <w:noProof/>
        </w:rPr>
      </w:pPr>
      <w:hyperlink w:anchor="_Toc140403893" w:history="1">
        <w:r w:rsidR="00A5526B" w:rsidRPr="004757F3">
          <w:rPr>
            <w:rStyle w:val="Hyperlink"/>
            <w:rFonts w:cs="Times New Roman"/>
            <w:noProof/>
          </w:rPr>
          <w:t>Figure 27: Electric Consumption comparison with and without TES</w:t>
        </w:r>
        <w:r w:rsidR="00A5526B">
          <w:rPr>
            <w:noProof/>
            <w:webHidden/>
          </w:rPr>
          <w:tab/>
        </w:r>
        <w:r w:rsidR="00A5526B">
          <w:rPr>
            <w:noProof/>
            <w:webHidden/>
          </w:rPr>
          <w:fldChar w:fldCharType="begin"/>
        </w:r>
        <w:r w:rsidR="00A5526B">
          <w:rPr>
            <w:noProof/>
            <w:webHidden/>
          </w:rPr>
          <w:instrText xml:space="preserve"> PAGEREF _Toc140403893 \h </w:instrText>
        </w:r>
        <w:r w:rsidR="00A5526B">
          <w:rPr>
            <w:noProof/>
            <w:webHidden/>
          </w:rPr>
        </w:r>
        <w:r w:rsidR="00A5526B">
          <w:rPr>
            <w:noProof/>
            <w:webHidden/>
          </w:rPr>
          <w:fldChar w:fldCharType="separate"/>
        </w:r>
        <w:r w:rsidR="00A5526B">
          <w:rPr>
            <w:noProof/>
            <w:webHidden/>
          </w:rPr>
          <w:t>110</w:t>
        </w:r>
        <w:r w:rsidR="00A5526B">
          <w:rPr>
            <w:noProof/>
            <w:webHidden/>
          </w:rPr>
          <w:fldChar w:fldCharType="end"/>
        </w:r>
      </w:hyperlink>
    </w:p>
    <w:p w14:paraId="63D0991C" w14:textId="7877296F" w:rsidR="00A5526B" w:rsidRDefault="00000000">
      <w:pPr>
        <w:pStyle w:val="TableofFigures"/>
        <w:tabs>
          <w:tab w:val="right" w:leader="dot" w:pos="8630"/>
        </w:tabs>
        <w:rPr>
          <w:rFonts w:asciiTheme="minorHAnsi" w:eastAsiaTheme="minorEastAsia" w:hAnsiTheme="minorHAnsi" w:cstheme="minorBidi"/>
          <w:noProof/>
        </w:rPr>
      </w:pPr>
      <w:hyperlink w:anchor="_Toc140403894" w:history="1">
        <w:r w:rsidR="00A5526B" w:rsidRPr="004757F3">
          <w:rPr>
            <w:rStyle w:val="Hyperlink"/>
            <w:rFonts w:cs="Times New Roman"/>
            <w:noProof/>
          </w:rPr>
          <w:t>Figure 28: Total electrical utility cost with and without TES</w:t>
        </w:r>
        <w:r w:rsidR="00A5526B">
          <w:rPr>
            <w:noProof/>
            <w:webHidden/>
          </w:rPr>
          <w:tab/>
        </w:r>
        <w:r w:rsidR="00A5526B">
          <w:rPr>
            <w:noProof/>
            <w:webHidden/>
          </w:rPr>
          <w:fldChar w:fldCharType="begin"/>
        </w:r>
        <w:r w:rsidR="00A5526B">
          <w:rPr>
            <w:noProof/>
            <w:webHidden/>
          </w:rPr>
          <w:instrText xml:space="preserve"> PAGEREF _Toc140403894 \h </w:instrText>
        </w:r>
        <w:r w:rsidR="00A5526B">
          <w:rPr>
            <w:noProof/>
            <w:webHidden/>
          </w:rPr>
        </w:r>
        <w:r w:rsidR="00A5526B">
          <w:rPr>
            <w:noProof/>
            <w:webHidden/>
          </w:rPr>
          <w:fldChar w:fldCharType="separate"/>
        </w:r>
        <w:r w:rsidR="00A5526B">
          <w:rPr>
            <w:noProof/>
            <w:webHidden/>
          </w:rPr>
          <w:t>110</w:t>
        </w:r>
        <w:r w:rsidR="00A5526B">
          <w:rPr>
            <w:noProof/>
            <w:webHidden/>
          </w:rPr>
          <w:fldChar w:fldCharType="end"/>
        </w:r>
      </w:hyperlink>
    </w:p>
    <w:p w14:paraId="548EBD7C" w14:textId="637948EC" w:rsidR="00A5526B" w:rsidRDefault="00000000">
      <w:pPr>
        <w:pStyle w:val="TableofFigures"/>
        <w:tabs>
          <w:tab w:val="right" w:leader="dot" w:pos="8630"/>
        </w:tabs>
        <w:rPr>
          <w:rFonts w:asciiTheme="minorHAnsi" w:eastAsiaTheme="minorEastAsia" w:hAnsiTheme="minorHAnsi" w:cstheme="minorBidi"/>
          <w:noProof/>
        </w:rPr>
      </w:pPr>
      <w:hyperlink w:anchor="_Toc140403895" w:history="1">
        <w:r w:rsidR="00A5526B" w:rsidRPr="004757F3">
          <w:rPr>
            <w:rStyle w:val="Hyperlink"/>
            <w:rFonts w:cs="Times New Roman"/>
            <w:noProof/>
          </w:rPr>
          <w:t>Figure 29: PCM SOC</w:t>
        </w:r>
        <w:r w:rsidR="00A5526B">
          <w:rPr>
            <w:noProof/>
            <w:webHidden/>
          </w:rPr>
          <w:tab/>
        </w:r>
        <w:r w:rsidR="00A5526B">
          <w:rPr>
            <w:noProof/>
            <w:webHidden/>
          </w:rPr>
          <w:fldChar w:fldCharType="begin"/>
        </w:r>
        <w:r w:rsidR="00A5526B">
          <w:rPr>
            <w:noProof/>
            <w:webHidden/>
          </w:rPr>
          <w:instrText xml:space="preserve"> PAGEREF _Toc140403895 \h </w:instrText>
        </w:r>
        <w:r w:rsidR="00A5526B">
          <w:rPr>
            <w:noProof/>
            <w:webHidden/>
          </w:rPr>
        </w:r>
        <w:r w:rsidR="00A5526B">
          <w:rPr>
            <w:noProof/>
            <w:webHidden/>
          </w:rPr>
          <w:fldChar w:fldCharType="separate"/>
        </w:r>
        <w:r w:rsidR="00A5526B">
          <w:rPr>
            <w:noProof/>
            <w:webHidden/>
          </w:rPr>
          <w:t>112</w:t>
        </w:r>
        <w:r w:rsidR="00A5526B">
          <w:rPr>
            <w:noProof/>
            <w:webHidden/>
          </w:rPr>
          <w:fldChar w:fldCharType="end"/>
        </w:r>
      </w:hyperlink>
    </w:p>
    <w:p w14:paraId="0308109F" w14:textId="63EA8DFB" w:rsidR="00A5526B" w:rsidRDefault="00000000">
      <w:pPr>
        <w:pStyle w:val="TableofFigures"/>
        <w:tabs>
          <w:tab w:val="right" w:leader="dot" w:pos="8630"/>
        </w:tabs>
        <w:rPr>
          <w:rFonts w:asciiTheme="minorHAnsi" w:eastAsiaTheme="minorEastAsia" w:hAnsiTheme="minorHAnsi" w:cstheme="minorBidi"/>
          <w:noProof/>
        </w:rPr>
      </w:pPr>
      <w:hyperlink w:anchor="_Toc140403896" w:history="1">
        <w:r w:rsidR="00A5526B" w:rsidRPr="004757F3">
          <w:rPr>
            <w:rStyle w:val="Hyperlink"/>
            <w:rFonts w:cs="Times New Roman"/>
            <w:noProof/>
          </w:rPr>
          <w:t>Figure 30: Indoor Temperature Profile</w:t>
        </w:r>
        <w:r w:rsidR="00A5526B">
          <w:rPr>
            <w:noProof/>
            <w:webHidden/>
          </w:rPr>
          <w:tab/>
        </w:r>
        <w:r w:rsidR="00A5526B">
          <w:rPr>
            <w:noProof/>
            <w:webHidden/>
          </w:rPr>
          <w:fldChar w:fldCharType="begin"/>
        </w:r>
        <w:r w:rsidR="00A5526B">
          <w:rPr>
            <w:noProof/>
            <w:webHidden/>
          </w:rPr>
          <w:instrText xml:space="preserve"> PAGEREF _Toc140403896 \h </w:instrText>
        </w:r>
        <w:r w:rsidR="00A5526B">
          <w:rPr>
            <w:noProof/>
            <w:webHidden/>
          </w:rPr>
        </w:r>
        <w:r w:rsidR="00A5526B">
          <w:rPr>
            <w:noProof/>
            <w:webHidden/>
          </w:rPr>
          <w:fldChar w:fldCharType="separate"/>
        </w:r>
        <w:r w:rsidR="00A5526B">
          <w:rPr>
            <w:noProof/>
            <w:webHidden/>
          </w:rPr>
          <w:t>112</w:t>
        </w:r>
        <w:r w:rsidR="00A5526B">
          <w:rPr>
            <w:noProof/>
            <w:webHidden/>
          </w:rPr>
          <w:fldChar w:fldCharType="end"/>
        </w:r>
      </w:hyperlink>
    </w:p>
    <w:p w14:paraId="67725DAE" w14:textId="34250D33" w:rsidR="00A5526B" w:rsidRDefault="00000000">
      <w:pPr>
        <w:pStyle w:val="TableofFigures"/>
        <w:tabs>
          <w:tab w:val="right" w:leader="dot" w:pos="8630"/>
        </w:tabs>
        <w:rPr>
          <w:rFonts w:asciiTheme="minorHAnsi" w:eastAsiaTheme="minorEastAsia" w:hAnsiTheme="minorHAnsi" w:cstheme="minorBidi"/>
          <w:noProof/>
        </w:rPr>
      </w:pPr>
      <w:hyperlink w:anchor="_Toc140403897" w:history="1">
        <w:r w:rsidR="00A5526B" w:rsidRPr="004757F3">
          <w:rPr>
            <w:rStyle w:val="Hyperlink"/>
            <w:rFonts w:cs="Times New Roman"/>
            <w:noProof/>
          </w:rPr>
          <w:t>Figure 31: Comparison of temperature gradients for baseline and TES cases.</w:t>
        </w:r>
        <w:r w:rsidR="00A5526B">
          <w:rPr>
            <w:noProof/>
            <w:webHidden/>
          </w:rPr>
          <w:tab/>
        </w:r>
        <w:r w:rsidR="00A5526B">
          <w:rPr>
            <w:noProof/>
            <w:webHidden/>
          </w:rPr>
          <w:fldChar w:fldCharType="begin"/>
        </w:r>
        <w:r w:rsidR="00A5526B">
          <w:rPr>
            <w:noProof/>
            <w:webHidden/>
          </w:rPr>
          <w:instrText xml:space="preserve"> PAGEREF _Toc140403897 \h </w:instrText>
        </w:r>
        <w:r w:rsidR="00A5526B">
          <w:rPr>
            <w:noProof/>
            <w:webHidden/>
          </w:rPr>
        </w:r>
        <w:r w:rsidR="00A5526B">
          <w:rPr>
            <w:noProof/>
            <w:webHidden/>
          </w:rPr>
          <w:fldChar w:fldCharType="separate"/>
        </w:r>
        <w:r w:rsidR="00A5526B">
          <w:rPr>
            <w:noProof/>
            <w:webHidden/>
          </w:rPr>
          <w:t>123</w:t>
        </w:r>
        <w:r w:rsidR="00A5526B">
          <w:rPr>
            <w:noProof/>
            <w:webHidden/>
          </w:rPr>
          <w:fldChar w:fldCharType="end"/>
        </w:r>
      </w:hyperlink>
    </w:p>
    <w:p w14:paraId="2980C5B7" w14:textId="3409D7F7" w:rsidR="00A5526B" w:rsidRDefault="00000000">
      <w:pPr>
        <w:pStyle w:val="TableofFigures"/>
        <w:tabs>
          <w:tab w:val="right" w:leader="dot" w:pos="8630"/>
        </w:tabs>
        <w:rPr>
          <w:rFonts w:asciiTheme="minorHAnsi" w:eastAsiaTheme="minorEastAsia" w:hAnsiTheme="minorHAnsi" w:cstheme="minorBidi"/>
          <w:noProof/>
        </w:rPr>
      </w:pPr>
      <w:hyperlink w:anchor="_Toc140403898" w:history="1">
        <w:r w:rsidR="00A5526B" w:rsidRPr="004757F3">
          <w:rPr>
            <w:rStyle w:val="Hyperlink"/>
            <w:rFonts w:cs="Times New Roman"/>
            <w:noProof/>
          </w:rPr>
          <w:t>Figure 32: Cooling Operating modes with TES.</w:t>
        </w:r>
        <w:r w:rsidR="00A5526B">
          <w:rPr>
            <w:noProof/>
            <w:webHidden/>
          </w:rPr>
          <w:tab/>
        </w:r>
        <w:r w:rsidR="00A5526B">
          <w:rPr>
            <w:noProof/>
            <w:webHidden/>
          </w:rPr>
          <w:fldChar w:fldCharType="begin"/>
        </w:r>
        <w:r w:rsidR="00A5526B">
          <w:rPr>
            <w:noProof/>
            <w:webHidden/>
          </w:rPr>
          <w:instrText xml:space="preserve"> PAGEREF _Toc140403898 \h </w:instrText>
        </w:r>
        <w:r w:rsidR="00A5526B">
          <w:rPr>
            <w:noProof/>
            <w:webHidden/>
          </w:rPr>
        </w:r>
        <w:r w:rsidR="00A5526B">
          <w:rPr>
            <w:noProof/>
            <w:webHidden/>
          </w:rPr>
          <w:fldChar w:fldCharType="separate"/>
        </w:r>
        <w:r w:rsidR="00A5526B">
          <w:rPr>
            <w:noProof/>
            <w:webHidden/>
          </w:rPr>
          <w:t>126</w:t>
        </w:r>
        <w:r w:rsidR="00A5526B">
          <w:rPr>
            <w:noProof/>
            <w:webHidden/>
          </w:rPr>
          <w:fldChar w:fldCharType="end"/>
        </w:r>
      </w:hyperlink>
    </w:p>
    <w:p w14:paraId="4C2DBE5E" w14:textId="5A8DDA18" w:rsidR="00A5526B" w:rsidRDefault="00000000">
      <w:pPr>
        <w:pStyle w:val="TableofFigures"/>
        <w:tabs>
          <w:tab w:val="right" w:leader="dot" w:pos="8630"/>
        </w:tabs>
        <w:rPr>
          <w:rFonts w:asciiTheme="minorHAnsi" w:eastAsiaTheme="minorEastAsia" w:hAnsiTheme="minorHAnsi" w:cstheme="minorBidi"/>
          <w:noProof/>
        </w:rPr>
      </w:pPr>
      <w:hyperlink w:anchor="_Toc140403899" w:history="1">
        <w:r w:rsidR="00A5526B" w:rsidRPr="004757F3">
          <w:rPr>
            <w:rStyle w:val="Hyperlink"/>
            <w:rFonts w:cs="Times New Roman"/>
            <w:noProof/>
          </w:rPr>
          <w:t>Figure 33: Heating Operating modes with TES.</w:t>
        </w:r>
        <w:r w:rsidR="00A5526B">
          <w:rPr>
            <w:noProof/>
            <w:webHidden/>
          </w:rPr>
          <w:tab/>
        </w:r>
        <w:r w:rsidR="00A5526B">
          <w:rPr>
            <w:noProof/>
            <w:webHidden/>
          </w:rPr>
          <w:fldChar w:fldCharType="begin"/>
        </w:r>
        <w:r w:rsidR="00A5526B">
          <w:rPr>
            <w:noProof/>
            <w:webHidden/>
          </w:rPr>
          <w:instrText xml:space="preserve"> PAGEREF _Toc140403899 \h </w:instrText>
        </w:r>
        <w:r w:rsidR="00A5526B">
          <w:rPr>
            <w:noProof/>
            <w:webHidden/>
          </w:rPr>
        </w:r>
        <w:r w:rsidR="00A5526B">
          <w:rPr>
            <w:noProof/>
            <w:webHidden/>
          </w:rPr>
          <w:fldChar w:fldCharType="separate"/>
        </w:r>
        <w:r w:rsidR="00A5526B">
          <w:rPr>
            <w:noProof/>
            <w:webHidden/>
          </w:rPr>
          <w:t>126</w:t>
        </w:r>
        <w:r w:rsidR="00A5526B">
          <w:rPr>
            <w:noProof/>
            <w:webHidden/>
          </w:rPr>
          <w:fldChar w:fldCharType="end"/>
        </w:r>
      </w:hyperlink>
    </w:p>
    <w:p w14:paraId="11ED0188" w14:textId="6E654AD6" w:rsidR="00A5526B" w:rsidRDefault="00000000">
      <w:pPr>
        <w:pStyle w:val="TableofFigures"/>
        <w:tabs>
          <w:tab w:val="right" w:leader="dot" w:pos="8630"/>
        </w:tabs>
        <w:rPr>
          <w:rFonts w:asciiTheme="minorHAnsi" w:eastAsiaTheme="minorEastAsia" w:hAnsiTheme="minorHAnsi" w:cstheme="minorBidi"/>
          <w:noProof/>
        </w:rPr>
      </w:pPr>
      <w:hyperlink w:anchor="_Toc140403900" w:history="1">
        <w:r w:rsidR="00A5526B" w:rsidRPr="004757F3">
          <w:rPr>
            <w:rStyle w:val="Hyperlink"/>
            <w:rFonts w:cs="Times New Roman"/>
            <w:noProof/>
          </w:rPr>
          <w:t>Figure 34: Operation flow chart showing the submodels and direction of information flow.</w:t>
        </w:r>
        <w:r w:rsidR="00A5526B">
          <w:rPr>
            <w:noProof/>
            <w:webHidden/>
          </w:rPr>
          <w:tab/>
        </w:r>
        <w:r w:rsidR="00A5526B">
          <w:rPr>
            <w:noProof/>
            <w:webHidden/>
          </w:rPr>
          <w:fldChar w:fldCharType="begin"/>
        </w:r>
        <w:r w:rsidR="00A5526B">
          <w:rPr>
            <w:noProof/>
            <w:webHidden/>
          </w:rPr>
          <w:instrText xml:space="preserve"> PAGEREF _Toc140403900 \h </w:instrText>
        </w:r>
        <w:r w:rsidR="00A5526B">
          <w:rPr>
            <w:noProof/>
            <w:webHidden/>
          </w:rPr>
        </w:r>
        <w:r w:rsidR="00A5526B">
          <w:rPr>
            <w:noProof/>
            <w:webHidden/>
          </w:rPr>
          <w:fldChar w:fldCharType="separate"/>
        </w:r>
        <w:r w:rsidR="00A5526B">
          <w:rPr>
            <w:noProof/>
            <w:webHidden/>
          </w:rPr>
          <w:t>127</w:t>
        </w:r>
        <w:r w:rsidR="00A5526B">
          <w:rPr>
            <w:noProof/>
            <w:webHidden/>
          </w:rPr>
          <w:fldChar w:fldCharType="end"/>
        </w:r>
      </w:hyperlink>
    </w:p>
    <w:p w14:paraId="4C6068AA" w14:textId="6BAE7444" w:rsidR="00A5526B" w:rsidRDefault="00000000">
      <w:pPr>
        <w:pStyle w:val="TableofFigures"/>
        <w:tabs>
          <w:tab w:val="right" w:leader="dot" w:pos="8630"/>
        </w:tabs>
        <w:rPr>
          <w:rFonts w:asciiTheme="minorHAnsi" w:eastAsiaTheme="minorEastAsia" w:hAnsiTheme="minorHAnsi" w:cstheme="minorBidi"/>
          <w:noProof/>
        </w:rPr>
      </w:pPr>
      <w:hyperlink w:anchor="_Toc140403901" w:history="1">
        <w:r w:rsidR="00A5526B" w:rsidRPr="004757F3">
          <w:rPr>
            <w:rStyle w:val="Hyperlink"/>
            <w:rFonts w:cs="Times New Roman"/>
            <w:noProof/>
          </w:rPr>
          <w:t>Figure 35: Average dry-bulb temperature.</w:t>
        </w:r>
        <w:r w:rsidR="00A5526B">
          <w:rPr>
            <w:noProof/>
            <w:webHidden/>
          </w:rPr>
          <w:tab/>
        </w:r>
        <w:r w:rsidR="00A5526B">
          <w:rPr>
            <w:noProof/>
            <w:webHidden/>
          </w:rPr>
          <w:fldChar w:fldCharType="begin"/>
        </w:r>
        <w:r w:rsidR="00A5526B">
          <w:rPr>
            <w:noProof/>
            <w:webHidden/>
          </w:rPr>
          <w:instrText xml:space="preserve"> PAGEREF _Toc140403901 \h </w:instrText>
        </w:r>
        <w:r w:rsidR="00A5526B">
          <w:rPr>
            <w:noProof/>
            <w:webHidden/>
          </w:rPr>
        </w:r>
        <w:r w:rsidR="00A5526B">
          <w:rPr>
            <w:noProof/>
            <w:webHidden/>
          </w:rPr>
          <w:fldChar w:fldCharType="separate"/>
        </w:r>
        <w:r w:rsidR="00A5526B">
          <w:rPr>
            <w:noProof/>
            <w:webHidden/>
          </w:rPr>
          <w:t>129</w:t>
        </w:r>
        <w:r w:rsidR="00A5526B">
          <w:rPr>
            <w:noProof/>
            <w:webHidden/>
          </w:rPr>
          <w:fldChar w:fldCharType="end"/>
        </w:r>
      </w:hyperlink>
    </w:p>
    <w:p w14:paraId="299C2CAF" w14:textId="6BD38FCD" w:rsidR="00A5526B" w:rsidRDefault="00000000">
      <w:pPr>
        <w:pStyle w:val="TableofFigures"/>
        <w:tabs>
          <w:tab w:val="right" w:leader="dot" w:pos="8630"/>
        </w:tabs>
        <w:rPr>
          <w:rFonts w:asciiTheme="minorHAnsi" w:eastAsiaTheme="minorEastAsia" w:hAnsiTheme="minorHAnsi" w:cstheme="minorBidi"/>
          <w:noProof/>
        </w:rPr>
      </w:pPr>
      <w:hyperlink w:anchor="_Toc140403902" w:history="1">
        <w:r w:rsidR="00A5526B" w:rsidRPr="004757F3">
          <w:rPr>
            <w:rStyle w:val="Hyperlink"/>
            <w:rFonts w:cs="Times New Roman"/>
            <w:noProof/>
          </w:rPr>
          <w:t>Figure 36: Controls decision tree.</w:t>
        </w:r>
        <w:r w:rsidR="00A5526B">
          <w:rPr>
            <w:noProof/>
            <w:webHidden/>
          </w:rPr>
          <w:tab/>
        </w:r>
        <w:r w:rsidR="00A5526B">
          <w:rPr>
            <w:noProof/>
            <w:webHidden/>
          </w:rPr>
          <w:fldChar w:fldCharType="begin"/>
        </w:r>
        <w:r w:rsidR="00A5526B">
          <w:rPr>
            <w:noProof/>
            <w:webHidden/>
          </w:rPr>
          <w:instrText xml:space="preserve"> PAGEREF _Toc140403902 \h </w:instrText>
        </w:r>
        <w:r w:rsidR="00A5526B">
          <w:rPr>
            <w:noProof/>
            <w:webHidden/>
          </w:rPr>
        </w:r>
        <w:r w:rsidR="00A5526B">
          <w:rPr>
            <w:noProof/>
            <w:webHidden/>
          </w:rPr>
          <w:fldChar w:fldCharType="separate"/>
        </w:r>
        <w:r w:rsidR="00A5526B">
          <w:rPr>
            <w:noProof/>
            <w:webHidden/>
          </w:rPr>
          <w:t>133</w:t>
        </w:r>
        <w:r w:rsidR="00A5526B">
          <w:rPr>
            <w:noProof/>
            <w:webHidden/>
          </w:rPr>
          <w:fldChar w:fldCharType="end"/>
        </w:r>
      </w:hyperlink>
    </w:p>
    <w:p w14:paraId="676AF0C4" w14:textId="4D38D011" w:rsidR="00A5526B" w:rsidRDefault="00000000">
      <w:pPr>
        <w:pStyle w:val="TableofFigures"/>
        <w:tabs>
          <w:tab w:val="right" w:leader="dot" w:pos="8630"/>
        </w:tabs>
        <w:rPr>
          <w:rFonts w:asciiTheme="minorHAnsi" w:eastAsiaTheme="minorEastAsia" w:hAnsiTheme="minorHAnsi" w:cstheme="minorBidi"/>
          <w:noProof/>
        </w:rPr>
      </w:pPr>
      <w:hyperlink w:anchor="_Toc140403903" w:history="1">
        <w:r w:rsidR="00A5526B" w:rsidRPr="004757F3">
          <w:rPr>
            <w:rStyle w:val="Hyperlink"/>
            <w:rFonts w:cs="Times New Roman"/>
            <w:noProof/>
          </w:rPr>
          <w:t>Figure 37: T-s diagram for cooling cycle</w:t>
        </w:r>
        <w:r w:rsidR="00A5526B">
          <w:rPr>
            <w:noProof/>
            <w:webHidden/>
          </w:rPr>
          <w:tab/>
        </w:r>
        <w:r w:rsidR="00A5526B">
          <w:rPr>
            <w:noProof/>
            <w:webHidden/>
          </w:rPr>
          <w:fldChar w:fldCharType="begin"/>
        </w:r>
        <w:r w:rsidR="00A5526B">
          <w:rPr>
            <w:noProof/>
            <w:webHidden/>
          </w:rPr>
          <w:instrText xml:space="preserve"> PAGEREF _Toc140403903 \h </w:instrText>
        </w:r>
        <w:r w:rsidR="00A5526B">
          <w:rPr>
            <w:noProof/>
            <w:webHidden/>
          </w:rPr>
        </w:r>
        <w:r w:rsidR="00A5526B">
          <w:rPr>
            <w:noProof/>
            <w:webHidden/>
          </w:rPr>
          <w:fldChar w:fldCharType="separate"/>
        </w:r>
        <w:r w:rsidR="00A5526B">
          <w:rPr>
            <w:noProof/>
            <w:webHidden/>
          </w:rPr>
          <w:t>136</w:t>
        </w:r>
        <w:r w:rsidR="00A5526B">
          <w:rPr>
            <w:noProof/>
            <w:webHidden/>
          </w:rPr>
          <w:fldChar w:fldCharType="end"/>
        </w:r>
      </w:hyperlink>
    </w:p>
    <w:p w14:paraId="0CA37C14" w14:textId="3A065643" w:rsidR="00A5526B" w:rsidRDefault="00000000">
      <w:pPr>
        <w:pStyle w:val="TableofFigures"/>
        <w:tabs>
          <w:tab w:val="right" w:leader="dot" w:pos="8630"/>
        </w:tabs>
        <w:rPr>
          <w:rFonts w:asciiTheme="minorHAnsi" w:eastAsiaTheme="minorEastAsia" w:hAnsiTheme="minorHAnsi" w:cstheme="minorBidi"/>
          <w:noProof/>
        </w:rPr>
      </w:pPr>
      <w:hyperlink w:anchor="_Toc140403904" w:history="1">
        <w:r w:rsidR="00A5526B" w:rsidRPr="004757F3">
          <w:rPr>
            <w:rStyle w:val="Hyperlink"/>
            <w:rFonts w:cs="Times New Roman"/>
            <w:noProof/>
          </w:rPr>
          <w:t>Figure 38: Birmingham results for peak energy consumption.</w:t>
        </w:r>
        <w:r w:rsidR="00A5526B">
          <w:rPr>
            <w:noProof/>
            <w:webHidden/>
          </w:rPr>
          <w:tab/>
        </w:r>
        <w:r w:rsidR="00A5526B">
          <w:rPr>
            <w:noProof/>
            <w:webHidden/>
          </w:rPr>
          <w:fldChar w:fldCharType="begin"/>
        </w:r>
        <w:r w:rsidR="00A5526B">
          <w:rPr>
            <w:noProof/>
            <w:webHidden/>
          </w:rPr>
          <w:instrText xml:space="preserve"> PAGEREF _Toc140403904 \h </w:instrText>
        </w:r>
        <w:r w:rsidR="00A5526B">
          <w:rPr>
            <w:noProof/>
            <w:webHidden/>
          </w:rPr>
        </w:r>
        <w:r w:rsidR="00A5526B">
          <w:rPr>
            <w:noProof/>
            <w:webHidden/>
          </w:rPr>
          <w:fldChar w:fldCharType="separate"/>
        </w:r>
        <w:r w:rsidR="00A5526B">
          <w:rPr>
            <w:noProof/>
            <w:webHidden/>
          </w:rPr>
          <w:t>140</w:t>
        </w:r>
        <w:r w:rsidR="00A5526B">
          <w:rPr>
            <w:noProof/>
            <w:webHidden/>
          </w:rPr>
          <w:fldChar w:fldCharType="end"/>
        </w:r>
      </w:hyperlink>
    </w:p>
    <w:p w14:paraId="76DBBBD1" w14:textId="1955CB14" w:rsidR="00A5526B" w:rsidRDefault="00000000">
      <w:pPr>
        <w:pStyle w:val="TableofFigures"/>
        <w:tabs>
          <w:tab w:val="right" w:leader="dot" w:pos="8630"/>
        </w:tabs>
        <w:rPr>
          <w:rFonts w:asciiTheme="minorHAnsi" w:eastAsiaTheme="minorEastAsia" w:hAnsiTheme="minorHAnsi" w:cstheme="minorBidi"/>
          <w:noProof/>
        </w:rPr>
      </w:pPr>
      <w:hyperlink w:anchor="_Toc140403905" w:history="1">
        <w:r w:rsidR="00A5526B" w:rsidRPr="004757F3">
          <w:rPr>
            <w:rStyle w:val="Hyperlink"/>
            <w:rFonts w:cs="Times New Roman"/>
            <w:noProof/>
          </w:rPr>
          <w:t>Figure 39: Birmingham results for energy consumption.</w:t>
        </w:r>
        <w:r w:rsidR="00A5526B">
          <w:rPr>
            <w:noProof/>
            <w:webHidden/>
          </w:rPr>
          <w:tab/>
        </w:r>
        <w:r w:rsidR="00A5526B">
          <w:rPr>
            <w:noProof/>
            <w:webHidden/>
          </w:rPr>
          <w:fldChar w:fldCharType="begin"/>
        </w:r>
        <w:r w:rsidR="00A5526B">
          <w:rPr>
            <w:noProof/>
            <w:webHidden/>
          </w:rPr>
          <w:instrText xml:space="preserve"> PAGEREF _Toc140403905 \h </w:instrText>
        </w:r>
        <w:r w:rsidR="00A5526B">
          <w:rPr>
            <w:noProof/>
            <w:webHidden/>
          </w:rPr>
        </w:r>
        <w:r w:rsidR="00A5526B">
          <w:rPr>
            <w:noProof/>
            <w:webHidden/>
          </w:rPr>
          <w:fldChar w:fldCharType="separate"/>
        </w:r>
        <w:r w:rsidR="00A5526B">
          <w:rPr>
            <w:noProof/>
            <w:webHidden/>
          </w:rPr>
          <w:t>141</w:t>
        </w:r>
        <w:r w:rsidR="00A5526B">
          <w:rPr>
            <w:noProof/>
            <w:webHidden/>
          </w:rPr>
          <w:fldChar w:fldCharType="end"/>
        </w:r>
      </w:hyperlink>
    </w:p>
    <w:p w14:paraId="66C135BD" w14:textId="6430967D" w:rsidR="00A5526B" w:rsidRDefault="00000000">
      <w:pPr>
        <w:pStyle w:val="TableofFigures"/>
        <w:tabs>
          <w:tab w:val="right" w:leader="dot" w:pos="8630"/>
        </w:tabs>
        <w:rPr>
          <w:rFonts w:asciiTheme="minorHAnsi" w:eastAsiaTheme="minorEastAsia" w:hAnsiTheme="minorHAnsi" w:cstheme="minorBidi"/>
          <w:noProof/>
        </w:rPr>
      </w:pPr>
      <w:hyperlink w:anchor="_Toc140403906" w:history="1">
        <w:r w:rsidR="00A5526B" w:rsidRPr="004757F3">
          <w:rPr>
            <w:rStyle w:val="Hyperlink"/>
            <w:rFonts w:cs="Times New Roman"/>
            <w:noProof/>
          </w:rPr>
          <w:t>Figure 40: Birmingham results for utility cost.</w:t>
        </w:r>
        <w:r w:rsidR="00A5526B">
          <w:rPr>
            <w:noProof/>
            <w:webHidden/>
          </w:rPr>
          <w:tab/>
        </w:r>
        <w:r w:rsidR="00A5526B">
          <w:rPr>
            <w:noProof/>
            <w:webHidden/>
          </w:rPr>
          <w:fldChar w:fldCharType="begin"/>
        </w:r>
        <w:r w:rsidR="00A5526B">
          <w:rPr>
            <w:noProof/>
            <w:webHidden/>
          </w:rPr>
          <w:instrText xml:space="preserve"> PAGEREF _Toc140403906 \h </w:instrText>
        </w:r>
        <w:r w:rsidR="00A5526B">
          <w:rPr>
            <w:noProof/>
            <w:webHidden/>
          </w:rPr>
        </w:r>
        <w:r w:rsidR="00A5526B">
          <w:rPr>
            <w:noProof/>
            <w:webHidden/>
          </w:rPr>
          <w:fldChar w:fldCharType="separate"/>
        </w:r>
        <w:r w:rsidR="00A5526B">
          <w:rPr>
            <w:noProof/>
            <w:webHidden/>
          </w:rPr>
          <w:t>143</w:t>
        </w:r>
        <w:r w:rsidR="00A5526B">
          <w:rPr>
            <w:noProof/>
            <w:webHidden/>
          </w:rPr>
          <w:fldChar w:fldCharType="end"/>
        </w:r>
      </w:hyperlink>
    </w:p>
    <w:p w14:paraId="1D377465" w14:textId="3ECFC031" w:rsidR="00A5526B" w:rsidRDefault="00000000">
      <w:pPr>
        <w:pStyle w:val="TableofFigures"/>
        <w:tabs>
          <w:tab w:val="right" w:leader="dot" w:pos="8630"/>
        </w:tabs>
        <w:rPr>
          <w:rFonts w:asciiTheme="minorHAnsi" w:eastAsiaTheme="minorEastAsia" w:hAnsiTheme="minorHAnsi" w:cstheme="minorBidi"/>
          <w:noProof/>
        </w:rPr>
      </w:pPr>
      <w:hyperlink w:anchor="_Toc140403907" w:history="1">
        <w:r w:rsidR="00A5526B" w:rsidRPr="004757F3">
          <w:rPr>
            <w:rStyle w:val="Hyperlink"/>
            <w:rFonts w:cs="Times New Roman"/>
            <w:noProof/>
          </w:rPr>
          <w:t>Figure 41: New York City results for peak energy consumption.</w:t>
        </w:r>
        <w:r w:rsidR="00A5526B">
          <w:rPr>
            <w:noProof/>
            <w:webHidden/>
          </w:rPr>
          <w:tab/>
        </w:r>
        <w:r w:rsidR="00A5526B">
          <w:rPr>
            <w:noProof/>
            <w:webHidden/>
          </w:rPr>
          <w:fldChar w:fldCharType="begin"/>
        </w:r>
        <w:r w:rsidR="00A5526B">
          <w:rPr>
            <w:noProof/>
            <w:webHidden/>
          </w:rPr>
          <w:instrText xml:space="preserve"> PAGEREF _Toc140403907 \h </w:instrText>
        </w:r>
        <w:r w:rsidR="00A5526B">
          <w:rPr>
            <w:noProof/>
            <w:webHidden/>
          </w:rPr>
        </w:r>
        <w:r w:rsidR="00A5526B">
          <w:rPr>
            <w:noProof/>
            <w:webHidden/>
          </w:rPr>
          <w:fldChar w:fldCharType="separate"/>
        </w:r>
        <w:r w:rsidR="00A5526B">
          <w:rPr>
            <w:noProof/>
            <w:webHidden/>
          </w:rPr>
          <w:t>145</w:t>
        </w:r>
        <w:r w:rsidR="00A5526B">
          <w:rPr>
            <w:noProof/>
            <w:webHidden/>
          </w:rPr>
          <w:fldChar w:fldCharType="end"/>
        </w:r>
      </w:hyperlink>
    </w:p>
    <w:p w14:paraId="73790D45" w14:textId="6ED5A3E9" w:rsidR="00A5526B" w:rsidRDefault="00000000">
      <w:pPr>
        <w:pStyle w:val="TableofFigures"/>
        <w:tabs>
          <w:tab w:val="right" w:leader="dot" w:pos="8630"/>
        </w:tabs>
        <w:rPr>
          <w:rFonts w:asciiTheme="minorHAnsi" w:eastAsiaTheme="minorEastAsia" w:hAnsiTheme="minorHAnsi" w:cstheme="minorBidi"/>
          <w:noProof/>
        </w:rPr>
      </w:pPr>
      <w:hyperlink w:anchor="_Toc140403908" w:history="1">
        <w:r w:rsidR="00A5526B" w:rsidRPr="004757F3">
          <w:rPr>
            <w:rStyle w:val="Hyperlink"/>
            <w:rFonts w:cs="Times New Roman"/>
            <w:noProof/>
          </w:rPr>
          <w:t>Figure 42: New York City results for energy consumption.</w:t>
        </w:r>
        <w:r w:rsidR="00A5526B">
          <w:rPr>
            <w:noProof/>
            <w:webHidden/>
          </w:rPr>
          <w:tab/>
        </w:r>
        <w:r w:rsidR="00A5526B">
          <w:rPr>
            <w:noProof/>
            <w:webHidden/>
          </w:rPr>
          <w:fldChar w:fldCharType="begin"/>
        </w:r>
        <w:r w:rsidR="00A5526B">
          <w:rPr>
            <w:noProof/>
            <w:webHidden/>
          </w:rPr>
          <w:instrText xml:space="preserve"> PAGEREF _Toc140403908 \h </w:instrText>
        </w:r>
        <w:r w:rsidR="00A5526B">
          <w:rPr>
            <w:noProof/>
            <w:webHidden/>
          </w:rPr>
        </w:r>
        <w:r w:rsidR="00A5526B">
          <w:rPr>
            <w:noProof/>
            <w:webHidden/>
          </w:rPr>
          <w:fldChar w:fldCharType="separate"/>
        </w:r>
        <w:r w:rsidR="00A5526B">
          <w:rPr>
            <w:noProof/>
            <w:webHidden/>
          </w:rPr>
          <w:t>146</w:t>
        </w:r>
        <w:r w:rsidR="00A5526B">
          <w:rPr>
            <w:noProof/>
            <w:webHidden/>
          </w:rPr>
          <w:fldChar w:fldCharType="end"/>
        </w:r>
      </w:hyperlink>
    </w:p>
    <w:p w14:paraId="05FF1452" w14:textId="1864F664" w:rsidR="00A5526B" w:rsidRDefault="00000000">
      <w:pPr>
        <w:pStyle w:val="TableofFigures"/>
        <w:tabs>
          <w:tab w:val="right" w:leader="dot" w:pos="8630"/>
        </w:tabs>
        <w:rPr>
          <w:rFonts w:asciiTheme="minorHAnsi" w:eastAsiaTheme="minorEastAsia" w:hAnsiTheme="minorHAnsi" w:cstheme="minorBidi"/>
          <w:noProof/>
        </w:rPr>
      </w:pPr>
      <w:hyperlink w:anchor="_Toc140403909" w:history="1">
        <w:r w:rsidR="00A5526B" w:rsidRPr="004757F3">
          <w:rPr>
            <w:rStyle w:val="Hyperlink"/>
            <w:rFonts w:cs="Times New Roman"/>
            <w:noProof/>
          </w:rPr>
          <w:t>Figure 43: New York City results for utility cost.</w:t>
        </w:r>
        <w:r w:rsidR="00A5526B">
          <w:rPr>
            <w:noProof/>
            <w:webHidden/>
          </w:rPr>
          <w:tab/>
        </w:r>
        <w:r w:rsidR="00A5526B">
          <w:rPr>
            <w:noProof/>
            <w:webHidden/>
          </w:rPr>
          <w:fldChar w:fldCharType="begin"/>
        </w:r>
        <w:r w:rsidR="00A5526B">
          <w:rPr>
            <w:noProof/>
            <w:webHidden/>
          </w:rPr>
          <w:instrText xml:space="preserve"> PAGEREF _Toc140403909 \h </w:instrText>
        </w:r>
        <w:r w:rsidR="00A5526B">
          <w:rPr>
            <w:noProof/>
            <w:webHidden/>
          </w:rPr>
        </w:r>
        <w:r w:rsidR="00A5526B">
          <w:rPr>
            <w:noProof/>
            <w:webHidden/>
          </w:rPr>
          <w:fldChar w:fldCharType="separate"/>
        </w:r>
        <w:r w:rsidR="00A5526B">
          <w:rPr>
            <w:noProof/>
            <w:webHidden/>
          </w:rPr>
          <w:t>148</w:t>
        </w:r>
        <w:r w:rsidR="00A5526B">
          <w:rPr>
            <w:noProof/>
            <w:webHidden/>
          </w:rPr>
          <w:fldChar w:fldCharType="end"/>
        </w:r>
      </w:hyperlink>
    </w:p>
    <w:p w14:paraId="25BB31D5" w14:textId="793B4B26" w:rsidR="00A5526B" w:rsidRDefault="00000000">
      <w:pPr>
        <w:pStyle w:val="TableofFigures"/>
        <w:tabs>
          <w:tab w:val="right" w:leader="dot" w:pos="8630"/>
        </w:tabs>
        <w:rPr>
          <w:rFonts w:asciiTheme="minorHAnsi" w:eastAsiaTheme="minorEastAsia" w:hAnsiTheme="minorHAnsi" w:cstheme="minorBidi"/>
          <w:noProof/>
        </w:rPr>
      </w:pPr>
      <w:hyperlink w:anchor="_Toc140403910" w:history="1">
        <w:r w:rsidR="00A5526B" w:rsidRPr="004757F3">
          <w:rPr>
            <w:rStyle w:val="Hyperlink"/>
            <w:rFonts w:cs="Times New Roman"/>
            <w:noProof/>
          </w:rPr>
          <w:t>Figure 44: Houston results for peak energy consumption.</w:t>
        </w:r>
        <w:r w:rsidR="00A5526B">
          <w:rPr>
            <w:noProof/>
            <w:webHidden/>
          </w:rPr>
          <w:tab/>
        </w:r>
        <w:r w:rsidR="00A5526B">
          <w:rPr>
            <w:noProof/>
            <w:webHidden/>
          </w:rPr>
          <w:fldChar w:fldCharType="begin"/>
        </w:r>
        <w:r w:rsidR="00A5526B">
          <w:rPr>
            <w:noProof/>
            <w:webHidden/>
          </w:rPr>
          <w:instrText xml:space="preserve"> PAGEREF _Toc140403910 \h </w:instrText>
        </w:r>
        <w:r w:rsidR="00A5526B">
          <w:rPr>
            <w:noProof/>
            <w:webHidden/>
          </w:rPr>
        </w:r>
        <w:r w:rsidR="00A5526B">
          <w:rPr>
            <w:noProof/>
            <w:webHidden/>
          </w:rPr>
          <w:fldChar w:fldCharType="separate"/>
        </w:r>
        <w:r w:rsidR="00A5526B">
          <w:rPr>
            <w:noProof/>
            <w:webHidden/>
          </w:rPr>
          <w:t>149</w:t>
        </w:r>
        <w:r w:rsidR="00A5526B">
          <w:rPr>
            <w:noProof/>
            <w:webHidden/>
          </w:rPr>
          <w:fldChar w:fldCharType="end"/>
        </w:r>
      </w:hyperlink>
    </w:p>
    <w:p w14:paraId="19737A05" w14:textId="055092BF" w:rsidR="00A5526B" w:rsidRDefault="00000000">
      <w:pPr>
        <w:pStyle w:val="TableofFigures"/>
        <w:tabs>
          <w:tab w:val="right" w:leader="dot" w:pos="8630"/>
        </w:tabs>
        <w:rPr>
          <w:rFonts w:asciiTheme="minorHAnsi" w:eastAsiaTheme="minorEastAsia" w:hAnsiTheme="minorHAnsi" w:cstheme="minorBidi"/>
          <w:noProof/>
        </w:rPr>
      </w:pPr>
      <w:hyperlink w:anchor="_Toc140403911" w:history="1">
        <w:r w:rsidR="00A5526B" w:rsidRPr="004757F3">
          <w:rPr>
            <w:rStyle w:val="Hyperlink"/>
            <w:rFonts w:cs="Times New Roman"/>
            <w:noProof/>
          </w:rPr>
          <w:t>Figure 45: Houston results for energy consumption.</w:t>
        </w:r>
        <w:r w:rsidR="00A5526B">
          <w:rPr>
            <w:noProof/>
            <w:webHidden/>
          </w:rPr>
          <w:tab/>
        </w:r>
        <w:r w:rsidR="00A5526B">
          <w:rPr>
            <w:noProof/>
            <w:webHidden/>
          </w:rPr>
          <w:fldChar w:fldCharType="begin"/>
        </w:r>
        <w:r w:rsidR="00A5526B">
          <w:rPr>
            <w:noProof/>
            <w:webHidden/>
          </w:rPr>
          <w:instrText xml:space="preserve"> PAGEREF _Toc140403911 \h </w:instrText>
        </w:r>
        <w:r w:rsidR="00A5526B">
          <w:rPr>
            <w:noProof/>
            <w:webHidden/>
          </w:rPr>
        </w:r>
        <w:r w:rsidR="00A5526B">
          <w:rPr>
            <w:noProof/>
            <w:webHidden/>
          </w:rPr>
          <w:fldChar w:fldCharType="separate"/>
        </w:r>
        <w:r w:rsidR="00A5526B">
          <w:rPr>
            <w:noProof/>
            <w:webHidden/>
          </w:rPr>
          <w:t>151</w:t>
        </w:r>
        <w:r w:rsidR="00A5526B">
          <w:rPr>
            <w:noProof/>
            <w:webHidden/>
          </w:rPr>
          <w:fldChar w:fldCharType="end"/>
        </w:r>
      </w:hyperlink>
    </w:p>
    <w:p w14:paraId="7E1CC9C9" w14:textId="011719B3" w:rsidR="00A5526B" w:rsidRDefault="00000000">
      <w:pPr>
        <w:pStyle w:val="TableofFigures"/>
        <w:tabs>
          <w:tab w:val="right" w:leader="dot" w:pos="8630"/>
        </w:tabs>
        <w:rPr>
          <w:rFonts w:asciiTheme="minorHAnsi" w:eastAsiaTheme="minorEastAsia" w:hAnsiTheme="minorHAnsi" w:cstheme="minorBidi"/>
          <w:noProof/>
        </w:rPr>
      </w:pPr>
      <w:hyperlink w:anchor="_Toc140403912" w:history="1">
        <w:r w:rsidR="00A5526B" w:rsidRPr="004757F3">
          <w:rPr>
            <w:rStyle w:val="Hyperlink"/>
            <w:rFonts w:cs="Times New Roman"/>
            <w:noProof/>
          </w:rPr>
          <w:t>Figure 46: Houston results for utility cost.</w:t>
        </w:r>
        <w:r w:rsidR="00A5526B">
          <w:rPr>
            <w:noProof/>
            <w:webHidden/>
          </w:rPr>
          <w:tab/>
        </w:r>
        <w:r w:rsidR="00A5526B">
          <w:rPr>
            <w:noProof/>
            <w:webHidden/>
          </w:rPr>
          <w:fldChar w:fldCharType="begin"/>
        </w:r>
        <w:r w:rsidR="00A5526B">
          <w:rPr>
            <w:noProof/>
            <w:webHidden/>
          </w:rPr>
          <w:instrText xml:space="preserve"> PAGEREF _Toc140403912 \h </w:instrText>
        </w:r>
        <w:r w:rsidR="00A5526B">
          <w:rPr>
            <w:noProof/>
            <w:webHidden/>
          </w:rPr>
        </w:r>
        <w:r w:rsidR="00A5526B">
          <w:rPr>
            <w:noProof/>
            <w:webHidden/>
          </w:rPr>
          <w:fldChar w:fldCharType="separate"/>
        </w:r>
        <w:r w:rsidR="00A5526B">
          <w:rPr>
            <w:noProof/>
            <w:webHidden/>
          </w:rPr>
          <w:t>152</w:t>
        </w:r>
        <w:r w:rsidR="00A5526B">
          <w:rPr>
            <w:noProof/>
            <w:webHidden/>
          </w:rPr>
          <w:fldChar w:fldCharType="end"/>
        </w:r>
      </w:hyperlink>
    </w:p>
    <w:p w14:paraId="31761829" w14:textId="51923BBA" w:rsidR="00A5526B" w:rsidRDefault="00000000">
      <w:pPr>
        <w:pStyle w:val="TableofFigures"/>
        <w:tabs>
          <w:tab w:val="right" w:leader="dot" w:pos="8630"/>
        </w:tabs>
        <w:rPr>
          <w:rFonts w:asciiTheme="minorHAnsi" w:eastAsiaTheme="minorEastAsia" w:hAnsiTheme="minorHAnsi" w:cstheme="minorBidi"/>
          <w:noProof/>
        </w:rPr>
      </w:pPr>
      <w:hyperlink w:anchor="_Toc140403913" w:history="1">
        <w:r w:rsidR="00A5526B" w:rsidRPr="004757F3">
          <w:rPr>
            <w:rStyle w:val="Hyperlink"/>
            <w:rFonts w:cs="Times New Roman"/>
            <w:noProof/>
          </w:rPr>
          <w:t>Figure 47: Electric Consumption.</w:t>
        </w:r>
        <w:r w:rsidR="00A5526B">
          <w:rPr>
            <w:noProof/>
            <w:webHidden/>
          </w:rPr>
          <w:tab/>
        </w:r>
        <w:r w:rsidR="00A5526B">
          <w:rPr>
            <w:noProof/>
            <w:webHidden/>
          </w:rPr>
          <w:fldChar w:fldCharType="begin"/>
        </w:r>
        <w:r w:rsidR="00A5526B">
          <w:rPr>
            <w:noProof/>
            <w:webHidden/>
          </w:rPr>
          <w:instrText xml:space="preserve"> PAGEREF _Toc140403913 \h </w:instrText>
        </w:r>
        <w:r w:rsidR="00A5526B">
          <w:rPr>
            <w:noProof/>
            <w:webHidden/>
          </w:rPr>
        </w:r>
        <w:r w:rsidR="00A5526B">
          <w:rPr>
            <w:noProof/>
            <w:webHidden/>
          </w:rPr>
          <w:fldChar w:fldCharType="separate"/>
        </w:r>
        <w:r w:rsidR="00A5526B">
          <w:rPr>
            <w:noProof/>
            <w:webHidden/>
          </w:rPr>
          <w:t>154</w:t>
        </w:r>
        <w:r w:rsidR="00A5526B">
          <w:rPr>
            <w:noProof/>
            <w:webHidden/>
          </w:rPr>
          <w:fldChar w:fldCharType="end"/>
        </w:r>
      </w:hyperlink>
    </w:p>
    <w:p w14:paraId="1A89A55A" w14:textId="06F5E27A" w:rsidR="00A5526B" w:rsidRDefault="00000000">
      <w:pPr>
        <w:pStyle w:val="TableofFigures"/>
        <w:tabs>
          <w:tab w:val="right" w:leader="dot" w:pos="8630"/>
        </w:tabs>
        <w:rPr>
          <w:rFonts w:asciiTheme="minorHAnsi" w:eastAsiaTheme="minorEastAsia" w:hAnsiTheme="minorHAnsi" w:cstheme="minorBidi"/>
          <w:noProof/>
        </w:rPr>
      </w:pPr>
      <w:hyperlink w:anchor="_Toc140403914" w:history="1">
        <w:r w:rsidR="00A5526B" w:rsidRPr="004757F3">
          <w:rPr>
            <w:rStyle w:val="Hyperlink"/>
            <w:rFonts w:cs="Times New Roman"/>
            <w:noProof/>
          </w:rPr>
          <w:t>Figure 48: Summary of annual results for all three locations.</w:t>
        </w:r>
        <w:r w:rsidR="00A5526B">
          <w:rPr>
            <w:noProof/>
            <w:webHidden/>
          </w:rPr>
          <w:tab/>
        </w:r>
        <w:r w:rsidR="00A5526B">
          <w:rPr>
            <w:noProof/>
            <w:webHidden/>
          </w:rPr>
          <w:fldChar w:fldCharType="begin"/>
        </w:r>
        <w:r w:rsidR="00A5526B">
          <w:rPr>
            <w:noProof/>
            <w:webHidden/>
          </w:rPr>
          <w:instrText xml:space="preserve"> PAGEREF _Toc140403914 \h </w:instrText>
        </w:r>
        <w:r w:rsidR="00A5526B">
          <w:rPr>
            <w:noProof/>
            <w:webHidden/>
          </w:rPr>
        </w:r>
        <w:r w:rsidR="00A5526B">
          <w:rPr>
            <w:noProof/>
            <w:webHidden/>
          </w:rPr>
          <w:fldChar w:fldCharType="separate"/>
        </w:r>
        <w:r w:rsidR="00A5526B">
          <w:rPr>
            <w:noProof/>
            <w:webHidden/>
          </w:rPr>
          <w:t>156</w:t>
        </w:r>
        <w:r w:rsidR="00A5526B">
          <w:rPr>
            <w:noProof/>
            <w:webHidden/>
          </w:rPr>
          <w:fldChar w:fldCharType="end"/>
        </w:r>
      </w:hyperlink>
    </w:p>
    <w:p w14:paraId="2D9939F9" w14:textId="5DA54737" w:rsidR="00A5526B" w:rsidRDefault="00000000">
      <w:pPr>
        <w:pStyle w:val="TableofFigures"/>
        <w:tabs>
          <w:tab w:val="right" w:leader="dot" w:pos="8630"/>
        </w:tabs>
        <w:rPr>
          <w:rFonts w:asciiTheme="minorHAnsi" w:eastAsiaTheme="minorEastAsia" w:hAnsiTheme="minorHAnsi" w:cstheme="minorBidi"/>
          <w:noProof/>
        </w:rPr>
      </w:pPr>
      <w:hyperlink w:anchor="_Toc140403915" w:history="1">
        <w:r w:rsidR="00A5526B" w:rsidRPr="004757F3">
          <w:rPr>
            <w:rStyle w:val="Hyperlink"/>
            <w:rFonts w:cs="Times New Roman"/>
            <w:noProof/>
          </w:rPr>
          <w:t>Figure 49: One representative reference reporting emission reduction by using PCM in various locations and configurations.</w:t>
        </w:r>
        <w:r w:rsidR="00A5526B">
          <w:rPr>
            <w:noProof/>
            <w:webHidden/>
          </w:rPr>
          <w:tab/>
        </w:r>
        <w:r w:rsidR="00A5526B">
          <w:rPr>
            <w:noProof/>
            <w:webHidden/>
          </w:rPr>
          <w:fldChar w:fldCharType="begin"/>
        </w:r>
        <w:r w:rsidR="00A5526B">
          <w:rPr>
            <w:noProof/>
            <w:webHidden/>
          </w:rPr>
          <w:instrText xml:space="preserve"> PAGEREF _Toc140403915 \h </w:instrText>
        </w:r>
        <w:r w:rsidR="00A5526B">
          <w:rPr>
            <w:noProof/>
            <w:webHidden/>
          </w:rPr>
        </w:r>
        <w:r w:rsidR="00A5526B">
          <w:rPr>
            <w:noProof/>
            <w:webHidden/>
          </w:rPr>
          <w:fldChar w:fldCharType="separate"/>
        </w:r>
        <w:r w:rsidR="00A5526B">
          <w:rPr>
            <w:noProof/>
            <w:webHidden/>
          </w:rPr>
          <w:t>165</w:t>
        </w:r>
        <w:r w:rsidR="00A5526B">
          <w:rPr>
            <w:noProof/>
            <w:webHidden/>
          </w:rPr>
          <w:fldChar w:fldCharType="end"/>
        </w:r>
      </w:hyperlink>
    </w:p>
    <w:p w14:paraId="6A51DBD9" w14:textId="56AA5E93" w:rsidR="00A5526B" w:rsidRDefault="00000000">
      <w:pPr>
        <w:pStyle w:val="TableofFigures"/>
        <w:tabs>
          <w:tab w:val="right" w:leader="dot" w:pos="8630"/>
        </w:tabs>
        <w:rPr>
          <w:rFonts w:asciiTheme="minorHAnsi" w:eastAsiaTheme="minorEastAsia" w:hAnsiTheme="minorHAnsi" w:cstheme="minorBidi"/>
          <w:noProof/>
        </w:rPr>
      </w:pPr>
      <w:hyperlink w:anchor="_Toc140403916" w:history="1">
        <w:r w:rsidR="00A5526B" w:rsidRPr="004757F3">
          <w:rPr>
            <w:rStyle w:val="Hyperlink"/>
            <w:rFonts w:cs="Times New Roman"/>
            <w:noProof/>
          </w:rPr>
          <w:t>Figure 50: HP-TES configuration in cooling mode (A. TES Discharging B. TES Charging)</w:t>
        </w:r>
        <w:r w:rsidR="00A5526B">
          <w:rPr>
            <w:noProof/>
            <w:webHidden/>
          </w:rPr>
          <w:tab/>
        </w:r>
        <w:r w:rsidR="00A5526B">
          <w:rPr>
            <w:noProof/>
            <w:webHidden/>
          </w:rPr>
          <w:fldChar w:fldCharType="begin"/>
        </w:r>
        <w:r w:rsidR="00A5526B">
          <w:rPr>
            <w:noProof/>
            <w:webHidden/>
          </w:rPr>
          <w:instrText xml:space="preserve"> PAGEREF _Toc140403916 \h </w:instrText>
        </w:r>
        <w:r w:rsidR="00A5526B">
          <w:rPr>
            <w:noProof/>
            <w:webHidden/>
          </w:rPr>
        </w:r>
        <w:r w:rsidR="00A5526B">
          <w:rPr>
            <w:noProof/>
            <w:webHidden/>
          </w:rPr>
          <w:fldChar w:fldCharType="separate"/>
        </w:r>
        <w:r w:rsidR="00A5526B">
          <w:rPr>
            <w:noProof/>
            <w:webHidden/>
          </w:rPr>
          <w:t>169</w:t>
        </w:r>
        <w:r w:rsidR="00A5526B">
          <w:rPr>
            <w:noProof/>
            <w:webHidden/>
          </w:rPr>
          <w:fldChar w:fldCharType="end"/>
        </w:r>
      </w:hyperlink>
    </w:p>
    <w:p w14:paraId="616BFE3A" w14:textId="36A09196" w:rsidR="00A5526B" w:rsidRDefault="00000000">
      <w:pPr>
        <w:pStyle w:val="TableofFigures"/>
        <w:tabs>
          <w:tab w:val="right" w:leader="dot" w:pos="8630"/>
        </w:tabs>
        <w:rPr>
          <w:rFonts w:asciiTheme="minorHAnsi" w:eastAsiaTheme="minorEastAsia" w:hAnsiTheme="minorHAnsi" w:cstheme="minorBidi"/>
          <w:noProof/>
        </w:rPr>
      </w:pPr>
      <w:hyperlink w:anchor="_Toc140403917" w:history="1">
        <w:r w:rsidR="00A5526B" w:rsidRPr="004757F3">
          <w:rPr>
            <w:rStyle w:val="Hyperlink"/>
            <w:rFonts w:cs="Times New Roman"/>
            <w:noProof/>
          </w:rPr>
          <w:t>Figure 51: Operating modes in cooling.</w:t>
        </w:r>
        <w:r w:rsidR="00A5526B">
          <w:rPr>
            <w:noProof/>
            <w:webHidden/>
          </w:rPr>
          <w:tab/>
        </w:r>
        <w:r w:rsidR="00A5526B">
          <w:rPr>
            <w:noProof/>
            <w:webHidden/>
          </w:rPr>
          <w:fldChar w:fldCharType="begin"/>
        </w:r>
        <w:r w:rsidR="00A5526B">
          <w:rPr>
            <w:noProof/>
            <w:webHidden/>
          </w:rPr>
          <w:instrText xml:space="preserve"> PAGEREF _Toc140403917 \h </w:instrText>
        </w:r>
        <w:r w:rsidR="00A5526B">
          <w:rPr>
            <w:noProof/>
            <w:webHidden/>
          </w:rPr>
        </w:r>
        <w:r w:rsidR="00A5526B">
          <w:rPr>
            <w:noProof/>
            <w:webHidden/>
          </w:rPr>
          <w:fldChar w:fldCharType="separate"/>
        </w:r>
        <w:r w:rsidR="00A5526B">
          <w:rPr>
            <w:noProof/>
            <w:webHidden/>
          </w:rPr>
          <w:t>171</w:t>
        </w:r>
        <w:r w:rsidR="00A5526B">
          <w:rPr>
            <w:noProof/>
            <w:webHidden/>
          </w:rPr>
          <w:fldChar w:fldCharType="end"/>
        </w:r>
      </w:hyperlink>
    </w:p>
    <w:p w14:paraId="0704F494" w14:textId="4E33E7A2" w:rsidR="00A5526B" w:rsidRDefault="00000000">
      <w:pPr>
        <w:pStyle w:val="TableofFigures"/>
        <w:tabs>
          <w:tab w:val="right" w:leader="dot" w:pos="8630"/>
        </w:tabs>
        <w:rPr>
          <w:rFonts w:asciiTheme="minorHAnsi" w:eastAsiaTheme="minorEastAsia" w:hAnsiTheme="minorHAnsi" w:cstheme="minorBidi"/>
          <w:noProof/>
        </w:rPr>
      </w:pPr>
      <w:hyperlink w:anchor="_Toc140403918" w:history="1">
        <w:r w:rsidR="00A5526B" w:rsidRPr="004757F3">
          <w:rPr>
            <w:rStyle w:val="Hyperlink"/>
            <w:rFonts w:cs="Times New Roman"/>
            <w:noProof/>
          </w:rPr>
          <w:t>Figure 52: Controls decision tree used in this work.</w:t>
        </w:r>
        <w:r w:rsidR="00A5526B">
          <w:rPr>
            <w:noProof/>
            <w:webHidden/>
          </w:rPr>
          <w:tab/>
        </w:r>
        <w:r w:rsidR="00A5526B">
          <w:rPr>
            <w:noProof/>
            <w:webHidden/>
          </w:rPr>
          <w:fldChar w:fldCharType="begin"/>
        </w:r>
        <w:r w:rsidR="00A5526B">
          <w:rPr>
            <w:noProof/>
            <w:webHidden/>
          </w:rPr>
          <w:instrText xml:space="preserve"> PAGEREF _Toc140403918 \h </w:instrText>
        </w:r>
        <w:r w:rsidR="00A5526B">
          <w:rPr>
            <w:noProof/>
            <w:webHidden/>
          </w:rPr>
        </w:r>
        <w:r w:rsidR="00A5526B">
          <w:rPr>
            <w:noProof/>
            <w:webHidden/>
          </w:rPr>
          <w:fldChar w:fldCharType="separate"/>
        </w:r>
        <w:r w:rsidR="00A5526B">
          <w:rPr>
            <w:noProof/>
            <w:webHidden/>
          </w:rPr>
          <w:t>173</w:t>
        </w:r>
        <w:r w:rsidR="00A5526B">
          <w:rPr>
            <w:noProof/>
            <w:webHidden/>
          </w:rPr>
          <w:fldChar w:fldCharType="end"/>
        </w:r>
      </w:hyperlink>
    </w:p>
    <w:p w14:paraId="64278EC1" w14:textId="273168F7" w:rsidR="00A5526B" w:rsidRDefault="00000000">
      <w:pPr>
        <w:pStyle w:val="TableofFigures"/>
        <w:tabs>
          <w:tab w:val="right" w:leader="dot" w:pos="8630"/>
        </w:tabs>
        <w:rPr>
          <w:rFonts w:asciiTheme="minorHAnsi" w:eastAsiaTheme="minorEastAsia" w:hAnsiTheme="minorHAnsi" w:cstheme="minorBidi"/>
          <w:noProof/>
        </w:rPr>
      </w:pPr>
      <w:hyperlink w:anchor="_Toc140403919" w:history="1">
        <w:r w:rsidR="00A5526B" w:rsidRPr="004757F3">
          <w:rPr>
            <w:rStyle w:val="Hyperlink"/>
            <w:rFonts w:cs="Times New Roman"/>
            <w:noProof/>
          </w:rPr>
          <w:t>Figure 53: Information Flow Diagram</w:t>
        </w:r>
        <w:r w:rsidR="00A5526B">
          <w:rPr>
            <w:noProof/>
            <w:webHidden/>
          </w:rPr>
          <w:tab/>
        </w:r>
        <w:r w:rsidR="00A5526B">
          <w:rPr>
            <w:noProof/>
            <w:webHidden/>
          </w:rPr>
          <w:fldChar w:fldCharType="begin"/>
        </w:r>
        <w:r w:rsidR="00A5526B">
          <w:rPr>
            <w:noProof/>
            <w:webHidden/>
          </w:rPr>
          <w:instrText xml:space="preserve"> PAGEREF _Toc140403919 \h </w:instrText>
        </w:r>
        <w:r w:rsidR="00A5526B">
          <w:rPr>
            <w:noProof/>
            <w:webHidden/>
          </w:rPr>
        </w:r>
        <w:r w:rsidR="00A5526B">
          <w:rPr>
            <w:noProof/>
            <w:webHidden/>
          </w:rPr>
          <w:fldChar w:fldCharType="separate"/>
        </w:r>
        <w:r w:rsidR="00A5526B">
          <w:rPr>
            <w:noProof/>
            <w:webHidden/>
          </w:rPr>
          <w:t>175</w:t>
        </w:r>
        <w:r w:rsidR="00A5526B">
          <w:rPr>
            <w:noProof/>
            <w:webHidden/>
          </w:rPr>
          <w:fldChar w:fldCharType="end"/>
        </w:r>
      </w:hyperlink>
    </w:p>
    <w:p w14:paraId="5C9C7CC5" w14:textId="4218AF00" w:rsidR="00A5526B" w:rsidRDefault="00000000">
      <w:pPr>
        <w:pStyle w:val="TableofFigures"/>
        <w:tabs>
          <w:tab w:val="right" w:leader="dot" w:pos="8630"/>
        </w:tabs>
        <w:rPr>
          <w:rFonts w:asciiTheme="minorHAnsi" w:eastAsiaTheme="minorEastAsia" w:hAnsiTheme="minorHAnsi" w:cstheme="minorBidi"/>
          <w:noProof/>
        </w:rPr>
      </w:pPr>
      <w:hyperlink w:anchor="_Toc140403920" w:history="1">
        <w:r w:rsidR="00A5526B" w:rsidRPr="004757F3">
          <w:rPr>
            <w:rStyle w:val="Hyperlink"/>
            <w:rFonts w:cs="Times New Roman"/>
            <w:noProof/>
          </w:rPr>
          <w:t>Figure 54: Ambient Temperature and Utility data for cooling day</w:t>
        </w:r>
        <w:r w:rsidR="00A5526B">
          <w:rPr>
            <w:noProof/>
            <w:webHidden/>
          </w:rPr>
          <w:tab/>
        </w:r>
        <w:r w:rsidR="00A5526B">
          <w:rPr>
            <w:noProof/>
            <w:webHidden/>
          </w:rPr>
          <w:fldChar w:fldCharType="begin"/>
        </w:r>
        <w:r w:rsidR="00A5526B">
          <w:rPr>
            <w:noProof/>
            <w:webHidden/>
          </w:rPr>
          <w:instrText xml:space="preserve"> PAGEREF _Toc140403920 \h </w:instrText>
        </w:r>
        <w:r w:rsidR="00A5526B">
          <w:rPr>
            <w:noProof/>
            <w:webHidden/>
          </w:rPr>
        </w:r>
        <w:r w:rsidR="00A5526B">
          <w:rPr>
            <w:noProof/>
            <w:webHidden/>
          </w:rPr>
          <w:fldChar w:fldCharType="separate"/>
        </w:r>
        <w:r w:rsidR="00A5526B">
          <w:rPr>
            <w:noProof/>
            <w:webHidden/>
          </w:rPr>
          <w:t>176</w:t>
        </w:r>
        <w:r w:rsidR="00A5526B">
          <w:rPr>
            <w:noProof/>
            <w:webHidden/>
          </w:rPr>
          <w:fldChar w:fldCharType="end"/>
        </w:r>
      </w:hyperlink>
    </w:p>
    <w:p w14:paraId="7A6B78AA" w14:textId="7B51EA1F" w:rsidR="00A5526B" w:rsidRDefault="00000000">
      <w:pPr>
        <w:pStyle w:val="TableofFigures"/>
        <w:tabs>
          <w:tab w:val="right" w:leader="dot" w:pos="8630"/>
        </w:tabs>
        <w:rPr>
          <w:rFonts w:asciiTheme="minorHAnsi" w:eastAsiaTheme="minorEastAsia" w:hAnsiTheme="minorHAnsi" w:cstheme="minorBidi"/>
          <w:noProof/>
        </w:rPr>
      </w:pPr>
      <w:hyperlink w:anchor="_Toc140403921" w:history="1">
        <w:r w:rsidR="00A5526B" w:rsidRPr="004757F3">
          <w:rPr>
            <w:rStyle w:val="Hyperlink"/>
            <w:rFonts w:cs="Times New Roman"/>
            <w:noProof/>
          </w:rPr>
          <w:t>Figure 55: Fresno annual grid emissions during 2022</w:t>
        </w:r>
        <w:r w:rsidR="00A5526B">
          <w:rPr>
            <w:noProof/>
            <w:webHidden/>
          </w:rPr>
          <w:tab/>
        </w:r>
        <w:r w:rsidR="00A5526B">
          <w:rPr>
            <w:noProof/>
            <w:webHidden/>
          </w:rPr>
          <w:fldChar w:fldCharType="begin"/>
        </w:r>
        <w:r w:rsidR="00A5526B">
          <w:rPr>
            <w:noProof/>
            <w:webHidden/>
          </w:rPr>
          <w:instrText xml:space="preserve"> PAGEREF _Toc140403921 \h </w:instrText>
        </w:r>
        <w:r w:rsidR="00A5526B">
          <w:rPr>
            <w:noProof/>
            <w:webHidden/>
          </w:rPr>
        </w:r>
        <w:r w:rsidR="00A5526B">
          <w:rPr>
            <w:noProof/>
            <w:webHidden/>
          </w:rPr>
          <w:fldChar w:fldCharType="separate"/>
        </w:r>
        <w:r w:rsidR="00A5526B">
          <w:rPr>
            <w:noProof/>
            <w:webHidden/>
          </w:rPr>
          <w:t>180</w:t>
        </w:r>
        <w:r w:rsidR="00A5526B">
          <w:rPr>
            <w:noProof/>
            <w:webHidden/>
          </w:rPr>
          <w:fldChar w:fldCharType="end"/>
        </w:r>
      </w:hyperlink>
    </w:p>
    <w:p w14:paraId="08010F91" w14:textId="70B5E266" w:rsidR="00A5526B" w:rsidRDefault="00000000">
      <w:pPr>
        <w:pStyle w:val="TableofFigures"/>
        <w:tabs>
          <w:tab w:val="right" w:leader="dot" w:pos="8630"/>
        </w:tabs>
        <w:rPr>
          <w:rFonts w:asciiTheme="minorHAnsi" w:eastAsiaTheme="minorEastAsia" w:hAnsiTheme="minorHAnsi" w:cstheme="minorBidi"/>
          <w:noProof/>
        </w:rPr>
      </w:pPr>
      <w:hyperlink w:anchor="_Toc140403922" w:history="1">
        <w:r w:rsidR="00A5526B" w:rsidRPr="004757F3">
          <w:rPr>
            <w:rStyle w:val="Hyperlink"/>
            <w:rFonts w:cs="Times New Roman"/>
            <w:noProof/>
          </w:rPr>
          <w:t>Figure 56: Emissions reduced using TES</w:t>
        </w:r>
        <w:r w:rsidR="00A5526B">
          <w:rPr>
            <w:noProof/>
            <w:webHidden/>
          </w:rPr>
          <w:tab/>
        </w:r>
        <w:r w:rsidR="00A5526B">
          <w:rPr>
            <w:noProof/>
            <w:webHidden/>
          </w:rPr>
          <w:fldChar w:fldCharType="begin"/>
        </w:r>
        <w:r w:rsidR="00A5526B">
          <w:rPr>
            <w:noProof/>
            <w:webHidden/>
          </w:rPr>
          <w:instrText xml:space="preserve"> PAGEREF _Toc140403922 \h </w:instrText>
        </w:r>
        <w:r w:rsidR="00A5526B">
          <w:rPr>
            <w:noProof/>
            <w:webHidden/>
          </w:rPr>
        </w:r>
        <w:r w:rsidR="00A5526B">
          <w:rPr>
            <w:noProof/>
            <w:webHidden/>
          </w:rPr>
          <w:fldChar w:fldCharType="separate"/>
        </w:r>
        <w:r w:rsidR="00A5526B">
          <w:rPr>
            <w:noProof/>
            <w:webHidden/>
          </w:rPr>
          <w:t>181</w:t>
        </w:r>
        <w:r w:rsidR="00A5526B">
          <w:rPr>
            <w:noProof/>
            <w:webHidden/>
          </w:rPr>
          <w:fldChar w:fldCharType="end"/>
        </w:r>
      </w:hyperlink>
    </w:p>
    <w:p w14:paraId="2BBEE041" w14:textId="6430079F" w:rsidR="00A5526B" w:rsidRDefault="00000000">
      <w:pPr>
        <w:pStyle w:val="TableofFigures"/>
        <w:tabs>
          <w:tab w:val="right" w:leader="dot" w:pos="8630"/>
        </w:tabs>
        <w:rPr>
          <w:rFonts w:asciiTheme="minorHAnsi" w:eastAsiaTheme="minorEastAsia" w:hAnsiTheme="minorHAnsi" w:cstheme="minorBidi"/>
          <w:noProof/>
        </w:rPr>
      </w:pPr>
      <w:hyperlink w:anchor="_Toc140403923" w:history="1">
        <w:r w:rsidR="00A5526B" w:rsidRPr="004757F3">
          <w:rPr>
            <w:rStyle w:val="Hyperlink"/>
            <w:rFonts w:cs="Times New Roman"/>
            <w:noProof/>
          </w:rPr>
          <w:t>Figure 57: Electric Consumption with and without TES.</w:t>
        </w:r>
        <w:r w:rsidR="00A5526B">
          <w:rPr>
            <w:noProof/>
            <w:webHidden/>
          </w:rPr>
          <w:tab/>
        </w:r>
        <w:r w:rsidR="00A5526B">
          <w:rPr>
            <w:noProof/>
            <w:webHidden/>
          </w:rPr>
          <w:fldChar w:fldCharType="begin"/>
        </w:r>
        <w:r w:rsidR="00A5526B">
          <w:rPr>
            <w:noProof/>
            <w:webHidden/>
          </w:rPr>
          <w:instrText xml:space="preserve"> PAGEREF _Toc140403923 \h </w:instrText>
        </w:r>
        <w:r w:rsidR="00A5526B">
          <w:rPr>
            <w:noProof/>
            <w:webHidden/>
          </w:rPr>
        </w:r>
        <w:r w:rsidR="00A5526B">
          <w:rPr>
            <w:noProof/>
            <w:webHidden/>
          </w:rPr>
          <w:fldChar w:fldCharType="separate"/>
        </w:r>
        <w:r w:rsidR="00A5526B">
          <w:rPr>
            <w:noProof/>
            <w:webHidden/>
          </w:rPr>
          <w:t>181</w:t>
        </w:r>
        <w:r w:rsidR="00A5526B">
          <w:rPr>
            <w:noProof/>
            <w:webHidden/>
          </w:rPr>
          <w:fldChar w:fldCharType="end"/>
        </w:r>
      </w:hyperlink>
    </w:p>
    <w:p w14:paraId="54ADE864" w14:textId="7E781D14" w:rsidR="00A5526B" w:rsidRDefault="00000000">
      <w:pPr>
        <w:pStyle w:val="TableofFigures"/>
        <w:tabs>
          <w:tab w:val="right" w:leader="dot" w:pos="8630"/>
        </w:tabs>
        <w:rPr>
          <w:rFonts w:asciiTheme="minorHAnsi" w:eastAsiaTheme="minorEastAsia" w:hAnsiTheme="minorHAnsi" w:cstheme="minorBidi"/>
          <w:noProof/>
        </w:rPr>
      </w:pPr>
      <w:hyperlink w:anchor="_Toc140403924" w:history="1">
        <w:r w:rsidR="00A5526B" w:rsidRPr="004757F3">
          <w:rPr>
            <w:rStyle w:val="Hyperlink"/>
            <w:noProof/>
          </w:rPr>
          <w:t>Figure 58: Utility Cost reduced using TES.ConclusIONS</w:t>
        </w:r>
        <w:r w:rsidR="00A5526B">
          <w:rPr>
            <w:noProof/>
            <w:webHidden/>
          </w:rPr>
          <w:tab/>
        </w:r>
        <w:r w:rsidR="00A5526B">
          <w:rPr>
            <w:noProof/>
            <w:webHidden/>
          </w:rPr>
          <w:fldChar w:fldCharType="begin"/>
        </w:r>
        <w:r w:rsidR="00A5526B">
          <w:rPr>
            <w:noProof/>
            <w:webHidden/>
          </w:rPr>
          <w:instrText xml:space="preserve"> PAGEREF _Toc140403924 \h </w:instrText>
        </w:r>
        <w:r w:rsidR="00A5526B">
          <w:rPr>
            <w:noProof/>
            <w:webHidden/>
          </w:rPr>
        </w:r>
        <w:r w:rsidR="00A5526B">
          <w:rPr>
            <w:noProof/>
            <w:webHidden/>
          </w:rPr>
          <w:fldChar w:fldCharType="separate"/>
        </w:r>
        <w:r w:rsidR="00A5526B">
          <w:rPr>
            <w:noProof/>
            <w:webHidden/>
          </w:rPr>
          <w:t>183</w:t>
        </w:r>
        <w:r w:rsidR="00A5526B">
          <w:rPr>
            <w:noProof/>
            <w:webHidden/>
          </w:rPr>
          <w:fldChar w:fldCharType="end"/>
        </w:r>
      </w:hyperlink>
    </w:p>
    <w:p w14:paraId="2EB928CF" w14:textId="1548B833" w:rsidR="00A5526B" w:rsidRDefault="00000000">
      <w:pPr>
        <w:pStyle w:val="TableofFigures"/>
        <w:tabs>
          <w:tab w:val="right" w:leader="dot" w:pos="8630"/>
        </w:tabs>
        <w:rPr>
          <w:rFonts w:asciiTheme="minorHAnsi" w:eastAsiaTheme="minorEastAsia" w:hAnsiTheme="minorHAnsi" w:cstheme="minorBidi"/>
          <w:noProof/>
        </w:rPr>
      </w:pPr>
      <w:hyperlink w:anchor="_Toc140403925" w:history="1">
        <w:r w:rsidR="00A5526B" w:rsidRPr="004757F3">
          <w:rPr>
            <w:rStyle w:val="Hyperlink"/>
            <w:noProof/>
          </w:rPr>
          <w:t>Figure 59: Simplified information flow</w:t>
        </w:r>
        <w:r w:rsidR="00A5526B">
          <w:rPr>
            <w:noProof/>
            <w:webHidden/>
          </w:rPr>
          <w:tab/>
        </w:r>
        <w:r w:rsidR="00A5526B">
          <w:rPr>
            <w:noProof/>
            <w:webHidden/>
          </w:rPr>
          <w:fldChar w:fldCharType="begin"/>
        </w:r>
        <w:r w:rsidR="00A5526B">
          <w:rPr>
            <w:noProof/>
            <w:webHidden/>
          </w:rPr>
          <w:instrText xml:space="preserve"> PAGEREF _Toc140403925 \h </w:instrText>
        </w:r>
        <w:r w:rsidR="00A5526B">
          <w:rPr>
            <w:noProof/>
            <w:webHidden/>
          </w:rPr>
        </w:r>
        <w:r w:rsidR="00A5526B">
          <w:rPr>
            <w:noProof/>
            <w:webHidden/>
          </w:rPr>
          <w:fldChar w:fldCharType="separate"/>
        </w:r>
        <w:r w:rsidR="00A5526B">
          <w:rPr>
            <w:noProof/>
            <w:webHidden/>
          </w:rPr>
          <w:t>186</w:t>
        </w:r>
        <w:r w:rsidR="00A5526B">
          <w:rPr>
            <w:noProof/>
            <w:webHidden/>
          </w:rPr>
          <w:fldChar w:fldCharType="end"/>
        </w:r>
      </w:hyperlink>
    </w:p>
    <w:p w14:paraId="105F56EF" w14:textId="09FF943B" w:rsidR="00A5526B" w:rsidRDefault="00000000">
      <w:pPr>
        <w:pStyle w:val="TableofFigures"/>
        <w:tabs>
          <w:tab w:val="right" w:leader="dot" w:pos="8630"/>
        </w:tabs>
        <w:rPr>
          <w:rFonts w:asciiTheme="minorHAnsi" w:eastAsiaTheme="minorEastAsia" w:hAnsiTheme="minorHAnsi" w:cstheme="minorBidi"/>
          <w:noProof/>
        </w:rPr>
      </w:pPr>
      <w:hyperlink w:anchor="_Toc140403926" w:history="1">
        <w:r w:rsidR="00A5526B" w:rsidRPr="004757F3">
          <w:rPr>
            <w:rStyle w:val="Hyperlink"/>
            <w:noProof/>
          </w:rPr>
          <w:t>Figure 60: MATLAB Model flow</w:t>
        </w:r>
        <w:r w:rsidR="00A5526B">
          <w:rPr>
            <w:noProof/>
            <w:webHidden/>
          </w:rPr>
          <w:tab/>
        </w:r>
        <w:r w:rsidR="00A5526B">
          <w:rPr>
            <w:noProof/>
            <w:webHidden/>
          </w:rPr>
          <w:fldChar w:fldCharType="begin"/>
        </w:r>
        <w:r w:rsidR="00A5526B">
          <w:rPr>
            <w:noProof/>
            <w:webHidden/>
          </w:rPr>
          <w:instrText xml:space="preserve"> PAGEREF _Toc140403926 \h </w:instrText>
        </w:r>
        <w:r w:rsidR="00A5526B">
          <w:rPr>
            <w:noProof/>
            <w:webHidden/>
          </w:rPr>
        </w:r>
        <w:r w:rsidR="00A5526B">
          <w:rPr>
            <w:noProof/>
            <w:webHidden/>
          </w:rPr>
          <w:fldChar w:fldCharType="separate"/>
        </w:r>
        <w:r w:rsidR="00A5526B">
          <w:rPr>
            <w:noProof/>
            <w:webHidden/>
          </w:rPr>
          <w:t>187</w:t>
        </w:r>
        <w:r w:rsidR="00A5526B">
          <w:rPr>
            <w:noProof/>
            <w:webHidden/>
          </w:rPr>
          <w:fldChar w:fldCharType="end"/>
        </w:r>
      </w:hyperlink>
    </w:p>
    <w:p w14:paraId="3496B81C" w14:textId="07D4A196" w:rsidR="00A5526B" w:rsidRDefault="00000000">
      <w:pPr>
        <w:pStyle w:val="TableofFigures"/>
        <w:tabs>
          <w:tab w:val="right" w:leader="dot" w:pos="8630"/>
        </w:tabs>
        <w:rPr>
          <w:rFonts w:asciiTheme="minorHAnsi" w:eastAsiaTheme="minorEastAsia" w:hAnsiTheme="minorHAnsi" w:cstheme="minorBidi"/>
          <w:noProof/>
        </w:rPr>
      </w:pPr>
      <w:hyperlink w:anchor="_Toc140403927" w:history="1">
        <w:r w:rsidR="00A5526B" w:rsidRPr="004757F3">
          <w:rPr>
            <w:rStyle w:val="Hyperlink"/>
            <w:noProof/>
          </w:rPr>
          <w:t>Figure 61: Indoor temperature setpoints.</w:t>
        </w:r>
        <w:r w:rsidR="00A5526B">
          <w:rPr>
            <w:noProof/>
            <w:webHidden/>
          </w:rPr>
          <w:tab/>
        </w:r>
        <w:r w:rsidR="00A5526B">
          <w:rPr>
            <w:noProof/>
            <w:webHidden/>
          </w:rPr>
          <w:fldChar w:fldCharType="begin"/>
        </w:r>
        <w:r w:rsidR="00A5526B">
          <w:rPr>
            <w:noProof/>
            <w:webHidden/>
          </w:rPr>
          <w:instrText xml:space="preserve"> PAGEREF _Toc140403927 \h </w:instrText>
        </w:r>
        <w:r w:rsidR="00A5526B">
          <w:rPr>
            <w:noProof/>
            <w:webHidden/>
          </w:rPr>
        </w:r>
        <w:r w:rsidR="00A5526B">
          <w:rPr>
            <w:noProof/>
            <w:webHidden/>
          </w:rPr>
          <w:fldChar w:fldCharType="separate"/>
        </w:r>
        <w:r w:rsidR="00A5526B">
          <w:rPr>
            <w:noProof/>
            <w:webHidden/>
          </w:rPr>
          <w:t>190</w:t>
        </w:r>
        <w:r w:rsidR="00A5526B">
          <w:rPr>
            <w:noProof/>
            <w:webHidden/>
          </w:rPr>
          <w:fldChar w:fldCharType="end"/>
        </w:r>
      </w:hyperlink>
    </w:p>
    <w:p w14:paraId="1521E73C" w14:textId="61184A5E" w:rsidR="00A5526B" w:rsidRDefault="00000000">
      <w:pPr>
        <w:pStyle w:val="TableofFigures"/>
        <w:tabs>
          <w:tab w:val="right" w:leader="dot" w:pos="8630"/>
        </w:tabs>
        <w:rPr>
          <w:rFonts w:asciiTheme="minorHAnsi" w:eastAsiaTheme="minorEastAsia" w:hAnsiTheme="minorHAnsi" w:cstheme="minorBidi"/>
          <w:noProof/>
        </w:rPr>
      </w:pPr>
      <w:hyperlink w:anchor="_Toc140403928" w:history="1">
        <w:r w:rsidR="00A5526B" w:rsidRPr="004757F3">
          <w:rPr>
            <w:rStyle w:val="Hyperlink"/>
            <w:noProof/>
          </w:rPr>
          <w:t>Figure 62: Models integration for HP-TES in MATLAB.</w:t>
        </w:r>
        <w:r w:rsidR="00A5526B">
          <w:rPr>
            <w:noProof/>
            <w:webHidden/>
          </w:rPr>
          <w:tab/>
        </w:r>
        <w:r w:rsidR="00A5526B">
          <w:rPr>
            <w:noProof/>
            <w:webHidden/>
          </w:rPr>
          <w:fldChar w:fldCharType="begin"/>
        </w:r>
        <w:r w:rsidR="00A5526B">
          <w:rPr>
            <w:noProof/>
            <w:webHidden/>
          </w:rPr>
          <w:instrText xml:space="preserve"> PAGEREF _Toc140403928 \h </w:instrText>
        </w:r>
        <w:r w:rsidR="00A5526B">
          <w:rPr>
            <w:noProof/>
            <w:webHidden/>
          </w:rPr>
        </w:r>
        <w:r w:rsidR="00A5526B">
          <w:rPr>
            <w:noProof/>
            <w:webHidden/>
          </w:rPr>
          <w:fldChar w:fldCharType="separate"/>
        </w:r>
        <w:r w:rsidR="00A5526B">
          <w:rPr>
            <w:noProof/>
            <w:webHidden/>
          </w:rPr>
          <w:t>190</w:t>
        </w:r>
        <w:r w:rsidR="00A5526B">
          <w:rPr>
            <w:noProof/>
            <w:webHidden/>
          </w:rPr>
          <w:fldChar w:fldCharType="end"/>
        </w:r>
      </w:hyperlink>
    </w:p>
    <w:p w14:paraId="50B0B333" w14:textId="375EB0CF" w:rsidR="00A5526B" w:rsidRDefault="00000000">
      <w:pPr>
        <w:pStyle w:val="TableofFigures"/>
        <w:tabs>
          <w:tab w:val="right" w:leader="dot" w:pos="8630"/>
        </w:tabs>
        <w:rPr>
          <w:rFonts w:asciiTheme="minorHAnsi" w:eastAsiaTheme="minorEastAsia" w:hAnsiTheme="minorHAnsi" w:cstheme="minorBidi"/>
          <w:noProof/>
        </w:rPr>
      </w:pPr>
      <w:hyperlink w:anchor="_Toc140403929" w:history="1">
        <w:r w:rsidR="00A5526B" w:rsidRPr="004757F3">
          <w:rPr>
            <w:rStyle w:val="Hyperlink"/>
            <w:noProof/>
          </w:rPr>
          <w:t>Figure 63: HP-TES cooling operating modes.</w:t>
        </w:r>
        <w:r w:rsidR="00A5526B">
          <w:rPr>
            <w:noProof/>
            <w:webHidden/>
          </w:rPr>
          <w:tab/>
        </w:r>
        <w:r w:rsidR="00A5526B">
          <w:rPr>
            <w:noProof/>
            <w:webHidden/>
          </w:rPr>
          <w:fldChar w:fldCharType="begin"/>
        </w:r>
        <w:r w:rsidR="00A5526B">
          <w:rPr>
            <w:noProof/>
            <w:webHidden/>
          </w:rPr>
          <w:instrText xml:space="preserve"> PAGEREF _Toc140403929 \h </w:instrText>
        </w:r>
        <w:r w:rsidR="00A5526B">
          <w:rPr>
            <w:noProof/>
            <w:webHidden/>
          </w:rPr>
        </w:r>
        <w:r w:rsidR="00A5526B">
          <w:rPr>
            <w:noProof/>
            <w:webHidden/>
          </w:rPr>
          <w:fldChar w:fldCharType="separate"/>
        </w:r>
        <w:r w:rsidR="00A5526B">
          <w:rPr>
            <w:noProof/>
            <w:webHidden/>
          </w:rPr>
          <w:t>193</w:t>
        </w:r>
        <w:r w:rsidR="00A5526B">
          <w:rPr>
            <w:noProof/>
            <w:webHidden/>
          </w:rPr>
          <w:fldChar w:fldCharType="end"/>
        </w:r>
      </w:hyperlink>
    </w:p>
    <w:p w14:paraId="25D79388" w14:textId="2C463916" w:rsidR="00A5526B" w:rsidRDefault="00000000">
      <w:pPr>
        <w:pStyle w:val="TableofFigures"/>
        <w:tabs>
          <w:tab w:val="right" w:leader="dot" w:pos="8630"/>
        </w:tabs>
        <w:rPr>
          <w:rFonts w:asciiTheme="minorHAnsi" w:eastAsiaTheme="minorEastAsia" w:hAnsiTheme="minorHAnsi" w:cstheme="minorBidi"/>
          <w:noProof/>
        </w:rPr>
      </w:pPr>
      <w:hyperlink w:anchor="_Toc140403930" w:history="1">
        <w:r w:rsidR="00A5526B" w:rsidRPr="004757F3">
          <w:rPr>
            <w:rStyle w:val="Hyperlink"/>
            <w:noProof/>
          </w:rPr>
          <w:t>Figure 64: HP-TES heating operating modes.</w:t>
        </w:r>
        <w:r w:rsidR="00A5526B">
          <w:rPr>
            <w:noProof/>
            <w:webHidden/>
          </w:rPr>
          <w:tab/>
        </w:r>
        <w:r w:rsidR="00A5526B">
          <w:rPr>
            <w:noProof/>
            <w:webHidden/>
          </w:rPr>
          <w:fldChar w:fldCharType="begin"/>
        </w:r>
        <w:r w:rsidR="00A5526B">
          <w:rPr>
            <w:noProof/>
            <w:webHidden/>
          </w:rPr>
          <w:instrText xml:space="preserve"> PAGEREF _Toc140403930 \h </w:instrText>
        </w:r>
        <w:r w:rsidR="00A5526B">
          <w:rPr>
            <w:noProof/>
            <w:webHidden/>
          </w:rPr>
        </w:r>
        <w:r w:rsidR="00A5526B">
          <w:rPr>
            <w:noProof/>
            <w:webHidden/>
          </w:rPr>
          <w:fldChar w:fldCharType="separate"/>
        </w:r>
        <w:r w:rsidR="00A5526B">
          <w:rPr>
            <w:noProof/>
            <w:webHidden/>
          </w:rPr>
          <w:t>193</w:t>
        </w:r>
        <w:r w:rsidR="00A5526B">
          <w:rPr>
            <w:noProof/>
            <w:webHidden/>
          </w:rPr>
          <w:fldChar w:fldCharType="end"/>
        </w:r>
      </w:hyperlink>
    </w:p>
    <w:p w14:paraId="5A438060" w14:textId="4B3D2AD9" w:rsidR="00A5526B" w:rsidRDefault="00000000">
      <w:pPr>
        <w:pStyle w:val="TableofFigures"/>
        <w:tabs>
          <w:tab w:val="right" w:leader="dot" w:pos="8630"/>
        </w:tabs>
        <w:rPr>
          <w:rFonts w:asciiTheme="minorHAnsi" w:eastAsiaTheme="minorEastAsia" w:hAnsiTheme="minorHAnsi" w:cstheme="minorBidi"/>
          <w:noProof/>
        </w:rPr>
      </w:pPr>
      <w:hyperlink w:anchor="_Toc140403931" w:history="1">
        <w:r w:rsidR="00A5526B" w:rsidRPr="004757F3">
          <w:rPr>
            <w:rStyle w:val="Hyperlink"/>
            <w:noProof/>
          </w:rPr>
          <w:t>Figure 65: Vapor Compression Cycle for Normal Cooling.</w:t>
        </w:r>
        <w:r w:rsidR="00A5526B">
          <w:rPr>
            <w:noProof/>
            <w:webHidden/>
          </w:rPr>
          <w:tab/>
        </w:r>
        <w:r w:rsidR="00A5526B">
          <w:rPr>
            <w:noProof/>
            <w:webHidden/>
          </w:rPr>
          <w:fldChar w:fldCharType="begin"/>
        </w:r>
        <w:r w:rsidR="00A5526B">
          <w:rPr>
            <w:noProof/>
            <w:webHidden/>
          </w:rPr>
          <w:instrText xml:space="preserve"> PAGEREF _Toc140403931 \h </w:instrText>
        </w:r>
        <w:r w:rsidR="00A5526B">
          <w:rPr>
            <w:noProof/>
            <w:webHidden/>
          </w:rPr>
        </w:r>
        <w:r w:rsidR="00A5526B">
          <w:rPr>
            <w:noProof/>
            <w:webHidden/>
          </w:rPr>
          <w:fldChar w:fldCharType="separate"/>
        </w:r>
        <w:r w:rsidR="00A5526B">
          <w:rPr>
            <w:noProof/>
            <w:webHidden/>
          </w:rPr>
          <w:t>195</w:t>
        </w:r>
        <w:r w:rsidR="00A5526B">
          <w:rPr>
            <w:noProof/>
            <w:webHidden/>
          </w:rPr>
          <w:fldChar w:fldCharType="end"/>
        </w:r>
      </w:hyperlink>
    </w:p>
    <w:p w14:paraId="6AA0D703" w14:textId="5F86D782" w:rsidR="00A5526B" w:rsidRDefault="00000000">
      <w:pPr>
        <w:pStyle w:val="TableofFigures"/>
        <w:tabs>
          <w:tab w:val="right" w:leader="dot" w:pos="8630"/>
        </w:tabs>
        <w:rPr>
          <w:rFonts w:asciiTheme="minorHAnsi" w:eastAsiaTheme="minorEastAsia" w:hAnsiTheme="minorHAnsi" w:cstheme="minorBidi"/>
          <w:noProof/>
        </w:rPr>
      </w:pPr>
      <w:hyperlink w:anchor="_Toc140403932" w:history="1">
        <w:r w:rsidR="00A5526B" w:rsidRPr="004757F3">
          <w:rPr>
            <w:rStyle w:val="Hyperlink"/>
            <w:noProof/>
          </w:rPr>
          <w:t>Figure 66: Vapor Compression Cycle for Normal Heating.</w:t>
        </w:r>
        <w:r w:rsidR="00A5526B">
          <w:rPr>
            <w:noProof/>
            <w:webHidden/>
          </w:rPr>
          <w:tab/>
        </w:r>
        <w:r w:rsidR="00A5526B">
          <w:rPr>
            <w:noProof/>
            <w:webHidden/>
          </w:rPr>
          <w:fldChar w:fldCharType="begin"/>
        </w:r>
        <w:r w:rsidR="00A5526B">
          <w:rPr>
            <w:noProof/>
            <w:webHidden/>
          </w:rPr>
          <w:instrText xml:space="preserve"> PAGEREF _Toc140403932 \h </w:instrText>
        </w:r>
        <w:r w:rsidR="00A5526B">
          <w:rPr>
            <w:noProof/>
            <w:webHidden/>
          </w:rPr>
        </w:r>
        <w:r w:rsidR="00A5526B">
          <w:rPr>
            <w:noProof/>
            <w:webHidden/>
          </w:rPr>
          <w:fldChar w:fldCharType="separate"/>
        </w:r>
        <w:r w:rsidR="00A5526B">
          <w:rPr>
            <w:noProof/>
            <w:webHidden/>
          </w:rPr>
          <w:t>195</w:t>
        </w:r>
        <w:r w:rsidR="00A5526B">
          <w:rPr>
            <w:noProof/>
            <w:webHidden/>
          </w:rPr>
          <w:fldChar w:fldCharType="end"/>
        </w:r>
      </w:hyperlink>
    </w:p>
    <w:p w14:paraId="37657CC3" w14:textId="3F8C5028" w:rsidR="00A5526B" w:rsidRDefault="00000000">
      <w:pPr>
        <w:pStyle w:val="TableofFigures"/>
        <w:tabs>
          <w:tab w:val="right" w:leader="dot" w:pos="8630"/>
        </w:tabs>
        <w:rPr>
          <w:rFonts w:asciiTheme="minorHAnsi" w:eastAsiaTheme="minorEastAsia" w:hAnsiTheme="minorHAnsi" w:cstheme="minorBidi"/>
          <w:noProof/>
        </w:rPr>
      </w:pPr>
      <w:hyperlink w:anchor="_Toc140403933" w:history="1">
        <w:r w:rsidR="00A5526B" w:rsidRPr="004757F3">
          <w:rPr>
            <w:rStyle w:val="Hyperlink"/>
            <w:noProof/>
          </w:rPr>
          <w:t>Figure 67: Vapor Compression Cycle for Charging Cooling</w:t>
        </w:r>
        <w:r w:rsidR="00A5526B">
          <w:rPr>
            <w:noProof/>
            <w:webHidden/>
          </w:rPr>
          <w:tab/>
        </w:r>
        <w:r w:rsidR="00A5526B">
          <w:rPr>
            <w:noProof/>
            <w:webHidden/>
          </w:rPr>
          <w:fldChar w:fldCharType="begin"/>
        </w:r>
        <w:r w:rsidR="00A5526B">
          <w:rPr>
            <w:noProof/>
            <w:webHidden/>
          </w:rPr>
          <w:instrText xml:space="preserve"> PAGEREF _Toc140403933 \h </w:instrText>
        </w:r>
        <w:r w:rsidR="00A5526B">
          <w:rPr>
            <w:noProof/>
            <w:webHidden/>
          </w:rPr>
        </w:r>
        <w:r w:rsidR="00A5526B">
          <w:rPr>
            <w:noProof/>
            <w:webHidden/>
          </w:rPr>
          <w:fldChar w:fldCharType="separate"/>
        </w:r>
        <w:r w:rsidR="00A5526B">
          <w:rPr>
            <w:noProof/>
            <w:webHidden/>
          </w:rPr>
          <w:t>196</w:t>
        </w:r>
        <w:r w:rsidR="00A5526B">
          <w:rPr>
            <w:noProof/>
            <w:webHidden/>
          </w:rPr>
          <w:fldChar w:fldCharType="end"/>
        </w:r>
      </w:hyperlink>
    </w:p>
    <w:p w14:paraId="4B70032E" w14:textId="5096CA07" w:rsidR="00A5526B" w:rsidRDefault="00000000">
      <w:pPr>
        <w:pStyle w:val="TableofFigures"/>
        <w:tabs>
          <w:tab w:val="right" w:leader="dot" w:pos="8630"/>
        </w:tabs>
        <w:rPr>
          <w:rFonts w:asciiTheme="minorHAnsi" w:eastAsiaTheme="minorEastAsia" w:hAnsiTheme="minorHAnsi" w:cstheme="minorBidi"/>
          <w:noProof/>
        </w:rPr>
      </w:pPr>
      <w:hyperlink w:anchor="_Toc140403934" w:history="1">
        <w:r w:rsidR="00A5526B" w:rsidRPr="004757F3">
          <w:rPr>
            <w:rStyle w:val="Hyperlink"/>
            <w:noProof/>
          </w:rPr>
          <w:t>Figure 68: Vapor Compression Cycle for Discharging Cooling</w:t>
        </w:r>
        <w:r w:rsidR="00A5526B">
          <w:rPr>
            <w:noProof/>
            <w:webHidden/>
          </w:rPr>
          <w:tab/>
        </w:r>
        <w:r w:rsidR="00A5526B">
          <w:rPr>
            <w:noProof/>
            <w:webHidden/>
          </w:rPr>
          <w:fldChar w:fldCharType="begin"/>
        </w:r>
        <w:r w:rsidR="00A5526B">
          <w:rPr>
            <w:noProof/>
            <w:webHidden/>
          </w:rPr>
          <w:instrText xml:space="preserve"> PAGEREF _Toc140403934 \h </w:instrText>
        </w:r>
        <w:r w:rsidR="00A5526B">
          <w:rPr>
            <w:noProof/>
            <w:webHidden/>
          </w:rPr>
        </w:r>
        <w:r w:rsidR="00A5526B">
          <w:rPr>
            <w:noProof/>
            <w:webHidden/>
          </w:rPr>
          <w:fldChar w:fldCharType="separate"/>
        </w:r>
        <w:r w:rsidR="00A5526B">
          <w:rPr>
            <w:noProof/>
            <w:webHidden/>
          </w:rPr>
          <w:t>196</w:t>
        </w:r>
        <w:r w:rsidR="00A5526B">
          <w:rPr>
            <w:noProof/>
            <w:webHidden/>
          </w:rPr>
          <w:fldChar w:fldCharType="end"/>
        </w:r>
      </w:hyperlink>
    </w:p>
    <w:p w14:paraId="2336DA59" w14:textId="5B92E494" w:rsidR="00A5526B" w:rsidRDefault="00000000">
      <w:pPr>
        <w:pStyle w:val="TableofFigures"/>
        <w:tabs>
          <w:tab w:val="right" w:leader="dot" w:pos="8630"/>
        </w:tabs>
        <w:rPr>
          <w:rFonts w:asciiTheme="minorHAnsi" w:eastAsiaTheme="minorEastAsia" w:hAnsiTheme="minorHAnsi" w:cstheme="minorBidi"/>
          <w:noProof/>
        </w:rPr>
      </w:pPr>
      <w:hyperlink w:anchor="_Toc140403935" w:history="1">
        <w:r w:rsidR="00A5526B" w:rsidRPr="004757F3">
          <w:rPr>
            <w:rStyle w:val="Hyperlink"/>
            <w:noProof/>
          </w:rPr>
          <w:t>Figure 69: HP-TES integration and energy flow</w:t>
        </w:r>
        <w:r w:rsidR="00A5526B">
          <w:rPr>
            <w:noProof/>
            <w:webHidden/>
          </w:rPr>
          <w:tab/>
        </w:r>
        <w:r w:rsidR="00A5526B">
          <w:rPr>
            <w:noProof/>
            <w:webHidden/>
          </w:rPr>
          <w:fldChar w:fldCharType="begin"/>
        </w:r>
        <w:r w:rsidR="00A5526B">
          <w:rPr>
            <w:noProof/>
            <w:webHidden/>
          </w:rPr>
          <w:instrText xml:space="preserve"> PAGEREF _Toc140403935 \h </w:instrText>
        </w:r>
        <w:r w:rsidR="00A5526B">
          <w:rPr>
            <w:noProof/>
            <w:webHidden/>
          </w:rPr>
        </w:r>
        <w:r w:rsidR="00A5526B">
          <w:rPr>
            <w:noProof/>
            <w:webHidden/>
          </w:rPr>
          <w:fldChar w:fldCharType="separate"/>
        </w:r>
        <w:r w:rsidR="00A5526B">
          <w:rPr>
            <w:noProof/>
            <w:webHidden/>
          </w:rPr>
          <w:t>199</w:t>
        </w:r>
        <w:r w:rsidR="00A5526B">
          <w:rPr>
            <w:noProof/>
            <w:webHidden/>
          </w:rPr>
          <w:fldChar w:fldCharType="end"/>
        </w:r>
      </w:hyperlink>
    </w:p>
    <w:p w14:paraId="0A634B9F" w14:textId="3DF2A75D" w:rsidR="00A5526B" w:rsidRDefault="00000000">
      <w:pPr>
        <w:pStyle w:val="TableofFigures"/>
        <w:tabs>
          <w:tab w:val="right" w:leader="dot" w:pos="8630"/>
        </w:tabs>
        <w:rPr>
          <w:rFonts w:asciiTheme="minorHAnsi" w:eastAsiaTheme="minorEastAsia" w:hAnsiTheme="minorHAnsi" w:cstheme="minorBidi"/>
          <w:noProof/>
        </w:rPr>
      </w:pPr>
      <w:hyperlink w:anchor="_Toc140403936" w:history="1">
        <w:r w:rsidR="00A5526B" w:rsidRPr="004757F3">
          <w:rPr>
            <w:rStyle w:val="Hyperlink"/>
            <w:noProof/>
          </w:rPr>
          <w:t>Figure 70: Operating mode controls for base case</w:t>
        </w:r>
        <w:r w:rsidR="00A5526B">
          <w:rPr>
            <w:noProof/>
            <w:webHidden/>
          </w:rPr>
          <w:tab/>
        </w:r>
        <w:r w:rsidR="00A5526B">
          <w:rPr>
            <w:noProof/>
            <w:webHidden/>
          </w:rPr>
          <w:fldChar w:fldCharType="begin"/>
        </w:r>
        <w:r w:rsidR="00A5526B">
          <w:rPr>
            <w:noProof/>
            <w:webHidden/>
          </w:rPr>
          <w:instrText xml:space="preserve"> PAGEREF _Toc140403936 \h </w:instrText>
        </w:r>
        <w:r w:rsidR="00A5526B">
          <w:rPr>
            <w:noProof/>
            <w:webHidden/>
          </w:rPr>
        </w:r>
        <w:r w:rsidR="00A5526B">
          <w:rPr>
            <w:noProof/>
            <w:webHidden/>
          </w:rPr>
          <w:fldChar w:fldCharType="separate"/>
        </w:r>
        <w:r w:rsidR="00A5526B">
          <w:rPr>
            <w:noProof/>
            <w:webHidden/>
          </w:rPr>
          <w:t>204</w:t>
        </w:r>
        <w:r w:rsidR="00A5526B">
          <w:rPr>
            <w:noProof/>
            <w:webHidden/>
          </w:rPr>
          <w:fldChar w:fldCharType="end"/>
        </w:r>
      </w:hyperlink>
    </w:p>
    <w:p w14:paraId="1E58CA96" w14:textId="58D0CB59" w:rsidR="00A5526B" w:rsidRDefault="00000000">
      <w:pPr>
        <w:pStyle w:val="TableofFigures"/>
        <w:tabs>
          <w:tab w:val="right" w:leader="dot" w:pos="8630"/>
        </w:tabs>
        <w:rPr>
          <w:rFonts w:asciiTheme="minorHAnsi" w:eastAsiaTheme="minorEastAsia" w:hAnsiTheme="minorHAnsi" w:cstheme="minorBidi"/>
          <w:noProof/>
        </w:rPr>
      </w:pPr>
      <w:hyperlink w:anchor="_Toc140403937" w:history="1">
        <w:r w:rsidR="00A5526B" w:rsidRPr="004757F3">
          <w:rPr>
            <w:rStyle w:val="Hyperlink"/>
            <w:noProof/>
          </w:rPr>
          <w:t>Figure 71: Operating mode controls for case 1 and 2</w:t>
        </w:r>
        <w:r w:rsidR="00A5526B">
          <w:rPr>
            <w:noProof/>
            <w:webHidden/>
          </w:rPr>
          <w:tab/>
        </w:r>
        <w:r w:rsidR="00A5526B">
          <w:rPr>
            <w:noProof/>
            <w:webHidden/>
          </w:rPr>
          <w:fldChar w:fldCharType="begin"/>
        </w:r>
        <w:r w:rsidR="00A5526B">
          <w:rPr>
            <w:noProof/>
            <w:webHidden/>
          </w:rPr>
          <w:instrText xml:space="preserve"> PAGEREF _Toc140403937 \h </w:instrText>
        </w:r>
        <w:r w:rsidR="00A5526B">
          <w:rPr>
            <w:noProof/>
            <w:webHidden/>
          </w:rPr>
        </w:r>
        <w:r w:rsidR="00A5526B">
          <w:rPr>
            <w:noProof/>
            <w:webHidden/>
          </w:rPr>
          <w:fldChar w:fldCharType="separate"/>
        </w:r>
        <w:r w:rsidR="00A5526B">
          <w:rPr>
            <w:noProof/>
            <w:webHidden/>
          </w:rPr>
          <w:t>204</w:t>
        </w:r>
        <w:r w:rsidR="00A5526B">
          <w:rPr>
            <w:noProof/>
            <w:webHidden/>
          </w:rPr>
          <w:fldChar w:fldCharType="end"/>
        </w:r>
      </w:hyperlink>
    </w:p>
    <w:p w14:paraId="4F609C55" w14:textId="27DFCDAF" w:rsidR="00A5526B" w:rsidRDefault="00000000">
      <w:pPr>
        <w:pStyle w:val="TableofFigures"/>
        <w:tabs>
          <w:tab w:val="right" w:leader="dot" w:pos="8630"/>
        </w:tabs>
        <w:rPr>
          <w:rFonts w:asciiTheme="minorHAnsi" w:eastAsiaTheme="minorEastAsia" w:hAnsiTheme="minorHAnsi" w:cstheme="minorBidi"/>
          <w:noProof/>
        </w:rPr>
      </w:pPr>
      <w:hyperlink w:anchor="_Toc140403938" w:history="1">
        <w:r w:rsidR="00A5526B" w:rsidRPr="004757F3">
          <w:rPr>
            <w:rStyle w:val="Hyperlink"/>
            <w:noProof/>
          </w:rPr>
          <w:t>Figure 72: SOU controls for case 1</w:t>
        </w:r>
        <w:r w:rsidR="00A5526B">
          <w:rPr>
            <w:noProof/>
            <w:webHidden/>
          </w:rPr>
          <w:tab/>
        </w:r>
        <w:r w:rsidR="00A5526B">
          <w:rPr>
            <w:noProof/>
            <w:webHidden/>
          </w:rPr>
          <w:fldChar w:fldCharType="begin"/>
        </w:r>
        <w:r w:rsidR="00A5526B">
          <w:rPr>
            <w:noProof/>
            <w:webHidden/>
          </w:rPr>
          <w:instrText xml:space="preserve"> PAGEREF _Toc140403938 \h </w:instrText>
        </w:r>
        <w:r w:rsidR="00A5526B">
          <w:rPr>
            <w:noProof/>
            <w:webHidden/>
          </w:rPr>
        </w:r>
        <w:r w:rsidR="00A5526B">
          <w:rPr>
            <w:noProof/>
            <w:webHidden/>
          </w:rPr>
          <w:fldChar w:fldCharType="separate"/>
        </w:r>
        <w:r w:rsidR="00A5526B">
          <w:rPr>
            <w:noProof/>
            <w:webHidden/>
          </w:rPr>
          <w:t>204</w:t>
        </w:r>
        <w:r w:rsidR="00A5526B">
          <w:rPr>
            <w:noProof/>
            <w:webHidden/>
          </w:rPr>
          <w:fldChar w:fldCharType="end"/>
        </w:r>
      </w:hyperlink>
    </w:p>
    <w:p w14:paraId="485A396D" w14:textId="686E814D" w:rsidR="00A5526B" w:rsidRDefault="00000000">
      <w:pPr>
        <w:pStyle w:val="TableofFigures"/>
        <w:tabs>
          <w:tab w:val="right" w:leader="dot" w:pos="8630"/>
        </w:tabs>
        <w:rPr>
          <w:rFonts w:asciiTheme="minorHAnsi" w:eastAsiaTheme="minorEastAsia" w:hAnsiTheme="minorHAnsi" w:cstheme="minorBidi"/>
          <w:noProof/>
        </w:rPr>
      </w:pPr>
      <w:hyperlink w:anchor="_Toc140403939" w:history="1">
        <w:r w:rsidR="00A5526B" w:rsidRPr="004757F3">
          <w:rPr>
            <w:rStyle w:val="Hyperlink"/>
            <w:noProof/>
          </w:rPr>
          <w:t>Figure 73: SOU controls for case 2</w:t>
        </w:r>
        <w:r w:rsidR="00A5526B">
          <w:rPr>
            <w:noProof/>
            <w:webHidden/>
          </w:rPr>
          <w:tab/>
        </w:r>
        <w:r w:rsidR="00A5526B">
          <w:rPr>
            <w:noProof/>
            <w:webHidden/>
          </w:rPr>
          <w:fldChar w:fldCharType="begin"/>
        </w:r>
        <w:r w:rsidR="00A5526B">
          <w:rPr>
            <w:noProof/>
            <w:webHidden/>
          </w:rPr>
          <w:instrText xml:space="preserve"> PAGEREF _Toc140403939 \h </w:instrText>
        </w:r>
        <w:r w:rsidR="00A5526B">
          <w:rPr>
            <w:noProof/>
            <w:webHidden/>
          </w:rPr>
        </w:r>
        <w:r w:rsidR="00A5526B">
          <w:rPr>
            <w:noProof/>
            <w:webHidden/>
          </w:rPr>
          <w:fldChar w:fldCharType="separate"/>
        </w:r>
        <w:r w:rsidR="00A5526B">
          <w:rPr>
            <w:noProof/>
            <w:webHidden/>
          </w:rPr>
          <w:t>204</w:t>
        </w:r>
        <w:r w:rsidR="00A5526B">
          <w:rPr>
            <w:noProof/>
            <w:webHidden/>
          </w:rPr>
          <w:fldChar w:fldCharType="end"/>
        </w:r>
      </w:hyperlink>
    </w:p>
    <w:p w14:paraId="4859EE8D" w14:textId="6EDCEB2A" w:rsidR="00A5526B" w:rsidRDefault="00000000">
      <w:pPr>
        <w:pStyle w:val="TableofFigures"/>
        <w:tabs>
          <w:tab w:val="right" w:leader="dot" w:pos="8630"/>
        </w:tabs>
        <w:rPr>
          <w:rFonts w:asciiTheme="minorHAnsi" w:eastAsiaTheme="minorEastAsia" w:hAnsiTheme="minorHAnsi" w:cstheme="minorBidi"/>
          <w:noProof/>
        </w:rPr>
      </w:pPr>
      <w:hyperlink w:anchor="_Toc140403940" w:history="1">
        <w:r w:rsidR="00A5526B" w:rsidRPr="004757F3">
          <w:rPr>
            <w:rStyle w:val="Hyperlink"/>
            <w:rFonts w:cs="Times New Roman"/>
            <w:noProof/>
          </w:rPr>
          <w:t>Figure 74: Conceptual figure of HP-TES with building</w:t>
        </w:r>
        <w:r w:rsidR="00A5526B">
          <w:rPr>
            <w:noProof/>
            <w:webHidden/>
          </w:rPr>
          <w:tab/>
        </w:r>
        <w:r w:rsidR="00A5526B">
          <w:rPr>
            <w:noProof/>
            <w:webHidden/>
          </w:rPr>
          <w:fldChar w:fldCharType="begin"/>
        </w:r>
        <w:r w:rsidR="00A5526B">
          <w:rPr>
            <w:noProof/>
            <w:webHidden/>
          </w:rPr>
          <w:instrText xml:space="preserve"> PAGEREF _Toc140403940 \h </w:instrText>
        </w:r>
        <w:r w:rsidR="00A5526B">
          <w:rPr>
            <w:noProof/>
            <w:webHidden/>
          </w:rPr>
        </w:r>
        <w:r w:rsidR="00A5526B">
          <w:rPr>
            <w:noProof/>
            <w:webHidden/>
          </w:rPr>
          <w:fldChar w:fldCharType="separate"/>
        </w:r>
        <w:r w:rsidR="00A5526B">
          <w:rPr>
            <w:noProof/>
            <w:webHidden/>
          </w:rPr>
          <w:t>205</w:t>
        </w:r>
        <w:r w:rsidR="00A5526B">
          <w:rPr>
            <w:noProof/>
            <w:webHidden/>
          </w:rPr>
          <w:fldChar w:fldCharType="end"/>
        </w:r>
      </w:hyperlink>
    </w:p>
    <w:p w14:paraId="3D217CE7" w14:textId="6CE0630D" w:rsidR="00A5526B" w:rsidRDefault="00000000">
      <w:pPr>
        <w:pStyle w:val="TableofFigures"/>
        <w:tabs>
          <w:tab w:val="right" w:leader="dot" w:pos="8630"/>
        </w:tabs>
        <w:rPr>
          <w:rFonts w:asciiTheme="minorHAnsi" w:eastAsiaTheme="minorEastAsia" w:hAnsiTheme="minorHAnsi" w:cstheme="minorBidi"/>
          <w:noProof/>
        </w:rPr>
      </w:pPr>
      <w:hyperlink w:anchor="_Toc140403941" w:history="1">
        <w:r w:rsidR="00A5526B" w:rsidRPr="004757F3">
          <w:rPr>
            <w:rStyle w:val="Hyperlink"/>
            <w:noProof/>
          </w:rPr>
          <w:t>Figure 75: Schematic of the simplified building thermal network model</w:t>
        </w:r>
        <w:r w:rsidR="00A5526B">
          <w:rPr>
            <w:noProof/>
            <w:webHidden/>
          </w:rPr>
          <w:tab/>
        </w:r>
        <w:r w:rsidR="00A5526B">
          <w:rPr>
            <w:noProof/>
            <w:webHidden/>
          </w:rPr>
          <w:fldChar w:fldCharType="begin"/>
        </w:r>
        <w:r w:rsidR="00A5526B">
          <w:rPr>
            <w:noProof/>
            <w:webHidden/>
          </w:rPr>
          <w:instrText xml:space="preserve"> PAGEREF _Toc140403941 \h </w:instrText>
        </w:r>
        <w:r w:rsidR="00A5526B">
          <w:rPr>
            <w:noProof/>
            <w:webHidden/>
          </w:rPr>
        </w:r>
        <w:r w:rsidR="00A5526B">
          <w:rPr>
            <w:noProof/>
            <w:webHidden/>
          </w:rPr>
          <w:fldChar w:fldCharType="separate"/>
        </w:r>
        <w:r w:rsidR="00A5526B">
          <w:rPr>
            <w:noProof/>
            <w:webHidden/>
          </w:rPr>
          <w:t>207</w:t>
        </w:r>
        <w:r w:rsidR="00A5526B">
          <w:rPr>
            <w:noProof/>
            <w:webHidden/>
          </w:rPr>
          <w:fldChar w:fldCharType="end"/>
        </w:r>
      </w:hyperlink>
    </w:p>
    <w:p w14:paraId="48C1700D" w14:textId="2051ACDE" w:rsidR="00A5526B" w:rsidRDefault="00000000">
      <w:pPr>
        <w:pStyle w:val="TableofFigures"/>
        <w:tabs>
          <w:tab w:val="right" w:leader="dot" w:pos="8630"/>
        </w:tabs>
        <w:rPr>
          <w:rFonts w:asciiTheme="minorHAnsi" w:eastAsiaTheme="minorEastAsia" w:hAnsiTheme="minorHAnsi" w:cstheme="minorBidi"/>
          <w:noProof/>
        </w:rPr>
      </w:pPr>
      <w:hyperlink w:anchor="_Toc140403942" w:history="1">
        <w:r w:rsidR="00A5526B" w:rsidRPr="004757F3">
          <w:rPr>
            <w:rStyle w:val="Hyperlink"/>
            <w:noProof/>
          </w:rPr>
          <w:t>Figure 76: HP Charging and Discharging rate.</w:t>
        </w:r>
        <w:r w:rsidR="00A5526B">
          <w:rPr>
            <w:noProof/>
            <w:webHidden/>
          </w:rPr>
          <w:tab/>
        </w:r>
        <w:r w:rsidR="00A5526B">
          <w:rPr>
            <w:noProof/>
            <w:webHidden/>
          </w:rPr>
          <w:fldChar w:fldCharType="begin"/>
        </w:r>
        <w:r w:rsidR="00A5526B">
          <w:rPr>
            <w:noProof/>
            <w:webHidden/>
          </w:rPr>
          <w:instrText xml:space="preserve"> PAGEREF _Toc140403942 \h </w:instrText>
        </w:r>
        <w:r w:rsidR="00A5526B">
          <w:rPr>
            <w:noProof/>
            <w:webHidden/>
          </w:rPr>
        </w:r>
        <w:r w:rsidR="00A5526B">
          <w:rPr>
            <w:noProof/>
            <w:webHidden/>
          </w:rPr>
          <w:fldChar w:fldCharType="separate"/>
        </w:r>
        <w:r w:rsidR="00A5526B">
          <w:rPr>
            <w:noProof/>
            <w:webHidden/>
          </w:rPr>
          <w:t>212</w:t>
        </w:r>
        <w:r w:rsidR="00A5526B">
          <w:rPr>
            <w:noProof/>
            <w:webHidden/>
          </w:rPr>
          <w:fldChar w:fldCharType="end"/>
        </w:r>
      </w:hyperlink>
    </w:p>
    <w:p w14:paraId="3FF47D29" w14:textId="4FA390B8" w:rsidR="00A5526B" w:rsidRDefault="00000000">
      <w:pPr>
        <w:pStyle w:val="TableofFigures"/>
        <w:tabs>
          <w:tab w:val="right" w:leader="dot" w:pos="8630"/>
        </w:tabs>
        <w:rPr>
          <w:rFonts w:asciiTheme="minorHAnsi" w:eastAsiaTheme="minorEastAsia" w:hAnsiTheme="minorHAnsi" w:cstheme="minorBidi"/>
          <w:noProof/>
        </w:rPr>
      </w:pPr>
      <w:hyperlink w:anchor="_Toc140403943" w:history="1">
        <w:r w:rsidR="00A5526B" w:rsidRPr="004757F3">
          <w:rPr>
            <w:rStyle w:val="Hyperlink"/>
            <w:noProof/>
          </w:rPr>
          <w:t>Figure 77: Measured PCT using sensors.</w:t>
        </w:r>
        <w:r w:rsidR="00A5526B">
          <w:rPr>
            <w:noProof/>
            <w:webHidden/>
          </w:rPr>
          <w:tab/>
        </w:r>
        <w:r w:rsidR="00A5526B">
          <w:rPr>
            <w:noProof/>
            <w:webHidden/>
          </w:rPr>
          <w:fldChar w:fldCharType="begin"/>
        </w:r>
        <w:r w:rsidR="00A5526B">
          <w:rPr>
            <w:noProof/>
            <w:webHidden/>
          </w:rPr>
          <w:instrText xml:space="preserve"> PAGEREF _Toc140403943 \h </w:instrText>
        </w:r>
        <w:r w:rsidR="00A5526B">
          <w:rPr>
            <w:noProof/>
            <w:webHidden/>
          </w:rPr>
        </w:r>
        <w:r w:rsidR="00A5526B">
          <w:rPr>
            <w:noProof/>
            <w:webHidden/>
          </w:rPr>
          <w:fldChar w:fldCharType="separate"/>
        </w:r>
        <w:r w:rsidR="00A5526B">
          <w:rPr>
            <w:noProof/>
            <w:webHidden/>
          </w:rPr>
          <w:t>213</w:t>
        </w:r>
        <w:r w:rsidR="00A5526B">
          <w:rPr>
            <w:noProof/>
            <w:webHidden/>
          </w:rPr>
          <w:fldChar w:fldCharType="end"/>
        </w:r>
      </w:hyperlink>
    </w:p>
    <w:p w14:paraId="217270F4" w14:textId="009C8947" w:rsidR="00A5526B" w:rsidRDefault="00000000">
      <w:pPr>
        <w:pStyle w:val="TableofFigures"/>
        <w:tabs>
          <w:tab w:val="right" w:leader="dot" w:pos="8630"/>
        </w:tabs>
        <w:rPr>
          <w:rFonts w:asciiTheme="minorHAnsi" w:eastAsiaTheme="minorEastAsia" w:hAnsiTheme="minorHAnsi" w:cstheme="minorBidi"/>
          <w:noProof/>
        </w:rPr>
      </w:pPr>
      <w:hyperlink w:anchor="_Toc140403944" w:history="1">
        <w:r w:rsidR="00A5526B" w:rsidRPr="004757F3">
          <w:rPr>
            <w:rStyle w:val="Hyperlink"/>
            <w:rFonts w:cs="Times New Roman"/>
            <w:noProof/>
          </w:rPr>
          <w:t>Figure 78: Experimental setup at ORNL.</w:t>
        </w:r>
        <w:r w:rsidR="00A5526B">
          <w:rPr>
            <w:noProof/>
            <w:webHidden/>
          </w:rPr>
          <w:tab/>
        </w:r>
        <w:r w:rsidR="00A5526B">
          <w:rPr>
            <w:noProof/>
            <w:webHidden/>
          </w:rPr>
          <w:fldChar w:fldCharType="begin"/>
        </w:r>
        <w:r w:rsidR="00A5526B">
          <w:rPr>
            <w:noProof/>
            <w:webHidden/>
          </w:rPr>
          <w:instrText xml:space="preserve"> PAGEREF _Toc140403944 \h </w:instrText>
        </w:r>
        <w:r w:rsidR="00A5526B">
          <w:rPr>
            <w:noProof/>
            <w:webHidden/>
          </w:rPr>
        </w:r>
        <w:r w:rsidR="00A5526B">
          <w:rPr>
            <w:noProof/>
            <w:webHidden/>
          </w:rPr>
          <w:fldChar w:fldCharType="separate"/>
        </w:r>
        <w:r w:rsidR="00A5526B">
          <w:rPr>
            <w:noProof/>
            <w:webHidden/>
          </w:rPr>
          <w:t>213</w:t>
        </w:r>
        <w:r w:rsidR="00A5526B">
          <w:rPr>
            <w:noProof/>
            <w:webHidden/>
          </w:rPr>
          <w:fldChar w:fldCharType="end"/>
        </w:r>
      </w:hyperlink>
    </w:p>
    <w:p w14:paraId="3E63F910" w14:textId="6FBF7A6B" w:rsidR="00A5526B" w:rsidRDefault="00000000">
      <w:pPr>
        <w:pStyle w:val="TableofFigures"/>
        <w:tabs>
          <w:tab w:val="right" w:leader="dot" w:pos="8630"/>
        </w:tabs>
        <w:rPr>
          <w:rFonts w:asciiTheme="minorHAnsi" w:eastAsiaTheme="minorEastAsia" w:hAnsiTheme="minorHAnsi" w:cstheme="minorBidi"/>
          <w:noProof/>
        </w:rPr>
      </w:pPr>
      <w:hyperlink w:anchor="_Toc140403945" w:history="1">
        <w:r w:rsidR="00A5526B" w:rsidRPr="004757F3">
          <w:rPr>
            <w:rStyle w:val="Hyperlink"/>
            <w:rFonts w:cs="Times New Roman"/>
            <w:noProof/>
          </w:rPr>
          <w:t>Figure 79: PCM-HX integrated with DSHP.</w:t>
        </w:r>
        <w:r w:rsidR="00A5526B">
          <w:rPr>
            <w:noProof/>
            <w:webHidden/>
          </w:rPr>
          <w:tab/>
        </w:r>
        <w:r w:rsidR="00A5526B">
          <w:rPr>
            <w:noProof/>
            <w:webHidden/>
          </w:rPr>
          <w:fldChar w:fldCharType="begin"/>
        </w:r>
        <w:r w:rsidR="00A5526B">
          <w:rPr>
            <w:noProof/>
            <w:webHidden/>
          </w:rPr>
          <w:instrText xml:space="preserve"> PAGEREF _Toc140403945 \h </w:instrText>
        </w:r>
        <w:r w:rsidR="00A5526B">
          <w:rPr>
            <w:noProof/>
            <w:webHidden/>
          </w:rPr>
        </w:r>
        <w:r w:rsidR="00A5526B">
          <w:rPr>
            <w:noProof/>
            <w:webHidden/>
          </w:rPr>
          <w:fldChar w:fldCharType="separate"/>
        </w:r>
        <w:r w:rsidR="00A5526B">
          <w:rPr>
            <w:noProof/>
            <w:webHidden/>
          </w:rPr>
          <w:t>214</w:t>
        </w:r>
        <w:r w:rsidR="00A5526B">
          <w:rPr>
            <w:noProof/>
            <w:webHidden/>
          </w:rPr>
          <w:fldChar w:fldCharType="end"/>
        </w:r>
      </w:hyperlink>
    </w:p>
    <w:p w14:paraId="1C56AC0A" w14:textId="1B7DC8AC" w:rsidR="00A5526B" w:rsidRDefault="00000000">
      <w:pPr>
        <w:pStyle w:val="TableofFigures"/>
        <w:tabs>
          <w:tab w:val="right" w:leader="dot" w:pos="8630"/>
        </w:tabs>
        <w:rPr>
          <w:rFonts w:asciiTheme="minorHAnsi" w:eastAsiaTheme="minorEastAsia" w:hAnsiTheme="minorHAnsi" w:cstheme="minorBidi"/>
          <w:noProof/>
        </w:rPr>
      </w:pPr>
      <w:hyperlink w:anchor="_Toc140403946" w:history="1">
        <w:r w:rsidR="00A5526B" w:rsidRPr="004757F3">
          <w:rPr>
            <w:rStyle w:val="Hyperlink"/>
            <w:rFonts w:cs="Times New Roman"/>
            <w:noProof/>
          </w:rPr>
          <w:t>Figure 80: Hydronic piping and data points.</w:t>
        </w:r>
        <w:r w:rsidR="00A5526B">
          <w:rPr>
            <w:noProof/>
            <w:webHidden/>
          </w:rPr>
          <w:tab/>
        </w:r>
        <w:r w:rsidR="00A5526B">
          <w:rPr>
            <w:noProof/>
            <w:webHidden/>
          </w:rPr>
          <w:fldChar w:fldCharType="begin"/>
        </w:r>
        <w:r w:rsidR="00A5526B">
          <w:rPr>
            <w:noProof/>
            <w:webHidden/>
          </w:rPr>
          <w:instrText xml:space="preserve"> PAGEREF _Toc140403946 \h </w:instrText>
        </w:r>
        <w:r w:rsidR="00A5526B">
          <w:rPr>
            <w:noProof/>
            <w:webHidden/>
          </w:rPr>
        </w:r>
        <w:r w:rsidR="00A5526B">
          <w:rPr>
            <w:noProof/>
            <w:webHidden/>
          </w:rPr>
          <w:fldChar w:fldCharType="separate"/>
        </w:r>
        <w:r w:rsidR="00A5526B">
          <w:rPr>
            <w:noProof/>
            <w:webHidden/>
          </w:rPr>
          <w:t>214</w:t>
        </w:r>
        <w:r w:rsidR="00A5526B">
          <w:rPr>
            <w:noProof/>
            <w:webHidden/>
          </w:rPr>
          <w:fldChar w:fldCharType="end"/>
        </w:r>
      </w:hyperlink>
    </w:p>
    <w:p w14:paraId="4412AB36" w14:textId="1B0652B6" w:rsidR="00A5526B" w:rsidRDefault="00000000">
      <w:pPr>
        <w:pStyle w:val="TableofFigures"/>
        <w:tabs>
          <w:tab w:val="right" w:leader="dot" w:pos="8630"/>
        </w:tabs>
        <w:rPr>
          <w:rFonts w:asciiTheme="minorHAnsi" w:eastAsiaTheme="minorEastAsia" w:hAnsiTheme="minorHAnsi" w:cstheme="minorBidi"/>
          <w:noProof/>
        </w:rPr>
      </w:pPr>
      <w:hyperlink w:anchor="_Toc140403947" w:history="1">
        <w:r w:rsidR="00A5526B" w:rsidRPr="004757F3">
          <w:rPr>
            <w:rStyle w:val="Hyperlink"/>
            <w:noProof/>
          </w:rPr>
          <w:t>Figure 81: Representative MGE Data for Summer in all locations.</w:t>
        </w:r>
        <w:r w:rsidR="00A5526B">
          <w:rPr>
            <w:noProof/>
            <w:webHidden/>
          </w:rPr>
          <w:tab/>
        </w:r>
        <w:r w:rsidR="00A5526B">
          <w:rPr>
            <w:noProof/>
            <w:webHidden/>
          </w:rPr>
          <w:fldChar w:fldCharType="begin"/>
        </w:r>
        <w:r w:rsidR="00A5526B">
          <w:rPr>
            <w:noProof/>
            <w:webHidden/>
          </w:rPr>
          <w:instrText xml:space="preserve"> PAGEREF _Toc140403947 \h </w:instrText>
        </w:r>
        <w:r w:rsidR="00A5526B">
          <w:rPr>
            <w:noProof/>
            <w:webHidden/>
          </w:rPr>
        </w:r>
        <w:r w:rsidR="00A5526B">
          <w:rPr>
            <w:noProof/>
            <w:webHidden/>
          </w:rPr>
          <w:fldChar w:fldCharType="separate"/>
        </w:r>
        <w:r w:rsidR="00A5526B">
          <w:rPr>
            <w:noProof/>
            <w:webHidden/>
          </w:rPr>
          <w:t>217</w:t>
        </w:r>
        <w:r w:rsidR="00A5526B">
          <w:rPr>
            <w:noProof/>
            <w:webHidden/>
          </w:rPr>
          <w:fldChar w:fldCharType="end"/>
        </w:r>
      </w:hyperlink>
    </w:p>
    <w:p w14:paraId="1B3F1D92" w14:textId="31C2769D" w:rsidR="00A5526B" w:rsidRDefault="00000000">
      <w:pPr>
        <w:pStyle w:val="TableofFigures"/>
        <w:tabs>
          <w:tab w:val="right" w:leader="dot" w:pos="8630"/>
        </w:tabs>
        <w:rPr>
          <w:rFonts w:asciiTheme="minorHAnsi" w:eastAsiaTheme="minorEastAsia" w:hAnsiTheme="minorHAnsi" w:cstheme="minorBidi"/>
          <w:noProof/>
        </w:rPr>
      </w:pPr>
      <w:hyperlink w:anchor="_Toc140403948" w:history="1">
        <w:r w:rsidR="00A5526B" w:rsidRPr="004757F3">
          <w:rPr>
            <w:rStyle w:val="Hyperlink"/>
            <w:noProof/>
          </w:rPr>
          <w:t>Figure 82: Representative MGE Data for Winter in all locations.</w:t>
        </w:r>
        <w:r w:rsidR="00A5526B">
          <w:rPr>
            <w:noProof/>
            <w:webHidden/>
          </w:rPr>
          <w:tab/>
        </w:r>
        <w:r w:rsidR="00A5526B">
          <w:rPr>
            <w:noProof/>
            <w:webHidden/>
          </w:rPr>
          <w:fldChar w:fldCharType="begin"/>
        </w:r>
        <w:r w:rsidR="00A5526B">
          <w:rPr>
            <w:noProof/>
            <w:webHidden/>
          </w:rPr>
          <w:instrText xml:space="preserve"> PAGEREF _Toc140403948 \h </w:instrText>
        </w:r>
        <w:r w:rsidR="00A5526B">
          <w:rPr>
            <w:noProof/>
            <w:webHidden/>
          </w:rPr>
        </w:r>
        <w:r w:rsidR="00A5526B">
          <w:rPr>
            <w:noProof/>
            <w:webHidden/>
          </w:rPr>
          <w:fldChar w:fldCharType="separate"/>
        </w:r>
        <w:r w:rsidR="00A5526B">
          <w:rPr>
            <w:noProof/>
            <w:webHidden/>
          </w:rPr>
          <w:t>217</w:t>
        </w:r>
        <w:r w:rsidR="00A5526B">
          <w:rPr>
            <w:noProof/>
            <w:webHidden/>
          </w:rPr>
          <w:fldChar w:fldCharType="end"/>
        </w:r>
      </w:hyperlink>
    </w:p>
    <w:p w14:paraId="5F5E338B" w14:textId="4583D66E" w:rsidR="00A5526B" w:rsidRDefault="00000000">
      <w:pPr>
        <w:pStyle w:val="TableofFigures"/>
        <w:tabs>
          <w:tab w:val="right" w:leader="dot" w:pos="8630"/>
        </w:tabs>
        <w:rPr>
          <w:rFonts w:asciiTheme="minorHAnsi" w:eastAsiaTheme="minorEastAsia" w:hAnsiTheme="minorHAnsi" w:cstheme="minorBidi"/>
          <w:noProof/>
        </w:rPr>
      </w:pPr>
      <w:hyperlink w:anchor="_Toc140403949" w:history="1">
        <w:r w:rsidR="00A5526B" w:rsidRPr="004757F3">
          <w:rPr>
            <w:rStyle w:val="Hyperlink"/>
            <w:noProof/>
          </w:rPr>
          <w:t>Figure 83: Ambient Weather and Utility Rate on the coldest day in Baltimore</w:t>
        </w:r>
        <w:r w:rsidR="00A5526B">
          <w:rPr>
            <w:noProof/>
            <w:webHidden/>
          </w:rPr>
          <w:tab/>
        </w:r>
        <w:r w:rsidR="00A5526B">
          <w:rPr>
            <w:noProof/>
            <w:webHidden/>
          </w:rPr>
          <w:fldChar w:fldCharType="begin"/>
        </w:r>
        <w:r w:rsidR="00A5526B">
          <w:rPr>
            <w:noProof/>
            <w:webHidden/>
          </w:rPr>
          <w:instrText xml:space="preserve"> PAGEREF _Toc140403949 \h </w:instrText>
        </w:r>
        <w:r w:rsidR="00A5526B">
          <w:rPr>
            <w:noProof/>
            <w:webHidden/>
          </w:rPr>
        </w:r>
        <w:r w:rsidR="00A5526B">
          <w:rPr>
            <w:noProof/>
            <w:webHidden/>
          </w:rPr>
          <w:fldChar w:fldCharType="separate"/>
        </w:r>
        <w:r w:rsidR="00A5526B">
          <w:rPr>
            <w:noProof/>
            <w:webHidden/>
          </w:rPr>
          <w:t>218</w:t>
        </w:r>
        <w:r w:rsidR="00A5526B">
          <w:rPr>
            <w:noProof/>
            <w:webHidden/>
          </w:rPr>
          <w:fldChar w:fldCharType="end"/>
        </w:r>
      </w:hyperlink>
    </w:p>
    <w:p w14:paraId="3BEC3C9B" w14:textId="2F649F4C" w:rsidR="00A5526B" w:rsidRDefault="00000000">
      <w:pPr>
        <w:pStyle w:val="TableofFigures"/>
        <w:tabs>
          <w:tab w:val="right" w:leader="dot" w:pos="8630"/>
        </w:tabs>
        <w:rPr>
          <w:rFonts w:asciiTheme="minorHAnsi" w:eastAsiaTheme="minorEastAsia" w:hAnsiTheme="minorHAnsi" w:cstheme="minorBidi"/>
          <w:noProof/>
        </w:rPr>
      </w:pPr>
      <w:hyperlink w:anchor="_Toc140403950" w:history="1">
        <w:r w:rsidR="00A5526B" w:rsidRPr="004757F3">
          <w:rPr>
            <w:rStyle w:val="Hyperlink"/>
            <w:noProof/>
          </w:rPr>
          <w:t>Figure 84: Ambient Weather and Utility Rate on the hottest day in Baltimore</w:t>
        </w:r>
        <w:r w:rsidR="00A5526B">
          <w:rPr>
            <w:noProof/>
            <w:webHidden/>
          </w:rPr>
          <w:tab/>
        </w:r>
        <w:r w:rsidR="00A5526B">
          <w:rPr>
            <w:noProof/>
            <w:webHidden/>
          </w:rPr>
          <w:fldChar w:fldCharType="begin"/>
        </w:r>
        <w:r w:rsidR="00A5526B">
          <w:rPr>
            <w:noProof/>
            <w:webHidden/>
          </w:rPr>
          <w:instrText xml:space="preserve"> PAGEREF _Toc140403950 \h </w:instrText>
        </w:r>
        <w:r w:rsidR="00A5526B">
          <w:rPr>
            <w:noProof/>
            <w:webHidden/>
          </w:rPr>
        </w:r>
        <w:r w:rsidR="00A5526B">
          <w:rPr>
            <w:noProof/>
            <w:webHidden/>
          </w:rPr>
          <w:fldChar w:fldCharType="separate"/>
        </w:r>
        <w:r w:rsidR="00A5526B">
          <w:rPr>
            <w:noProof/>
            <w:webHidden/>
          </w:rPr>
          <w:t>218</w:t>
        </w:r>
        <w:r w:rsidR="00A5526B">
          <w:rPr>
            <w:noProof/>
            <w:webHidden/>
          </w:rPr>
          <w:fldChar w:fldCharType="end"/>
        </w:r>
      </w:hyperlink>
    </w:p>
    <w:p w14:paraId="70DDC95E" w14:textId="35870BE5" w:rsidR="00A5526B" w:rsidRDefault="00000000">
      <w:pPr>
        <w:pStyle w:val="TableofFigures"/>
        <w:tabs>
          <w:tab w:val="right" w:leader="dot" w:pos="8630"/>
        </w:tabs>
        <w:rPr>
          <w:rFonts w:asciiTheme="minorHAnsi" w:eastAsiaTheme="minorEastAsia" w:hAnsiTheme="minorHAnsi" w:cstheme="minorBidi"/>
          <w:noProof/>
        </w:rPr>
      </w:pPr>
      <w:hyperlink w:anchor="_Toc140403951" w:history="1">
        <w:r w:rsidR="00A5526B" w:rsidRPr="004757F3">
          <w:rPr>
            <w:rStyle w:val="Hyperlink"/>
            <w:noProof/>
          </w:rPr>
          <w:t>Figure 85: Ambient Weather and Utility Rate on the coldest day in Sacramento</w:t>
        </w:r>
        <w:r w:rsidR="00A5526B">
          <w:rPr>
            <w:noProof/>
            <w:webHidden/>
          </w:rPr>
          <w:tab/>
        </w:r>
        <w:r w:rsidR="00A5526B">
          <w:rPr>
            <w:noProof/>
            <w:webHidden/>
          </w:rPr>
          <w:fldChar w:fldCharType="begin"/>
        </w:r>
        <w:r w:rsidR="00A5526B">
          <w:rPr>
            <w:noProof/>
            <w:webHidden/>
          </w:rPr>
          <w:instrText xml:space="preserve"> PAGEREF _Toc140403951 \h </w:instrText>
        </w:r>
        <w:r w:rsidR="00A5526B">
          <w:rPr>
            <w:noProof/>
            <w:webHidden/>
          </w:rPr>
        </w:r>
        <w:r w:rsidR="00A5526B">
          <w:rPr>
            <w:noProof/>
            <w:webHidden/>
          </w:rPr>
          <w:fldChar w:fldCharType="separate"/>
        </w:r>
        <w:r w:rsidR="00A5526B">
          <w:rPr>
            <w:noProof/>
            <w:webHidden/>
          </w:rPr>
          <w:t>219</w:t>
        </w:r>
        <w:r w:rsidR="00A5526B">
          <w:rPr>
            <w:noProof/>
            <w:webHidden/>
          </w:rPr>
          <w:fldChar w:fldCharType="end"/>
        </w:r>
      </w:hyperlink>
    </w:p>
    <w:p w14:paraId="07830ACC" w14:textId="556C1CC5" w:rsidR="00A5526B" w:rsidRDefault="00000000">
      <w:pPr>
        <w:pStyle w:val="TableofFigures"/>
        <w:tabs>
          <w:tab w:val="right" w:leader="dot" w:pos="8630"/>
        </w:tabs>
        <w:rPr>
          <w:rFonts w:asciiTheme="minorHAnsi" w:eastAsiaTheme="minorEastAsia" w:hAnsiTheme="minorHAnsi" w:cstheme="minorBidi"/>
          <w:noProof/>
        </w:rPr>
      </w:pPr>
      <w:hyperlink w:anchor="_Toc140403952" w:history="1">
        <w:r w:rsidR="00A5526B" w:rsidRPr="004757F3">
          <w:rPr>
            <w:rStyle w:val="Hyperlink"/>
            <w:noProof/>
          </w:rPr>
          <w:t>Figure 86: Ambient Weather and Utility Rate on the hottest day in Sacramento</w:t>
        </w:r>
        <w:r w:rsidR="00A5526B">
          <w:rPr>
            <w:noProof/>
            <w:webHidden/>
          </w:rPr>
          <w:tab/>
        </w:r>
        <w:r w:rsidR="00A5526B">
          <w:rPr>
            <w:noProof/>
            <w:webHidden/>
          </w:rPr>
          <w:fldChar w:fldCharType="begin"/>
        </w:r>
        <w:r w:rsidR="00A5526B">
          <w:rPr>
            <w:noProof/>
            <w:webHidden/>
          </w:rPr>
          <w:instrText xml:space="preserve"> PAGEREF _Toc140403952 \h </w:instrText>
        </w:r>
        <w:r w:rsidR="00A5526B">
          <w:rPr>
            <w:noProof/>
            <w:webHidden/>
          </w:rPr>
        </w:r>
        <w:r w:rsidR="00A5526B">
          <w:rPr>
            <w:noProof/>
            <w:webHidden/>
          </w:rPr>
          <w:fldChar w:fldCharType="separate"/>
        </w:r>
        <w:r w:rsidR="00A5526B">
          <w:rPr>
            <w:noProof/>
            <w:webHidden/>
          </w:rPr>
          <w:t>219</w:t>
        </w:r>
        <w:r w:rsidR="00A5526B">
          <w:rPr>
            <w:noProof/>
            <w:webHidden/>
          </w:rPr>
          <w:fldChar w:fldCharType="end"/>
        </w:r>
      </w:hyperlink>
    </w:p>
    <w:p w14:paraId="4941DA19" w14:textId="06E84AA0" w:rsidR="00A5526B" w:rsidRDefault="00000000">
      <w:pPr>
        <w:pStyle w:val="TableofFigures"/>
        <w:tabs>
          <w:tab w:val="right" w:leader="dot" w:pos="8630"/>
        </w:tabs>
        <w:rPr>
          <w:rFonts w:asciiTheme="minorHAnsi" w:eastAsiaTheme="minorEastAsia" w:hAnsiTheme="minorHAnsi" w:cstheme="minorBidi"/>
          <w:noProof/>
        </w:rPr>
      </w:pPr>
      <w:hyperlink w:anchor="_Toc140403953" w:history="1">
        <w:r w:rsidR="00A5526B" w:rsidRPr="004757F3">
          <w:rPr>
            <w:rStyle w:val="Hyperlink"/>
            <w:noProof/>
          </w:rPr>
          <w:t>Figure 87: Ambient Weather and Utility Rate on the coldest day in Golden</w:t>
        </w:r>
        <w:r w:rsidR="00A5526B">
          <w:rPr>
            <w:noProof/>
            <w:webHidden/>
          </w:rPr>
          <w:tab/>
        </w:r>
        <w:r w:rsidR="00A5526B">
          <w:rPr>
            <w:noProof/>
            <w:webHidden/>
          </w:rPr>
          <w:fldChar w:fldCharType="begin"/>
        </w:r>
        <w:r w:rsidR="00A5526B">
          <w:rPr>
            <w:noProof/>
            <w:webHidden/>
          </w:rPr>
          <w:instrText xml:space="preserve"> PAGEREF _Toc140403953 \h </w:instrText>
        </w:r>
        <w:r w:rsidR="00A5526B">
          <w:rPr>
            <w:noProof/>
            <w:webHidden/>
          </w:rPr>
        </w:r>
        <w:r w:rsidR="00A5526B">
          <w:rPr>
            <w:noProof/>
            <w:webHidden/>
          </w:rPr>
          <w:fldChar w:fldCharType="separate"/>
        </w:r>
        <w:r w:rsidR="00A5526B">
          <w:rPr>
            <w:noProof/>
            <w:webHidden/>
          </w:rPr>
          <w:t>220</w:t>
        </w:r>
        <w:r w:rsidR="00A5526B">
          <w:rPr>
            <w:noProof/>
            <w:webHidden/>
          </w:rPr>
          <w:fldChar w:fldCharType="end"/>
        </w:r>
      </w:hyperlink>
    </w:p>
    <w:p w14:paraId="7E58CE70" w14:textId="3CE20F20" w:rsidR="00A5526B" w:rsidRDefault="00000000">
      <w:pPr>
        <w:pStyle w:val="TableofFigures"/>
        <w:tabs>
          <w:tab w:val="right" w:leader="dot" w:pos="8630"/>
        </w:tabs>
        <w:rPr>
          <w:rFonts w:asciiTheme="minorHAnsi" w:eastAsiaTheme="minorEastAsia" w:hAnsiTheme="minorHAnsi" w:cstheme="minorBidi"/>
          <w:noProof/>
        </w:rPr>
      </w:pPr>
      <w:hyperlink w:anchor="_Toc140403954" w:history="1">
        <w:r w:rsidR="00A5526B" w:rsidRPr="004757F3">
          <w:rPr>
            <w:rStyle w:val="Hyperlink"/>
            <w:noProof/>
          </w:rPr>
          <w:t>Figure 88: Ambient Weather and Utility Rate on the hottest day in Golden</w:t>
        </w:r>
        <w:r w:rsidR="00A5526B">
          <w:rPr>
            <w:noProof/>
            <w:webHidden/>
          </w:rPr>
          <w:tab/>
        </w:r>
        <w:r w:rsidR="00A5526B">
          <w:rPr>
            <w:noProof/>
            <w:webHidden/>
          </w:rPr>
          <w:fldChar w:fldCharType="begin"/>
        </w:r>
        <w:r w:rsidR="00A5526B">
          <w:rPr>
            <w:noProof/>
            <w:webHidden/>
          </w:rPr>
          <w:instrText xml:space="preserve"> PAGEREF _Toc140403954 \h </w:instrText>
        </w:r>
        <w:r w:rsidR="00A5526B">
          <w:rPr>
            <w:noProof/>
            <w:webHidden/>
          </w:rPr>
        </w:r>
        <w:r w:rsidR="00A5526B">
          <w:rPr>
            <w:noProof/>
            <w:webHidden/>
          </w:rPr>
          <w:fldChar w:fldCharType="separate"/>
        </w:r>
        <w:r w:rsidR="00A5526B">
          <w:rPr>
            <w:noProof/>
            <w:webHidden/>
          </w:rPr>
          <w:t>220</w:t>
        </w:r>
        <w:r w:rsidR="00A5526B">
          <w:rPr>
            <w:noProof/>
            <w:webHidden/>
          </w:rPr>
          <w:fldChar w:fldCharType="end"/>
        </w:r>
      </w:hyperlink>
    </w:p>
    <w:p w14:paraId="2FF4AB54" w14:textId="46FC61FA" w:rsidR="00A5526B" w:rsidRDefault="00000000">
      <w:pPr>
        <w:pStyle w:val="TableofFigures"/>
        <w:tabs>
          <w:tab w:val="right" w:leader="dot" w:pos="8630"/>
        </w:tabs>
        <w:rPr>
          <w:rFonts w:asciiTheme="minorHAnsi" w:eastAsiaTheme="minorEastAsia" w:hAnsiTheme="minorHAnsi" w:cstheme="minorBidi"/>
          <w:noProof/>
        </w:rPr>
      </w:pPr>
      <w:hyperlink w:anchor="_Toc140403955" w:history="1">
        <w:r w:rsidR="00A5526B" w:rsidRPr="004757F3">
          <w:rPr>
            <w:rStyle w:val="Hyperlink"/>
            <w:noProof/>
          </w:rPr>
          <w:t>Figure 89: Control Strategy Comparison for Winter Typical week in Baltimore</w:t>
        </w:r>
        <w:r w:rsidR="00A5526B">
          <w:rPr>
            <w:noProof/>
            <w:webHidden/>
          </w:rPr>
          <w:tab/>
        </w:r>
        <w:r w:rsidR="00A5526B">
          <w:rPr>
            <w:noProof/>
            <w:webHidden/>
          </w:rPr>
          <w:fldChar w:fldCharType="begin"/>
        </w:r>
        <w:r w:rsidR="00A5526B">
          <w:rPr>
            <w:noProof/>
            <w:webHidden/>
          </w:rPr>
          <w:instrText xml:space="preserve"> PAGEREF _Toc140403955 \h </w:instrText>
        </w:r>
        <w:r w:rsidR="00A5526B">
          <w:rPr>
            <w:noProof/>
            <w:webHidden/>
          </w:rPr>
        </w:r>
        <w:r w:rsidR="00A5526B">
          <w:rPr>
            <w:noProof/>
            <w:webHidden/>
          </w:rPr>
          <w:fldChar w:fldCharType="separate"/>
        </w:r>
        <w:r w:rsidR="00A5526B">
          <w:rPr>
            <w:noProof/>
            <w:webHidden/>
          </w:rPr>
          <w:t>222</w:t>
        </w:r>
        <w:r w:rsidR="00A5526B">
          <w:rPr>
            <w:noProof/>
            <w:webHidden/>
          </w:rPr>
          <w:fldChar w:fldCharType="end"/>
        </w:r>
      </w:hyperlink>
    </w:p>
    <w:p w14:paraId="585D8D1B" w14:textId="38FD0DE1" w:rsidR="00A5526B" w:rsidRDefault="00000000">
      <w:pPr>
        <w:pStyle w:val="TableofFigures"/>
        <w:tabs>
          <w:tab w:val="right" w:leader="dot" w:pos="8630"/>
        </w:tabs>
        <w:rPr>
          <w:rFonts w:asciiTheme="minorHAnsi" w:eastAsiaTheme="minorEastAsia" w:hAnsiTheme="minorHAnsi" w:cstheme="minorBidi"/>
          <w:noProof/>
        </w:rPr>
      </w:pPr>
      <w:hyperlink w:anchor="_Toc140403956" w:history="1">
        <w:r w:rsidR="00A5526B" w:rsidRPr="004757F3">
          <w:rPr>
            <w:rStyle w:val="Hyperlink"/>
            <w:noProof/>
          </w:rPr>
          <w:t>Figure 90: Control Strategy Comparison for Winter Extreme week in Baltimore</w:t>
        </w:r>
        <w:r w:rsidR="00A5526B">
          <w:rPr>
            <w:noProof/>
            <w:webHidden/>
          </w:rPr>
          <w:tab/>
        </w:r>
        <w:r w:rsidR="00A5526B">
          <w:rPr>
            <w:noProof/>
            <w:webHidden/>
          </w:rPr>
          <w:fldChar w:fldCharType="begin"/>
        </w:r>
        <w:r w:rsidR="00A5526B">
          <w:rPr>
            <w:noProof/>
            <w:webHidden/>
          </w:rPr>
          <w:instrText xml:space="preserve"> PAGEREF _Toc140403956 \h </w:instrText>
        </w:r>
        <w:r w:rsidR="00A5526B">
          <w:rPr>
            <w:noProof/>
            <w:webHidden/>
          </w:rPr>
        </w:r>
        <w:r w:rsidR="00A5526B">
          <w:rPr>
            <w:noProof/>
            <w:webHidden/>
          </w:rPr>
          <w:fldChar w:fldCharType="separate"/>
        </w:r>
        <w:r w:rsidR="00A5526B">
          <w:rPr>
            <w:noProof/>
            <w:webHidden/>
          </w:rPr>
          <w:t>222</w:t>
        </w:r>
        <w:r w:rsidR="00A5526B">
          <w:rPr>
            <w:noProof/>
            <w:webHidden/>
          </w:rPr>
          <w:fldChar w:fldCharType="end"/>
        </w:r>
      </w:hyperlink>
    </w:p>
    <w:p w14:paraId="17FB2B9D" w14:textId="5145CD99" w:rsidR="00A5526B" w:rsidRDefault="00000000">
      <w:pPr>
        <w:pStyle w:val="TableofFigures"/>
        <w:tabs>
          <w:tab w:val="right" w:leader="dot" w:pos="8630"/>
        </w:tabs>
        <w:rPr>
          <w:rFonts w:asciiTheme="minorHAnsi" w:eastAsiaTheme="minorEastAsia" w:hAnsiTheme="minorHAnsi" w:cstheme="minorBidi"/>
          <w:noProof/>
        </w:rPr>
      </w:pPr>
      <w:hyperlink w:anchor="_Toc140403957" w:history="1">
        <w:r w:rsidR="00A5526B" w:rsidRPr="004757F3">
          <w:rPr>
            <w:rStyle w:val="Hyperlink"/>
            <w:noProof/>
          </w:rPr>
          <w:t>Figure 91: Control Strategy Comparison for Winter Typical week in Golden</w:t>
        </w:r>
        <w:r w:rsidR="00A5526B">
          <w:rPr>
            <w:noProof/>
            <w:webHidden/>
          </w:rPr>
          <w:tab/>
        </w:r>
        <w:r w:rsidR="00A5526B">
          <w:rPr>
            <w:noProof/>
            <w:webHidden/>
          </w:rPr>
          <w:fldChar w:fldCharType="begin"/>
        </w:r>
        <w:r w:rsidR="00A5526B">
          <w:rPr>
            <w:noProof/>
            <w:webHidden/>
          </w:rPr>
          <w:instrText xml:space="preserve"> PAGEREF _Toc140403957 \h </w:instrText>
        </w:r>
        <w:r w:rsidR="00A5526B">
          <w:rPr>
            <w:noProof/>
            <w:webHidden/>
          </w:rPr>
        </w:r>
        <w:r w:rsidR="00A5526B">
          <w:rPr>
            <w:noProof/>
            <w:webHidden/>
          </w:rPr>
          <w:fldChar w:fldCharType="separate"/>
        </w:r>
        <w:r w:rsidR="00A5526B">
          <w:rPr>
            <w:noProof/>
            <w:webHidden/>
          </w:rPr>
          <w:t>223</w:t>
        </w:r>
        <w:r w:rsidR="00A5526B">
          <w:rPr>
            <w:noProof/>
            <w:webHidden/>
          </w:rPr>
          <w:fldChar w:fldCharType="end"/>
        </w:r>
      </w:hyperlink>
    </w:p>
    <w:p w14:paraId="19C4E19B" w14:textId="5F312132" w:rsidR="00A5526B" w:rsidRDefault="00000000">
      <w:pPr>
        <w:pStyle w:val="TableofFigures"/>
        <w:tabs>
          <w:tab w:val="right" w:leader="dot" w:pos="8630"/>
        </w:tabs>
        <w:rPr>
          <w:rFonts w:asciiTheme="minorHAnsi" w:eastAsiaTheme="minorEastAsia" w:hAnsiTheme="minorHAnsi" w:cstheme="minorBidi"/>
          <w:noProof/>
        </w:rPr>
      </w:pPr>
      <w:hyperlink w:anchor="_Toc140403958" w:history="1">
        <w:r w:rsidR="00A5526B" w:rsidRPr="004757F3">
          <w:rPr>
            <w:rStyle w:val="Hyperlink"/>
            <w:noProof/>
          </w:rPr>
          <w:t>Figure 92: Control Strategy Comparison for Winter Extreme week in Golden</w:t>
        </w:r>
        <w:r w:rsidR="00A5526B">
          <w:rPr>
            <w:noProof/>
            <w:webHidden/>
          </w:rPr>
          <w:tab/>
        </w:r>
        <w:r w:rsidR="00A5526B">
          <w:rPr>
            <w:noProof/>
            <w:webHidden/>
          </w:rPr>
          <w:fldChar w:fldCharType="begin"/>
        </w:r>
        <w:r w:rsidR="00A5526B">
          <w:rPr>
            <w:noProof/>
            <w:webHidden/>
          </w:rPr>
          <w:instrText xml:space="preserve"> PAGEREF _Toc140403958 \h </w:instrText>
        </w:r>
        <w:r w:rsidR="00A5526B">
          <w:rPr>
            <w:noProof/>
            <w:webHidden/>
          </w:rPr>
        </w:r>
        <w:r w:rsidR="00A5526B">
          <w:rPr>
            <w:noProof/>
            <w:webHidden/>
          </w:rPr>
          <w:fldChar w:fldCharType="separate"/>
        </w:r>
        <w:r w:rsidR="00A5526B">
          <w:rPr>
            <w:noProof/>
            <w:webHidden/>
          </w:rPr>
          <w:t>223</w:t>
        </w:r>
        <w:r w:rsidR="00A5526B">
          <w:rPr>
            <w:noProof/>
            <w:webHidden/>
          </w:rPr>
          <w:fldChar w:fldCharType="end"/>
        </w:r>
      </w:hyperlink>
    </w:p>
    <w:p w14:paraId="310FBA4C" w14:textId="39FECC5A" w:rsidR="00A5526B" w:rsidRDefault="00000000">
      <w:pPr>
        <w:pStyle w:val="TableofFigures"/>
        <w:tabs>
          <w:tab w:val="right" w:leader="dot" w:pos="8630"/>
        </w:tabs>
        <w:rPr>
          <w:rFonts w:asciiTheme="minorHAnsi" w:eastAsiaTheme="minorEastAsia" w:hAnsiTheme="minorHAnsi" w:cstheme="minorBidi"/>
          <w:noProof/>
        </w:rPr>
      </w:pPr>
      <w:hyperlink w:anchor="_Toc140403959" w:history="1">
        <w:r w:rsidR="00A5526B" w:rsidRPr="004757F3">
          <w:rPr>
            <w:rStyle w:val="Hyperlink"/>
            <w:noProof/>
          </w:rPr>
          <w:t>Figure 93: Control Strategy Comparison for Summer Extreme week in Sacramento</w:t>
        </w:r>
        <w:r w:rsidR="00A5526B">
          <w:rPr>
            <w:noProof/>
            <w:webHidden/>
          </w:rPr>
          <w:tab/>
        </w:r>
        <w:r w:rsidR="00A5526B">
          <w:rPr>
            <w:noProof/>
            <w:webHidden/>
          </w:rPr>
          <w:fldChar w:fldCharType="begin"/>
        </w:r>
        <w:r w:rsidR="00A5526B">
          <w:rPr>
            <w:noProof/>
            <w:webHidden/>
          </w:rPr>
          <w:instrText xml:space="preserve"> PAGEREF _Toc140403959 \h </w:instrText>
        </w:r>
        <w:r w:rsidR="00A5526B">
          <w:rPr>
            <w:noProof/>
            <w:webHidden/>
          </w:rPr>
        </w:r>
        <w:r w:rsidR="00A5526B">
          <w:rPr>
            <w:noProof/>
            <w:webHidden/>
          </w:rPr>
          <w:fldChar w:fldCharType="separate"/>
        </w:r>
        <w:r w:rsidR="00A5526B">
          <w:rPr>
            <w:noProof/>
            <w:webHidden/>
          </w:rPr>
          <w:t>224</w:t>
        </w:r>
        <w:r w:rsidR="00A5526B">
          <w:rPr>
            <w:noProof/>
            <w:webHidden/>
          </w:rPr>
          <w:fldChar w:fldCharType="end"/>
        </w:r>
      </w:hyperlink>
    </w:p>
    <w:p w14:paraId="436AB7EC" w14:textId="47EC4155" w:rsidR="00A5526B" w:rsidRDefault="00000000">
      <w:pPr>
        <w:pStyle w:val="TableofFigures"/>
        <w:tabs>
          <w:tab w:val="right" w:leader="dot" w:pos="8630"/>
        </w:tabs>
        <w:rPr>
          <w:rFonts w:asciiTheme="minorHAnsi" w:eastAsiaTheme="minorEastAsia" w:hAnsiTheme="minorHAnsi" w:cstheme="minorBidi"/>
          <w:noProof/>
        </w:rPr>
      </w:pPr>
      <w:hyperlink w:anchor="_Toc140403960" w:history="1">
        <w:r w:rsidR="00A5526B" w:rsidRPr="004757F3">
          <w:rPr>
            <w:rStyle w:val="Hyperlink"/>
            <w:noProof/>
          </w:rPr>
          <w:t>Figure 94: Control Strategy Comparison for Winter Extreme week in Sacramento</w:t>
        </w:r>
        <w:r w:rsidR="00A5526B">
          <w:rPr>
            <w:noProof/>
            <w:webHidden/>
          </w:rPr>
          <w:tab/>
        </w:r>
        <w:r w:rsidR="00A5526B">
          <w:rPr>
            <w:noProof/>
            <w:webHidden/>
          </w:rPr>
          <w:fldChar w:fldCharType="begin"/>
        </w:r>
        <w:r w:rsidR="00A5526B">
          <w:rPr>
            <w:noProof/>
            <w:webHidden/>
          </w:rPr>
          <w:instrText xml:space="preserve"> PAGEREF _Toc140403960 \h </w:instrText>
        </w:r>
        <w:r w:rsidR="00A5526B">
          <w:rPr>
            <w:noProof/>
            <w:webHidden/>
          </w:rPr>
        </w:r>
        <w:r w:rsidR="00A5526B">
          <w:rPr>
            <w:noProof/>
            <w:webHidden/>
          </w:rPr>
          <w:fldChar w:fldCharType="separate"/>
        </w:r>
        <w:r w:rsidR="00A5526B">
          <w:rPr>
            <w:noProof/>
            <w:webHidden/>
          </w:rPr>
          <w:t>224</w:t>
        </w:r>
        <w:r w:rsidR="00A5526B">
          <w:rPr>
            <w:noProof/>
            <w:webHidden/>
          </w:rPr>
          <w:fldChar w:fldCharType="end"/>
        </w:r>
      </w:hyperlink>
    </w:p>
    <w:p w14:paraId="701EA90E" w14:textId="4918DC44" w:rsidR="00A5526B" w:rsidRDefault="00000000">
      <w:pPr>
        <w:pStyle w:val="TableofFigures"/>
        <w:tabs>
          <w:tab w:val="right" w:leader="dot" w:pos="8630"/>
        </w:tabs>
        <w:rPr>
          <w:rFonts w:asciiTheme="minorHAnsi" w:eastAsiaTheme="minorEastAsia" w:hAnsiTheme="minorHAnsi" w:cstheme="minorBidi"/>
          <w:noProof/>
        </w:rPr>
      </w:pPr>
      <w:hyperlink w:anchor="_Toc140403961" w:history="1">
        <w:r w:rsidR="00A5526B" w:rsidRPr="004757F3">
          <w:rPr>
            <w:rStyle w:val="Hyperlink"/>
            <w:noProof/>
          </w:rPr>
          <w:t>Figure 95: Broader Impacts of research.</w:t>
        </w:r>
        <w:r w:rsidR="00A5526B">
          <w:rPr>
            <w:noProof/>
            <w:webHidden/>
          </w:rPr>
          <w:tab/>
        </w:r>
        <w:r w:rsidR="00A5526B">
          <w:rPr>
            <w:noProof/>
            <w:webHidden/>
          </w:rPr>
          <w:fldChar w:fldCharType="begin"/>
        </w:r>
        <w:r w:rsidR="00A5526B">
          <w:rPr>
            <w:noProof/>
            <w:webHidden/>
          </w:rPr>
          <w:instrText xml:space="preserve"> PAGEREF _Toc140403961 \h </w:instrText>
        </w:r>
        <w:r w:rsidR="00A5526B">
          <w:rPr>
            <w:noProof/>
            <w:webHidden/>
          </w:rPr>
        </w:r>
        <w:r w:rsidR="00A5526B">
          <w:rPr>
            <w:noProof/>
            <w:webHidden/>
          </w:rPr>
          <w:fldChar w:fldCharType="separate"/>
        </w:r>
        <w:r w:rsidR="00A5526B">
          <w:rPr>
            <w:noProof/>
            <w:webHidden/>
          </w:rPr>
          <w:t>230</w:t>
        </w:r>
        <w:r w:rsidR="00A5526B">
          <w:rPr>
            <w:noProof/>
            <w:webHidden/>
          </w:rPr>
          <w:fldChar w:fldCharType="end"/>
        </w:r>
      </w:hyperlink>
    </w:p>
    <w:p w14:paraId="6348737F" w14:textId="0744ED93" w:rsidR="00A5526B" w:rsidRDefault="00000000">
      <w:pPr>
        <w:pStyle w:val="TableofFigures"/>
        <w:tabs>
          <w:tab w:val="right" w:leader="dot" w:pos="8630"/>
        </w:tabs>
        <w:rPr>
          <w:rFonts w:asciiTheme="minorHAnsi" w:eastAsiaTheme="minorEastAsia" w:hAnsiTheme="minorHAnsi" w:cstheme="minorBidi"/>
          <w:noProof/>
        </w:rPr>
      </w:pPr>
      <w:hyperlink w:anchor="_Toc140403962" w:history="1">
        <w:r w:rsidR="00A5526B" w:rsidRPr="004757F3">
          <w:rPr>
            <w:rStyle w:val="Hyperlink"/>
            <w:noProof/>
          </w:rPr>
          <w:t>Figure 96: Business model development.</w:t>
        </w:r>
        <w:r w:rsidR="00A5526B">
          <w:rPr>
            <w:noProof/>
            <w:webHidden/>
          </w:rPr>
          <w:tab/>
        </w:r>
        <w:r w:rsidR="00A5526B">
          <w:rPr>
            <w:noProof/>
            <w:webHidden/>
          </w:rPr>
          <w:fldChar w:fldCharType="begin"/>
        </w:r>
        <w:r w:rsidR="00A5526B">
          <w:rPr>
            <w:noProof/>
            <w:webHidden/>
          </w:rPr>
          <w:instrText xml:space="preserve"> PAGEREF _Toc140403962 \h </w:instrText>
        </w:r>
        <w:r w:rsidR="00A5526B">
          <w:rPr>
            <w:noProof/>
            <w:webHidden/>
          </w:rPr>
        </w:r>
        <w:r w:rsidR="00A5526B">
          <w:rPr>
            <w:noProof/>
            <w:webHidden/>
          </w:rPr>
          <w:fldChar w:fldCharType="separate"/>
        </w:r>
        <w:r w:rsidR="00A5526B">
          <w:rPr>
            <w:noProof/>
            <w:webHidden/>
          </w:rPr>
          <w:t>232</w:t>
        </w:r>
        <w:r w:rsidR="00A5526B">
          <w:rPr>
            <w:noProof/>
            <w:webHidden/>
          </w:rPr>
          <w:fldChar w:fldCharType="end"/>
        </w:r>
      </w:hyperlink>
    </w:p>
    <w:p w14:paraId="6D83C140" w14:textId="7D1E9960" w:rsidR="00A5526B" w:rsidRDefault="00000000">
      <w:pPr>
        <w:pStyle w:val="TableofFigures"/>
        <w:tabs>
          <w:tab w:val="right" w:leader="dot" w:pos="8630"/>
        </w:tabs>
        <w:rPr>
          <w:rFonts w:asciiTheme="minorHAnsi" w:eastAsiaTheme="minorEastAsia" w:hAnsiTheme="minorHAnsi" w:cstheme="minorBidi"/>
          <w:noProof/>
        </w:rPr>
      </w:pPr>
      <w:hyperlink w:anchor="_Toc140403963" w:history="1">
        <w:r w:rsidR="00A5526B" w:rsidRPr="004757F3">
          <w:rPr>
            <w:rStyle w:val="Hyperlink"/>
            <w:noProof/>
          </w:rPr>
          <w:t>Figure 97: Market adaptation framework.</w:t>
        </w:r>
        <w:r w:rsidR="00A5526B">
          <w:rPr>
            <w:noProof/>
            <w:webHidden/>
          </w:rPr>
          <w:tab/>
        </w:r>
        <w:r w:rsidR="00A5526B">
          <w:rPr>
            <w:noProof/>
            <w:webHidden/>
          </w:rPr>
          <w:fldChar w:fldCharType="begin"/>
        </w:r>
        <w:r w:rsidR="00A5526B">
          <w:rPr>
            <w:noProof/>
            <w:webHidden/>
          </w:rPr>
          <w:instrText xml:space="preserve"> PAGEREF _Toc140403963 \h </w:instrText>
        </w:r>
        <w:r w:rsidR="00A5526B">
          <w:rPr>
            <w:noProof/>
            <w:webHidden/>
          </w:rPr>
        </w:r>
        <w:r w:rsidR="00A5526B">
          <w:rPr>
            <w:noProof/>
            <w:webHidden/>
          </w:rPr>
          <w:fldChar w:fldCharType="separate"/>
        </w:r>
        <w:r w:rsidR="00A5526B">
          <w:rPr>
            <w:noProof/>
            <w:webHidden/>
          </w:rPr>
          <w:t>233</w:t>
        </w:r>
        <w:r w:rsidR="00A5526B">
          <w:rPr>
            <w:noProof/>
            <w:webHidden/>
          </w:rPr>
          <w:fldChar w:fldCharType="end"/>
        </w:r>
      </w:hyperlink>
    </w:p>
    <w:p w14:paraId="7299A696" w14:textId="1D104DEB" w:rsidR="00A5526B" w:rsidRDefault="00000000">
      <w:pPr>
        <w:pStyle w:val="TableofFigures"/>
        <w:tabs>
          <w:tab w:val="right" w:leader="dot" w:pos="8630"/>
        </w:tabs>
        <w:rPr>
          <w:rFonts w:asciiTheme="minorHAnsi" w:eastAsiaTheme="minorEastAsia" w:hAnsiTheme="minorHAnsi" w:cstheme="minorBidi"/>
          <w:noProof/>
        </w:rPr>
      </w:pPr>
      <w:hyperlink w:anchor="_Toc140403964" w:history="1">
        <w:r w:rsidR="00A5526B" w:rsidRPr="004757F3">
          <w:rPr>
            <w:rStyle w:val="Hyperlink"/>
            <w:noProof/>
          </w:rPr>
          <w:t>Figure 98: Historical trend of PCMs for HP-TES</w:t>
        </w:r>
        <w:r w:rsidR="00A5526B">
          <w:rPr>
            <w:noProof/>
            <w:webHidden/>
          </w:rPr>
          <w:tab/>
        </w:r>
        <w:r w:rsidR="00A5526B">
          <w:rPr>
            <w:noProof/>
            <w:webHidden/>
          </w:rPr>
          <w:fldChar w:fldCharType="begin"/>
        </w:r>
        <w:r w:rsidR="00A5526B">
          <w:rPr>
            <w:noProof/>
            <w:webHidden/>
          </w:rPr>
          <w:instrText xml:space="preserve"> PAGEREF _Toc140403964 \h </w:instrText>
        </w:r>
        <w:r w:rsidR="00A5526B">
          <w:rPr>
            <w:noProof/>
            <w:webHidden/>
          </w:rPr>
        </w:r>
        <w:r w:rsidR="00A5526B">
          <w:rPr>
            <w:noProof/>
            <w:webHidden/>
          </w:rPr>
          <w:fldChar w:fldCharType="separate"/>
        </w:r>
        <w:r w:rsidR="00A5526B">
          <w:rPr>
            <w:noProof/>
            <w:webHidden/>
          </w:rPr>
          <w:t>265</w:t>
        </w:r>
        <w:r w:rsidR="00A5526B">
          <w:rPr>
            <w:noProof/>
            <w:webHidden/>
          </w:rPr>
          <w:fldChar w:fldCharType="end"/>
        </w:r>
      </w:hyperlink>
    </w:p>
    <w:p w14:paraId="0B98CFE4" w14:textId="3DBB4A14" w:rsidR="00A5526B" w:rsidRDefault="00000000">
      <w:pPr>
        <w:pStyle w:val="TableofFigures"/>
        <w:tabs>
          <w:tab w:val="right" w:leader="dot" w:pos="8630"/>
        </w:tabs>
        <w:rPr>
          <w:rFonts w:asciiTheme="minorHAnsi" w:eastAsiaTheme="minorEastAsia" w:hAnsiTheme="minorHAnsi" w:cstheme="minorBidi"/>
          <w:noProof/>
        </w:rPr>
      </w:pPr>
      <w:hyperlink w:anchor="_Toc140403965" w:history="1">
        <w:r w:rsidR="00A5526B" w:rsidRPr="004757F3">
          <w:rPr>
            <w:rStyle w:val="Hyperlink"/>
            <w:noProof/>
          </w:rPr>
          <w:t>Figure 99: Historical trend of HP-TES research with TES type</w:t>
        </w:r>
        <w:r w:rsidR="00A5526B">
          <w:rPr>
            <w:noProof/>
            <w:webHidden/>
          </w:rPr>
          <w:tab/>
        </w:r>
        <w:r w:rsidR="00A5526B">
          <w:rPr>
            <w:noProof/>
            <w:webHidden/>
          </w:rPr>
          <w:fldChar w:fldCharType="begin"/>
        </w:r>
        <w:r w:rsidR="00A5526B">
          <w:rPr>
            <w:noProof/>
            <w:webHidden/>
          </w:rPr>
          <w:instrText xml:space="preserve"> PAGEREF _Toc140403965 \h </w:instrText>
        </w:r>
        <w:r w:rsidR="00A5526B">
          <w:rPr>
            <w:noProof/>
            <w:webHidden/>
          </w:rPr>
        </w:r>
        <w:r w:rsidR="00A5526B">
          <w:rPr>
            <w:noProof/>
            <w:webHidden/>
          </w:rPr>
          <w:fldChar w:fldCharType="separate"/>
        </w:r>
        <w:r w:rsidR="00A5526B">
          <w:rPr>
            <w:noProof/>
            <w:webHidden/>
          </w:rPr>
          <w:t>265</w:t>
        </w:r>
        <w:r w:rsidR="00A5526B">
          <w:rPr>
            <w:noProof/>
            <w:webHidden/>
          </w:rPr>
          <w:fldChar w:fldCharType="end"/>
        </w:r>
      </w:hyperlink>
    </w:p>
    <w:p w14:paraId="006C1A00" w14:textId="2FA61D17" w:rsidR="00A5526B" w:rsidRDefault="00000000">
      <w:pPr>
        <w:pStyle w:val="TableofFigures"/>
        <w:tabs>
          <w:tab w:val="right" w:leader="dot" w:pos="8630"/>
        </w:tabs>
        <w:rPr>
          <w:rFonts w:asciiTheme="minorHAnsi" w:eastAsiaTheme="minorEastAsia" w:hAnsiTheme="minorHAnsi" w:cstheme="minorBidi"/>
          <w:noProof/>
        </w:rPr>
      </w:pPr>
      <w:hyperlink w:anchor="_Toc140403966" w:history="1">
        <w:r w:rsidR="00A5526B" w:rsidRPr="004757F3">
          <w:rPr>
            <w:rStyle w:val="Hyperlink"/>
            <w:noProof/>
          </w:rPr>
          <w:t>Figure 100: Payback period comparison against configurations</w:t>
        </w:r>
        <w:r w:rsidR="00A5526B">
          <w:rPr>
            <w:noProof/>
            <w:webHidden/>
          </w:rPr>
          <w:tab/>
        </w:r>
        <w:r w:rsidR="00A5526B">
          <w:rPr>
            <w:noProof/>
            <w:webHidden/>
          </w:rPr>
          <w:fldChar w:fldCharType="begin"/>
        </w:r>
        <w:r w:rsidR="00A5526B">
          <w:rPr>
            <w:noProof/>
            <w:webHidden/>
          </w:rPr>
          <w:instrText xml:space="preserve"> PAGEREF _Toc140403966 \h </w:instrText>
        </w:r>
        <w:r w:rsidR="00A5526B">
          <w:rPr>
            <w:noProof/>
            <w:webHidden/>
          </w:rPr>
        </w:r>
        <w:r w:rsidR="00A5526B">
          <w:rPr>
            <w:noProof/>
            <w:webHidden/>
          </w:rPr>
          <w:fldChar w:fldCharType="separate"/>
        </w:r>
        <w:r w:rsidR="00A5526B">
          <w:rPr>
            <w:noProof/>
            <w:webHidden/>
          </w:rPr>
          <w:t>266</w:t>
        </w:r>
        <w:r w:rsidR="00A5526B">
          <w:rPr>
            <w:noProof/>
            <w:webHidden/>
          </w:rPr>
          <w:fldChar w:fldCharType="end"/>
        </w:r>
      </w:hyperlink>
    </w:p>
    <w:p w14:paraId="4E2E2001" w14:textId="2AD45B29" w:rsidR="00A5526B" w:rsidRDefault="00000000">
      <w:pPr>
        <w:pStyle w:val="TableofFigures"/>
        <w:tabs>
          <w:tab w:val="right" w:leader="dot" w:pos="8630"/>
        </w:tabs>
        <w:rPr>
          <w:rFonts w:asciiTheme="minorHAnsi" w:eastAsiaTheme="minorEastAsia" w:hAnsiTheme="minorHAnsi" w:cstheme="minorBidi"/>
          <w:noProof/>
        </w:rPr>
      </w:pPr>
      <w:hyperlink w:anchor="_Toc140403967" w:history="1">
        <w:r w:rsidR="00A5526B" w:rsidRPr="004757F3">
          <w:rPr>
            <w:rStyle w:val="Hyperlink"/>
            <w:noProof/>
          </w:rPr>
          <w:t>Figure 101: Payback period comparison against application</w:t>
        </w:r>
        <w:r w:rsidR="00A5526B">
          <w:rPr>
            <w:noProof/>
            <w:webHidden/>
          </w:rPr>
          <w:tab/>
        </w:r>
        <w:r w:rsidR="00A5526B">
          <w:rPr>
            <w:noProof/>
            <w:webHidden/>
          </w:rPr>
          <w:fldChar w:fldCharType="begin"/>
        </w:r>
        <w:r w:rsidR="00A5526B">
          <w:rPr>
            <w:noProof/>
            <w:webHidden/>
          </w:rPr>
          <w:instrText xml:space="preserve"> PAGEREF _Toc140403967 \h </w:instrText>
        </w:r>
        <w:r w:rsidR="00A5526B">
          <w:rPr>
            <w:noProof/>
            <w:webHidden/>
          </w:rPr>
        </w:r>
        <w:r w:rsidR="00A5526B">
          <w:rPr>
            <w:noProof/>
            <w:webHidden/>
          </w:rPr>
          <w:fldChar w:fldCharType="separate"/>
        </w:r>
        <w:r w:rsidR="00A5526B">
          <w:rPr>
            <w:noProof/>
            <w:webHidden/>
          </w:rPr>
          <w:t>266</w:t>
        </w:r>
        <w:r w:rsidR="00A5526B">
          <w:rPr>
            <w:noProof/>
            <w:webHidden/>
          </w:rPr>
          <w:fldChar w:fldCharType="end"/>
        </w:r>
      </w:hyperlink>
    </w:p>
    <w:p w14:paraId="5A8EB46F" w14:textId="733B4C95" w:rsidR="00A5526B" w:rsidRDefault="00000000">
      <w:pPr>
        <w:pStyle w:val="TableofFigures"/>
        <w:tabs>
          <w:tab w:val="right" w:leader="dot" w:pos="8630"/>
        </w:tabs>
        <w:rPr>
          <w:rFonts w:asciiTheme="minorHAnsi" w:eastAsiaTheme="minorEastAsia" w:hAnsiTheme="minorHAnsi" w:cstheme="minorBidi"/>
          <w:noProof/>
        </w:rPr>
      </w:pPr>
      <w:hyperlink w:anchor="_Toc140403968" w:history="1">
        <w:r w:rsidR="00A5526B" w:rsidRPr="004757F3">
          <w:rPr>
            <w:rStyle w:val="Hyperlink"/>
            <w:noProof/>
          </w:rPr>
          <w:t>Figure 102: Load shifting comparison against application</w:t>
        </w:r>
        <w:r w:rsidR="00A5526B">
          <w:rPr>
            <w:noProof/>
            <w:webHidden/>
          </w:rPr>
          <w:tab/>
        </w:r>
        <w:r w:rsidR="00A5526B">
          <w:rPr>
            <w:noProof/>
            <w:webHidden/>
          </w:rPr>
          <w:fldChar w:fldCharType="begin"/>
        </w:r>
        <w:r w:rsidR="00A5526B">
          <w:rPr>
            <w:noProof/>
            <w:webHidden/>
          </w:rPr>
          <w:instrText xml:space="preserve"> PAGEREF _Toc140403968 \h </w:instrText>
        </w:r>
        <w:r w:rsidR="00A5526B">
          <w:rPr>
            <w:noProof/>
            <w:webHidden/>
          </w:rPr>
        </w:r>
        <w:r w:rsidR="00A5526B">
          <w:rPr>
            <w:noProof/>
            <w:webHidden/>
          </w:rPr>
          <w:fldChar w:fldCharType="separate"/>
        </w:r>
        <w:r w:rsidR="00A5526B">
          <w:rPr>
            <w:noProof/>
            <w:webHidden/>
          </w:rPr>
          <w:t>267</w:t>
        </w:r>
        <w:r w:rsidR="00A5526B">
          <w:rPr>
            <w:noProof/>
            <w:webHidden/>
          </w:rPr>
          <w:fldChar w:fldCharType="end"/>
        </w:r>
      </w:hyperlink>
    </w:p>
    <w:p w14:paraId="2FACE51C" w14:textId="2B632AFB" w:rsidR="00A5526B" w:rsidRDefault="00000000">
      <w:pPr>
        <w:pStyle w:val="TableofFigures"/>
        <w:tabs>
          <w:tab w:val="right" w:leader="dot" w:pos="8630"/>
        </w:tabs>
        <w:rPr>
          <w:rFonts w:asciiTheme="minorHAnsi" w:eastAsiaTheme="minorEastAsia" w:hAnsiTheme="minorHAnsi" w:cstheme="minorBidi"/>
          <w:noProof/>
        </w:rPr>
      </w:pPr>
      <w:hyperlink w:anchor="_Toc140403969" w:history="1">
        <w:r w:rsidR="00A5526B" w:rsidRPr="004757F3">
          <w:rPr>
            <w:rStyle w:val="Hyperlink"/>
            <w:noProof/>
          </w:rPr>
          <w:t>Figure 103: Load shifting comparison against configuration</w:t>
        </w:r>
        <w:r w:rsidR="00A5526B">
          <w:rPr>
            <w:noProof/>
            <w:webHidden/>
          </w:rPr>
          <w:tab/>
        </w:r>
        <w:r w:rsidR="00A5526B">
          <w:rPr>
            <w:noProof/>
            <w:webHidden/>
          </w:rPr>
          <w:fldChar w:fldCharType="begin"/>
        </w:r>
        <w:r w:rsidR="00A5526B">
          <w:rPr>
            <w:noProof/>
            <w:webHidden/>
          </w:rPr>
          <w:instrText xml:space="preserve"> PAGEREF _Toc140403969 \h </w:instrText>
        </w:r>
        <w:r w:rsidR="00A5526B">
          <w:rPr>
            <w:noProof/>
            <w:webHidden/>
          </w:rPr>
        </w:r>
        <w:r w:rsidR="00A5526B">
          <w:rPr>
            <w:noProof/>
            <w:webHidden/>
          </w:rPr>
          <w:fldChar w:fldCharType="separate"/>
        </w:r>
        <w:r w:rsidR="00A5526B">
          <w:rPr>
            <w:noProof/>
            <w:webHidden/>
          </w:rPr>
          <w:t>267</w:t>
        </w:r>
        <w:r w:rsidR="00A5526B">
          <w:rPr>
            <w:noProof/>
            <w:webHidden/>
          </w:rPr>
          <w:fldChar w:fldCharType="end"/>
        </w:r>
      </w:hyperlink>
    </w:p>
    <w:p w14:paraId="16DE3466" w14:textId="2097A00D" w:rsidR="00A5526B" w:rsidRDefault="00000000">
      <w:pPr>
        <w:pStyle w:val="TableofFigures"/>
        <w:tabs>
          <w:tab w:val="right" w:leader="dot" w:pos="8630"/>
        </w:tabs>
        <w:rPr>
          <w:rFonts w:asciiTheme="minorHAnsi" w:eastAsiaTheme="minorEastAsia" w:hAnsiTheme="minorHAnsi" w:cstheme="minorBidi"/>
          <w:noProof/>
        </w:rPr>
      </w:pPr>
      <w:hyperlink w:anchor="_Toc140403970" w:history="1">
        <w:r w:rsidR="00A5526B" w:rsidRPr="004757F3">
          <w:rPr>
            <w:rStyle w:val="Hyperlink"/>
            <w:noProof/>
          </w:rPr>
          <w:t>Figure 104: Demand Impact comparison against application</w:t>
        </w:r>
        <w:r w:rsidR="00A5526B">
          <w:rPr>
            <w:noProof/>
            <w:webHidden/>
          </w:rPr>
          <w:tab/>
        </w:r>
        <w:r w:rsidR="00A5526B">
          <w:rPr>
            <w:noProof/>
            <w:webHidden/>
          </w:rPr>
          <w:fldChar w:fldCharType="begin"/>
        </w:r>
        <w:r w:rsidR="00A5526B">
          <w:rPr>
            <w:noProof/>
            <w:webHidden/>
          </w:rPr>
          <w:instrText xml:space="preserve"> PAGEREF _Toc140403970 \h </w:instrText>
        </w:r>
        <w:r w:rsidR="00A5526B">
          <w:rPr>
            <w:noProof/>
            <w:webHidden/>
          </w:rPr>
        </w:r>
        <w:r w:rsidR="00A5526B">
          <w:rPr>
            <w:noProof/>
            <w:webHidden/>
          </w:rPr>
          <w:fldChar w:fldCharType="separate"/>
        </w:r>
        <w:r w:rsidR="00A5526B">
          <w:rPr>
            <w:noProof/>
            <w:webHidden/>
          </w:rPr>
          <w:t>268</w:t>
        </w:r>
        <w:r w:rsidR="00A5526B">
          <w:rPr>
            <w:noProof/>
            <w:webHidden/>
          </w:rPr>
          <w:fldChar w:fldCharType="end"/>
        </w:r>
      </w:hyperlink>
    </w:p>
    <w:p w14:paraId="658CDCA2" w14:textId="5045224A" w:rsidR="00A5526B" w:rsidRDefault="00000000">
      <w:pPr>
        <w:pStyle w:val="TableofFigures"/>
        <w:tabs>
          <w:tab w:val="right" w:leader="dot" w:pos="8630"/>
        </w:tabs>
        <w:rPr>
          <w:rFonts w:asciiTheme="minorHAnsi" w:eastAsiaTheme="minorEastAsia" w:hAnsiTheme="minorHAnsi" w:cstheme="minorBidi"/>
          <w:noProof/>
        </w:rPr>
      </w:pPr>
      <w:hyperlink w:anchor="_Toc140403971" w:history="1">
        <w:r w:rsidR="00A5526B" w:rsidRPr="004757F3">
          <w:rPr>
            <w:rStyle w:val="Hyperlink"/>
            <w:noProof/>
          </w:rPr>
          <w:t>Figure 105: Demand Impact comparison against climate zone</w:t>
        </w:r>
        <w:r w:rsidR="00A5526B">
          <w:rPr>
            <w:noProof/>
            <w:webHidden/>
          </w:rPr>
          <w:tab/>
        </w:r>
        <w:r w:rsidR="00A5526B">
          <w:rPr>
            <w:noProof/>
            <w:webHidden/>
          </w:rPr>
          <w:fldChar w:fldCharType="begin"/>
        </w:r>
        <w:r w:rsidR="00A5526B">
          <w:rPr>
            <w:noProof/>
            <w:webHidden/>
          </w:rPr>
          <w:instrText xml:space="preserve"> PAGEREF _Toc140403971 \h </w:instrText>
        </w:r>
        <w:r w:rsidR="00A5526B">
          <w:rPr>
            <w:noProof/>
            <w:webHidden/>
          </w:rPr>
        </w:r>
        <w:r w:rsidR="00A5526B">
          <w:rPr>
            <w:noProof/>
            <w:webHidden/>
          </w:rPr>
          <w:fldChar w:fldCharType="separate"/>
        </w:r>
        <w:r w:rsidR="00A5526B">
          <w:rPr>
            <w:noProof/>
            <w:webHidden/>
          </w:rPr>
          <w:t>268</w:t>
        </w:r>
        <w:r w:rsidR="00A5526B">
          <w:rPr>
            <w:noProof/>
            <w:webHidden/>
          </w:rPr>
          <w:fldChar w:fldCharType="end"/>
        </w:r>
      </w:hyperlink>
    </w:p>
    <w:p w14:paraId="67F919CD" w14:textId="295AB964" w:rsidR="00A5526B" w:rsidRDefault="00000000">
      <w:pPr>
        <w:pStyle w:val="TableofFigures"/>
        <w:tabs>
          <w:tab w:val="right" w:leader="dot" w:pos="8630"/>
        </w:tabs>
        <w:rPr>
          <w:rFonts w:asciiTheme="minorHAnsi" w:eastAsiaTheme="minorEastAsia" w:hAnsiTheme="minorHAnsi" w:cstheme="minorBidi"/>
          <w:noProof/>
        </w:rPr>
      </w:pPr>
      <w:hyperlink w:anchor="_Toc140403972" w:history="1">
        <w:r w:rsidR="00A5526B" w:rsidRPr="004757F3">
          <w:rPr>
            <w:rStyle w:val="Hyperlink"/>
            <w:noProof/>
          </w:rPr>
          <w:t>Figure 106: Energy savings comparison against application</w:t>
        </w:r>
        <w:r w:rsidR="00A5526B">
          <w:rPr>
            <w:noProof/>
            <w:webHidden/>
          </w:rPr>
          <w:tab/>
        </w:r>
        <w:r w:rsidR="00A5526B">
          <w:rPr>
            <w:noProof/>
            <w:webHidden/>
          </w:rPr>
          <w:fldChar w:fldCharType="begin"/>
        </w:r>
        <w:r w:rsidR="00A5526B">
          <w:rPr>
            <w:noProof/>
            <w:webHidden/>
          </w:rPr>
          <w:instrText xml:space="preserve"> PAGEREF _Toc140403972 \h </w:instrText>
        </w:r>
        <w:r w:rsidR="00A5526B">
          <w:rPr>
            <w:noProof/>
            <w:webHidden/>
          </w:rPr>
        </w:r>
        <w:r w:rsidR="00A5526B">
          <w:rPr>
            <w:noProof/>
            <w:webHidden/>
          </w:rPr>
          <w:fldChar w:fldCharType="separate"/>
        </w:r>
        <w:r w:rsidR="00A5526B">
          <w:rPr>
            <w:noProof/>
            <w:webHidden/>
          </w:rPr>
          <w:t>269</w:t>
        </w:r>
        <w:r w:rsidR="00A5526B">
          <w:rPr>
            <w:noProof/>
            <w:webHidden/>
          </w:rPr>
          <w:fldChar w:fldCharType="end"/>
        </w:r>
      </w:hyperlink>
    </w:p>
    <w:p w14:paraId="5A5FBD57" w14:textId="6C432CAD" w:rsidR="00A5526B" w:rsidRDefault="00000000">
      <w:pPr>
        <w:pStyle w:val="TableofFigures"/>
        <w:tabs>
          <w:tab w:val="right" w:leader="dot" w:pos="8630"/>
        </w:tabs>
        <w:rPr>
          <w:rFonts w:asciiTheme="minorHAnsi" w:eastAsiaTheme="minorEastAsia" w:hAnsiTheme="minorHAnsi" w:cstheme="minorBidi"/>
          <w:noProof/>
        </w:rPr>
      </w:pPr>
      <w:hyperlink w:anchor="_Toc140403973" w:history="1">
        <w:r w:rsidR="00A5526B" w:rsidRPr="004757F3">
          <w:rPr>
            <w:rStyle w:val="Hyperlink"/>
            <w:noProof/>
          </w:rPr>
          <w:t>Figure 107: Energy savings comparison against PCM type</w:t>
        </w:r>
        <w:r w:rsidR="00A5526B">
          <w:rPr>
            <w:noProof/>
            <w:webHidden/>
          </w:rPr>
          <w:tab/>
        </w:r>
        <w:r w:rsidR="00A5526B">
          <w:rPr>
            <w:noProof/>
            <w:webHidden/>
          </w:rPr>
          <w:fldChar w:fldCharType="begin"/>
        </w:r>
        <w:r w:rsidR="00A5526B">
          <w:rPr>
            <w:noProof/>
            <w:webHidden/>
          </w:rPr>
          <w:instrText xml:space="preserve"> PAGEREF _Toc140403973 \h </w:instrText>
        </w:r>
        <w:r w:rsidR="00A5526B">
          <w:rPr>
            <w:noProof/>
            <w:webHidden/>
          </w:rPr>
        </w:r>
        <w:r w:rsidR="00A5526B">
          <w:rPr>
            <w:noProof/>
            <w:webHidden/>
          </w:rPr>
          <w:fldChar w:fldCharType="separate"/>
        </w:r>
        <w:r w:rsidR="00A5526B">
          <w:rPr>
            <w:noProof/>
            <w:webHidden/>
          </w:rPr>
          <w:t>269</w:t>
        </w:r>
        <w:r w:rsidR="00A5526B">
          <w:rPr>
            <w:noProof/>
            <w:webHidden/>
          </w:rPr>
          <w:fldChar w:fldCharType="end"/>
        </w:r>
      </w:hyperlink>
    </w:p>
    <w:p w14:paraId="25EF93B7" w14:textId="22AA7859" w:rsidR="00A5526B" w:rsidRDefault="00000000">
      <w:pPr>
        <w:pStyle w:val="TableofFigures"/>
        <w:tabs>
          <w:tab w:val="right" w:leader="dot" w:pos="8630"/>
        </w:tabs>
        <w:rPr>
          <w:rFonts w:asciiTheme="minorHAnsi" w:eastAsiaTheme="minorEastAsia" w:hAnsiTheme="minorHAnsi" w:cstheme="minorBidi"/>
          <w:noProof/>
        </w:rPr>
      </w:pPr>
      <w:hyperlink w:anchor="_Toc140403974" w:history="1">
        <w:r w:rsidR="00A5526B" w:rsidRPr="004757F3">
          <w:rPr>
            <w:rStyle w:val="Hyperlink"/>
            <w:noProof/>
          </w:rPr>
          <w:t>Figure 108: Utility cost comparison against climate zone</w:t>
        </w:r>
        <w:r w:rsidR="00A5526B">
          <w:rPr>
            <w:noProof/>
            <w:webHidden/>
          </w:rPr>
          <w:tab/>
        </w:r>
        <w:r w:rsidR="00A5526B">
          <w:rPr>
            <w:noProof/>
            <w:webHidden/>
          </w:rPr>
          <w:fldChar w:fldCharType="begin"/>
        </w:r>
        <w:r w:rsidR="00A5526B">
          <w:rPr>
            <w:noProof/>
            <w:webHidden/>
          </w:rPr>
          <w:instrText xml:space="preserve"> PAGEREF _Toc140403974 \h </w:instrText>
        </w:r>
        <w:r w:rsidR="00A5526B">
          <w:rPr>
            <w:noProof/>
            <w:webHidden/>
          </w:rPr>
        </w:r>
        <w:r w:rsidR="00A5526B">
          <w:rPr>
            <w:noProof/>
            <w:webHidden/>
          </w:rPr>
          <w:fldChar w:fldCharType="separate"/>
        </w:r>
        <w:r w:rsidR="00A5526B">
          <w:rPr>
            <w:noProof/>
            <w:webHidden/>
          </w:rPr>
          <w:t>270</w:t>
        </w:r>
        <w:r w:rsidR="00A5526B">
          <w:rPr>
            <w:noProof/>
            <w:webHidden/>
          </w:rPr>
          <w:fldChar w:fldCharType="end"/>
        </w:r>
      </w:hyperlink>
    </w:p>
    <w:p w14:paraId="7302968A" w14:textId="169CCAB4" w:rsidR="00A5526B" w:rsidRDefault="00000000">
      <w:pPr>
        <w:pStyle w:val="TableofFigures"/>
        <w:tabs>
          <w:tab w:val="right" w:leader="dot" w:pos="8630"/>
        </w:tabs>
        <w:rPr>
          <w:rFonts w:asciiTheme="minorHAnsi" w:eastAsiaTheme="minorEastAsia" w:hAnsiTheme="minorHAnsi" w:cstheme="minorBidi"/>
          <w:noProof/>
        </w:rPr>
      </w:pPr>
      <w:hyperlink w:anchor="_Toc140403975" w:history="1">
        <w:r w:rsidR="00A5526B" w:rsidRPr="004757F3">
          <w:rPr>
            <w:rStyle w:val="Hyperlink"/>
            <w:noProof/>
          </w:rPr>
          <w:t>Figure 109: Utility cost comparison against TES type</w:t>
        </w:r>
        <w:r w:rsidR="00A5526B">
          <w:rPr>
            <w:noProof/>
            <w:webHidden/>
          </w:rPr>
          <w:tab/>
        </w:r>
        <w:r w:rsidR="00A5526B">
          <w:rPr>
            <w:noProof/>
            <w:webHidden/>
          </w:rPr>
          <w:fldChar w:fldCharType="begin"/>
        </w:r>
        <w:r w:rsidR="00A5526B">
          <w:rPr>
            <w:noProof/>
            <w:webHidden/>
          </w:rPr>
          <w:instrText xml:space="preserve"> PAGEREF _Toc140403975 \h </w:instrText>
        </w:r>
        <w:r w:rsidR="00A5526B">
          <w:rPr>
            <w:noProof/>
            <w:webHidden/>
          </w:rPr>
        </w:r>
        <w:r w:rsidR="00A5526B">
          <w:rPr>
            <w:noProof/>
            <w:webHidden/>
          </w:rPr>
          <w:fldChar w:fldCharType="separate"/>
        </w:r>
        <w:r w:rsidR="00A5526B">
          <w:rPr>
            <w:noProof/>
            <w:webHidden/>
          </w:rPr>
          <w:t>270</w:t>
        </w:r>
        <w:r w:rsidR="00A5526B">
          <w:rPr>
            <w:noProof/>
            <w:webHidden/>
          </w:rPr>
          <w:fldChar w:fldCharType="end"/>
        </w:r>
      </w:hyperlink>
    </w:p>
    <w:p w14:paraId="45561BC7" w14:textId="1EAEDB9A" w:rsidR="00A5526B" w:rsidRDefault="00000000">
      <w:pPr>
        <w:pStyle w:val="TableofFigures"/>
        <w:tabs>
          <w:tab w:val="right" w:leader="dot" w:pos="8630"/>
        </w:tabs>
        <w:rPr>
          <w:rFonts w:asciiTheme="minorHAnsi" w:eastAsiaTheme="minorEastAsia" w:hAnsiTheme="minorHAnsi" w:cstheme="minorBidi"/>
          <w:noProof/>
        </w:rPr>
      </w:pPr>
      <w:hyperlink w:anchor="_Toc140403976" w:history="1">
        <w:r w:rsidR="00A5526B" w:rsidRPr="004757F3">
          <w:rPr>
            <w:rStyle w:val="Hyperlink"/>
            <w:rFonts w:cs="Times New Roman"/>
            <w:noProof/>
          </w:rPr>
          <w:t>Figure 110: Alabama Ambient TMY</w:t>
        </w:r>
        <w:r w:rsidR="00A5526B">
          <w:rPr>
            <w:noProof/>
            <w:webHidden/>
          </w:rPr>
          <w:tab/>
        </w:r>
        <w:r w:rsidR="00A5526B">
          <w:rPr>
            <w:noProof/>
            <w:webHidden/>
          </w:rPr>
          <w:fldChar w:fldCharType="begin"/>
        </w:r>
        <w:r w:rsidR="00A5526B">
          <w:rPr>
            <w:noProof/>
            <w:webHidden/>
          </w:rPr>
          <w:instrText xml:space="preserve"> PAGEREF _Toc140403976 \h </w:instrText>
        </w:r>
        <w:r w:rsidR="00A5526B">
          <w:rPr>
            <w:noProof/>
            <w:webHidden/>
          </w:rPr>
        </w:r>
        <w:r w:rsidR="00A5526B">
          <w:rPr>
            <w:noProof/>
            <w:webHidden/>
          </w:rPr>
          <w:fldChar w:fldCharType="separate"/>
        </w:r>
        <w:r w:rsidR="00A5526B">
          <w:rPr>
            <w:noProof/>
            <w:webHidden/>
          </w:rPr>
          <w:t>271</w:t>
        </w:r>
        <w:r w:rsidR="00A5526B">
          <w:rPr>
            <w:noProof/>
            <w:webHidden/>
          </w:rPr>
          <w:fldChar w:fldCharType="end"/>
        </w:r>
      </w:hyperlink>
    </w:p>
    <w:p w14:paraId="13746DA6" w14:textId="6CF85CA8" w:rsidR="00A5526B" w:rsidRDefault="00000000">
      <w:pPr>
        <w:pStyle w:val="TableofFigures"/>
        <w:tabs>
          <w:tab w:val="right" w:leader="dot" w:pos="8630"/>
        </w:tabs>
        <w:rPr>
          <w:rFonts w:asciiTheme="minorHAnsi" w:eastAsiaTheme="minorEastAsia" w:hAnsiTheme="minorHAnsi" w:cstheme="minorBidi"/>
          <w:noProof/>
        </w:rPr>
      </w:pPr>
      <w:hyperlink w:anchor="_Toc140403977" w:history="1">
        <w:r w:rsidR="00A5526B" w:rsidRPr="004757F3">
          <w:rPr>
            <w:rStyle w:val="Hyperlink"/>
            <w:noProof/>
          </w:rPr>
          <w:t>Figure 111: HP-TES Normal mode COP</w:t>
        </w:r>
        <w:r w:rsidR="00A5526B">
          <w:rPr>
            <w:noProof/>
            <w:webHidden/>
          </w:rPr>
          <w:tab/>
        </w:r>
        <w:r w:rsidR="00A5526B">
          <w:rPr>
            <w:noProof/>
            <w:webHidden/>
          </w:rPr>
          <w:fldChar w:fldCharType="begin"/>
        </w:r>
        <w:r w:rsidR="00A5526B">
          <w:rPr>
            <w:noProof/>
            <w:webHidden/>
          </w:rPr>
          <w:instrText xml:space="preserve"> PAGEREF _Toc140403977 \h </w:instrText>
        </w:r>
        <w:r w:rsidR="00A5526B">
          <w:rPr>
            <w:noProof/>
            <w:webHidden/>
          </w:rPr>
        </w:r>
        <w:r w:rsidR="00A5526B">
          <w:rPr>
            <w:noProof/>
            <w:webHidden/>
          </w:rPr>
          <w:fldChar w:fldCharType="separate"/>
        </w:r>
        <w:r w:rsidR="00A5526B">
          <w:rPr>
            <w:noProof/>
            <w:webHidden/>
          </w:rPr>
          <w:t>272</w:t>
        </w:r>
        <w:r w:rsidR="00A5526B">
          <w:rPr>
            <w:noProof/>
            <w:webHidden/>
          </w:rPr>
          <w:fldChar w:fldCharType="end"/>
        </w:r>
      </w:hyperlink>
    </w:p>
    <w:p w14:paraId="749F304D" w14:textId="3AE640BA" w:rsidR="00A5526B" w:rsidRDefault="00000000">
      <w:pPr>
        <w:pStyle w:val="TableofFigures"/>
        <w:tabs>
          <w:tab w:val="right" w:leader="dot" w:pos="8630"/>
        </w:tabs>
        <w:rPr>
          <w:rFonts w:asciiTheme="minorHAnsi" w:eastAsiaTheme="minorEastAsia" w:hAnsiTheme="minorHAnsi" w:cstheme="minorBidi"/>
          <w:noProof/>
        </w:rPr>
      </w:pPr>
      <w:hyperlink w:anchor="_Toc140403978" w:history="1">
        <w:r w:rsidR="00A5526B" w:rsidRPr="004757F3">
          <w:rPr>
            <w:rStyle w:val="Hyperlink"/>
            <w:noProof/>
          </w:rPr>
          <w:t>Figure 112: HP-TES Charging mode COP</w:t>
        </w:r>
        <w:r w:rsidR="00A5526B">
          <w:rPr>
            <w:noProof/>
            <w:webHidden/>
          </w:rPr>
          <w:tab/>
        </w:r>
        <w:r w:rsidR="00A5526B">
          <w:rPr>
            <w:noProof/>
            <w:webHidden/>
          </w:rPr>
          <w:fldChar w:fldCharType="begin"/>
        </w:r>
        <w:r w:rsidR="00A5526B">
          <w:rPr>
            <w:noProof/>
            <w:webHidden/>
          </w:rPr>
          <w:instrText xml:space="preserve"> PAGEREF _Toc140403978 \h </w:instrText>
        </w:r>
        <w:r w:rsidR="00A5526B">
          <w:rPr>
            <w:noProof/>
            <w:webHidden/>
          </w:rPr>
        </w:r>
        <w:r w:rsidR="00A5526B">
          <w:rPr>
            <w:noProof/>
            <w:webHidden/>
          </w:rPr>
          <w:fldChar w:fldCharType="separate"/>
        </w:r>
        <w:r w:rsidR="00A5526B">
          <w:rPr>
            <w:noProof/>
            <w:webHidden/>
          </w:rPr>
          <w:t>272</w:t>
        </w:r>
        <w:r w:rsidR="00A5526B">
          <w:rPr>
            <w:noProof/>
            <w:webHidden/>
          </w:rPr>
          <w:fldChar w:fldCharType="end"/>
        </w:r>
      </w:hyperlink>
    </w:p>
    <w:p w14:paraId="1A0CE041" w14:textId="6892E7A8" w:rsidR="00A5526B" w:rsidRDefault="00000000">
      <w:pPr>
        <w:pStyle w:val="TableofFigures"/>
        <w:tabs>
          <w:tab w:val="right" w:leader="dot" w:pos="8630"/>
        </w:tabs>
        <w:rPr>
          <w:rFonts w:asciiTheme="minorHAnsi" w:eastAsiaTheme="minorEastAsia" w:hAnsiTheme="minorHAnsi" w:cstheme="minorBidi"/>
          <w:noProof/>
        </w:rPr>
      </w:pPr>
      <w:hyperlink w:anchor="_Toc140403979" w:history="1">
        <w:r w:rsidR="00A5526B" w:rsidRPr="004757F3">
          <w:rPr>
            <w:rStyle w:val="Hyperlink"/>
            <w:noProof/>
          </w:rPr>
          <w:t>Figure 113: Electric Consumption of Winter Typical week in Baltimore, MD</w:t>
        </w:r>
        <w:r w:rsidR="00A5526B">
          <w:rPr>
            <w:noProof/>
            <w:webHidden/>
          </w:rPr>
          <w:tab/>
        </w:r>
        <w:r w:rsidR="00A5526B">
          <w:rPr>
            <w:noProof/>
            <w:webHidden/>
          </w:rPr>
          <w:fldChar w:fldCharType="begin"/>
        </w:r>
        <w:r w:rsidR="00A5526B">
          <w:rPr>
            <w:noProof/>
            <w:webHidden/>
          </w:rPr>
          <w:instrText xml:space="preserve"> PAGEREF _Toc140403979 \h </w:instrText>
        </w:r>
        <w:r w:rsidR="00A5526B">
          <w:rPr>
            <w:noProof/>
            <w:webHidden/>
          </w:rPr>
        </w:r>
        <w:r w:rsidR="00A5526B">
          <w:rPr>
            <w:noProof/>
            <w:webHidden/>
          </w:rPr>
          <w:fldChar w:fldCharType="separate"/>
        </w:r>
        <w:r w:rsidR="00A5526B">
          <w:rPr>
            <w:noProof/>
            <w:webHidden/>
          </w:rPr>
          <w:t>273</w:t>
        </w:r>
        <w:r w:rsidR="00A5526B">
          <w:rPr>
            <w:noProof/>
            <w:webHidden/>
          </w:rPr>
          <w:fldChar w:fldCharType="end"/>
        </w:r>
      </w:hyperlink>
    </w:p>
    <w:p w14:paraId="7B03CED7" w14:textId="342E3888" w:rsidR="00A5526B" w:rsidRDefault="00000000">
      <w:pPr>
        <w:pStyle w:val="TableofFigures"/>
        <w:tabs>
          <w:tab w:val="right" w:leader="dot" w:pos="8630"/>
        </w:tabs>
        <w:rPr>
          <w:rFonts w:asciiTheme="minorHAnsi" w:eastAsiaTheme="minorEastAsia" w:hAnsiTheme="minorHAnsi" w:cstheme="minorBidi"/>
          <w:noProof/>
        </w:rPr>
      </w:pPr>
      <w:hyperlink w:anchor="_Toc140403980" w:history="1">
        <w:r w:rsidR="00A5526B" w:rsidRPr="004757F3">
          <w:rPr>
            <w:rStyle w:val="Hyperlink"/>
            <w:noProof/>
          </w:rPr>
          <w:t>Figure 114: Utility Cost of Winter Typical week in Baltimore, MD</w:t>
        </w:r>
        <w:r w:rsidR="00A5526B">
          <w:rPr>
            <w:noProof/>
            <w:webHidden/>
          </w:rPr>
          <w:tab/>
        </w:r>
        <w:r w:rsidR="00A5526B">
          <w:rPr>
            <w:noProof/>
            <w:webHidden/>
          </w:rPr>
          <w:fldChar w:fldCharType="begin"/>
        </w:r>
        <w:r w:rsidR="00A5526B">
          <w:rPr>
            <w:noProof/>
            <w:webHidden/>
          </w:rPr>
          <w:instrText xml:space="preserve"> PAGEREF _Toc140403980 \h </w:instrText>
        </w:r>
        <w:r w:rsidR="00A5526B">
          <w:rPr>
            <w:noProof/>
            <w:webHidden/>
          </w:rPr>
        </w:r>
        <w:r w:rsidR="00A5526B">
          <w:rPr>
            <w:noProof/>
            <w:webHidden/>
          </w:rPr>
          <w:fldChar w:fldCharType="separate"/>
        </w:r>
        <w:r w:rsidR="00A5526B">
          <w:rPr>
            <w:noProof/>
            <w:webHidden/>
          </w:rPr>
          <w:t>273</w:t>
        </w:r>
        <w:r w:rsidR="00A5526B">
          <w:rPr>
            <w:noProof/>
            <w:webHidden/>
          </w:rPr>
          <w:fldChar w:fldCharType="end"/>
        </w:r>
      </w:hyperlink>
    </w:p>
    <w:p w14:paraId="5C22F4E8" w14:textId="07606A2C" w:rsidR="00A5526B" w:rsidRDefault="00000000">
      <w:pPr>
        <w:pStyle w:val="TableofFigures"/>
        <w:tabs>
          <w:tab w:val="right" w:leader="dot" w:pos="8630"/>
        </w:tabs>
        <w:rPr>
          <w:rFonts w:asciiTheme="minorHAnsi" w:eastAsiaTheme="minorEastAsia" w:hAnsiTheme="minorHAnsi" w:cstheme="minorBidi"/>
          <w:noProof/>
        </w:rPr>
      </w:pPr>
      <w:hyperlink w:anchor="_Toc140403981" w:history="1">
        <w:r w:rsidR="00A5526B" w:rsidRPr="004757F3">
          <w:rPr>
            <w:rStyle w:val="Hyperlink"/>
            <w:noProof/>
          </w:rPr>
          <w:t>Figure 115: Grid Emissions of Winter Typical week in Baltimore, MD</w:t>
        </w:r>
        <w:r w:rsidR="00A5526B">
          <w:rPr>
            <w:noProof/>
            <w:webHidden/>
          </w:rPr>
          <w:tab/>
        </w:r>
        <w:r w:rsidR="00A5526B">
          <w:rPr>
            <w:noProof/>
            <w:webHidden/>
          </w:rPr>
          <w:fldChar w:fldCharType="begin"/>
        </w:r>
        <w:r w:rsidR="00A5526B">
          <w:rPr>
            <w:noProof/>
            <w:webHidden/>
          </w:rPr>
          <w:instrText xml:space="preserve"> PAGEREF _Toc140403981 \h </w:instrText>
        </w:r>
        <w:r w:rsidR="00A5526B">
          <w:rPr>
            <w:noProof/>
            <w:webHidden/>
          </w:rPr>
        </w:r>
        <w:r w:rsidR="00A5526B">
          <w:rPr>
            <w:noProof/>
            <w:webHidden/>
          </w:rPr>
          <w:fldChar w:fldCharType="separate"/>
        </w:r>
        <w:r w:rsidR="00A5526B">
          <w:rPr>
            <w:noProof/>
            <w:webHidden/>
          </w:rPr>
          <w:t>274</w:t>
        </w:r>
        <w:r w:rsidR="00A5526B">
          <w:rPr>
            <w:noProof/>
            <w:webHidden/>
          </w:rPr>
          <w:fldChar w:fldCharType="end"/>
        </w:r>
      </w:hyperlink>
    </w:p>
    <w:p w14:paraId="441A4A36" w14:textId="6D246420" w:rsidR="00A5526B" w:rsidRDefault="00000000">
      <w:pPr>
        <w:pStyle w:val="TableofFigures"/>
        <w:tabs>
          <w:tab w:val="right" w:leader="dot" w:pos="8630"/>
        </w:tabs>
        <w:rPr>
          <w:rFonts w:asciiTheme="minorHAnsi" w:eastAsiaTheme="minorEastAsia" w:hAnsiTheme="minorHAnsi" w:cstheme="minorBidi"/>
          <w:noProof/>
        </w:rPr>
      </w:pPr>
      <w:hyperlink w:anchor="_Toc140403982" w:history="1">
        <w:r w:rsidR="00A5526B" w:rsidRPr="004757F3">
          <w:rPr>
            <w:rStyle w:val="Hyperlink"/>
            <w:noProof/>
          </w:rPr>
          <w:t>Figure 116: Electric Consumption of Winter Extreme week in Baltimore, MD</w:t>
        </w:r>
        <w:r w:rsidR="00A5526B">
          <w:rPr>
            <w:noProof/>
            <w:webHidden/>
          </w:rPr>
          <w:tab/>
        </w:r>
        <w:r w:rsidR="00A5526B">
          <w:rPr>
            <w:noProof/>
            <w:webHidden/>
          </w:rPr>
          <w:fldChar w:fldCharType="begin"/>
        </w:r>
        <w:r w:rsidR="00A5526B">
          <w:rPr>
            <w:noProof/>
            <w:webHidden/>
          </w:rPr>
          <w:instrText xml:space="preserve"> PAGEREF _Toc140403982 \h </w:instrText>
        </w:r>
        <w:r w:rsidR="00A5526B">
          <w:rPr>
            <w:noProof/>
            <w:webHidden/>
          </w:rPr>
        </w:r>
        <w:r w:rsidR="00A5526B">
          <w:rPr>
            <w:noProof/>
            <w:webHidden/>
          </w:rPr>
          <w:fldChar w:fldCharType="separate"/>
        </w:r>
        <w:r w:rsidR="00A5526B">
          <w:rPr>
            <w:noProof/>
            <w:webHidden/>
          </w:rPr>
          <w:t>274</w:t>
        </w:r>
        <w:r w:rsidR="00A5526B">
          <w:rPr>
            <w:noProof/>
            <w:webHidden/>
          </w:rPr>
          <w:fldChar w:fldCharType="end"/>
        </w:r>
      </w:hyperlink>
    </w:p>
    <w:p w14:paraId="3F9DE2F7" w14:textId="72149F2E" w:rsidR="00A5526B" w:rsidRDefault="00000000">
      <w:pPr>
        <w:pStyle w:val="TableofFigures"/>
        <w:tabs>
          <w:tab w:val="right" w:leader="dot" w:pos="8630"/>
        </w:tabs>
        <w:rPr>
          <w:rFonts w:asciiTheme="minorHAnsi" w:eastAsiaTheme="minorEastAsia" w:hAnsiTheme="minorHAnsi" w:cstheme="minorBidi"/>
          <w:noProof/>
        </w:rPr>
      </w:pPr>
      <w:hyperlink w:anchor="_Toc140403983" w:history="1">
        <w:r w:rsidR="00A5526B" w:rsidRPr="004757F3">
          <w:rPr>
            <w:rStyle w:val="Hyperlink"/>
            <w:noProof/>
          </w:rPr>
          <w:t>Figure 117: Utility Cost of Winter Extreme week in Baltimore, MD</w:t>
        </w:r>
        <w:r w:rsidR="00A5526B">
          <w:rPr>
            <w:noProof/>
            <w:webHidden/>
          </w:rPr>
          <w:tab/>
        </w:r>
        <w:r w:rsidR="00A5526B">
          <w:rPr>
            <w:noProof/>
            <w:webHidden/>
          </w:rPr>
          <w:fldChar w:fldCharType="begin"/>
        </w:r>
        <w:r w:rsidR="00A5526B">
          <w:rPr>
            <w:noProof/>
            <w:webHidden/>
          </w:rPr>
          <w:instrText xml:space="preserve"> PAGEREF _Toc140403983 \h </w:instrText>
        </w:r>
        <w:r w:rsidR="00A5526B">
          <w:rPr>
            <w:noProof/>
            <w:webHidden/>
          </w:rPr>
        </w:r>
        <w:r w:rsidR="00A5526B">
          <w:rPr>
            <w:noProof/>
            <w:webHidden/>
          </w:rPr>
          <w:fldChar w:fldCharType="separate"/>
        </w:r>
        <w:r w:rsidR="00A5526B">
          <w:rPr>
            <w:noProof/>
            <w:webHidden/>
          </w:rPr>
          <w:t>275</w:t>
        </w:r>
        <w:r w:rsidR="00A5526B">
          <w:rPr>
            <w:noProof/>
            <w:webHidden/>
          </w:rPr>
          <w:fldChar w:fldCharType="end"/>
        </w:r>
      </w:hyperlink>
    </w:p>
    <w:p w14:paraId="27190668" w14:textId="5E19BD6C" w:rsidR="00A5526B" w:rsidRDefault="00000000">
      <w:pPr>
        <w:pStyle w:val="TableofFigures"/>
        <w:tabs>
          <w:tab w:val="right" w:leader="dot" w:pos="8630"/>
        </w:tabs>
        <w:rPr>
          <w:rFonts w:asciiTheme="minorHAnsi" w:eastAsiaTheme="minorEastAsia" w:hAnsiTheme="minorHAnsi" w:cstheme="minorBidi"/>
          <w:noProof/>
        </w:rPr>
      </w:pPr>
      <w:hyperlink w:anchor="_Toc140403984" w:history="1">
        <w:r w:rsidR="00A5526B" w:rsidRPr="004757F3">
          <w:rPr>
            <w:rStyle w:val="Hyperlink"/>
            <w:noProof/>
          </w:rPr>
          <w:t>Figure 118: Grid Emissions of Winter Extreme week in Baltimore, MD</w:t>
        </w:r>
        <w:r w:rsidR="00A5526B">
          <w:rPr>
            <w:noProof/>
            <w:webHidden/>
          </w:rPr>
          <w:tab/>
        </w:r>
        <w:r w:rsidR="00A5526B">
          <w:rPr>
            <w:noProof/>
            <w:webHidden/>
          </w:rPr>
          <w:fldChar w:fldCharType="begin"/>
        </w:r>
        <w:r w:rsidR="00A5526B">
          <w:rPr>
            <w:noProof/>
            <w:webHidden/>
          </w:rPr>
          <w:instrText xml:space="preserve"> PAGEREF _Toc140403984 \h </w:instrText>
        </w:r>
        <w:r w:rsidR="00A5526B">
          <w:rPr>
            <w:noProof/>
            <w:webHidden/>
          </w:rPr>
        </w:r>
        <w:r w:rsidR="00A5526B">
          <w:rPr>
            <w:noProof/>
            <w:webHidden/>
          </w:rPr>
          <w:fldChar w:fldCharType="separate"/>
        </w:r>
        <w:r w:rsidR="00A5526B">
          <w:rPr>
            <w:noProof/>
            <w:webHidden/>
          </w:rPr>
          <w:t>275</w:t>
        </w:r>
        <w:r w:rsidR="00A5526B">
          <w:rPr>
            <w:noProof/>
            <w:webHidden/>
          </w:rPr>
          <w:fldChar w:fldCharType="end"/>
        </w:r>
      </w:hyperlink>
    </w:p>
    <w:p w14:paraId="0617941C" w14:textId="622E079E" w:rsidR="00A5526B" w:rsidRDefault="00000000">
      <w:pPr>
        <w:pStyle w:val="TableofFigures"/>
        <w:tabs>
          <w:tab w:val="right" w:leader="dot" w:pos="8630"/>
        </w:tabs>
        <w:rPr>
          <w:rFonts w:asciiTheme="minorHAnsi" w:eastAsiaTheme="minorEastAsia" w:hAnsiTheme="minorHAnsi" w:cstheme="minorBidi"/>
          <w:noProof/>
        </w:rPr>
      </w:pPr>
      <w:hyperlink w:anchor="_Toc140403985" w:history="1">
        <w:r w:rsidR="00A5526B" w:rsidRPr="004757F3">
          <w:rPr>
            <w:rStyle w:val="Hyperlink"/>
            <w:noProof/>
          </w:rPr>
          <w:t>Figure 119: Electric Consumption of Winter Typical week in Golden, CO</w:t>
        </w:r>
        <w:r w:rsidR="00A5526B">
          <w:rPr>
            <w:noProof/>
            <w:webHidden/>
          </w:rPr>
          <w:tab/>
        </w:r>
        <w:r w:rsidR="00A5526B">
          <w:rPr>
            <w:noProof/>
            <w:webHidden/>
          </w:rPr>
          <w:fldChar w:fldCharType="begin"/>
        </w:r>
        <w:r w:rsidR="00A5526B">
          <w:rPr>
            <w:noProof/>
            <w:webHidden/>
          </w:rPr>
          <w:instrText xml:space="preserve"> PAGEREF _Toc140403985 \h </w:instrText>
        </w:r>
        <w:r w:rsidR="00A5526B">
          <w:rPr>
            <w:noProof/>
            <w:webHidden/>
          </w:rPr>
        </w:r>
        <w:r w:rsidR="00A5526B">
          <w:rPr>
            <w:noProof/>
            <w:webHidden/>
          </w:rPr>
          <w:fldChar w:fldCharType="separate"/>
        </w:r>
        <w:r w:rsidR="00A5526B">
          <w:rPr>
            <w:noProof/>
            <w:webHidden/>
          </w:rPr>
          <w:t>276</w:t>
        </w:r>
        <w:r w:rsidR="00A5526B">
          <w:rPr>
            <w:noProof/>
            <w:webHidden/>
          </w:rPr>
          <w:fldChar w:fldCharType="end"/>
        </w:r>
      </w:hyperlink>
    </w:p>
    <w:p w14:paraId="51999EDB" w14:textId="3AB5A0C9" w:rsidR="00A5526B" w:rsidRDefault="00000000">
      <w:pPr>
        <w:pStyle w:val="TableofFigures"/>
        <w:tabs>
          <w:tab w:val="right" w:leader="dot" w:pos="8630"/>
        </w:tabs>
        <w:rPr>
          <w:rFonts w:asciiTheme="minorHAnsi" w:eastAsiaTheme="minorEastAsia" w:hAnsiTheme="minorHAnsi" w:cstheme="minorBidi"/>
          <w:noProof/>
        </w:rPr>
      </w:pPr>
      <w:hyperlink w:anchor="_Toc140403986" w:history="1">
        <w:r w:rsidR="00A5526B" w:rsidRPr="004757F3">
          <w:rPr>
            <w:rStyle w:val="Hyperlink"/>
            <w:noProof/>
          </w:rPr>
          <w:t>Figure 120: Utility Cost of Winter Typical week in Golden, CO</w:t>
        </w:r>
        <w:r w:rsidR="00A5526B">
          <w:rPr>
            <w:noProof/>
            <w:webHidden/>
          </w:rPr>
          <w:tab/>
        </w:r>
        <w:r w:rsidR="00A5526B">
          <w:rPr>
            <w:noProof/>
            <w:webHidden/>
          </w:rPr>
          <w:fldChar w:fldCharType="begin"/>
        </w:r>
        <w:r w:rsidR="00A5526B">
          <w:rPr>
            <w:noProof/>
            <w:webHidden/>
          </w:rPr>
          <w:instrText xml:space="preserve"> PAGEREF _Toc140403986 \h </w:instrText>
        </w:r>
        <w:r w:rsidR="00A5526B">
          <w:rPr>
            <w:noProof/>
            <w:webHidden/>
          </w:rPr>
        </w:r>
        <w:r w:rsidR="00A5526B">
          <w:rPr>
            <w:noProof/>
            <w:webHidden/>
          </w:rPr>
          <w:fldChar w:fldCharType="separate"/>
        </w:r>
        <w:r w:rsidR="00A5526B">
          <w:rPr>
            <w:noProof/>
            <w:webHidden/>
          </w:rPr>
          <w:t>276</w:t>
        </w:r>
        <w:r w:rsidR="00A5526B">
          <w:rPr>
            <w:noProof/>
            <w:webHidden/>
          </w:rPr>
          <w:fldChar w:fldCharType="end"/>
        </w:r>
      </w:hyperlink>
    </w:p>
    <w:p w14:paraId="0D70299A" w14:textId="64BAFDA2" w:rsidR="00A5526B" w:rsidRDefault="00000000">
      <w:pPr>
        <w:pStyle w:val="TableofFigures"/>
        <w:tabs>
          <w:tab w:val="right" w:leader="dot" w:pos="8630"/>
        </w:tabs>
        <w:rPr>
          <w:rFonts w:asciiTheme="minorHAnsi" w:eastAsiaTheme="minorEastAsia" w:hAnsiTheme="minorHAnsi" w:cstheme="minorBidi"/>
          <w:noProof/>
        </w:rPr>
      </w:pPr>
      <w:hyperlink w:anchor="_Toc140403987" w:history="1">
        <w:r w:rsidR="00A5526B" w:rsidRPr="004757F3">
          <w:rPr>
            <w:rStyle w:val="Hyperlink"/>
            <w:noProof/>
          </w:rPr>
          <w:t>Figure 121: Grid Emissions of Winter Typical week in Golden, CO</w:t>
        </w:r>
        <w:r w:rsidR="00A5526B">
          <w:rPr>
            <w:noProof/>
            <w:webHidden/>
          </w:rPr>
          <w:tab/>
        </w:r>
        <w:r w:rsidR="00A5526B">
          <w:rPr>
            <w:noProof/>
            <w:webHidden/>
          </w:rPr>
          <w:fldChar w:fldCharType="begin"/>
        </w:r>
        <w:r w:rsidR="00A5526B">
          <w:rPr>
            <w:noProof/>
            <w:webHidden/>
          </w:rPr>
          <w:instrText xml:space="preserve"> PAGEREF _Toc140403987 \h </w:instrText>
        </w:r>
        <w:r w:rsidR="00A5526B">
          <w:rPr>
            <w:noProof/>
            <w:webHidden/>
          </w:rPr>
        </w:r>
        <w:r w:rsidR="00A5526B">
          <w:rPr>
            <w:noProof/>
            <w:webHidden/>
          </w:rPr>
          <w:fldChar w:fldCharType="separate"/>
        </w:r>
        <w:r w:rsidR="00A5526B">
          <w:rPr>
            <w:noProof/>
            <w:webHidden/>
          </w:rPr>
          <w:t>277</w:t>
        </w:r>
        <w:r w:rsidR="00A5526B">
          <w:rPr>
            <w:noProof/>
            <w:webHidden/>
          </w:rPr>
          <w:fldChar w:fldCharType="end"/>
        </w:r>
      </w:hyperlink>
    </w:p>
    <w:p w14:paraId="22F8BDF5" w14:textId="6639C90A" w:rsidR="00A5526B" w:rsidRDefault="00000000">
      <w:pPr>
        <w:pStyle w:val="TableofFigures"/>
        <w:tabs>
          <w:tab w:val="right" w:leader="dot" w:pos="8630"/>
        </w:tabs>
        <w:rPr>
          <w:rFonts w:asciiTheme="minorHAnsi" w:eastAsiaTheme="minorEastAsia" w:hAnsiTheme="minorHAnsi" w:cstheme="minorBidi"/>
          <w:noProof/>
        </w:rPr>
      </w:pPr>
      <w:hyperlink w:anchor="_Toc140403988" w:history="1">
        <w:r w:rsidR="00A5526B" w:rsidRPr="004757F3">
          <w:rPr>
            <w:rStyle w:val="Hyperlink"/>
            <w:noProof/>
          </w:rPr>
          <w:t>Figure 122: Electric Consumption of Winter Extreme week in Golden, CO</w:t>
        </w:r>
        <w:r w:rsidR="00A5526B">
          <w:rPr>
            <w:noProof/>
            <w:webHidden/>
          </w:rPr>
          <w:tab/>
        </w:r>
        <w:r w:rsidR="00A5526B">
          <w:rPr>
            <w:noProof/>
            <w:webHidden/>
          </w:rPr>
          <w:fldChar w:fldCharType="begin"/>
        </w:r>
        <w:r w:rsidR="00A5526B">
          <w:rPr>
            <w:noProof/>
            <w:webHidden/>
          </w:rPr>
          <w:instrText xml:space="preserve"> PAGEREF _Toc140403988 \h </w:instrText>
        </w:r>
        <w:r w:rsidR="00A5526B">
          <w:rPr>
            <w:noProof/>
            <w:webHidden/>
          </w:rPr>
        </w:r>
        <w:r w:rsidR="00A5526B">
          <w:rPr>
            <w:noProof/>
            <w:webHidden/>
          </w:rPr>
          <w:fldChar w:fldCharType="separate"/>
        </w:r>
        <w:r w:rsidR="00A5526B">
          <w:rPr>
            <w:noProof/>
            <w:webHidden/>
          </w:rPr>
          <w:t>277</w:t>
        </w:r>
        <w:r w:rsidR="00A5526B">
          <w:rPr>
            <w:noProof/>
            <w:webHidden/>
          </w:rPr>
          <w:fldChar w:fldCharType="end"/>
        </w:r>
      </w:hyperlink>
    </w:p>
    <w:p w14:paraId="3B9C1EA5" w14:textId="5B979939" w:rsidR="00A5526B" w:rsidRDefault="00000000">
      <w:pPr>
        <w:pStyle w:val="TableofFigures"/>
        <w:tabs>
          <w:tab w:val="right" w:leader="dot" w:pos="8630"/>
        </w:tabs>
        <w:rPr>
          <w:rFonts w:asciiTheme="minorHAnsi" w:eastAsiaTheme="minorEastAsia" w:hAnsiTheme="minorHAnsi" w:cstheme="minorBidi"/>
          <w:noProof/>
        </w:rPr>
      </w:pPr>
      <w:hyperlink w:anchor="_Toc140403989" w:history="1">
        <w:r w:rsidR="00A5526B" w:rsidRPr="004757F3">
          <w:rPr>
            <w:rStyle w:val="Hyperlink"/>
            <w:noProof/>
          </w:rPr>
          <w:t>Figure 123: Utility Cost of Winter Extreme week in Golden, CO</w:t>
        </w:r>
        <w:r w:rsidR="00A5526B">
          <w:rPr>
            <w:noProof/>
            <w:webHidden/>
          </w:rPr>
          <w:tab/>
        </w:r>
        <w:r w:rsidR="00A5526B">
          <w:rPr>
            <w:noProof/>
            <w:webHidden/>
          </w:rPr>
          <w:fldChar w:fldCharType="begin"/>
        </w:r>
        <w:r w:rsidR="00A5526B">
          <w:rPr>
            <w:noProof/>
            <w:webHidden/>
          </w:rPr>
          <w:instrText xml:space="preserve"> PAGEREF _Toc140403989 \h </w:instrText>
        </w:r>
        <w:r w:rsidR="00A5526B">
          <w:rPr>
            <w:noProof/>
            <w:webHidden/>
          </w:rPr>
        </w:r>
        <w:r w:rsidR="00A5526B">
          <w:rPr>
            <w:noProof/>
            <w:webHidden/>
          </w:rPr>
          <w:fldChar w:fldCharType="separate"/>
        </w:r>
        <w:r w:rsidR="00A5526B">
          <w:rPr>
            <w:noProof/>
            <w:webHidden/>
          </w:rPr>
          <w:t>278</w:t>
        </w:r>
        <w:r w:rsidR="00A5526B">
          <w:rPr>
            <w:noProof/>
            <w:webHidden/>
          </w:rPr>
          <w:fldChar w:fldCharType="end"/>
        </w:r>
      </w:hyperlink>
    </w:p>
    <w:p w14:paraId="6F507415" w14:textId="286C2230" w:rsidR="00A5526B" w:rsidRDefault="00000000">
      <w:pPr>
        <w:pStyle w:val="TableofFigures"/>
        <w:tabs>
          <w:tab w:val="right" w:leader="dot" w:pos="8630"/>
        </w:tabs>
        <w:rPr>
          <w:rFonts w:asciiTheme="minorHAnsi" w:eastAsiaTheme="minorEastAsia" w:hAnsiTheme="minorHAnsi" w:cstheme="minorBidi"/>
          <w:noProof/>
        </w:rPr>
      </w:pPr>
      <w:hyperlink w:anchor="_Toc140403990" w:history="1">
        <w:r w:rsidR="00A5526B" w:rsidRPr="004757F3">
          <w:rPr>
            <w:rStyle w:val="Hyperlink"/>
            <w:noProof/>
          </w:rPr>
          <w:t>Figure 124: Grid Emissions of Winter Extreme week in Golden, CO</w:t>
        </w:r>
        <w:r w:rsidR="00A5526B">
          <w:rPr>
            <w:noProof/>
            <w:webHidden/>
          </w:rPr>
          <w:tab/>
        </w:r>
        <w:r w:rsidR="00A5526B">
          <w:rPr>
            <w:noProof/>
            <w:webHidden/>
          </w:rPr>
          <w:fldChar w:fldCharType="begin"/>
        </w:r>
        <w:r w:rsidR="00A5526B">
          <w:rPr>
            <w:noProof/>
            <w:webHidden/>
          </w:rPr>
          <w:instrText xml:space="preserve"> PAGEREF _Toc140403990 \h </w:instrText>
        </w:r>
        <w:r w:rsidR="00A5526B">
          <w:rPr>
            <w:noProof/>
            <w:webHidden/>
          </w:rPr>
        </w:r>
        <w:r w:rsidR="00A5526B">
          <w:rPr>
            <w:noProof/>
            <w:webHidden/>
          </w:rPr>
          <w:fldChar w:fldCharType="separate"/>
        </w:r>
        <w:r w:rsidR="00A5526B">
          <w:rPr>
            <w:noProof/>
            <w:webHidden/>
          </w:rPr>
          <w:t>278</w:t>
        </w:r>
        <w:r w:rsidR="00A5526B">
          <w:rPr>
            <w:noProof/>
            <w:webHidden/>
          </w:rPr>
          <w:fldChar w:fldCharType="end"/>
        </w:r>
      </w:hyperlink>
    </w:p>
    <w:p w14:paraId="7C824927" w14:textId="6DB0B36D" w:rsidR="00A5526B" w:rsidRDefault="00000000">
      <w:pPr>
        <w:pStyle w:val="TableofFigures"/>
        <w:tabs>
          <w:tab w:val="right" w:leader="dot" w:pos="8630"/>
        </w:tabs>
        <w:rPr>
          <w:rFonts w:asciiTheme="minorHAnsi" w:eastAsiaTheme="minorEastAsia" w:hAnsiTheme="minorHAnsi" w:cstheme="minorBidi"/>
          <w:noProof/>
        </w:rPr>
      </w:pPr>
      <w:hyperlink w:anchor="_Toc140403991" w:history="1">
        <w:r w:rsidR="00A5526B" w:rsidRPr="004757F3">
          <w:rPr>
            <w:rStyle w:val="Hyperlink"/>
            <w:noProof/>
          </w:rPr>
          <w:t>Figure 125: Electric Consumption of Summer Extreme week in Sacramento, CA</w:t>
        </w:r>
        <w:r w:rsidR="00A5526B">
          <w:rPr>
            <w:noProof/>
            <w:webHidden/>
          </w:rPr>
          <w:tab/>
        </w:r>
        <w:r w:rsidR="00A5526B">
          <w:rPr>
            <w:noProof/>
            <w:webHidden/>
          </w:rPr>
          <w:fldChar w:fldCharType="begin"/>
        </w:r>
        <w:r w:rsidR="00A5526B">
          <w:rPr>
            <w:noProof/>
            <w:webHidden/>
          </w:rPr>
          <w:instrText xml:space="preserve"> PAGEREF _Toc140403991 \h </w:instrText>
        </w:r>
        <w:r w:rsidR="00A5526B">
          <w:rPr>
            <w:noProof/>
            <w:webHidden/>
          </w:rPr>
        </w:r>
        <w:r w:rsidR="00A5526B">
          <w:rPr>
            <w:noProof/>
            <w:webHidden/>
          </w:rPr>
          <w:fldChar w:fldCharType="separate"/>
        </w:r>
        <w:r w:rsidR="00A5526B">
          <w:rPr>
            <w:noProof/>
            <w:webHidden/>
          </w:rPr>
          <w:t>279</w:t>
        </w:r>
        <w:r w:rsidR="00A5526B">
          <w:rPr>
            <w:noProof/>
            <w:webHidden/>
          </w:rPr>
          <w:fldChar w:fldCharType="end"/>
        </w:r>
      </w:hyperlink>
    </w:p>
    <w:p w14:paraId="2D3D635E" w14:textId="37B67FCC" w:rsidR="00A5526B" w:rsidRDefault="00000000">
      <w:pPr>
        <w:pStyle w:val="TableofFigures"/>
        <w:tabs>
          <w:tab w:val="right" w:leader="dot" w:pos="8630"/>
        </w:tabs>
        <w:rPr>
          <w:rFonts w:asciiTheme="minorHAnsi" w:eastAsiaTheme="minorEastAsia" w:hAnsiTheme="minorHAnsi" w:cstheme="minorBidi"/>
          <w:noProof/>
        </w:rPr>
      </w:pPr>
      <w:hyperlink w:anchor="_Toc140403992" w:history="1">
        <w:r w:rsidR="00A5526B" w:rsidRPr="004757F3">
          <w:rPr>
            <w:rStyle w:val="Hyperlink"/>
            <w:noProof/>
          </w:rPr>
          <w:t>Figure 126: Utility Cost of Summer Extreme week in Sacramento, CA</w:t>
        </w:r>
        <w:r w:rsidR="00A5526B">
          <w:rPr>
            <w:noProof/>
            <w:webHidden/>
          </w:rPr>
          <w:tab/>
        </w:r>
        <w:r w:rsidR="00A5526B">
          <w:rPr>
            <w:noProof/>
            <w:webHidden/>
          </w:rPr>
          <w:fldChar w:fldCharType="begin"/>
        </w:r>
        <w:r w:rsidR="00A5526B">
          <w:rPr>
            <w:noProof/>
            <w:webHidden/>
          </w:rPr>
          <w:instrText xml:space="preserve"> PAGEREF _Toc140403992 \h </w:instrText>
        </w:r>
        <w:r w:rsidR="00A5526B">
          <w:rPr>
            <w:noProof/>
            <w:webHidden/>
          </w:rPr>
        </w:r>
        <w:r w:rsidR="00A5526B">
          <w:rPr>
            <w:noProof/>
            <w:webHidden/>
          </w:rPr>
          <w:fldChar w:fldCharType="separate"/>
        </w:r>
        <w:r w:rsidR="00A5526B">
          <w:rPr>
            <w:noProof/>
            <w:webHidden/>
          </w:rPr>
          <w:t>279</w:t>
        </w:r>
        <w:r w:rsidR="00A5526B">
          <w:rPr>
            <w:noProof/>
            <w:webHidden/>
          </w:rPr>
          <w:fldChar w:fldCharType="end"/>
        </w:r>
      </w:hyperlink>
    </w:p>
    <w:p w14:paraId="2719CCEA" w14:textId="5A30A53E" w:rsidR="00A5526B" w:rsidRDefault="00000000">
      <w:pPr>
        <w:pStyle w:val="TableofFigures"/>
        <w:tabs>
          <w:tab w:val="right" w:leader="dot" w:pos="8630"/>
        </w:tabs>
        <w:rPr>
          <w:rFonts w:asciiTheme="minorHAnsi" w:eastAsiaTheme="minorEastAsia" w:hAnsiTheme="minorHAnsi" w:cstheme="minorBidi"/>
          <w:noProof/>
        </w:rPr>
      </w:pPr>
      <w:hyperlink w:anchor="_Toc140403993" w:history="1">
        <w:r w:rsidR="00A5526B" w:rsidRPr="004757F3">
          <w:rPr>
            <w:rStyle w:val="Hyperlink"/>
            <w:noProof/>
          </w:rPr>
          <w:t>Figure 127: Grid Emissions of Summer Extreme week in Sacramento, CA</w:t>
        </w:r>
        <w:r w:rsidR="00A5526B">
          <w:rPr>
            <w:noProof/>
            <w:webHidden/>
          </w:rPr>
          <w:tab/>
        </w:r>
        <w:r w:rsidR="00A5526B">
          <w:rPr>
            <w:noProof/>
            <w:webHidden/>
          </w:rPr>
          <w:fldChar w:fldCharType="begin"/>
        </w:r>
        <w:r w:rsidR="00A5526B">
          <w:rPr>
            <w:noProof/>
            <w:webHidden/>
          </w:rPr>
          <w:instrText xml:space="preserve"> PAGEREF _Toc140403993 \h </w:instrText>
        </w:r>
        <w:r w:rsidR="00A5526B">
          <w:rPr>
            <w:noProof/>
            <w:webHidden/>
          </w:rPr>
        </w:r>
        <w:r w:rsidR="00A5526B">
          <w:rPr>
            <w:noProof/>
            <w:webHidden/>
          </w:rPr>
          <w:fldChar w:fldCharType="separate"/>
        </w:r>
        <w:r w:rsidR="00A5526B">
          <w:rPr>
            <w:noProof/>
            <w:webHidden/>
          </w:rPr>
          <w:t>280</w:t>
        </w:r>
        <w:r w:rsidR="00A5526B">
          <w:rPr>
            <w:noProof/>
            <w:webHidden/>
          </w:rPr>
          <w:fldChar w:fldCharType="end"/>
        </w:r>
      </w:hyperlink>
    </w:p>
    <w:p w14:paraId="23D6F697" w14:textId="2BBE6CB4" w:rsidR="00A5526B" w:rsidRDefault="00000000">
      <w:pPr>
        <w:pStyle w:val="TableofFigures"/>
        <w:tabs>
          <w:tab w:val="right" w:leader="dot" w:pos="8630"/>
        </w:tabs>
        <w:rPr>
          <w:rFonts w:asciiTheme="minorHAnsi" w:eastAsiaTheme="minorEastAsia" w:hAnsiTheme="minorHAnsi" w:cstheme="minorBidi"/>
          <w:noProof/>
        </w:rPr>
      </w:pPr>
      <w:hyperlink w:anchor="_Toc140403994" w:history="1">
        <w:r w:rsidR="00A5526B" w:rsidRPr="004757F3">
          <w:rPr>
            <w:rStyle w:val="Hyperlink"/>
            <w:noProof/>
          </w:rPr>
          <w:t>Figure 128: Electric Consumption of Winter Extreme week in Sacramento, CA</w:t>
        </w:r>
        <w:r w:rsidR="00A5526B">
          <w:rPr>
            <w:noProof/>
            <w:webHidden/>
          </w:rPr>
          <w:tab/>
        </w:r>
        <w:r w:rsidR="00A5526B">
          <w:rPr>
            <w:noProof/>
            <w:webHidden/>
          </w:rPr>
          <w:fldChar w:fldCharType="begin"/>
        </w:r>
        <w:r w:rsidR="00A5526B">
          <w:rPr>
            <w:noProof/>
            <w:webHidden/>
          </w:rPr>
          <w:instrText xml:space="preserve"> PAGEREF _Toc140403994 \h </w:instrText>
        </w:r>
        <w:r w:rsidR="00A5526B">
          <w:rPr>
            <w:noProof/>
            <w:webHidden/>
          </w:rPr>
        </w:r>
        <w:r w:rsidR="00A5526B">
          <w:rPr>
            <w:noProof/>
            <w:webHidden/>
          </w:rPr>
          <w:fldChar w:fldCharType="separate"/>
        </w:r>
        <w:r w:rsidR="00A5526B">
          <w:rPr>
            <w:noProof/>
            <w:webHidden/>
          </w:rPr>
          <w:t>280</w:t>
        </w:r>
        <w:r w:rsidR="00A5526B">
          <w:rPr>
            <w:noProof/>
            <w:webHidden/>
          </w:rPr>
          <w:fldChar w:fldCharType="end"/>
        </w:r>
      </w:hyperlink>
    </w:p>
    <w:p w14:paraId="08BEC092" w14:textId="183DD020" w:rsidR="00A5526B" w:rsidRDefault="00000000">
      <w:pPr>
        <w:pStyle w:val="TableofFigures"/>
        <w:tabs>
          <w:tab w:val="right" w:leader="dot" w:pos="8630"/>
        </w:tabs>
        <w:rPr>
          <w:rFonts w:asciiTheme="minorHAnsi" w:eastAsiaTheme="minorEastAsia" w:hAnsiTheme="minorHAnsi" w:cstheme="minorBidi"/>
          <w:noProof/>
        </w:rPr>
      </w:pPr>
      <w:hyperlink w:anchor="_Toc140403995" w:history="1">
        <w:r w:rsidR="00A5526B" w:rsidRPr="004757F3">
          <w:rPr>
            <w:rStyle w:val="Hyperlink"/>
            <w:noProof/>
          </w:rPr>
          <w:t>Figure 129: Utility Cost of Winter Extreme week in Sacramento, CA</w:t>
        </w:r>
        <w:r w:rsidR="00A5526B">
          <w:rPr>
            <w:noProof/>
            <w:webHidden/>
          </w:rPr>
          <w:tab/>
        </w:r>
        <w:r w:rsidR="00A5526B">
          <w:rPr>
            <w:noProof/>
            <w:webHidden/>
          </w:rPr>
          <w:fldChar w:fldCharType="begin"/>
        </w:r>
        <w:r w:rsidR="00A5526B">
          <w:rPr>
            <w:noProof/>
            <w:webHidden/>
          </w:rPr>
          <w:instrText xml:space="preserve"> PAGEREF _Toc140403995 \h </w:instrText>
        </w:r>
        <w:r w:rsidR="00A5526B">
          <w:rPr>
            <w:noProof/>
            <w:webHidden/>
          </w:rPr>
        </w:r>
        <w:r w:rsidR="00A5526B">
          <w:rPr>
            <w:noProof/>
            <w:webHidden/>
          </w:rPr>
          <w:fldChar w:fldCharType="separate"/>
        </w:r>
        <w:r w:rsidR="00A5526B">
          <w:rPr>
            <w:noProof/>
            <w:webHidden/>
          </w:rPr>
          <w:t>281</w:t>
        </w:r>
        <w:r w:rsidR="00A5526B">
          <w:rPr>
            <w:noProof/>
            <w:webHidden/>
          </w:rPr>
          <w:fldChar w:fldCharType="end"/>
        </w:r>
      </w:hyperlink>
    </w:p>
    <w:p w14:paraId="18EE5FFB" w14:textId="389757EF" w:rsidR="00A5526B" w:rsidRDefault="00000000">
      <w:pPr>
        <w:pStyle w:val="TableofFigures"/>
        <w:tabs>
          <w:tab w:val="right" w:leader="dot" w:pos="8630"/>
        </w:tabs>
        <w:rPr>
          <w:rFonts w:asciiTheme="minorHAnsi" w:eastAsiaTheme="minorEastAsia" w:hAnsiTheme="minorHAnsi" w:cstheme="minorBidi"/>
          <w:noProof/>
        </w:rPr>
      </w:pPr>
      <w:hyperlink w:anchor="_Toc140403996" w:history="1">
        <w:r w:rsidR="00A5526B" w:rsidRPr="004757F3">
          <w:rPr>
            <w:rStyle w:val="Hyperlink"/>
            <w:noProof/>
          </w:rPr>
          <w:t>Figure 130: Grid Emissions of Winter Extreme week in Sacramento, CA</w:t>
        </w:r>
        <w:r w:rsidR="00A5526B">
          <w:rPr>
            <w:noProof/>
            <w:webHidden/>
          </w:rPr>
          <w:tab/>
        </w:r>
        <w:r w:rsidR="00A5526B">
          <w:rPr>
            <w:noProof/>
            <w:webHidden/>
          </w:rPr>
          <w:fldChar w:fldCharType="begin"/>
        </w:r>
        <w:r w:rsidR="00A5526B">
          <w:rPr>
            <w:noProof/>
            <w:webHidden/>
          </w:rPr>
          <w:instrText xml:space="preserve"> PAGEREF _Toc140403996 \h </w:instrText>
        </w:r>
        <w:r w:rsidR="00A5526B">
          <w:rPr>
            <w:noProof/>
            <w:webHidden/>
          </w:rPr>
        </w:r>
        <w:r w:rsidR="00A5526B">
          <w:rPr>
            <w:noProof/>
            <w:webHidden/>
          </w:rPr>
          <w:fldChar w:fldCharType="separate"/>
        </w:r>
        <w:r w:rsidR="00A5526B">
          <w:rPr>
            <w:noProof/>
            <w:webHidden/>
          </w:rPr>
          <w:t>281</w:t>
        </w:r>
        <w:r w:rsidR="00A5526B">
          <w:rPr>
            <w:noProof/>
            <w:webHidden/>
          </w:rPr>
          <w:fldChar w:fldCharType="end"/>
        </w:r>
      </w:hyperlink>
    </w:p>
    <w:p w14:paraId="618652F4" w14:textId="0BE4E9D7" w:rsidR="00B17E5F" w:rsidRPr="0096692D" w:rsidRDefault="00B17E5F" w:rsidP="0096692D">
      <w:pPr>
        <w:pStyle w:val="Title"/>
        <w:rPr>
          <w:rFonts w:cs="Times New Roman"/>
          <w:sz w:val="24"/>
        </w:rPr>
      </w:pPr>
      <w:r w:rsidRPr="00322E56">
        <w:rPr>
          <w:rFonts w:cs="Times New Roman"/>
          <w:sz w:val="24"/>
        </w:rPr>
        <w:fldChar w:fldCharType="end"/>
      </w:r>
      <w:r w:rsidRPr="00322E56">
        <w:rPr>
          <w:rFonts w:cs="Times New Roman"/>
          <w:sz w:val="24"/>
        </w:rPr>
        <w:t xml:space="preserve"> </w:t>
      </w:r>
    </w:p>
    <w:p w14:paraId="79293454" w14:textId="77777777" w:rsidR="00B17E5F" w:rsidRPr="00322E56" w:rsidRDefault="00B17E5F" w:rsidP="005E54E2">
      <w:pPr>
        <w:rPr>
          <w:rFonts w:cs="Times New Roman"/>
        </w:rPr>
        <w:sectPr w:rsidR="00B17E5F" w:rsidRPr="00322E56" w:rsidSect="001D4908">
          <w:footerReference w:type="default" r:id="rId9"/>
          <w:pgSz w:w="12240" w:h="15840" w:code="1"/>
          <w:pgMar w:top="1440" w:right="1800" w:bottom="1872" w:left="1800" w:header="720" w:footer="1440" w:gutter="0"/>
          <w:pgNumType w:fmt="lowerRoman" w:start="1"/>
          <w:cols w:space="720"/>
          <w:noEndnote/>
          <w:titlePg/>
        </w:sectPr>
      </w:pPr>
    </w:p>
    <w:p w14:paraId="3CC9649D" w14:textId="77777777" w:rsidR="00B17E5F" w:rsidRPr="00322E56" w:rsidRDefault="00B17E5F" w:rsidP="009D54F8">
      <w:pPr>
        <w:pStyle w:val="Heading1"/>
        <w:rPr>
          <w:rFonts w:cs="Times New Roman"/>
        </w:rPr>
      </w:pPr>
      <w:bookmarkStart w:id="3" w:name="_Toc289175819"/>
      <w:bookmarkStart w:id="4" w:name="_Toc140399796"/>
      <w:r w:rsidRPr="00322E56">
        <w:rPr>
          <w:rFonts w:cs="Times New Roman"/>
        </w:rPr>
        <w:lastRenderedPageBreak/>
        <w:t>INTRODUCTION</w:t>
      </w:r>
      <w:bookmarkEnd w:id="3"/>
      <w:bookmarkEnd w:id="4"/>
      <w:r w:rsidRPr="00322E56">
        <w:rPr>
          <w:rFonts w:cs="Times New Roman"/>
        </w:rPr>
        <w:t xml:space="preserve"> </w:t>
      </w:r>
    </w:p>
    <w:p w14:paraId="1525BCAB" w14:textId="77777777" w:rsidR="00B17E5F" w:rsidRPr="00322E56" w:rsidRDefault="00B17E5F" w:rsidP="0096692D">
      <w:pPr>
        <w:ind w:firstLine="720"/>
        <w:rPr>
          <w:rFonts w:cs="Times New Roman"/>
        </w:rPr>
      </w:pPr>
      <w:r w:rsidRPr="00322E56">
        <w:rPr>
          <w:rFonts w:cs="Times New Roman"/>
        </w:rPr>
        <w:t xml:space="preserve">The introduction is organized to lay a framework for this work and to highlight its importance. It talks about residential buildings’ energy consumption and peak demand associated with heat pumps and proposes thermal energy storage integrated with heat pump as a solution to shift the peak loads. The research gap is established, and contributions of this work are listed at the end of this section.  </w:t>
      </w:r>
    </w:p>
    <w:p w14:paraId="63C3B998" w14:textId="77777777" w:rsidR="00B17E5F" w:rsidRPr="00E813DE" w:rsidRDefault="00B17E5F" w:rsidP="00E813DE">
      <w:pPr>
        <w:pStyle w:val="Heading2"/>
        <w:rPr>
          <w:rFonts w:cs="Times New Roman"/>
          <w:szCs w:val="24"/>
        </w:rPr>
      </w:pPr>
      <w:bookmarkStart w:id="5" w:name="_Toc140399797"/>
      <w:r w:rsidRPr="00322E56">
        <w:rPr>
          <w:rFonts w:cs="Times New Roman"/>
          <w:szCs w:val="24"/>
        </w:rPr>
        <w:t>Overview</w:t>
      </w:r>
      <w:bookmarkEnd w:id="5"/>
    </w:p>
    <w:p w14:paraId="66B3F560" w14:textId="53CAF447" w:rsidR="00B17E5F" w:rsidRPr="00322E56" w:rsidRDefault="00B17E5F" w:rsidP="00980940">
      <w:pPr>
        <w:ind w:firstLine="720"/>
        <w:rPr>
          <w:rFonts w:cs="Times New Roman"/>
        </w:rPr>
      </w:pPr>
      <w:r w:rsidRPr="00322E56">
        <w:rPr>
          <w:rFonts w:cs="Times New Roman"/>
        </w:rPr>
        <w:t>Heating, cooling, and ventilation loads in residential buildings account for about 10% of energy consumption and CO</w:t>
      </w:r>
      <w:r w:rsidRPr="00322E56">
        <w:rPr>
          <w:rFonts w:cs="Times New Roman"/>
          <w:vertAlign w:val="subscript"/>
        </w:rPr>
        <w:t>2</w:t>
      </w:r>
      <w:r w:rsidRPr="00322E56">
        <w:rPr>
          <w:rFonts w:cs="Times New Roman"/>
        </w:rPr>
        <w:t xml:space="preserve"> emissions worldwide and comprises 50% of the building electricity consumption </w:t>
      </w:r>
      <w:sdt>
        <w:sdtPr>
          <w:rPr>
            <w:rFonts w:cs="Times New Roman"/>
            <w:color w:val="000000"/>
          </w:rPr>
          <w:tag w:val="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"/>
          <w:id w:val="255799584"/>
          <w:placeholder>
            <w:docPart w:val="91E4FD86CE35426F88A7087D016C58DC"/>
          </w:placeholder>
        </w:sdtPr>
        <w:sdtContent>
          <w:r w:rsidR="001E7ECF" w:rsidRPr="001E7ECF">
            <w:rPr>
              <w:rFonts w:cs="Times New Roman"/>
              <w:color w:val="000000"/>
            </w:rPr>
            <w:t>[1]–[3]</w:t>
          </w:r>
        </w:sdtContent>
      </w:sdt>
      <w:r w:rsidRPr="00322E56">
        <w:rPr>
          <w:rFonts w:cs="Times New Roman"/>
        </w:rPr>
        <w:t xml:space="preserve">. More than 74% of electric use in United States is attributed to buildings where heat pumps (HP) exacerbate the demand issues, as, during the summer peak times, 50% of the electric load comes from residential buildings, which is largely HVAC (Heating, Ventilation, and Air Conditioning) load </w:t>
      </w:r>
      <w:sdt>
        <w:sdtPr>
          <w:rPr>
            <w:rFonts w:cs="Times New Roman"/>
            <w:color w:val="000000"/>
          </w:rPr>
          <w:tag w:val="MENDELEY_CITATION_v3_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"/>
          <w:id w:val="-1747410390"/>
          <w:placeholder>
            <w:docPart w:val="91E4FD86CE35426F88A7087D016C58DC"/>
          </w:placeholder>
        </w:sdtPr>
        <w:sdtContent>
          <w:r w:rsidR="001E7ECF" w:rsidRPr="001E7ECF">
            <w:rPr>
              <w:rFonts w:cs="Times New Roman"/>
              <w:color w:val="000000"/>
            </w:rPr>
            <w:t>[4]</w:t>
          </w:r>
        </w:sdtContent>
      </w:sdt>
      <w:r w:rsidRPr="00322E56">
        <w:rPr>
          <w:rFonts w:cs="Times New Roman"/>
        </w:rPr>
        <w:t xml:space="preserve">. The potential of onsite thermal energy storage (TES) has mostly been underestimated even though its significance for decarbonization and demand reduction has been established by researchers </w:t>
      </w:r>
      <w:sdt>
        <w:sdtPr>
          <w:rPr>
            <w:rFonts w:cs="Times New Roman"/>
            <w:color w:val="000000"/>
          </w:rPr>
          <w:tag w:val="MENDELEY_CITATION_v3_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"/>
          <w:id w:val="1094289934"/>
          <w:placeholder>
            <w:docPart w:val="AFCB6F2CBB244928B8CD5211F2DD417B"/>
          </w:placeholder>
        </w:sdtPr>
        <w:sdtContent>
          <w:r w:rsidR="001E7ECF" w:rsidRPr="001E7ECF">
            <w:rPr>
              <w:rFonts w:cs="Times New Roman"/>
              <w:color w:val="000000"/>
            </w:rPr>
            <w:t>[2]</w:t>
          </w:r>
        </w:sdtContent>
      </w:sdt>
      <w:r w:rsidRPr="00322E56">
        <w:rPr>
          <w:rFonts w:cs="Times New Roman"/>
        </w:rPr>
        <w:t>.</w:t>
      </w:r>
    </w:p>
    <w:p w14:paraId="20D95911" w14:textId="77777777" w:rsidR="00B17E5F" w:rsidRPr="00322E56" w:rsidRDefault="00B17E5F" w:rsidP="00980940">
      <w:pPr>
        <w:ind w:firstLine="720"/>
        <w:rPr>
          <w:rFonts w:cs="Times New Roman"/>
        </w:rPr>
      </w:pPr>
      <w:r w:rsidRPr="00322E56">
        <w:rPr>
          <w:rFonts w:cs="Times New Roman"/>
        </w:rPr>
        <w:t>TES systems locally decouple heating or cooling demand from its production. The thermal storage properties can be leveraged from phase change materials (PCM) to not only design a demand response strategy for peak load shifting, but also for decarbonization. PCM which can be incorporated as passive or active storage, have the capability to store the off-peak energy that can be released during on-peak time.</w:t>
      </w:r>
    </w:p>
    <w:p w14:paraId="4D3A97F3" w14:textId="3D1E83EE" w:rsidR="00B17E5F" w:rsidRPr="00322E56" w:rsidRDefault="00B17E5F" w:rsidP="00980940">
      <w:pPr>
        <w:ind w:firstLine="720"/>
        <w:rPr>
          <w:rFonts w:cs="Times New Roman"/>
        </w:rPr>
      </w:pPr>
      <w:r w:rsidRPr="00322E56">
        <w:rPr>
          <w:rFonts w:cs="Times New Roman"/>
        </w:rPr>
        <w:t xml:space="preserve">Researchers have used TES as a building material, but those systems do not have control over when and how to use TES </w:t>
      </w:r>
      <w:sdt>
        <w:sdtPr>
          <w:rPr>
            <w:rFonts w:cs="Times New Roman"/>
            <w:color w:val="000000"/>
          </w:rPr>
          <w:tag w:val="MENDELEY_CITATION_v3_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"/>
          <w:id w:val="-25568940"/>
          <w:placeholder>
            <w:docPart w:val="1B3FE7BD531F421C914E3C5551B65B3B"/>
          </w:placeholder>
        </w:sdtPr>
        <w:sdtContent>
          <w:r w:rsidR="001E7ECF" w:rsidRPr="001E7ECF">
            <w:rPr>
              <w:rFonts w:cs="Times New Roman"/>
              <w:color w:val="000000"/>
            </w:rPr>
            <w:t>[5], [6]</w:t>
          </w:r>
        </w:sdtContent>
      </w:sdt>
      <w:r w:rsidRPr="00322E56">
        <w:rPr>
          <w:rFonts w:cs="Times New Roman"/>
        </w:rPr>
        <w:t xml:space="preserve">. Such systems are often utilized as a passive storage. They can meet high cooling and heating demands while maintaining occupant comfort </w:t>
      </w:r>
      <w:sdt>
        <w:sdtPr>
          <w:rPr>
            <w:rFonts w:cs="Times New Roman"/>
            <w:color w:val="000000"/>
          </w:rPr>
          <w:tag w:val="MENDELEY_CITATION_v3_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"/>
          <w:id w:val="-489251992"/>
          <w:placeholder>
            <w:docPart w:val="1AB32AB2DC0A4A71892EAEDB2E7FF0E1"/>
          </w:placeholder>
        </w:sdtPr>
        <w:sdtContent>
          <w:r w:rsidR="001E7ECF" w:rsidRPr="001E7ECF">
            <w:rPr>
              <w:rFonts w:cs="Times New Roman"/>
              <w:color w:val="000000"/>
            </w:rPr>
            <w:t>[7]</w:t>
          </w:r>
        </w:sdtContent>
      </w:sdt>
      <w:r w:rsidRPr="00322E56">
        <w:rPr>
          <w:rFonts w:cs="Times New Roman"/>
        </w:rPr>
        <w:t xml:space="preserve">, but that effort also poses challenges such as complex installation, material encapsulation, space constraints, and additional controls and components </w:t>
      </w:r>
      <w:sdt>
        <w:sdtPr>
          <w:rPr>
            <w:rFonts w:cs="Times New Roman"/>
            <w:color w:val="000000"/>
          </w:rPr>
          <w:tag w:val="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"/>
          <w:id w:val="909272236"/>
          <w:placeholder>
            <w:docPart w:val="1AB32AB2DC0A4A71892EAEDB2E7FF0E1"/>
          </w:placeholder>
        </w:sdtPr>
        <w:sdtContent>
          <w:r w:rsidR="001E7ECF" w:rsidRPr="001E7ECF">
            <w:rPr>
              <w:rFonts w:cs="Times New Roman"/>
              <w:color w:val="000000"/>
            </w:rPr>
            <w:t>[8]–[12]</w:t>
          </w:r>
        </w:sdtContent>
      </w:sdt>
      <w:r w:rsidRPr="00322E56">
        <w:rPr>
          <w:rFonts w:cs="Times New Roman"/>
        </w:rPr>
        <w:t xml:space="preserve">. </w:t>
      </w:r>
    </w:p>
    <w:p w14:paraId="5BE416A6" w14:textId="0AB99F26" w:rsidR="00B17E5F" w:rsidRPr="00322E56" w:rsidRDefault="00B17E5F" w:rsidP="00E813DE">
      <w:pPr>
        <w:ind w:firstLine="720"/>
        <w:rPr>
          <w:rFonts w:cs="Times New Roman"/>
        </w:rPr>
      </w:pPr>
      <w:r w:rsidRPr="00322E56">
        <w:rPr>
          <w:rFonts w:cs="Times New Roman"/>
        </w:rPr>
        <w:lastRenderedPageBreak/>
        <w:t xml:space="preserve">TES can be coupled with existing air source, ground source, or dual source HPs in buildings </w:t>
      </w:r>
      <w:sdt>
        <w:sdtPr>
          <w:rPr>
            <w:rFonts w:cs="Times New Roman"/>
            <w:color w:val="000000"/>
          </w:rPr>
          <w:tag w:val="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"/>
          <w:id w:val="-2146102450"/>
          <w:placeholder>
            <w:docPart w:val="0854A41F3A464BB4A4C0AA3E687EAE02"/>
          </w:placeholder>
        </w:sdtPr>
        <w:sdtContent>
          <w:r w:rsidR="001E7ECF" w:rsidRPr="001E7ECF">
            <w:rPr>
              <w:rFonts w:cs="Times New Roman"/>
              <w:color w:val="000000"/>
            </w:rPr>
            <w:t>[13]–[16]</w:t>
          </w:r>
        </w:sdtContent>
      </w:sdt>
      <w:r w:rsidRPr="00322E56">
        <w:rPr>
          <w:rFonts w:cs="Times New Roman"/>
        </w:rPr>
        <w:t xml:space="preserve">. Integrating TES not only increases the HP efficiency and coefficient of performance (COP) </w:t>
      </w:r>
      <w:sdt>
        <w:sdtPr>
          <w:rPr>
            <w:rFonts w:cs="Times New Roman"/>
            <w:color w:val="000000"/>
          </w:rPr>
          <w:tag w:val="MENDELEY_CITATION_v3_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"/>
          <w:id w:val="-302390349"/>
          <w:placeholder>
            <w:docPart w:val="9B879AF6899F4C9B9A6F3748217AA0E5"/>
          </w:placeholder>
        </w:sdtPr>
        <w:sdtContent>
          <w:r w:rsidR="001E7ECF" w:rsidRPr="001E7ECF">
            <w:rPr>
              <w:rFonts w:cs="Times New Roman"/>
              <w:color w:val="000000"/>
            </w:rPr>
            <w:t>[17]–[19]</w:t>
          </w:r>
        </w:sdtContent>
      </w:sdt>
      <w:r w:rsidRPr="00322E56">
        <w:rPr>
          <w:rFonts w:cs="Times New Roman"/>
        </w:rPr>
        <w:t xml:space="preserve"> but also offers controls, configuration, and design flexibility </w:t>
      </w:r>
      <w:sdt>
        <w:sdtPr>
          <w:rPr>
            <w:rFonts w:cs="Times New Roman"/>
            <w:color w:val="000000"/>
          </w:rPr>
          <w:tag w:val="MENDELEY_CITATION_v3_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"/>
          <w:id w:val="-1279725001"/>
          <w:placeholder>
            <w:docPart w:val="0854A41F3A464BB4A4C0AA3E687EAE02"/>
          </w:placeholder>
        </w:sdtPr>
        <w:sdtContent>
          <w:r w:rsidR="001E7ECF" w:rsidRPr="001E7ECF">
            <w:rPr>
              <w:rFonts w:cs="Times New Roman"/>
              <w:color w:val="000000"/>
            </w:rPr>
            <w:t>[20]–[22]</w:t>
          </w:r>
        </w:sdtContent>
      </w:sdt>
      <w:r w:rsidRPr="00322E56">
        <w:rPr>
          <w:rFonts w:cs="Times New Roman"/>
        </w:rPr>
        <w:t xml:space="preserve">. HP-integrated TES (HP-TES) has a smaller space footprint and does not require additional equipment </w:t>
      </w:r>
      <w:sdt>
        <w:sdtPr>
          <w:rPr>
            <w:rFonts w:cs="Times New Roman"/>
            <w:color w:val="000000"/>
          </w:rPr>
          <w:tag w:val="MENDELEY_CITATION_v3_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"/>
          <w:id w:val="-1774231518"/>
          <w:placeholder>
            <w:docPart w:val="0854A41F3A464BB4A4C0AA3E687EAE02"/>
          </w:placeholder>
        </w:sdtPr>
        <w:sdtContent>
          <w:r w:rsidR="001E7ECF" w:rsidRPr="001E7ECF">
            <w:rPr>
              <w:rFonts w:cs="Times New Roman"/>
              <w:color w:val="000000"/>
            </w:rPr>
            <w:t>[23], [24]</w:t>
          </w:r>
        </w:sdtContent>
      </w:sdt>
      <w:r w:rsidRPr="00322E56">
        <w:rPr>
          <w:rFonts w:cs="Times New Roman"/>
        </w:rPr>
        <w:t xml:space="preserve">. HPs can control TES charging and discharging using existing equipment </w:t>
      </w:r>
      <w:sdt>
        <w:sdtPr>
          <w:rPr>
            <w:rFonts w:cs="Times New Roman"/>
            <w:color w:val="000000"/>
          </w:rPr>
          <w:tag w:val="MENDELEY_CITATION_v3_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"/>
          <w:id w:val="1072322055"/>
          <w:placeholder>
            <w:docPart w:val="0854A41F3A464BB4A4C0AA3E687EAE02"/>
          </w:placeholder>
        </w:sdtPr>
        <w:sdtContent>
          <w:r w:rsidR="001E7ECF" w:rsidRPr="001E7ECF">
            <w:rPr>
              <w:rFonts w:cs="Times New Roman"/>
              <w:color w:val="000000"/>
            </w:rPr>
            <w:t>[25]</w:t>
          </w:r>
        </w:sdtContent>
      </w:sdt>
      <w:r w:rsidRPr="00322E56">
        <w:rPr>
          <w:rFonts w:cs="Times New Roman"/>
        </w:rPr>
        <w:t xml:space="preserve"> while providing load shifting and cost saving benefits when coupled with a utility tariff </w:t>
      </w:r>
      <w:sdt>
        <w:sdtPr>
          <w:rPr>
            <w:rFonts w:cs="Times New Roman"/>
            <w:color w:val="000000"/>
          </w:rPr>
          <w:tag w:val="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"/>
          <w:id w:val="-1299606869"/>
          <w:placeholder>
            <w:docPart w:val="0854A41F3A464BB4A4C0AA3E687EAE02"/>
          </w:placeholder>
        </w:sdtPr>
        <w:sdtContent>
          <w:r w:rsidR="001E7ECF" w:rsidRPr="001E7ECF">
            <w:rPr>
              <w:rFonts w:cs="Times New Roman"/>
              <w:color w:val="000000"/>
            </w:rPr>
            <w:t>[26]–[29]</w:t>
          </w:r>
        </w:sdtContent>
      </w:sdt>
      <w:r w:rsidRPr="00322E56">
        <w:rPr>
          <w:rFonts w:cs="Times New Roman"/>
        </w:rPr>
        <w:t xml:space="preserve">. PCM integrated with an HP via active storage could save energy, shift the HP loads and energy use from peak to off-peak times, and provide grid flexibility by reducing grid stress during high-demand periods </w:t>
      </w:r>
      <w:sdt>
        <w:sdtPr>
          <w:rPr>
            <w:rFonts w:cs="Times New Roman"/>
            <w:color w:val="000000"/>
            <w:shd w:val="clear" w:color="auto" w:fill="E6E6E6"/>
          </w:rPr>
          <w:tag w:val="MENDELEY_CITATION_v3_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"/>
          <w:id w:val="-122542662"/>
          <w:placeholder>
            <w:docPart w:val="11DED716EB1F44508AEEC277105350B4"/>
          </w:placeholder>
        </w:sdtPr>
        <w:sdtContent>
          <w:r w:rsidR="001E7ECF" w:rsidRPr="001E7ECF">
            <w:rPr>
              <w:rFonts w:cs="Times New Roman"/>
              <w:color w:val="000000"/>
            </w:rPr>
            <w:t>[30]–[32]</w:t>
          </w:r>
        </w:sdtContent>
      </w:sdt>
      <w:r w:rsidRPr="00322E56">
        <w:rPr>
          <w:rFonts w:cs="Times New Roman"/>
        </w:rPr>
        <w:t>.</w:t>
      </w:r>
    </w:p>
    <w:p w14:paraId="5845C22F" w14:textId="77777777" w:rsidR="00B17E5F" w:rsidRPr="00322E56" w:rsidRDefault="00B17E5F" w:rsidP="00980940">
      <w:pPr>
        <w:pStyle w:val="Heading2"/>
        <w:rPr>
          <w:rFonts w:cs="Times New Roman"/>
          <w:szCs w:val="24"/>
        </w:rPr>
      </w:pPr>
      <w:bookmarkStart w:id="6" w:name="_Toc140399798"/>
      <w:r w:rsidRPr="00322E56">
        <w:rPr>
          <w:rFonts w:cs="Times New Roman"/>
          <w:szCs w:val="24"/>
        </w:rPr>
        <w:t>Relevance of Research</w:t>
      </w:r>
      <w:bookmarkEnd w:id="6"/>
    </w:p>
    <w:p w14:paraId="073763CA" w14:textId="2D9DC7F8" w:rsidR="00B17E5F" w:rsidRDefault="00B17E5F" w:rsidP="00993B34">
      <w:pPr>
        <w:ind w:firstLine="720"/>
        <w:rPr>
          <w:rFonts w:cs="Times New Roman"/>
        </w:rPr>
      </w:pPr>
      <w:r>
        <w:rPr>
          <w:rFonts w:cs="Times New Roman"/>
        </w:rPr>
        <w:t xml:space="preserve">TES has gained popularity in the past few years for demand management. Researchers have analyzed different PCM and </w:t>
      </w:r>
      <w:r w:rsidR="00B80307">
        <w:rPr>
          <w:rFonts w:cs="Times New Roman"/>
        </w:rPr>
        <w:t>ice-based</w:t>
      </w:r>
      <w:r>
        <w:rPr>
          <w:rFonts w:cs="Times New Roman"/>
        </w:rPr>
        <w:t xml:space="preserve"> TES for demand response (DR) using utility controls but decarbonization potential hasn’t been assessed. </w:t>
      </w:r>
    </w:p>
    <w:p w14:paraId="3212F306" w14:textId="77777777" w:rsidR="004E1A99" w:rsidRDefault="00B17E5F" w:rsidP="004E1A99">
      <w:pPr>
        <w:ind w:firstLine="720"/>
        <w:rPr>
          <w:rStyle w:val="s2"/>
          <w:rFonts w:cs="Times New Roman"/>
          <w:color w:val="000000"/>
        </w:rPr>
      </w:pPr>
      <w:r>
        <w:rPr>
          <w:rFonts w:cs="Times New Roman"/>
        </w:rPr>
        <w:t>Passive TES has been more popular and there are very few experimental studies on active TES. Furthermore, there can be number of active TES configurations that haven’t been explored yet. Very few studies integrated HP with TES, hence, both the configuration and controls haven’t been investigated.</w:t>
      </w:r>
      <w:r w:rsidR="004E1A99">
        <w:rPr>
          <w:rFonts w:cs="Times New Roman"/>
        </w:rPr>
        <w:t xml:space="preserve"> HP-TES provides degree of freedom in hardware design and controls choices. Number of possibilities exist for integration using existing equipment with minimum modifications. However, literature on HP-TES performance and simulation is non-existent, and there are no standards or models to compare against. In addition to providing a complete model and validated experimental prototype with a focus on configurations and controls, we </w:t>
      </w:r>
      <w:r w:rsidRPr="004E1A99">
        <w:rPr>
          <w:rStyle w:val="s2"/>
          <w:rFonts w:cs="Times New Roman"/>
          <w:color w:val="000000"/>
        </w:rPr>
        <w:t>also use a single PCM for both heating and cooling in active TES which hasn’t been done before</w:t>
      </w:r>
      <w:r w:rsidR="004E1A99" w:rsidRPr="004E1A99">
        <w:rPr>
          <w:rStyle w:val="s2"/>
          <w:rFonts w:cs="Times New Roman"/>
          <w:color w:val="000000"/>
        </w:rPr>
        <w:t>.</w:t>
      </w:r>
      <w:r w:rsidR="004E1A99">
        <w:rPr>
          <w:rStyle w:val="s2"/>
          <w:rFonts w:cs="Times New Roman"/>
          <w:color w:val="000000"/>
        </w:rPr>
        <w:t xml:space="preserve"> </w:t>
      </w:r>
    </w:p>
    <w:p w14:paraId="3CD56077" w14:textId="017CF6C1" w:rsidR="00B17E5F" w:rsidRPr="00322E56" w:rsidRDefault="004E1A99" w:rsidP="004E1A99">
      <w:pPr>
        <w:ind w:firstLine="720"/>
        <w:rPr>
          <w:rFonts w:cs="Times New Roman"/>
        </w:rPr>
      </w:pPr>
      <w:r>
        <w:rPr>
          <w:rStyle w:val="s2"/>
          <w:rFonts w:cs="Times New Roman"/>
          <w:color w:val="000000"/>
        </w:rPr>
        <w:t xml:space="preserve">TES is integrated with HP via novel coupling method and performance is analyzed </w:t>
      </w:r>
      <w:r w:rsidR="00B17E5F" w:rsidRPr="004E1A99">
        <w:rPr>
          <w:rFonts w:cs="Times New Roman"/>
        </w:rPr>
        <w:t xml:space="preserve">using single PCM for both heating and cooling in different climates to compare the </w:t>
      </w:r>
      <w:r>
        <w:rPr>
          <w:rFonts w:cs="Times New Roman"/>
        </w:rPr>
        <w:t xml:space="preserve">utility </w:t>
      </w:r>
      <w:r w:rsidR="00B17E5F" w:rsidRPr="004E1A99">
        <w:rPr>
          <w:rFonts w:cs="Times New Roman"/>
        </w:rPr>
        <w:t xml:space="preserve">cost, </w:t>
      </w:r>
      <w:r>
        <w:rPr>
          <w:rFonts w:cs="Times New Roman"/>
        </w:rPr>
        <w:t>electric consumption, carbon emissions</w:t>
      </w:r>
      <w:r w:rsidR="00B17E5F" w:rsidRPr="004E1A99">
        <w:rPr>
          <w:rFonts w:cs="Times New Roman"/>
        </w:rPr>
        <w:t xml:space="preserve"> and </w:t>
      </w:r>
      <w:r>
        <w:rPr>
          <w:rFonts w:cs="Times New Roman"/>
        </w:rPr>
        <w:t xml:space="preserve">peak </w:t>
      </w:r>
      <w:r w:rsidR="00B17E5F" w:rsidRPr="004E1A99">
        <w:rPr>
          <w:rFonts w:cs="Times New Roman"/>
        </w:rPr>
        <w:t>demand savings</w:t>
      </w:r>
      <w:r>
        <w:rPr>
          <w:rFonts w:cs="Times New Roman"/>
        </w:rPr>
        <w:t>.</w:t>
      </w:r>
    </w:p>
    <w:p w14:paraId="60E27C56" w14:textId="77777777" w:rsidR="00B17E5F" w:rsidRPr="00322E56" w:rsidRDefault="00B17E5F" w:rsidP="00334400">
      <w:pPr>
        <w:pStyle w:val="Heading3"/>
        <w:rPr>
          <w:rFonts w:cs="Times New Roman"/>
          <w:szCs w:val="24"/>
        </w:rPr>
      </w:pPr>
      <w:bookmarkStart w:id="7" w:name="_Toc140399799"/>
      <w:r w:rsidRPr="00322E56">
        <w:rPr>
          <w:rFonts w:cs="Times New Roman"/>
          <w:szCs w:val="24"/>
        </w:rPr>
        <w:lastRenderedPageBreak/>
        <w:t>Research Gap</w:t>
      </w:r>
      <w:bookmarkEnd w:id="7"/>
    </w:p>
    <w:p w14:paraId="6BC8D78A" w14:textId="77777777" w:rsidR="00B17E5F" w:rsidRPr="00322E56" w:rsidRDefault="00B17E5F" w:rsidP="0096692D">
      <w:pPr>
        <w:ind w:firstLine="540"/>
        <w:rPr>
          <w:rFonts w:cs="Times New Roman"/>
        </w:rPr>
      </w:pPr>
      <w:r w:rsidRPr="00322E56">
        <w:rPr>
          <w:rFonts w:cs="Times New Roman"/>
        </w:rPr>
        <w:t>This work will fill a gap in literature by providing a literature review on heat pump integrated TES with a focus on configurations. The papers that are reviewed have reported energy savings, cost savings, or load shifting benefits of HP-TES configuration. The review includes type of PCM used, utility-based controls for demand response, charging and discharging operation, and location of PCM within building envelop and heat pump components for passive and active TES, respectively.</w:t>
      </w:r>
    </w:p>
    <w:p w14:paraId="1301C358" w14:textId="77777777" w:rsidR="00B17E5F" w:rsidRPr="00322E56" w:rsidRDefault="00B17E5F" w:rsidP="00980940">
      <w:pPr>
        <w:ind w:firstLine="540"/>
        <w:rPr>
          <w:rFonts w:cs="Times New Roman"/>
        </w:rPr>
      </w:pPr>
      <w:r w:rsidRPr="00322E56">
        <w:rPr>
          <w:rFonts w:cs="Times New Roman"/>
        </w:rPr>
        <w:t xml:space="preserve">The research gaps are identified from the literature review. To the best of our knowledge, an HP-TES model doesn’t exist for configurations where heat pump is mediating the heat transfer. This work will develop the model and validate the simulations via full scale experimental setup. A salt hydrate PCM will be used with a single-phase change temperature for active heating and cooling via heat pump, aided by TES. Technoeconomic analysis will be performed using pre-defined utility rates and grid emissions-based controls to report energy savings, cost savings, peak load shifting, and carbon mitigation. </w:t>
      </w:r>
    </w:p>
    <w:p w14:paraId="45AFC456" w14:textId="77777777" w:rsidR="00B17E5F" w:rsidRPr="00322E56" w:rsidRDefault="00B17E5F" w:rsidP="00980940">
      <w:pPr>
        <w:ind w:firstLine="540"/>
        <w:rPr>
          <w:rFonts w:cs="Times New Roman"/>
        </w:rPr>
      </w:pPr>
      <w:r w:rsidRPr="00322E56">
        <w:rPr>
          <w:rFonts w:cs="Times New Roman"/>
        </w:rPr>
        <w:t>The key to using TES to provide economic and grid benefits is the development of materials and packaging in optimized configuration and temperature range. This work is focused on active heat pump integrated TES and technoeconomic analysis is conducted based on,</w:t>
      </w:r>
    </w:p>
    <w:p w14:paraId="030BE805" w14:textId="77777777" w:rsidR="00B17E5F" w:rsidRPr="00322E56" w:rsidRDefault="00B17E5F" w:rsidP="00980940">
      <w:pPr>
        <w:pStyle w:val="ListParagraph"/>
        <w:numPr>
          <w:ilvl w:val="0"/>
          <w:numId w:val="9"/>
        </w:numPr>
        <w:spacing w:before="0" w:after="0"/>
        <w:rPr>
          <w:rFonts w:cs="Times New Roman"/>
        </w:rPr>
      </w:pPr>
      <w:r w:rsidRPr="00322E56">
        <w:rPr>
          <w:rFonts w:cs="Times New Roman"/>
          <w:b/>
          <w:bCs/>
        </w:rPr>
        <w:t>Configuration</w:t>
      </w:r>
      <w:r w:rsidRPr="00322E56">
        <w:rPr>
          <w:rFonts w:cs="Times New Roman"/>
        </w:rPr>
        <w:t xml:space="preserve"> for integrating TES with heat pumps.</w:t>
      </w:r>
    </w:p>
    <w:p w14:paraId="7AD0B3F2" w14:textId="77777777" w:rsidR="00B17E5F" w:rsidRPr="00322E56" w:rsidRDefault="00B17E5F" w:rsidP="00980940">
      <w:pPr>
        <w:pStyle w:val="ListParagraph"/>
        <w:numPr>
          <w:ilvl w:val="0"/>
          <w:numId w:val="9"/>
        </w:numPr>
        <w:spacing w:before="0" w:after="0"/>
        <w:rPr>
          <w:rFonts w:cs="Times New Roman"/>
        </w:rPr>
      </w:pPr>
      <w:r w:rsidRPr="00322E56">
        <w:rPr>
          <w:rFonts w:cs="Times New Roman"/>
        </w:rPr>
        <w:t xml:space="preserve">PCM with </w:t>
      </w:r>
      <w:r w:rsidRPr="00322E56">
        <w:rPr>
          <w:rFonts w:cs="Times New Roman"/>
          <w:b/>
          <w:bCs/>
        </w:rPr>
        <w:t>single phase change temperature</w:t>
      </w:r>
      <w:r w:rsidRPr="00322E56">
        <w:rPr>
          <w:rFonts w:cs="Times New Roman"/>
        </w:rPr>
        <w:t xml:space="preserve"> for both heating and cooling.</w:t>
      </w:r>
    </w:p>
    <w:p w14:paraId="33944A98" w14:textId="77777777" w:rsidR="00B17E5F" w:rsidRPr="00E813DE" w:rsidRDefault="00B17E5F" w:rsidP="00E813DE">
      <w:pPr>
        <w:pStyle w:val="ListParagraph"/>
        <w:numPr>
          <w:ilvl w:val="0"/>
          <w:numId w:val="9"/>
        </w:numPr>
        <w:spacing w:before="0" w:after="0"/>
        <w:rPr>
          <w:rFonts w:cs="Times New Roman"/>
        </w:rPr>
      </w:pPr>
      <w:r w:rsidRPr="00322E56">
        <w:rPr>
          <w:rFonts w:cs="Times New Roman"/>
          <w:b/>
          <w:bCs/>
        </w:rPr>
        <w:t>Controls</w:t>
      </w:r>
      <w:r w:rsidRPr="00322E56">
        <w:rPr>
          <w:rFonts w:cs="Times New Roman"/>
        </w:rPr>
        <w:t xml:space="preserve"> for peak load shifting and carbon mitigation. </w:t>
      </w:r>
    </w:p>
    <w:p w14:paraId="5AFE878D" w14:textId="1940398F" w:rsidR="00274DBA" w:rsidRDefault="00B17E5F" w:rsidP="00980940">
      <w:pPr>
        <w:ind w:firstLine="720"/>
        <w:rPr>
          <w:rFonts w:cs="Times New Roman"/>
        </w:rPr>
      </w:pPr>
      <w:r w:rsidRPr="00322E56">
        <w:rPr>
          <w:rFonts w:cs="Times New Roman"/>
        </w:rPr>
        <w:t>Table 1 shows the scope of this work and compares with the literature to identify gap. The comparison includes active heat pump integrated TES systems studied in literature where either carbon emissions analysis or technoeconomic analysis is performed reporting load shifting benefits and energy or cost savings. Some papers have reported demand reduction or peak load shifted based on utility controls, others have reduced high cooling or heating demands and shifted diurnal loads by pre-cooling the building at night.</w:t>
      </w:r>
    </w:p>
    <w:p w14:paraId="51C0CD73" w14:textId="77777777" w:rsidR="00274DBA" w:rsidRPr="00322E56" w:rsidRDefault="00274DBA" w:rsidP="00274DBA">
      <w:pPr>
        <w:pStyle w:val="Caption"/>
        <w:keepLines/>
        <w:jc w:val="center"/>
        <w:rPr>
          <w:rFonts w:cs="Times New Roman"/>
        </w:rPr>
      </w:pPr>
      <w:r>
        <w:rPr>
          <w:rFonts w:cs="Times New Roman"/>
        </w:rPr>
        <w:br w:type="page"/>
      </w:r>
      <w:bookmarkStart w:id="8" w:name="_Toc140399941"/>
      <w:r w:rsidRPr="00322E56">
        <w:rPr>
          <w:rFonts w:cs="Times New Roman"/>
        </w:rPr>
        <w:lastRenderedPageBreak/>
        <w:t xml:space="preserve">Table </w:t>
      </w:r>
      <w:r w:rsidRPr="00322E56">
        <w:rPr>
          <w:rFonts w:cs="Times New Roman"/>
        </w:rPr>
        <w:fldChar w:fldCharType="begin"/>
      </w:r>
      <w:r w:rsidRPr="00322E56">
        <w:rPr>
          <w:rFonts w:cs="Times New Roman"/>
        </w:rPr>
        <w:instrText xml:space="preserve"> SEQ Table \* ARABIC </w:instrText>
      </w:r>
      <w:r w:rsidRPr="00322E56">
        <w:rPr>
          <w:rFonts w:cs="Times New Roman"/>
        </w:rPr>
        <w:fldChar w:fldCharType="separate"/>
      </w:r>
      <w:r>
        <w:rPr>
          <w:rFonts w:cs="Times New Roman"/>
          <w:noProof/>
        </w:rPr>
        <w:t>1</w:t>
      </w:r>
      <w:r w:rsidRPr="00322E56">
        <w:rPr>
          <w:rFonts w:cs="Times New Roman"/>
          <w:noProof/>
        </w:rPr>
        <w:fldChar w:fldCharType="end"/>
      </w:r>
      <w:r w:rsidRPr="00322E56">
        <w:rPr>
          <w:rFonts w:cs="Times New Roman"/>
        </w:rPr>
        <w:t>: Table showing gap in literature and scope of this work.</w:t>
      </w:r>
      <w:bookmarkEnd w:id="8"/>
    </w:p>
    <w:tbl>
      <w:tblPr>
        <w:tblStyle w:val="TableGrid"/>
        <w:tblW w:w="4987" w:type="pct"/>
        <w:jc w:val="center"/>
        <w:tblLook w:val="0420" w:firstRow="1" w:lastRow="0" w:firstColumn="0" w:lastColumn="0" w:noHBand="0" w:noVBand="1"/>
      </w:tblPr>
      <w:tblGrid>
        <w:gridCol w:w="1973"/>
        <w:gridCol w:w="1091"/>
        <w:gridCol w:w="1091"/>
        <w:gridCol w:w="1092"/>
        <w:gridCol w:w="1158"/>
        <w:gridCol w:w="1109"/>
        <w:gridCol w:w="1094"/>
      </w:tblGrid>
      <w:tr w:rsidR="00274DBA" w:rsidRPr="00E813DE" w14:paraId="32F715E5" w14:textId="77777777" w:rsidTr="00270231">
        <w:trPr>
          <w:trHeight w:val="315"/>
          <w:jc w:val="center"/>
        </w:trPr>
        <w:tc>
          <w:tcPr>
            <w:tcW w:w="1147" w:type="pct"/>
            <w:hideMark/>
          </w:tcPr>
          <w:p w14:paraId="6C9698BB" w14:textId="77777777" w:rsidR="00274DBA" w:rsidRPr="00E813DE" w:rsidRDefault="00274DBA" w:rsidP="00273064">
            <w:pPr>
              <w:pStyle w:val="NoSpacing"/>
              <w:rPr>
                <w:b/>
                <w:bCs/>
                <w:sz w:val="22"/>
                <w:szCs w:val="22"/>
              </w:rPr>
            </w:pPr>
            <w:r w:rsidRPr="00E813DE">
              <w:rPr>
                <w:b/>
                <w:bCs/>
                <w:sz w:val="22"/>
                <w:szCs w:val="22"/>
              </w:rPr>
              <w:t>Reference</w:t>
            </w:r>
          </w:p>
        </w:tc>
        <w:tc>
          <w:tcPr>
            <w:tcW w:w="635" w:type="pct"/>
            <w:hideMark/>
          </w:tcPr>
          <w:p w14:paraId="686E239C" w14:textId="77777777" w:rsidR="00274DBA" w:rsidRPr="00E813DE" w:rsidRDefault="00274DBA" w:rsidP="00273064">
            <w:pPr>
              <w:pStyle w:val="NoSpacing"/>
              <w:rPr>
                <w:b/>
                <w:bCs/>
                <w:sz w:val="22"/>
                <w:szCs w:val="22"/>
              </w:rPr>
            </w:pPr>
            <w:r w:rsidRPr="00E813DE">
              <w:rPr>
                <w:b/>
                <w:bCs/>
                <w:sz w:val="22"/>
                <w:szCs w:val="22"/>
              </w:rPr>
              <w:t>Single PCM for both heating and cooling</w:t>
            </w:r>
          </w:p>
        </w:tc>
        <w:tc>
          <w:tcPr>
            <w:tcW w:w="635" w:type="pct"/>
            <w:hideMark/>
          </w:tcPr>
          <w:p w14:paraId="6459043E" w14:textId="77777777" w:rsidR="00274DBA" w:rsidRPr="00E813DE" w:rsidRDefault="00274DBA" w:rsidP="00273064">
            <w:pPr>
              <w:pStyle w:val="NoSpacing"/>
              <w:rPr>
                <w:b/>
                <w:bCs/>
                <w:sz w:val="22"/>
                <w:szCs w:val="22"/>
              </w:rPr>
            </w:pPr>
            <w:r w:rsidRPr="00E813DE">
              <w:rPr>
                <w:b/>
                <w:bCs/>
                <w:sz w:val="22"/>
                <w:szCs w:val="22"/>
              </w:rPr>
              <w:t>Active HP-TES mediated by heat pump</w:t>
            </w:r>
          </w:p>
        </w:tc>
        <w:tc>
          <w:tcPr>
            <w:tcW w:w="635" w:type="pct"/>
            <w:hideMark/>
          </w:tcPr>
          <w:p w14:paraId="46049FEE" w14:textId="77777777" w:rsidR="00274DBA" w:rsidRPr="00E813DE" w:rsidRDefault="00274DBA" w:rsidP="00273064">
            <w:pPr>
              <w:pStyle w:val="NoSpacing"/>
              <w:rPr>
                <w:b/>
                <w:bCs/>
                <w:sz w:val="22"/>
                <w:szCs w:val="22"/>
              </w:rPr>
            </w:pPr>
            <w:r w:rsidRPr="00E813DE">
              <w:rPr>
                <w:b/>
                <w:bCs/>
                <w:sz w:val="22"/>
                <w:szCs w:val="22"/>
              </w:rPr>
              <w:t>Carbon Emission controls for Hp-TES</w:t>
            </w:r>
          </w:p>
        </w:tc>
        <w:tc>
          <w:tcPr>
            <w:tcW w:w="670" w:type="pct"/>
            <w:hideMark/>
          </w:tcPr>
          <w:p w14:paraId="3A784C65" w14:textId="77777777" w:rsidR="00274DBA" w:rsidRPr="00E813DE" w:rsidRDefault="00274DBA" w:rsidP="00273064">
            <w:pPr>
              <w:pStyle w:val="NoSpacing"/>
              <w:rPr>
                <w:b/>
                <w:bCs/>
                <w:sz w:val="22"/>
                <w:szCs w:val="22"/>
              </w:rPr>
            </w:pPr>
            <w:r w:rsidRPr="00E813DE">
              <w:rPr>
                <w:b/>
                <w:bCs/>
                <w:sz w:val="22"/>
                <w:szCs w:val="22"/>
              </w:rPr>
              <w:t>Emissions reported</w:t>
            </w:r>
          </w:p>
        </w:tc>
        <w:tc>
          <w:tcPr>
            <w:tcW w:w="642" w:type="pct"/>
            <w:hideMark/>
          </w:tcPr>
          <w:p w14:paraId="34179DDA" w14:textId="77777777" w:rsidR="00274DBA" w:rsidRPr="00E813DE" w:rsidRDefault="00274DBA" w:rsidP="00273064">
            <w:pPr>
              <w:pStyle w:val="NoSpacing"/>
              <w:rPr>
                <w:b/>
                <w:bCs/>
                <w:sz w:val="22"/>
                <w:szCs w:val="22"/>
              </w:rPr>
            </w:pPr>
            <w:r w:rsidRPr="00E813DE">
              <w:rPr>
                <w:b/>
                <w:bCs/>
                <w:sz w:val="22"/>
                <w:szCs w:val="22"/>
              </w:rPr>
              <w:t>Electric heat pump baseline for emissions</w:t>
            </w:r>
          </w:p>
        </w:tc>
        <w:tc>
          <w:tcPr>
            <w:tcW w:w="636" w:type="pct"/>
            <w:hideMark/>
          </w:tcPr>
          <w:p w14:paraId="090F81E6" w14:textId="77777777" w:rsidR="00274DBA" w:rsidRPr="00E813DE" w:rsidRDefault="00274DBA" w:rsidP="00273064">
            <w:pPr>
              <w:pStyle w:val="NoSpacing"/>
              <w:rPr>
                <w:b/>
                <w:bCs/>
                <w:sz w:val="22"/>
                <w:szCs w:val="22"/>
              </w:rPr>
            </w:pPr>
            <w:r w:rsidRPr="00E813DE">
              <w:rPr>
                <w:b/>
                <w:bCs/>
                <w:sz w:val="22"/>
                <w:szCs w:val="22"/>
              </w:rPr>
              <w:t>Utility based controls for Hp-TES</w:t>
            </w:r>
          </w:p>
        </w:tc>
      </w:tr>
      <w:tr w:rsidR="00274DBA" w:rsidRPr="00E813DE" w14:paraId="4817A20E" w14:textId="77777777" w:rsidTr="00270231">
        <w:trPr>
          <w:trHeight w:val="315"/>
          <w:jc w:val="center"/>
        </w:trPr>
        <w:sdt>
          <w:sdtPr>
            <w:rPr>
              <w:color w:val="000000"/>
              <w:sz w:val="22"/>
              <w:szCs w:val="22"/>
            </w:rPr>
            <w:tag w:val="MENDELEY_CITATION_v3_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"/>
            <w:id w:val="-698164258"/>
            <w:placeholder>
              <w:docPart w:val="86DB78860671B143A5DC679A6C3B4182"/>
            </w:placeholder>
          </w:sdtPr>
          <w:sdtContent>
            <w:tc>
              <w:tcPr>
                <w:tcW w:w="1147" w:type="pct"/>
                <w:hideMark/>
              </w:tcPr>
              <w:p w14:paraId="4C0FB4A7" w14:textId="77777777" w:rsidR="00274DBA" w:rsidRPr="00E813DE" w:rsidRDefault="00274DBA" w:rsidP="00273064">
                <w:pPr>
                  <w:pStyle w:val="NoSpacing"/>
                  <w:rPr>
                    <w:sz w:val="22"/>
                    <w:szCs w:val="22"/>
                  </w:rPr>
                </w:pPr>
                <w:r w:rsidRPr="001E7ECF">
                  <w:rPr>
                    <w:color w:val="000000"/>
                    <w:sz w:val="22"/>
                    <w:szCs w:val="22"/>
                  </w:rPr>
                  <w:t>[33]</w:t>
                </w:r>
              </w:p>
            </w:tc>
          </w:sdtContent>
        </w:sdt>
        <w:tc>
          <w:tcPr>
            <w:tcW w:w="635" w:type="pct"/>
            <w:hideMark/>
          </w:tcPr>
          <w:p w14:paraId="119248EE" w14:textId="77777777" w:rsidR="00274DBA" w:rsidRPr="00E813DE" w:rsidRDefault="00274DBA" w:rsidP="00273064">
            <w:pPr>
              <w:pStyle w:val="NoSpacing"/>
              <w:rPr>
                <w:sz w:val="22"/>
                <w:szCs w:val="22"/>
              </w:rPr>
            </w:pPr>
            <w:r w:rsidRPr="00E813DE">
              <w:rPr>
                <w:sz w:val="22"/>
                <w:szCs w:val="22"/>
              </w:rPr>
              <w:t>×</w:t>
            </w:r>
          </w:p>
        </w:tc>
        <w:tc>
          <w:tcPr>
            <w:tcW w:w="635" w:type="pct"/>
            <w:hideMark/>
          </w:tcPr>
          <w:p w14:paraId="34049945" w14:textId="77777777" w:rsidR="00274DBA" w:rsidRPr="00E813DE" w:rsidRDefault="00274DBA" w:rsidP="00273064">
            <w:pPr>
              <w:pStyle w:val="NoSpacing"/>
              <w:rPr>
                <w:sz w:val="22"/>
                <w:szCs w:val="22"/>
              </w:rPr>
            </w:pPr>
            <w:r w:rsidRPr="00E813DE">
              <w:rPr>
                <w:sz w:val="22"/>
                <w:szCs w:val="22"/>
              </w:rPr>
              <w:t>×</w:t>
            </w:r>
          </w:p>
        </w:tc>
        <w:tc>
          <w:tcPr>
            <w:tcW w:w="635" w:type="pct"/>
            <w:hideMark/>
          </w:tcPr>
          <w:p w14:paraId="2F78B87F" w14:textId="77777777" w:rsidR="00274DBA" w:rsidRPr="00E813DE" w:rsidRDefault="00274DBA" w:rsidP="00273064">
            <w:pPr>
              <w:pStyle w:val="NoSpacing"/>
              <w:rPr>
                <w:sz w:val="22"/>
                <w:szCs w:val="22"/>
              </w:rPr>
            </w:pPr>
            <w:r w:rsidRPr="00E813DE">
              <w:rPr>
                <w:sz w:val="22"/>
                <w:szCs w:val="22"/>
              </w:rPr>
              <w:t>×</w:t>
            </w:r>
          </w:p>
        </w:tc>
        <w:tc>
          <w:tcPr>
            <w:tcW w:w="670" w:type="pct"/>
            <w:hideMark/>
          </w:tcPr>
          <w:p w14:paraId="454A9E1A" w14:textId="77777777" w:rsidR="00274DBA" w:rsidRPr="00E813DE" w:rsidRDefault="00274DBA" w:rsidP="00273064">
            <w:pPr>
              <w:pStyle w:val="NoSpacing"/>
              <w:rPr>
                <w:sz w:val="22"/>
                <w:szCs w:val="22"/>
              </w:rPr>
            </w:pPr>
            <w:r w:rsidRPr="00E813DE">
              <w:rPr>
                <w:sz w:val="22"/>
                <w:szCs w:val="22"/>
              </w:rPr>
              <w:t>■</w:t>
            </w:r>
          </w:p>
        </w:tc>
        <w:tc>
          <w:tcPr>
            <w:tcW w:w="642" w:type="pct"/>
            <w:hideMark/>
          </w:tcPr>
          <w:p w14:paraId="5AA02D9A" w14:textId="77777777" w:rsidR="00274DBA" w:rsidRPr="00E813DE" w:rsidRDefault="00274DBA" w:rsidP="00273064">
            <w:pPr>
              <w:pStyle w:val="NoSpacing"/>
              <w:rPr>
                <w:sz w:val="22"/>
                <w:szCs w:val="22"/>
              </w:rPr>
            </w:pPr>
            <w:r w:rsidRPr="00E813DE">
              <w:rPr>
                <w:sz w:val="22"/>
                <w:szCs w:val="22"/>
              </w:rPr>
              <w:t>×</w:t>
            </w:r>
          </w:p>
        </w:tc>
        <w:tc>
          <w:tcPr>
            <w:tcW w:w="636" w:type="pct"/>
            <w:hideMark/>
          </w:tcPr>
          <w:p w14:paraId="4E0244D6" w14:textId="77777777" w:rsidR="00274DBA" w:rsidRPr="00E813DE" w:rsidRDefault="00274DBA" w:rsidP="00273064">
            <w:pPr>
              <w:pStyle w:val="NoSpacing"/>
              <w:rPr>
                <w:sz w:val="22"/>
                <w:szCs w:val="22"/>
              </w:rPr>
            </w:pPr>
            <w:r w:rsidRPr="00E813DE">
              <w:rPr>
                <w:sz w:val="22"/>
                <w:szCs w:val="22"/>
              </w:rPr>
              <w:t>×</w:t>
            </w:r>
          </w:p>
        </w:tc>
      </w:tr>
      <w:tr w:rsidR="00274DBA" w:rsidRPr="00E813DE" w14:paraId="5D527875" w14:textId="77777777" w:rsidTr="00270231">
        <w:trPr>
          <w:trHeight w:val="315"/>
          <w:jc w:val="center"/>
        </w:trPr>
        <w:sdt>
          <w:sdtPr>
            <w:rPr>
              <w:color w:val="000000"/>
              <w:sz w:val="22"/>
              <w:szCs w:val="22"/>
            </w:rPr>
            <w:tag w:val="MENDELEY_CITATION_v3_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"/>
            <w:id w:val="949047993"/>
            <w:placeholder>
              <w:docPart w:val="4A4CACD0B2E7A442AC7A1D796345AAE6"/>
            </w:placeholder>
          </w:sdtPr>
          <w:sdtContent>
            <w:tc>
              <w:tcPr>
                <w:tcW w:w="1147" w:type="pct"/>
              </w:tcPr>
              <w:p w14:paraId="4DB0C488" w14:textId="77777777" w:rsidR="00274DBA" w:rsidRPr="00E813DE" w:rsidRDefault="00274DBA" w:rsidP="00273064">
                <w:pPr>
                  <w:pStyle w:val="NoSpacing"/>
                  <w:rPr>
                    <w:sz w:val="22"/>
                    <w:szCs w:val="22"/>
                  </w:rPr>
                </w:pPr>
                <w:r w:rsidRPr="001E7ECF">
                  <w:rPr>
                    <w:color w:val="000000"/>
                    <w:sz w:val="22"/>
                    <w:szCs w:val="22"/>
                  </w:rPr>
                  <w:t>[34]</w:t>
                </w:r>
              </w:p>
            </w:tc>
          </w:sdtContent>
        </w:sdt>
        <w:tc>
          <w:tcPr>
            <w:tcW w:w="635" w:type="pct"/>
          </w:tcPr>
          <w:p w14:paraId="11708042" w14:textId="77777777" w:rsidR="00274DBA" w:rsidRPr="00E813DE" w:rsidRDefault="00274DBA" w:rsidP="00273064">
            <w:pPr>
              <w:pStyle w:val="NoSpacing"/>
              <w:rPr>
                <w:sz w:val="22"/>
                <w:szCs w:val="22"/>
              </w:rPr>
            </w:pPr>
            <w:r w:rsidRPr="00E813DE">
              <w:rPr>
                <w:sz w:val="22"/>
                <w:szCs w:val="22"/>
              </w:rPr>
              <w:t>×</w:t>
            </w:r>
          </w:p>
        </w:tc>
        <w:tc>
          <w:tcPr>
            <w:tcW w:w="635" w:type="pct"/>
          </w:tcPr>
          <w:p w14:paraId="23F51834" w14:textId="77777777" w:rsidR="00274DBA" w:rsidRPr="00E813DE" w:rsidRDefault="00274DBA" w:rsidP="00273064">
            <w:pPr>
              <w:pStyle w:val="NoSpacing"/>
              <w:rPr>
                <w:sz w:val="22"/>
                <w:szCs w:val="22"/>
              </w:rPr>
            </w:pPr>
            <w:r w:rsidRPr="00E813DE">
              <w:rPr>
                <w:sz w:val="22"/>
                <w:szCs w:val="22"/>
              </w:rPr>
              <w:t>×</w:t>
            </w:r>
          </w:p>
        </w:tc>
        <w:tc>
          <w:tcPr>
            <w:tcW w:w="635" w:type="pct"/>
          </w:tcPr>
          <w:p w14:paraId="0CAE4D86" w14:textId="77777777" w:rsidR="00274DBA" w:rsidRPr="00E813DE" w:rsidRDefault="00274DBA" w:rsidP="00273064">
            <w:pPr>
              <w:pStyle w:val="NoSpacing"/>
              <w:rPr>
                <w:sz w:val="22"/>
                <w:szCs w:val="22"/>
              </w:rPr>
            </w:pPr>
            <w:r w:rsidRPr="00E813DE">
              <w:rPr>
                <w:sz w:val="22"/>
                <w:szCs w:val="22"/>
              </w:rPr>
              <w:t>×</w:t>
            </w:r>
          </w:p>
        </w:tc>
        <w:tc>
          <w:tcPr>
            <w:tcW w:w="670" w:type="pct"/>
          </w:tcPr>
          <w:p w14:paraId="15E0BDDD" w14:textId="77777777" w:rsidR="00274DBA" w:rsidRPr="00E813DE" w:rsidRDefault="00274DBA" w:rsidP="00273064">
            <w:pPr>
              <w:pStyle w:val="NoSpacing"/>
              <w:rPr>
                <w:sz w:val="22"/>
                <w:szCs w:val="22"/>
              </w:rPr>
            </w:pPr>
            <w:r w:rsidRPr="00E813DE">
              <w:rPr>
                <w:sz w:val="22"/>
                <w:szCs w:val="22"/>
              </w:rPr>
              <w:t>■</w:t>
            </w:r>
          </w:p>
        </w:tc>
        <w:tc>
          <w:tcPr>
            <w:tcW w:w="642" w:type="pct"/>
          </w:tcPr>
          <w:p w14:paraId="69E072E4" w14:textId="77777777" w:rsidR="00274DBA" w:rsidRPr="00E813DE" w:rsidRDefault="00274DBA" w:rsidP="00273064">
            <w:pPr>
              <w:pStyle w:val="NoSpacing"/>
              <w:rPr>
                <w:sz w:val="22"/>
                <w:szCs w:val="22"/>
              </w:rPr>
            </w:pPr>
            <w:r w:rsidRPr="00E813DE">
              <w:rPr>
                <w:sz w:val="22"/>
                <w:szCs w:val="22"/>
              </w:rPr>
              <w:t>×</w:t>
            </w:r>
          </w:p>
        </w:tc>
        <w:tc>
          <w:tcPr>
            <w:tcW w:w="636" w:type="pct"/>
          </w:tcPr>
          <w:p w14:paraId="62A48A17" w14:textId="77777777" w:rsidR="00274DBA" w:rsidRPr="00E813DE" w:rsidRDefault="00274DBA" w:rsidP="00273064">
            <w:pPr>
              <w:pStyle w:val="NoSpacing"/>
              <w:rPr>
                <w:sz w:val="22"/>
                <w:szCs w:val="22"/>
              </w:rPr>
            </w:pPr>
            <w:r w:rsidRPr="00E813DE">
              <w:rPr>
                <w:sz w:val="22"/>
                <w:szCs w:val="22"/>
              </w:rPr>
              <w:t>■</w:t>
            </w:r>
          </w:p>
        </w:tc>
      </w:tr>
      <w:tr w:rsidR="00274DBA" w:rsidRPr="00E813DE" w14:paraId="12F53C2D" w14:textId="77777777" w:rsidTr="00270231">
        <w:trPr>
          <w:trHeight w:val="315"/>
          <w:jc w:val="center"/>
        </w:trPr>
        <w:sdt>
          <w:sdtPr>
            <w:rPr>
              <w:color w:val="000000"/>
              <w:sz w:val="22"/>
              <w:szCs w:val="22"/>
            </w:rPr>
            <w:tag w:val="MENDELEY_CITATION_v3_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"/>
            <w:id w:val="-397677968"/>
            <w:placeholder>
              <w:docPart w:val="75E8BEE73510DB4B8FF4552BDBAAE765"/>
            </w:placeholder>
          </w:sdtPr>
          <w:sdtContent>
            <w:tc>
              <w:tcPr>
                <w:tcW w:w="1147" w:type="pct"/>
              </w:tcPr>
              <w:p w14:paraId="3FE4141E" w14:textId="77777777" w:rsidR="00274DBA" w:rsidRPr="00E813DE" w:rsidRDefault="00274DBA" w:rsidP="00273064">
                <w:pPr>
                  <w:pStyle w:val="NoSpacing"/>
                  <w:rPr>
                    <w:sz w:val="22"/>
                    <w:szCs w:val="22"/>
                  </w:rPr>
                </w:pPr>
                <w:r w:rsidRPr="001E7ECF">
                  <w:rPr>
                    <w:color w:val="000000"/>
                    <w:sz w:val="22"/>
                    <w:szCs w:val="22"/>
                  </w:rPr>
                  <w:t>[35]</w:t>
                </w:r>
              </w:p>
            </w:tc>
          </w:sdtContent>
        </w:sdt>
        <w:tc>
          <w:tcPr>
            <w:tcW w:w="635" w:type="pct"/>
          </w:tcPr>
          <w:p w14:paraId="2BE4A727" w14:textId="77777777" w:rsidR="00274DBA" w:rsidRPr="00E813DE" w:rsidRDefault="00274DBA" w:rsidP="00273064">
            <w:pPr>
              <w:pStyle w:val="NoSpacing"/>
              <w:rPr>
                <w:sz w:val="22"/>
                <w:szCs w:val="22"/>
              </w:rPr>
            </w:pPr>
            <w:r w:rsidRPr="00E813DE">
              <w:rPr>
                <w:sz w:val="22"/>
                <w:szCs w:val="22"/>
              </w:rPr>
              <w:t>×</w:t>
            </w:r>
          </w:p>
        </w:tc>
        <w:tc>
          <w:tcPr>
            <w:tcW w:w="635" w:type="pct"/>
          </w:tcPr>
          <w:p w14:paraId="7DED5E5A" w14:textId="77777777" w:rsidR="00274DBA" w:rsidRPr="00E813DE" w:rsidRDefault="00274DBA" w:rsidP="00273064">
            <w:pPr>
              <w:pStyle w:val="NoSpacing"/>
              <w:rPr>
                <w:sz w:val="22"/>
                <w:szCs w:val="22"/>
              </w:rPr>
            </w:pPr>
            <w:r w:rsidRPr="00E813DE">
              <w:rPr>
                <w:sz w:val="22"/>
                <w:szCs w:val="22"/>
              </w:rPr>
              <w:t>×</w:t>
            </w:r>
          </w:p>
        </w:tc>
        <w:tc>
          <w:tcPr>
            <w:tcW w:w="635" w:type="pct"/>
          </w:tcPr>
          <w:p w14:paraId="1649A513" w14:textId="77777777" w:rsidR="00274DBA" w:rsidRPr="00E813DE" w:rsidRDefault="00274DBA" w:rsidP="00273064">
            <w:pPr>
              <w:pStyle w:val="NoSpacing"/>
              <w:rPr>
                <w:sz w:val="22"/>
                <w:szCs w:val="22"/>
              </w:rPr>
            </w:pPr>
            <w:r w:rsidRPr="00E813DE">
              <w:rPr>
                <w:sz w:val="22"/>
                <w:szCs w:val="22"/>
              </w:rPr>
              <w:t>×</w:t>
            </w:r>
          </w:p>
        </w:tc>
        <w:tc>
          <w:tcPr>
            <w:tcW w:w="670" w:type="pct"/>
          </w:tcPr>
          <w:p w14:paraId="224E7F7A" w14:textId="77777777" w:rsidR="00274DBA" w:rsidRPr="00E813DE" w:rsidRDefault="00274DBA" w:rsidP="00273064">
            <w:pPr>
              <w:pStyle w:val="NoSpacing"/>
              <w:rPr>
                <w:sz w:val="22"/>
                <w:szCs w:val="22"/>
              </w:rPr>
            </w:pPr>
            <w:r w:rsidRPr="00E813DE">
              <w:rPr>
                <w:sz w:val="22"/>
                <w:szCs w:val="22"/>
              </w:rPr>
              <w:t>■</w:t>
            </w:r>
          </w:p>
        </w:tc>
        <w:tc>
          <w:tcPr>
            <w:tcW w:w="642" w:type="pct"/>
          </w:tcPr>
          <w:p w14:paraId="387D404A" w14:textId="77777777" w:rsidR="00274DBA" w:rsidRPr="00E813DE" w:rsidRDefault="00274DBA" w:rsidP="00273064">
            <w:pPr>
              <w:pStyle w:val="NoSpacing"/>
              <w:rPr>
                <w:sz w:val="22"/>
                <w:szCs w:val="22"/>
              </w:rPr>
            </w:pPr>
            <w:r w:rsidRPr="00E813DE">
              <w:rPr>
                <w:sz w:val="22"/>
                <w:szCs w:val="22"/>
              </w:rPr>
              <w:t>×</w:t>
            </w:r>
          </w:p>
        </w:tc>
        <w:tc>
          <w:tcPr>
            <w:tcW w:w="636" w:type="pct"/>
          </w:tcPr>
          <w:p w14:paraId="38182FF9" w14:textId="77777777" w:rsidR="00274DBA" w:rsidRPr="00E813DE" w:rsidRDefault="00274DBA" w:rsidP="00273064">
            <w:pPr>
              <w:pStyle w:val="NoSpacing"/>
              <w:rPr>
                <w:sz w:val="22"/>
                <w:szCs w:val="22"/>
              </w:rPr>
            </w:pPr>
            <w:r w:rsidRPr="00E813DE">
              <w:rPr>
                <w:sz w:val="22"/>
                <w:szCs w:val="22"/>
              </w:rPr>
              <w:t>■</w:t>
            </w:r>
          </w:p>
        </w:tc>
      </w:tr>
      <w:tr w:rsidR="00274DBA" w:rsidRPr="00E813DE" w14:paraId="5BF8FA54" w14:textId="77777777" w:rsidTr="00270231">
        <w:trPr>
          <w:trHeight w:val="315"/>
          <w:jc w:val="center"/>
        </w:trPr>
        <w:sdt>
          <w:sdtPr>
            <w:rPr>
              <w:color w:val="000000"/>
              <w:sz w:val="22"/>
              <w:szCs w:val="22"/>
            </w:rPr>
            <w:tag w:val="MENDELEY_CITATION_v3_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"/>
            <w:id w:val="1033538228"/>
            <w:placeholder>
              <w:docPart w:val="6FD96BC490F628459C566CC25067806A"/>
            </w:placeholder>
          </w:sdtPr>
          <w:sdtContent>
            <w:tc>
              <w:tcPr>
                <w:tcW w:w="1147" w:type="pct"/>
              </w:tcPr>
              <w:p w14:paraId="65124038" w14:textId="77777777" w:rsidR="00274DBA" w:rsidRPr="00E813DE" w:rsidRDefault="00274DBA" w:rsidP="00273064">
                <w:pPr>
                  <w:pStyle w:val="NoSpacing"/>
                  <w:rPr>
                    <w:sz w:val="22"/>
                    <w:szCs w:val="22"/>
                  </w:rPr>
                </w:pPr>
                <w:r w:rsidRPr="001E7ECF">
                  <w:rPr>
                    <w:color w:val="000000"/>
                    <w:sz w:val="22"/>
                    <w:szCs w:val="22"/>
                  </w:rPr>
                  <w:t>[36]</w:t>
                </w:r>
              </w:p>
            </w:tc>
          </w:sdtContent>
        </w:sdt>
        <w:tc>
          <w:tcPr>
            <w:tcW w:w="635" w:type="pct"/>
          </w:tcPr>
          <w:p w14:paraId="08369531" w14:textId="77777777" w:rsidR="00274DBA" w:rsidRPr="00E813DE" w:rsidRDefault="00274DBA" w:rsidP="00273064">
            <w:pPr>
              <w:pStyle w:val="NoSpacing"/>
              <w:rPr>
                <w:sz w:val="22"/>
                <w:szCs w:val="22"/>
              </w:rPr>
            </w:pPr>
            <w:r w:rsidRPr="00E813DE">
              <w:rPr>
                <w:sz w:val="22"/>
                <w:szCs w:val="22"/>
              </w:rPr>
              <w:t>×</w:t>
            </w:r>
          </w:p>
        </w:tc>
        <w:tc>
          <w:tcPr>
            <w:tcW w:w="635" w:type="pct"/>
          </w:tcPr>
          <w:p w14:paraId="31061B0B" w14:textId="77777777" w:rsidR="00274DBA" w:rsidRPr="00E813DE" w:rsidRDefault="00274DBA" w:rsidP="00273064">
            <w:pPr>
              <w:pStyle w:val="NoSpacing"/>
              <w:rPr>
                <w:sz w:val="22"/>
                <w:szCs w:val="22"/>
              </w:rPr>
            </w:pPr>
            <w:r w:rsidRPr="00E813DE">
              <w:rPr>
                <w:sz w:val="22"/>
                <w:szCs w:val="22"/>
              </w:rPr>
              <w:t>×</w:t>
            </w:r>
          </w:p>
        </w:tc>
        <w:tc>
          <w:tcPr>
            <w:tcW w:w="635" w:type="pct"/>
          </w:tcPr>
          <w:p w14:paraId="52484F35" w14:textId="77777777" w:rsidR="00274DBA" w:rsidRPr="00E813DE" w:rsidRDefault="00274DBA" w:rsidP="00273064">
            <w:pPr>
              <w:pStyle w:val="NoSpacing"/>
              <w:rPr>
                <w:sz w:val="22"/>
                <w:szCs w:val="22"/>
              </w:rPr>
            </w:pPr>
            <w:r w:rsidRPr="00E813DE">
              <w:rPr>
                <w:sz w:val="22"/>
                <w:szCs w:val="22"/>
              </w:rPr>
              <w:t>×</w:t>
            </w:r>
          </w:p>
        </w:tc>
        <w:tc>
          <w:tcPr>
            <w:tcW w:w="670" w:type="pct"/>
          </w:tcPr>
          <w:p w14:paraId="3B1398C5" w14:textId="77777777" w:rsidR="00274DBA" w:rsidRPr="00E813DE" w:rsidRDefault="00274DBA" w:rsidP="00273064">
            <w:pPr>
              <w:pStyle w:val="NoSpacing"/>
              <w:rPr>
                <w:sz w:val="22"/>
                <w:szCs w:val="22"/>
              </w:rPr>
            </w:pPr>
            <w:r w:rsidRPr="00E813DE">
              <w:rPr>
                <w:sz w:val="22"/>
                <w:szCs w:val="22"/>
              </w:rPr>
              <w:t>■</w:t>
            </w:r>
          </w:p>
        </w:tc>
        <w:tc>
          <w:tcPr>
            <w:tcW w:w="642" w:type="pct"/>
          </w:tcPr>
          <w:p w14:paraId="79D88259" w14:textId="77777777" w:rsidR="00274DBA" w:rsidRPr="00E813DE" w:rsidRDefault="00274DBA" w:rsidP="00273064">
            <w:pPr>
              <w:pStyle w:val="NoSpacing"/>
              <w:rPr>
                <w:sz w:val="22"/>
                <w:szCs w:val="22"/>
              </w:rPr>
            </w:pPr>
            <w:r w:rsidRPr="00E813DE">
              <w:rPr>
                <w:sz w:val="22"/>
                <w:szCs w:val="22"/>
              </w:rPr>
              <w:t>×</w:t>
            </w:r>
          </w:p>
        </w:tc>
        <w:tc>
          <w:tcPr>
            <w:tcW w:w="636" w:type="pct"/>
          </w:tcPr>
          <w:p w14:paraId="020D86CC" w14:textId="77777777" w:rsidR="00274DBA" w:rsidRPr="00E813DE" w:rsidRDefault="00274DBA" w:rsidP="00273064">
            <w:pPr>
              <w:pStyle w:val="NoSpacing"/>
              <w:rPr>
                <w:sz w:val="22"/>
                <w:szCs w:val="22"/>
              </w:rPr>
            </w:pPr>
            <w:r w:rsidRPr="00E813DE">
              <w:rPr>
                <w:sz w:val="22"/>
                <w:szCs w:val="22"/>
              </w:rPr>
              <w:t>■</w:t>
            </w:r>
          </w:p>
        </w:tc>
      </w:tr>
      <w:tr w:rsidR="00274DBA" w:rsidRPr="00E813DE" w14:paraId="67A044CB" w14:textId="77777777" w:rsidTr="00270231">
        <w:trPr>
          <w:trHeight w:val="315"/>
          <w:jc w:val="center"/>
        </w:trPr>
        <w:tc>
          <w:tcPr>
            <w:tcW w:w="1147" w:type="pct"/>
          </w:tcPr>
          <w:sdt>
            <w:sdtPr>
              <w:rPr>
                <w:color w:val="000000"/>
                <w:sz w:val="22"/>
                <w:szCs w:val="22"/>
              </w:rPr>
              <w:tag w:val="MENDELEY_CITATION_v3_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"/>
              <w:id w:val="1925071718"/>
              <w:placeholder>
                <w:docPart w:val="170A79B9610FA548BD782D5946CEDE91"/>
              </w:placeholder>
            </w:sdtPr>
            <w:sdtContent>
              <w:p w14:paraId="79A84786" w14:textId="77777777" w:rsidR="00274DBA" w:rsidRPr="00E813DE" w:rsidRDefault="00274DBA" w:rsidP="00273064">
                <w:pPr>
                  <w:pStyle w:val="NoSpacing"/>
                  <w:rPr>
                    <w:sz w:val="22"/>
                    <w:szCs w:val="22"/>
                  </w:rPr>
                </w:pPr>
                <w:r w:rsidRPr="001E7ECF">
                  <w:rPr>
                    <w:color w:val="000000"/>
                    <w:sz w:val="22"/>
                    <w:szCs w:val="22"/>
                  </w:rPr>
                  <w:t>[37]</w:t>
                </w:r>
              </w:p>
            </w:sdtContent>
          </w:sdt>
        </w:tc>
        <w:tc>
          <w:tcPr>
            <w:tcW w:w="635" w:type="pct"/>
          </w:tcPr>
          <w:p w14:paraId="47CCDCCF" w14:textId="77777777" w:rsidR="00274DBA" w:rsidRPr="00E813DE" w:rsidRDefault="00274DBA" w:rsidP="00273064">
            <w:pPr>
              <w:pStyle w:val="NoSpacing"/>
              <w:rPr>
                <w:sz w:val="22"/>
                <w:szCs w:val="22"/>
              </w:rPr>
            </w:pPr>
            <w:r w:rsidRPr="00E813DE">
              <w:rPr>
                <w:sz w:val="22"/>
                <w:szCs w:val="22"/>
              </w:rPr>
              <w:t>×</w:t>
            </w:r>
          </w:p>
        </w:tc>
        <w:tc>
          <w:tcPr>
            <w:tcW w:w="635" w:type="pct"/>
          </w:tcPr>
          <w:p w14:paraId="193FD83A" w14:textId="77777777" w:rsidR="00274DBA" w:rsidRPr="00E813DE" w:rsidRDefault="00274DBA" w:rsidP="00273064">
            <w:pPr>
              <w:pStyle w:val="NoSpacing"/>
              <w:rPr>
                <w:sz w:val="22"/>
                <w:szCs w:val="22"/>
              </w:rPr>
            </w:pPr>
            <w:r w:rsidRPr="00E813DE">
              <w:rPr>
                <w:sz w:val="22"/>
                <w:szCs w:val="22"/>
              </w:rPr>
              <w:t>×</w:t>
            </w:r>
          </w:p>
        </w:tc>
        <w:tc>
          <w:tcPr>
            <w:tcW w:w="635" w:type="pct"/>
          </w:tcPr>
          <w:p w14:paraId="4156F98B" w14:textId="77777777" w:rsidR="00274DBA" w:rsidRPr="00E813DE" w:rsidRDefault="00274DBA" w:rsidP="00273064">
            <w:pPr>
              <w:pStyle w:val="NoSpacing"/>
              <w:rPr>
                <w:sz w:val="22"/>
                <w:szCs w:val="22"/>
              </w:rPr>
            </w:pPr>
            <w:r w:rsidRPr="00E813DE">
              <w:rPr>
                <w:sz w:val="22"/>
                <w:szCs w:val="22"/>
              </w:rPr>
              <w:t>×</w:t>
            </w:r>
          </w:p>
        </w:tc>
        <w:tc>
          <w:tcPr>
            <w:tcW w:w="670" w:type="pct"/>
          </w:tcPr>
          <w:p w14:paraId="40B0267B" w14:textId="77777777" w:rsidR="00274DBA" w:rsidRPr="00E813DE" w:rsidRDefault="00274DBA" w:rsidP="00273064">
            <w:pPr>
              <w:pStyle w:val="NoSpacing"/>
              <w:rPr>
                <w:sz w:val="22"/>
                <w:szCs w:val="22"/>
              </w:rPr>
            </w:pPr>
            <w:r w:rsidRPr="00E813DE">
              <w:rPr>
                <w:sz w:val="22"/>
                <w:szCs w:val="22"/>
              </w:rPr>
              <w:t>×</w:t>
            </w:r>
          </w:p>
        </w:tc>
        <w:tc>
          <w:tcPr>
            <w:tcW w:w="642" w:type="pct"/>
          </w:tcPr>
          <w:p w14:paraId="40C1267C" w14:textId="77777777" w:rsidR="00274DBA" w:rsidRPr="00E813DE" w:rsidRDefault="00274DBA" w:rsidP="00273064">
            <w:pPr>
              <w:pStyle w:val="NoSpacing"/>
              <w:rPr>
                <w:sz w:val="22"/>
                <w:szCs w:val="22"/>
              </w:rPr>
            </w:pPr>
            <w:r w:rsidRPr="00E813DE">
              <w:rPr>
                <w:sz w:val="22"/>
                <w:szCs w:val="22"/>
              </w:rPr>
              <w:t>×</w:t>
            </w:r>
          </w:p>
        </w:tc>
        <w:tc>
          <w:tcPr>
            <w:tcW w:w="636" w:type="pct"/>
          </w:tcPr>
          <w:p w14:paraId="4CEE28CE" w14:textId="77777777" w:rsidR="00274DBA" w:rsidRPr="00E813DE" w:rsidRDefault="00274DBA" w:rsidP="00273064">
            <w:pPr>
              <w:pStyle w:val="NoSpacing"/>
              <w:rPr>
                <w:sz w:val="22"/>
                <w:szCs w:val="22"/>
              </w:rPr>
            </w:pPr>
            <w:r w:rsidRPr="00E813DE">
              <w:rPr>
                <w:sz w:val="22"/>
                <w:szCs w:val="22"/>
              </w:rPr>
              <w:t>■</w:t>
            </w:r>
          </w:p>
        </w:tc>
      </w:tr>
      <w:tr w:rsidR="00274DBA" w:rsidRPr="00E813DE" w14:paraId="7B7FC81A" w14:textId="77777777" w:rsidTr="00270231">
        <w:trPr>
          <w:trHeight w:val="315"/>
          <w:jc w:val="center"/>
        </w:trPr>
        <w:tc>
          <w:tcPr>
            <w:tcW w:w="1147" w:type="pct"/>
          </w:tcPr>
          <w:sdt>
            <w:sdtPr>
              <w:rPr>
                <w:color w:val="000000"/>
                <w:sz w:val="22"/>
                <w:szCs w:val="22"/>
              </w:rPr>
              <w:tag w:val="MENDELEY_CITATION_v3_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"/>
              <w:id w:val="-121776046"/>
              <w:placeholder>
                <w:docPart w:val="170A79B9610FA548BD782D5946CEDE91"/>
              </w:placeholder>
            </w:sdtPr>
            <w:sdtContent>
              <w:p w14:paraId="0A7C1769" w14:textId="77777777" w:rsidR="00274DBA" w:rsidRPr="00E813DE" w:rsidRDefault="00274DBA" w:rsidP="00273064">
                <w:pPr>
                  <w:pStyle w:val="NoSpacing"/>
                  <w:rPr>
                    <w:sz w:val="22"/>
                    <w:szCs w:val="22"/>
                  </w:rPr>
                </w:pPr>
                <w:r w:rsidRPr="001E7ECF">
                  <w:rPr>
                    <w:color w:val="000000"/>
                    <w:sz w:val="22"/>
                    <w:szCs w:val="22"/>
                  </w:rPr>
                  <w:t>[38]</w:t>
                </w:r>
              </w:p>
            </w:sdtContent>
          </w:sdt>
        </w:tc>
        <w:tc>
          <w:tcPr>
            <w:tcW w:w="635" w:type="pct"/>
          </w:tcPr>
          <w:p w14:paraId="559ACDB1" w14:textId="77777777" w:rsidR="00274DBA" w:rsidRPr="00E813DE" w:rsidRDefault="00274DBA" w:rsidP="00273064">
            <w:pPr>
              <w:pStyle w:val="NoSpacing"/>
              <w:rPr>
                <w:sz w:val="22"/>
                <w:szCs w:val="22"/>
              </w:rPr>
            </w:pPr>
            <w:r w:rsidRPr="00E813DE">
              <w:rPr>
                <w:sz w:val="22"/>
                <w:szCs w:val="22"/>
              </w:rPr>
              <w:t>×</w:t>
            </w:r>
          </w:p>
        </w:tc>
        <w:tc>
          <w:tcPr>
            <w:tcW w:w="635" w:type="pct"/>
          </w:tcPr>
          <w:p w14:paraId="2ED1E222" w14:textId="77777777" w:rsidR="00274DBA" w:rsidRPr="00E813DE" w:rsidRDefault="00274DBA" w:rsidP="00273064">
            <w:pPr>
              <w:pStyle w:val="NoSpacing"/>
              <w:rPr>
                <w:sz w:val="22"/>
                <w:szCs w:val="22"/>
              </w:rPr>
            </w:pPr>
            <w:r w:rsidRPr="00E813DE">
              <w:rPr>
                <w:sz w:val="22"/>
                <w:szCs w:val="22"/>
              </w:rPr>
              <w:t>×</w:t>
            </w:r>
          </w:p>
        </w:tc>
        <w:tc>
          <w:tcPr>
            <w:tcW w:w="635" w:type="pct"/>
          </w:tcPr>
          <w:p w14:paraId="44DCFC3B" w14:textId="77777777" w:rsidR="00274DBA" w:rsidRPr="00E813DE" w:rsidRDefault="00274DBA" w:rsidP="00273064">
            <w:pPr>
              <w:pStyle w:val="NoSpacing"/>
              <w:rPr>
                <w:sz w:val="22"/>
                <w:szCs w:val="22"/>
              </w:rPr>
            </w:pPr>
            <w:r w:rsidRPr="00E813DE">
              <w:rPr>
                <w:sz w:val="22"/>
                <w:szCs w:val="22"/>
              </w:rPr>
              <w:t>×</w:t>
            </w:r>
          </w:p>
        </w:tc>
        <w:tc>
          <w:tcPr>
            <w:tcW w:w="670" w:type="pct"/>
          </w:tcPr>
          <w:p w14:paraId="6CC54104" w14:textId="77777777" w:rsidR="00274DBA" w:rsidRPr="00E813DE" w:rsidRDefault="00274DBA" w:rsidP="00273064">
            <w:pPr>
              <w:pStyle w:val="NoSpacing"/>
              <w:rPr>
                <w:sz w:val="22"/>
                <w:szCs w:val="22"/>
              </w:rPr>
            </w:pPr>
            <w:r w:rsidRPr="00E813DE">
              <w:rPr>
                <w:sz w:val="22"/>
                <w:szCs w:val="22"/>
              </w:rPr>
              <w:t>×</w:t>
            </w:r>
          </w:p>
        </w:tc>
        <w:tc>
          <w:tcPr>
            <w:tcW w:w="642" w:type="pct"/>
          </w:tcPr>
          <w:p w14:paraId="665C31A2" w14:textId="77777777" w:rsidR="00274DBA" w:rsidRPr="00E813DE" w:rsidRDefault="00274DBA" w:rsidP="00273064">
            <w:pPr>
              <w:pStyle w:val="NoSpacing"/>
              <w:rPr>
                <w:sz w:val="22"/>
                <w:szCs w:val="22"/>
              </w:rPr>
            </w:pPr>
            <w:r w:rsidRPr="00E813DE">
              <w:rPr>
                <w:sz w:val="22"/>
                <w:szCs w:val="22"/>
              </w:rPr>
              <w:t>■</w:t>
            </w:r>
          </w:p>
        </w:tc>
        <w:tc>
          <w:tcPr>
            <w:tcW w:w="636" w:type="pct"/>
          </w:tcPr>
          <w:p w14:paraId="79E9055D" w14:textId="77777777" w:rsidR="00274DBA" w:rsidRPr="00E813DE" w:rsidRDefault="00274DBA" w:rsidP="00273064">
            <w:pPr>
              <w:pStyle w:val="NoSpacing"/>
              <w:rPr>
                <w:sz w:val="22"/>
                <w:szCs w:val="22"/>
              </w:rPr>
            </w:pPr>
            <w:r w:rsidRPr="00E813DE">
              <w:rPr>
                <w:sz w:val="22"/>
                <w:szCs w:val="22"/>
              </w:rPr>
              <w:t>■</w:t>
            </w:r>
          </w:p>
        </w:tc>
      </w:tr>
      <w:tr w:rsidR="00274DBA" w:rsidRPr="00E813DE" w14:paraId="09E2169C" w14:textId="77777777" w:rsidTr="00270231">
        <w:trPr>
          <w:trHeight w:val="315"/>
          <w:jc w:val="center"/>
        </w:trPr>
        <w:tc>
          <w:tcPr>
            <w:tcW w:w="1147" w:type="pct"/>
          </w:tcPr>
          <w:sdt>
            <w:sdtPr>
              <w:rPr>
                <w:color w:val="000000"/>
                <w:sz w:val="22"/>
                <w:szCs w:val="22"/>
              </w:rPr>
              <w:tag w:val="MENDELEY_CITATION_v3_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"/>
              <w:id w:val="661664665"/>
              <w:placeholder>
                <w:docPart w:val="170A79B9610FA548BD782D5946CEDE91"/>
              </w:placeholder>
            </w:sdtPr>
            <w:sdtContent>
              <w:p w14:paraId="702C8F71" w14:textId="77777777" w:rsidR="00274DBA" w:rsidRPr="00E813DE" w:rsidRDefault="00274DBA" w:rsidP="00273064">
                <w:pPr>
                  <w:pStyle w:val="NoSpacing"/>
                  <w:rPr>
                    <w:sz w:val="22"/>
                    <w:szCs w:val="22"/>
                  </w:rPr>
                </w:pPr>
                <w:r w:rsidRPr="001E7ECF">
                  <w:rPr>
                    <w:color w:val="000000"/>
                    <w:sz w:val="22"/>
                    <w:szCs w:val="22"/>
                  </w:rPr>
                  <w:t>[39]</w:t>
                </w:r>
              </w:p>
            </w:sdtContent>
          </w:sdt>
        </w:tc>
        <w:tc>
          <w:tcPr>
            <w:tcW w:w="635" w:type="pct"/>
          </w:tcPr>
          <w:p w14:paraId="7887E7F2" w14:textId="77777777" w:rsidR="00274DBA" w:rsidRPr="00E813DE" w:rsidRDefault="00274DBA" w:rsidP="00273064">
            <w:pPr>
              <w:pStyle w:val="NoSpacing"/>
              <w:rPr>
                <w:sz w:val="22"/>
                <w:szCs w:val="22"/>
              </w:rPr>
            </w:pPr>
            <w:r w:rsidRPr="00E813DE">
              <w:rPr>
                <w:sz w:val="22"/>
                <w:szCs w:val="22"/>
              </w:rPr>
              <w:t>×</w:t>
            </w:r>
          </w:p>
        </w:tc>
        <w:tc>
          <w:tcPr>
            <w:tcW w:w="635" w:type="pct"/>
          </w:tcPr>
          <w:p w14:paraId="10DA1F89" w14:textId="77777777" w:rsidR="00274DBA" w:rsidRPr="00E813DE" w:rsidRDefault="00274DBA" w:rsidP="00273064">
            <w:pPr>
              <w:pStyle w:val="NoSpacing"/>
              <w:rPr>
                <w:sz w:val="22"/>
                <w:szCs w:val="22"/>
              </w:rPr>
            </w:pPr>
            <w:r w:rsidRPr="00E813DE">
              <w:rPr>
                <w:sz w:val="22"/>
                <w:szCs w:val="22"/>
              </w:rPr>
              <w:t>×</w:t>
            </w:r>
          </w:p>
        </w:tc>
        <w:tc>
          <w:tcPr>
            <w:tcW w:w="635" w:type="pct"/>
          </w:tcPr>
          <w:p w14:paraId="1AF87E8C" w14:textId="77777777" w:rsidR="00274DBA" w:rsidRPr="00E813DE" w:rsidRDefault="00274DBA" w:rsidP="00273064">
            <w:pPr>
              <w:pStyle w:val="NoSpacing"/>
              <w:rPr>
                <w:sz w:val="22"/>
                <w:szCs w:val="22"/>
              </w:rPr>
            </w:pPr>
            <w:r w:rsidRPr="00E813DE">
              <w:rPr>
                <w:sz w:val="22"/>
                <w:szCs w:val="22"/>
              </w:rPr>
              <w:t>×</w:t>
            </w:r>
          </w:p>
        </w:tc>
        <w:tc>
          <w:tcPr>
            <w:tcW w:w="670" w:type="pct"/>
          </w:tcPr>
          <w:p w14:paraId="4A1B880A" w14:textId="77777777" w:rsidR="00274DBA" w:rsidRPr="00E813DE" w:rsidRDefault="00274DBA" w:rsidP="00273064">
            <w:pPr>
              <w:pStyle w:val="NoSpacing"/>
              <w:rPr>
                <w:sz w:val="22"/>
                <w:szCs w:val="22"/>
              </w:rPr>
            </w:pPr>
            <w:r w:rsidRPr="00E813DE">
              <w:rPr>
                <w:sz w:val="22"/>
                <w:szCs w:val="22"/>
              </w:rPr>
              <w:t>×</w:t>
            </w:r>
          </w:p>
        </w:tc>
        <w:tc>
          <w:tcPr>
            <w:tcW w:w="642" w:type="pct"/>
          </w:tcPr>
          <w:p w14:paraId="1D3ED6E7" w14:textId="77777777" w:rsidR="00274DBA" w:rsidRPr="00E813DE" w:rsidRDefault="00274DBA" w:rsidP="00273064">
            <w:pPr>
              <w:pStyle w:val="NoSpacing"/>
              <w:rPr>
                <w:sz w:val="22"/>
                <w:szCs w:val="22"/>
              </w:rPr>
            </w:pPr>
            <w:r w:rsidRPr="00E813DE">
              <w:rPr>
                <w:sz w:val="22"/>
                <w:szCs w:val="22"/>
              </w:rPr>
              <w:t>■</w:t>
            </w:r>
          </w:p>
        </w:tc>
        <w:tc>
          <w:tcPr>
            <w:tcW w:w="636" w:type="pct"/>
          </w:tcPr>
          <w:p w14:paraId="0EC72BA5" w14:textId="77777777" w:rsidR="00274DBA" w:rsidRPr="00E813DE" w:rsidRDefault="00274DBA" w:rsidP="00273064">
            <w:pPr>
              <w:pStyle w:val="NoSpacing"/>
              <w:rPr>
                <w:sz w:val="22"/>
                <w:szCs w:val="22"/>
              </w:rPr>
            </w:pPr>
            <w:r w:rsidRPr="00E813DE">
              <w:rPr>
                <w:sz w:val="22"/>
                <w:szCs w:val="22"/>
              </w:rPr>
              <w:t>■</w:t>
            </w:r>
          </w:p>
        </w:tc>
      </w:tr>
      <w:tr w:rsidR="00274DBA" w:rsidRPr="00E813DE" w14:paraId="73C8C400" w14:textId="77777777" w:rsidTr="00270231">
        <w:trPr>
          <w:trHeight w:val="315"/>
          <w:jc w:val="center"/>
        </w:trPr>
        <w:tc>
          <w:tcPr>
            <w:tcW w:w="1147" w:type="pct"/>
          </w:tcPr>
          <w:sdt>
            <w:sdtPr>
              <w:rPr>
                <w:color w:val="000000"/>
                <w:sz w:val="22"/>
                <w:szCs w:val="22"/>
              </w:rPr>
              <w:tag w:val="MENDELEY_CITATION_v3_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"/>
              <w:id w:val="-1109280388"/>
              <w:placeholder>
                <w:docPart w:val="170A79B9610FA548BD782D5946CEDE91"/>
              </w:placeholder>
            </w:sdtPr>
            <w:sdtContent>
              <w:p w14:paraId="418A24F4" w14:textId="77777777" w:rsidR="00274DBA" w:rsidRPr="00E813DE" w:rsidRDefault="00274DBA" w:rsidP="00273064">
                <w:pPr>
                  <w:pStyle w:val="NoSpacing"/>
                  <w:rPr>
                    <w:sz w:val="22"/>
                    <w:szCs w:val="22"/>
                  </w:rPr>
                </w:pPr>
                <w:r w:rsidRPr="001E7ECF">
                  <w:rPr>
                    <w:color w:val="000000"/>
                    <w:sz w:val="22"/>
                    <w:szCs w:val="22"/>
                  </w:rPr>
                  <w:t>[40]</w:t>
                </w:r>
              </w:p>
            </w:sdtContent>
          </w:sdt>
        </w:tc>
        <w:tc>
          <w:tcPr>
            <w:tcW w:w="635" w:type="pct"/>
          </w:tcPr>
          <w:p w14:paraId="6BB88D03" w14:textId="77777777" w:rsidR="00274DBA" w:rsidRPr="00E813DE" w:rsidRDefault="00274DBA" w:rsidP="00273064">
            <w:pPr>
              <w:pStyle w:val="NoSpacing"/>
              <w:rPr>
                <w:sz w:val="22"/>
                <w:szCs w:val="22"/>
              </w:rPr>
            </w:pPr>
            <w:r w:rsidRPr="00E813DE">
              <w:rPr>
                <w:sz w:val="22"/>
                <w:szCs w:val="22"/>
              </w:rPr>
              <w:t>×</w:t>
            </w:r>
          </w:p>
        </w:tc>
        <w:tc>
          <w:tcPr>
            <w:tcW w:w="635" w:type="pct"/>
          </w:tcPr>
          <w:p w14:paraId="2206AD45" w14:textId="77777777" w:rsidR="00274DBA" w:rsidRPr="00E813DE" w:rsidRDefault="00274DBA" w:rsidP="00273064">
            <w:pPr>
              <w:pStyle w:val="NoSpacing"/>
              <w:rPr>
                <w:sz w:val="22"/>
                <w:szCs w:val="22"/>
              </w:rPr>
            </w:pPr>
            <w:r w:rsidRPr="00E813DE">
              <w:rPr>
                <w:sz w:val="22"/>
                <w:szCs w:val="22"/>
              </w:rPr>
              <w:t>×</w:t>
            </w:r>
          </w:p>
        </w:tc>
        <w:tc>
          <w:tcPr>
            <w:tcW w:w="635" w:type="pct"/>
          </w:tcPr>
          <w:p w14:paraId="7531E93C" w14:textId="77777777" w:rsidR="00274DBA" w:rsidRPr="00E813DE" w:rsidRDefault="00274DBA" w:rsidP="00273064">
            <w:pPr>
              <w:pStyle w:val="NoSpacing"/>
              <w:rPr>
                <w:sz w:val="22"/>
                <w:szCs w:val="22"/>
              </w:rPr>
            </w:pPr>
            <w:r w:rsidRPr="00E813DE">
              <w:rPr>
                <w:sz w:val="22"/>
                <w:szCs w:val="22"/>
              </w:rPr>
              <w:t>×</w:t>
            </w:r>
          </w:p>
        </w:tc>
        <w:tc>
          <w:tcPr>
            <w:tcW w:w="670" w:type="pct"/>
          </w:tcPr>
          <w:p w14:paraId="16CD9358" w14:textId="77777777" w:rsidR="00274DBA" w:rsidRPr="00E813DE" w:rsidRDefault="00274DBA" w:rsidP="00273064">
            <w:pPr>
              <w:pStyle w:val="NoSpacing"/>
              <w:rPr>
                <w:sz w:val="22"/>
                <w:szCs w:val="22"/>
              </w:rPr>
            </w:pPr>
            <w:r w:rsidRPr="00E813DE">
              <w:rPr>
                <w:sz w:val="22"/>
                <w:szCs w:val="22"/>
              </w:rPr>
              <w:t>×</w:t>
            </w:r>
          </w:p>
        </w:tc>
        <w:tc>
          <w:tcPr>
            <w:tcW w:w="642" w:type="pct"/>
          </w:tcPr>
          <w:p w14:paraId="679A43D9" w14:textId="77777777" w:rsidR="00274DBA" w:rsidRPr="00E813DE" w:rsidRDefault="00274DBA" w:rsidP="00273064">
            <w:pPr>
              <w:pStyle w:val="NoSpacing"/>
              <w:rPr>
                <w:sz w:val="22"/>
                <w:szCs w:val="22"/>
              </w:rPr>
            </w:pPr>
            <w:r w:rsidRPr="00E813DE">
              <w:rPr>
                <w:sz w:val="22"/>
                <w:szCs w:val="22"/>
              </w:rPr>
              <w:t>■</w:t>
            </w:r>
          </w:p>
        </w:tc>
        <w:tc>
          <w:tcPr>
            <w:tcW w:w="636" w:type="pct"/>
          </w:tcPr>
          <w:p w14:paraId="2429D478" w14:textId="77777777" w:rsidR="00274DBA" w:rsidRPr="00E813DE" w:rsidRDefault="00274DBA" w:rsidP="00273064">
            <w:pPr>
              <w:pStyle w:val="NoSpacing"/>
              <w:rPr>
                <w:sz w:val="22"/>
                <w:szCs w:val="22"/>
              </w:rPr>
            </w:pPr>
            <w:r w:rsidRPr="00E813DE">
              <w:rPr>
                <w:sz w:val="22"/>
                <w:szCs w:val="22"/>
              </w:rPr>
              <w:t>■</w:t>
            </w:r>
          </w:p>
        </w:tc>
      </w:tr>
      <w:tr w:rsidR="00274DBA" w:rsidRPr="00E813DE" w14:paraId="5005B3F6" w14:textId="77777777" w:rsidTr="00270231">
        <w:trPr>
          <w:trHeight w:val="315"/>
          <w:jc w:val="center"/>
        </w:trPr>
        <w:tc>
          <w:tcPr>
            <w:tcW w:w="1147" w:type="pct"/>
          </w:tcPr>
          <w:sdt>
            <w:sdtPr>
              <w:rPr>
                <w:color w:val="000000"/>
                <w:sz w:val="22"/>
                <w:szCs w:val="22"/>
              </w:rPr>
              <w:tag w:val="MENDELEY_CITATION_v3_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"/>
              <w:id w:val="614490191"/>
              <w:placeholder>
                <w:docPart w:val="170A79B9610FA548BD782D5946CEDE91"/>
              </w:placeholder>
            </w:sdtPr>
            <w:sdtContent>
              <w:p w14:paraId="78142DFB" w14:textId="77777777" w:rsidR="00274DBA" w:rsidRPr="00E813DE" w:rsidRDefault="00274DBA" w:rsidP="00273064">
                <w:pPr>
                  <w:pStyle w:val="NoSpacing"/>
                  <w:rPr>
                    <w:sz w:val="22"/>
                    <w:szCs w:val="22"/>
                  </w:rPr>
                </w:pPr>
                <w:r w:rsidRPr="001E7ECF">
                  <w:rPr>
                    <w:color w:val="000000"/>
                    <w:sz w:val="22"/>
                    <w:szCs w:val="22"/>
                  </w:rPr>
                  <w:t>[41]</w:t>
                </w:r>
              </w:p>
            </w:sdtContent>
          </w:sdt>
        </w:tc>
        <w:tc>
          <w:tcPr>
            <w:tcW w:w="635" w:type="pct"/>
          </w:tcPr>
          <w:p w14:paraId="3934EB4C" w14:textId="77777777" w:rsidR="00274DBA" w:rsidRPr="00E813DE" w:rsidRDefault="00274DBA" w:rsidP="00273064">
            <w:pPr>
              <w:pStyle w:val="NoSpacing"/>
              <w:rPr>
                <w:sz w:val="22"/>
                <w:szCs w:val="22"/>
              </w:rPr>
            </w:pPr>
            <w:r w:rsidRPr="00E813DE">
              <w:rPr>
                <w:sz w:val="22"/>
                <w:szCs w:val="22"/>
              </w:rPr>
              <w:t>×</w:t>
            </w:r>
          </w:p>
        </w:tc>
        <w:tc>
          <w:tcPr>
            <w:tcW w:w="635" w:type="pct"/>
          </w:tcPr>
          <w:p w14:paraId="3E3398DA" w14:textId="77777777" w:rsidR="00274DBA" w:rsidRPr="00E813DE" w:rsidRDefault="00274DBA" w:rsidP="00273064">
            <w:pPr>
              <w:pStyle w:val="NoSpacing"/>
              <w:rPr>
                <w:sz w:val="22"/>
                <w:szCs w:val="22"/>
              </w:rPr>
            </w:pPr>
            <w:r w:rsidRPr="00E813DE">
              <w:rPr>
                <w:sz w:val="22"/>
                <w:szCs w:val="22"/>
              </w:rPr>
              <w:t>×</w:t>
            </w:r>
          </w:p>
        </w:tc>
        <w:tc>
          <w:tcPr>
            <w:tcW w:w="635" w:type="pct"/>
          </w:tcPr>
          <w:p w14:paraId="5C7BBFA8" w14:textId="77777777" w:rsidR="00274DBA" w:rsidRPr="00E813DE" w:rsidRDefault="00274DBA" w:rsidP="00273064">
            <w:pPr>
              <w:pStyle w:val="NoSpacing"/>
              <w:rPr>
                <w:sz w:val="22"/>
                <w:szCs w:val="22"/>
              </w:rPr>
            </w:pPr>
            <w:r w:rsidRPr="00E813DE">
              <w:rPr>
                <w:sz w:val="22"/>
                <w:szCs w:val="22"/>
              </w:rPr>
              <w:t>×</w:t>
            </w:r>
          </w:p>
        </w:tc>
        <w:tc>
          <w:tcPr>
            <w:tcW w:w="670" w:type="pct"/>
          </w:tcPr>
          <w:p w14:paraId="12746F6B" w14:textId="77777777" w:rsidR="00274DBA" w:rsidRPr="00E813DE" w:rsidRDefault="00274DBA" w:rsidP="00273064">
            <w:pPr>
              <w:pStyle w:val="NoSpacing"/>
              <w:rPr>
                <w:sz w:val="22"/>
                <w:szCs w:val="22"/>
              </w:rPr>
            </w:pPr>
            <w:r w:rsidRPr="00E813DE">
              <w:rPr>
                <w:sz w:val="22"/>
                <w:szCs w:val="22"/>
              </w:rPr>
              <w:t>×</w:t>
            </w:r>
          </w:p>
        </w:tc>
        <w:tc>
          <w:tcPr>
            <w:tcW w:w="642" w:type="pct"/>
          </w:tcPr>
          <w:p w14:paraId="17E3181E" w14:textId="77777777" w:rsidR="00274DBA" w:rsidRPr="00E813DE" w:rsidRDefault="00274DBA" w:rsidP="00273064">
            <w:pPr>
              <w:pStyle w:val="NoSpacing"/>
              <w:rPr>
                <w:sz w:val="22"/>
                <w:szCs w:val="22"/>
              </w:rPr>
            </w:pPr>
            <w:r w:rsidRPr="00E813DE">
              <w:rPr>
                <w:sz w:val="22"/>
                <w:szCs w:val="22"/>
              </w:rPr>
              <w:t>×</w:t>
            </w:r>
          </w:p>
        </w:tc>
        <w:tc>
          <w:tcPr>
            <w:tcW w:w="636" w:type="pct"/>
          </w:tcPr>
          <w:p w14:paraId="7E20EBDF" w14:textId="77777777" w:rsidR="00274DBA" w:rsidRPr="00E813DE" w:rsidRDefault="00274DBA" w:rsidP="00273064">
            <w:pPr>
              <w:pStyle w:val="NoSpacing"/>
              <w:rPr>
                <w:sz w:val="22"/>
                <w:szCs w:val="22"/>
              </w:rPr>
            </w:pPr>
            <w:r w:rsidRPr="00E813DE">
              <w:rPr>
                <w:sz w:val="22"/>
                <w:szCs w:val="22"/>
              </w:rPr>
              <w:t>■</w:t>
            </w:r>
          </w:p>
        </w:tc>
      </w:tr>
      <w:tr w:rsidR="00274DBA" w:rsidRPr="00E813DE" w14:paraId="7365F045" w14:textId="77777777" w:rsidTr="00270231">
        <w:trPr>
          <w:trHeight w:val="315"/>
          <w:jc w:val="center"/>
        </w:trPr>
        <w:tc>
          <w:tcPr>
            <w:tcW w:w="1147" w:type="pct"/>
          </w:tcPr>
          <w:sdt>
            <w:sdtPr>
              <w:rPr>
                <w:color w:val="000000"/>
                <w:sz w:val="22"/>
                <w:szCs w:val="22"/>
              </w:rPr>
              <w:tag w:val="MENDELEY_CITATION_v3_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"/>
              <w:id w:val="236457216"/>
              <w:placeholder>
                <w:docPart w:val="170A79B9610FA548BD782D5946CEDE91"/>
              </w:placeholder>
            </w:sdtPr>
            <w:sdtContent>
              <w:p w14:paraId="05D5B837" w14:textId="77777777" w:rsidR="00274DBA" w:rsidRPr="00E813DE" w:rsidRDefault="00274DBA" w:rsidP="00273064">
                <w:pPr>
                  <w:pStyle w:val="NoSpacing"/>
                  <w:rPr>
                    <w:sz w:val="22"/>
                    <w:szCs w:val="22"/>
                  </w:rPr>
                </w:pPr>
                <w:r w:rsidRPr="001E7ECF">
                  <w:rPr>
                    <w:color w:val="000000"/>
                    <w:sz w:val="22"/>
                    <w:szCs w:val="22"/>
                  </w:rPr>
                  <w:t>[3]</w:t>
                </w:r>
              </w:p>
            </w:sdtContent>
          </w:sdt>
        </w:tc>
        <w:tc>
          <w:tcPr>
            <w:tcW w:w="635" w:type="pct"/>
          </w:tcPr>
          <w:p w14:paraId="7308D345" w14:textId="77777777" w:rsidR="00274DBA" w:rsidRPr="00E813DE" w:rsidRDefault="00274DBA" w:rsidP="00273064">
            <w:pPr>
              <w:pStyle w:val="NoSpacing"/>
              <w:rPr>
                <w:sz w:val="22"/>
                <w:szCs w:val="22"/>
              </w:rPr>
            </w:pPr>
            <w:r w:rsidRPr="00E813DE">
              <w:rPr>
                <w:sz w:val="22"/>
                <w:szCs w:val="22"/>
              </w:rPr>
              <w:t>×</w:t>
            </w:r>
          </w:p>
        </w:tc>
        <w:tc>
          <w:tcPr>
            <w:tcW w:w="635" w:type="pct"/>
          </w:tcPr>
          <w:p w14:paraId="349DEE3C" w14:textId="77777777" w:rsidR="00274DBA" w:rsidRPr="00E813DE" w:rsidRDefault="00274DBA" w:rsidP="00273064">
            <w:pPr>
              <w:pStyle w:val="NoSpacing"/>
              <w:rPr>
                <w:sz w:val="22"/>
                <w:szCs w:val="22"/>
              </w:rPr>
            </w:pPr>
            <w:r w:rsidRPr="00E813DE">
              <w:rPr>
                <w:sz w:val="22"/>
                <w:szCs w:val="22"/>
              </w:rPr>
              <w:t>■</w:t>
            </w:r>
          </w:p>
        </w:tc>
        <w:tc>
          <w:tcPr>
            <w:tcW w:w="635" w:type="pct"/>
          </w:tcPr>
          <w:p w14:paraId="29C94A7E" w14:textId="77777777" w:rsidR="00274DBA" w:rsidRPr="00E813DE" w:rsidRDefault="00274DBA" w:rsidP="00273064">
            <w:pPr>
              <w:pStyle w:val="NoSpacing"/>
              <w:rPr>
                <w:sz w:val="22"/>
                <w:szCs w:val="22"/>
              </w:rPr>
            </w:pPr>
            <w:r w:rsidRPr="00E813DE">
              <w:rPr>
                <w:sz w:val="22"/>
                <w:szCs w:val="22"/>
              </w:rPr>
              <w:t>×</w:t>
            </w:r>
          </w:p>
        </w:tc>
        <w:tc>
          <w:tcPr>
            <w:tcW w:w="670" w:type="pct"/>
          </w:tcPr>
          <w:p w14:paraId="2A3B7D52" w14:textId="77777777" w:rsidR="00274DBA" w:rsidRPr="00E813DE" w:rsidRDefault="00274DBA" w:rsidP="00273064">
            <w:pPr>
              <w:pStyle w:val="NoSpacing"/>
              <w:rPr>
                <w:sz w:val="22"/>
                <w:szCs w:val="22"/>
              </w:rPr>
            </w:pPr>
            <w:r w:rsidRPr="00E813DE">
              <w:rPr>
                <w:sz w:val="22"/>
                <w:szCs w:val="22"/>
              </w:rPr>
              <w:t>×</w:t>
            </w:r>
          </w:p>
        </w:tc>
        <w:tc>
          <w:tcPr>
            <w:tcW w:w="642" w:type="pct"/>
          </w:tcPr>
          <w:p w14:paraId="47437972" w14:textId="77777777" w:rsidR="00274DBA" w:rsidRPr="00E813DE" w:rsidRDefault="00274DBA" w:rsidP="00273064">
            <w:pPr>
              <w:pStyle w:val="NoSpacing"/>
              <w:rPr>
                <w:sz w:val="22"/>
                <w:szCs w:val="22"/>
              </w:rPr>
            </w:pPr>
            <w:r w:rsidRPr="00E813DE">
              <w:rPr>
                <w:sz w:val="22"/>
                <w:szCs w:val="22"/>
              </w:rPr>
              <w:t>■</w:t>
            </w:r>
          </w:p>
        </w:tc>
        <w:tc>
          <w:tcPr>
            <w:tcW w:w="636" w:type="pct"/>
          </w:tcPr>
          <w:p w14:paraId="0296EF46" w14:textId="77777777" w:rsidR="00274DBA" w:rsidRPr="00E813DE" w:rsidRDefault="00274DBA" w:rsidP="00273064">
            <w:pPr>
              <w:pStyle w:val="NoSpacing"/>
              <w:rPr>
                <w:sz w:val="22"/>
                <w:szCs w:val="22"/>
              </w:rPr>
            </w:pPr>
            <w:r w:rsidRPr="00E813DE">
              <w:rPr>
                <w:sz w:val="22"/>
                <w:szCs w:val="22"/>
              </w:rPr>
              <w:t>■</w:t>
            </w:r>
          </w:p>
        </w:tc>
      </w:tr>
      <w:tr w:rsidR="00274DBA" w:rsidRPr="00E813DE" w14:paraId="2E0AF9E0" w14:textId="77777777" w:rsidTr="00270231">
        <w:trPr>
          <w:trHeight w:val="315"/>
          <w:jc w:val="center"/>
        </w:trPr>
        <w:tc>
          <w:tcPr>
            <w:tcW w:w="1147" w:type="pct"/>
          </w:tcPr>
          <w:sdt>
            <w:sdtPr>
              <w:rPr>
                <w:color w:val="000000"/>
                <w:sz w:val="22"/>
                <w:szCs w:val="22"/>
              </w:rPr>
              <w:tag w:val="MENDELEY_CITATION_v3_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"/>
              <w:id w:val="44654737"/>
              <w:placeholder>
                <w:docPart w:val="170A79B9610FA548BD782D5946CEDE91"/>
              </w:placeholder>
            </w:sdtPr>
            <w:sdtContent>
              <w:p w14:paraId="28BF8ED7" w14:textId="77777777" w:rsidR="00274DBA" w:rsidRPr="00E813DE" w:rsidRDefault="00274DBA" w:rsidP="00273064">
                <w:pPr>
                  <w:pStyle w:val="NoSpacing"/>
                  <w:rPr>
                    <w:sz w:val="22"/>
                    <w:szCs w:val="22"/>
                  </w:rPr>
                </w:pPr>
                <w:r w:rsidRPr="001E7ECF">
                  <w:rPr>
                    <w:color w:val="000000"/>
                    <w:sz w:val="22"/>
                    <w:szCs w:val="22"/>
                  </w:rPr>
                  <w:t>[42]</w:t>
                </w:r>
              </w:p>
            </w:sdtContent>
          </w:sdt>
        </w:tc>
        <w:tc>
          <w:tcPr>
            <w:tcW w:w="635" w:type="pct"/>
          </w:tcPr>
          <w:p w14:paraId="57D79DC1" w14:textId="77777777" w:rsidR="00274DBA" w:rsidRPr="00E813DE" w:rsidRDefault="00274DBA" w:rsidP="00273064">
            <w:pPr>
              <w:pStyle w:val="NoSpacing"/>
              <w:rPr>
                <w:sz w:val="22"/>
                <w:szCs w:val="22"/>
              </w:rPr>
            </w:pPr>
            <w:r w:rsidRPr="00E813DE">
              <w:rPr>
                <w:sz w:val="22"/>
                <w:szCs w:val="22"/>
              </w:rPr>
              <w:t>×</w:t>
            </w:r>
          </w:p>
        </w:tc>
        <w:tc>
          <w:tcPr>
            <w:tcW w:w="635" w:type="pct"/>
          </w:tcPr>
          <w:p w14:paraId="05CBD22E" w14:textId="77777777" w:rsidR="00274DBA" w:rsidRPr="00E813DE" w:rsidRDefault="00274DBA" w:rsidP="00273064">
            <w:pPr>
              <w:pStyle w:val="NoSpacing"/>
              <w:rPr>
                <w:sz w:val="22"/>
                <w:szCs w:val="22"/>
              </w:rPr>
            </w:pPr>
            <w:r w:rsidRPr="00E813DE">
              <w:rPr>
                <w:sz w:val="22"/>
                <w:szCs w:val="22"/>
              </w:rPr>
              <w:t>×</w:t>
            </w:r>
          </w:p>
        </w:tc>
        <w:tc>
          <w:tcPr>
            <w:tcW w:w="635" w:type="pct"/>
          </w:tcPr>
          <w:p w14:paraId="774AD2C0" w14:textId="77777777" w:rsidR="00274DBA" w:rsidRPr="00E813DE" w:rsidRDefault="00274DBA" w:rsidP="00273064">
            <w:pPr>
              <w:pStyle w:val="NoSpacing"/>
              <w:rPr>
                <w:sz w:val="22"/>
                <w:szCs w:val="22"/>
              </w:rPr>
            </w:pPr>
            <w:r w:rsidRPr="00E813DE">
              <w:rPr>
                <w:sz w:val="22"/>
                <w:szCs w:val="22"/>
              </w:rPr>
              <w:t>×</w:t>
            </w:r>
          </w:p>
        </w:tc>
        <w:tc>
          <w:tcPr>
            <w:tcW w:w="670" w:type="pct"/>
          </w:tcPr>
          <w:p w14:paraId="0C83F7C1" w14:textId="77777777" w:rsidR="00274DBA" w:rsidRPr="00E813DE" w:rsidRDefault="00274DBA" w:rsidP="00273064">
            <w:pPr>
              <w:pStyle w:val="NoSpacing"/>
              <w:rPr>
                <w:sz w:val="22"/>
                <w:szCs w:val="22"/>
              </w:rPr>
            </w:pPr>
            <w:r w:rsidRPr="00E813DE">
              <w:rPr>
                <w:sz w:val="22"/>
                <w:szCs w:val="22"/>
              </w:rPr>
              <w:t>×</w:t>
            </w:r>
          </w:p>
        </w:tc>
        <w:tc>
          <w:tcPr>
            <w:tcW w:w="642" w:type="pct"/>
          </w:tcPr>
          <w:p w14:paraId="3DC45F16" w14:textId="77777777" w:rsidR="00274DBA" w:rsidRPr="00E813DE" w:rsidRDefault="00274DBA" w:rsidP="00273064">
            <w:pPr>
              <w:pStyle w:val="NoSpacing"/>
              <w:rPr>
                <w:sz w:val="22"/>
                <w:szCs w:val="22"/>
              </w:rPr>
            </w:pPr>
            <w:r w:rsidRPr="00E813DE">
              <w:rPr>
                <w:sz w:val="22"/>
                <w:szCs w:val="22"/>
              </w:rPr>
              <w:t>■</w:t>
            </w:r>
          </w:p>
        </w:tc>
        <w:tc>
          <w:tcPr>
            <w:tcW w:w="636" w:type="pct"/>
          </w:tcPr>
          <w:p w14:paraId="31809CC5" w14:textId="77777777" w:rsidR="00274DBA" w:rsidRPr="00E813DE" w:rsidRDefault="00274DBA" w:rsidP="00273064">
            <w:pPr>
              <w:pStyle w:val="NoSpacing"/>
              <w:rPr>
                <w:sz w:val="22"/>
                <w:szCs w:val="22"/>
              </w:rPr>
            </w:pPr>
            <w:r w:rsidRPr="00E813DE">
              <w:rPr>
                <w:sz w:val="22"/>
                <w:szCs w:val="22"/>
              </w:rPr>
              <w:t>■</w:t>
            </w:r>
          </w:p>
        </w:tc>
      </w:tr>
      <w:tr w:rsidR="00274DBA" w:rsidRPr="00E813DE" w14:paraId="358750F0" w14:textId="77777777" w:rsidTr="00270231">
        <w:trPr>
          <w:trHeight w:val="315"/>
          <w:jc w:val="center"/>
        </w:trPr>
        <w:tc>
          <w:tcPr>
            <w:tcW w:w="1147" w:type="pct"/>
          </w:tcPr>
          <w:sdt>
            <w:sdtPr>
              <w:rPr>
                <w:color w:val="000000"/>
                <w:sz w:val="22"/>
                <w:szCs w:val="22"/>
              </w:rPr>
              <w:tag w:val="MENDELEY_CITATION_v3_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"/>
              <w:id w:val="-78448165"/>
              <w:placeholder>
                <w:docPart w:val="170A79B9610FA548BD782D5946CEDE91"/>
              </w:placeholder>
            </w:sdtPr>
            <w:sdtContent>
              <w:p w14:paraId="7620C4B6" w14:textId="77777777" w:rsidR="00274DBA" w:rsidRPr="00E813DE" w:rsidRDefault="00274DBA" w:rsidP="00273064">
                <w:pPr>
                  <w:pStyle w:val="NoSpacing"/>
                  <w:rPr>
                    <w:sz w:val="22"/>
                    <w:szCs w:val="22"/>
                  </w:rPr>
                </w:pPr>
                <w:r w:rsidRPr="001E7ECF">
                  <w:rPr>
                    <w:color w:val="000000"/>
                    <w:sz w:val="22"/>
                    <w:szCs w:val="22"/>
                  </w:rPr>
                  <w:t>[43]</w:t>
                </w:r>
              </w:p>
            </w:sdtContent>
          </w:sdt>
        </w:tc>
        <w:tc>
          <w:tcPr>
            <w:tcW w:w="635" w:type="pct"/>
          </w:tcPr>
          <w:p w14:paraId="62277F1D" w14:textId="77777777" w:rsidR="00274DBA" w:rsidRPr="00E813DE" w:rsidRDefault="00274DBA" w:rsidP="00273064">
            <w:pPr>
              <w:pStyle w:val="NoSpacing"/>
              <w:rPr>
                <w:sz w:val="22"/>
                <w:szCs w:val="22"/>
              </w:rPr>
            </w:pPr>
            <w:r w:rsidRPr="00E813DE">
              <w:rPr>
                <w:sz w:val="22"/>
                <w:szCs w:val="22"/>
              </w:rPr>
              <w:t>×</w:t>
            </w:r>
          </w:p>
        </w:tc>
        <w:tc>
          <w:tcPr>
            <w:tcW w:w="635" w:type="pct"/>
          </w:tcPr>
          <w:p w14:paraId="20446543" w14:textId="77777777" w:rsidR="00274DBA" w:rsidRPr="00E813DE" w:rsidRDefault="00274DBA" w:rsidP="00273064">
            <w:pPr>
              <w:pStyle w:val="NoSpacing"/>
              <w:rPr>
                <w:sz w:val="22"/>
                <w:szCs w:val="22"/>
              </w:rPr>
            </w:pPr>
            <w:r w:rsidRPr="00E813DE">
              <w:rPr>
                <w:sz w:val="22"/>
                <w:szCs w:val="22"/>
              </w:rPr>
              <w:t>×</w:t>
            </w:r>
          </w:p>
        </w:tc>
        <w:tc>
          <w:tcPr>
            <w:tcW w:w="635" w:type="pct"/>
          </w:tcPr>
          <w:p w14:paraId="7AED7A20" w14:textId="77777777" w:rsidR="00274DBA" w:rsidRPr="00E813DE" w:rsidRDefault="00274DBA" w:rsidP="00273064">
            <w:pPr>
              <w:pStyle w:val="NoSpacing"/>
              <w:rPr>
                <w:sz w:val="22"/>
                <w:szCs w:val="22"/>
              </w:rPr>
            </w:pPr>
            <w:r w:rsidRPr="00E813DE">
              <w:rPr>
                <w:sz w:val="22"/>
                <w:szCs w:val="22"/>
              </w:rPr>
              <w:t>×</w:t>
            </w:r>
          </w:p>
        </w:tc>
        <w:tc>
          <w:tcPr>
            <w:tcW w:w="670" w:type="pct"/>
          </w:tcPr>
          <w:p w14:paraId="03732613" w14:textId="77777777" w:rsidR="00274DBA" w:rsidRPr="00E813DE" w:rsidRDefault="00274DBA" w:rsidP="00273064">
            <w:pPr>
              <w:pStyle w:val="NoSpacing"/>
              <w:rPr>
                <w:sz w:val="22"/>
                <w:szCs w:val="22"/>
              </w:rPr>
            </w:pPr>
            <w:r w:rsidRPr="00E813DE">
              <w:rPr>
                <w:sz w:val="22"/>
                <w:szCs w:val="22"/>
              </w:rPr>
              <w:t>×</w:t>
            </w:r>
          </w:p>
        </w:tc>
        <w:tc>
          <w:tcPr>
            <w:tcW w:w="642" w:type="pct"/>
          </w:tcPr>
          <w:p w14:paraId="73885189" w14:textId="77777777" w:rsidR="00274DBA" w:rsidRPr="00E813DE" w:rsidRDefault="00274DBA" w:rsidP="00273064">
            <w:pPr>
              <w:pStyle w:val="NoSpacing"/>
              <w:rPr>
                <w:sz w:val="22"/>
                <w:szCs w:val="22"/>
              </w:rPr>
            </w:pPr>
            <w:r w:rsidRPr="00E813DE">
              <w:rPr>
                <w:sz w:val="22"/>
                <w:szCs w:val="22"/>
              </w:rPr>
              <w:t>■</w:t>
            </w:r>
          </w:p>
        </w:tc>
        <w:tc>
          <w:tcPr>
            <w:tcW w:w="636" w:type="pct"/>
          </w:tcPr>
          <w:p w14:paraId="4FACDC2C" w14:textId="77777777" w:rsidR="00274DBA" w:rsidRPr="00E813DE" w:rsidRDefault="00274DBA" w:rsidP="00273064">
            <w:pPr>
              <w:pStyle w:val="NoSpacing"/>
              <w:rPr>
                <w:sz w:val="22"/>
                <w:szCs w:val="22"/>
              </w:rPr>
            </w:pPr>
            <w:r w:rsidRPr="00E813DE">
              <w:rPr>
                <w:sz w:val="22"/>
                <w:szCs w:val="22"/>
              </w:rPr>
              <w:t>■</w:t>
            </w:r>
          </w:p>
        </w:tc>
      </w:tr>
      <w:tr w:rsidR="00274DBA" w:rsidRPr="00E813DE" w14:paraId="1C4768E6" w14:textId="77777777" w:rsidTr="00270231">
        <w:trPr>
          <w:trHeight w:val="315"/>
          <w:jc w:val="center"/>
        </w:trPr>
        <w:tc>
          <w:tcPr>
            <w:tcW w:w="1147" w:type="pct"/>
          </w:tcPr>
          <w:sdt>
            <w:sdtPr>
              <w:rPr>
                <w:color w:val="000000"/>
                <w:sz w:val="22"/>
                <w:szCs w:val="22"/>
              </w:rPr>
              <w:tag w:val="MENDELEY_CITATION_v3_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"/>
              <w:id w:val="-995036741"/>
              <w:placeholder>
                <w:docPart w:val="170A79B9610FA548BD782D5946CEDE91"/>
              </w:placeholder>
            </w:sdtPr>
            <w:sdtContent>
              <w:p w14:paraId="2338CF92" w14:textId="77777777" w:rsidR="00274DBA" w:rsidRPr="00E813DE" w:rsidRDefault="00274DBA" w:rsidP="00273064">
                <w:pPr>
                  <w:pStyle w:val="NoSpacing"/>
                  <w:rPr>
                    <w:sz w:val="22"/>
                    <w:szCs w:val="22"/>
                  </w:rPr>
                </w:pPr>
                <w:r w:rsidRPr="001E7ECF">
                  <w:rPr>
                    <w:color w:val="000000"/>
                    <w:sz w:val="22"/>
                    <w:szCs w:val="22"/>
                  </w:rPr>
                  <w:t>[44]</w:t>
                </w:r>
              </w:p>
            </w:sdtContent>
          </w:sdt>
        </w:tc>
        <w:tc>
          <w:tcPr>
            <w:tcW w:w="635" w:type="pct"/>
          </w:tcPr>
          <w:p w14:paraId="557FD959" w14:textId="77777777" w:rsidR="00274DBA" w:rsidRPr="00E813DE" w:rsidRDefault="00274DBA" w:rsidP="00273064">
            <w:pPr>
              <w:pStyle w:val="NoSpacing"/>
              <w:rPr>
                <w:sz w:val="22"/>
                <w:szCs w:val="22"/>
              </w:rPr>
            </w:pPr>
            <w:r w:rsidRPr="00E813DE">
              <w:rPr>
                <w:sz w:val="22"/>
                <w:szCs w:val="22"/>
              </w:rPr>
              <w:t>×</w:t>
            </w:r>
          </w:p>
        </w:tc>
        <w:tc>
          <w:tcPr>
            <w:tcW w:w="635" w:type="pct"/>
          </w:tcPr>
          <w:p w14:paraId="24C205D9" w14:textId="77777777" w:rsidR="00274DBA" w:rsidRPr="00E813DE" w:rsidRDefault="00274DBA" w:rsidP="00273064">
            <w:pPr>
              <w:pStyle w:val="NoSpacing"/>
              <w:rPr>
                <w:sz w:val="22"/>
                <w:szCs w:val="22"/>
              </w:rPr>
            </w:pPr>
            <w:r w:rsidRPr="00E813DE">
              <w:rPr>
                <w:sz w:val="22"/>
                <w:szCs w:val="22"/>
              </w:rPr>
              <w:t>×</w:t>
            </w:r>
          </w:p>
        </w:tc>
        <w:tc>
          <w:tcPr>
            <w:tcW w:w="635" w:type="pct"/>
          </w:tcPr>
          <w:p w14:paraId="4267197E" w14:textId="77777777" w:rsidR="00274DBA" w:rsidRPr="00E813DE" w:rsidRDefault="00274DBA" w:rsidP="00273064">
            <w:pPr>
              <w:pStyle w:val="NoSpacing"/>
              <w:rPr>
                <w:sz w:val="22"/>
                <w:szCs w:val="22"/>
              </w:rPr>
            </w:pPr>
            <w:r w:rsidRPr="00E813DE">
              <w:rPr>
                <w:sz w:val="22"/>
                <w:szCs w:val="22"/>
              </w:rPr>
              <w:t>×</w:t>
            </w:r>
          </w:p>
        </w:tc>
        <w:tc>
          <w:tcPr>
            <w:tcW w:w="670" w:type="pct"/>
          </w:tcPr>
          <w:p w14:paraId="0849D171" w14:textId="77777777" w:rsidR="00274DBA" w:rsidRPr="00E813DE" w:rsidRDefault="00274DBA" w:rsidP="00273064">
            <w:pPr>
              <w:pStyle w:val="NoSpacing"/>
              <w:rPr>
                <w:sz w:val="22"/>
                <w:szCs w:val="22"/>
              </w:rPr>
            </w:pPr>
            <w:r w:rsidRPr="00E813DE">
              <w:rPr>
                <w:sz w:val="22"/>
                <w:szCs w:val="22"/>
              </w:rPr>
              <w:t>×</w:t>
            </w:r>
          </w:p>
        </w:tc>
        <w:tc>
          <w:tcPr>
            <w:tcW w:w="642" w:type="pct"/>
          </w:tcPr>
          <w:p w14:paraId="12F4874A" w14:textId="77777777" w:rsidR="00274DBA" w:rsidRPr="00E813DE" w:rsidRDefault="00274DBA" w:rsidP="00273064">
            <w:pPr>
              <w:pStyle w:val="NoSpacing"/>
              <w:rPr>
                <w:sz w:val="22"/>
                <w:szCs w:val="22"/>
              </w:rPr>
            </w:pPr>
            <w:r w:rsidRPr="00E813DE">
              <w:rPr>
                <w:sz w:val="22"/>
                <w:szCs w:val="22"/>
              </w:rPr>
              <w:t>■</w:t>
            </w:r>
          </w:p>
        </w:tc>
        <w:tc>
          <w:tcPr>
            <w:tcW w:w="636" w:type="pct"/>
          </w:tcPr>
          <w:p w14:paraId="49F6CDF1" w14:textId="77777777" w:rsidR="00274DBA" w:rsidRPr="00E813DE" w:rsidRDefault="00274DBA" w:rsidP="00273064">
            <w:pPr>
              <w:pStyle w:val="NoSpacing"/>
              <w:rPr>
                <w:sz w:val="22"/>
                <w:szCs w:val="22"/>
              </w:rPr>
            </w:pPr>
            <w:r w:rsidRPr="00E813DE">
              <w:rPr>
                <w:sz w:val="22"/>
                <w:szCs w:val="22"/>
              </w:rPr>
              <w:t>×</w:t>
            </w:r>
          </w:p>
        </w:tc>
      </w:tr>
      <w:tr w:rsidR="00274DBA" w:rsidRPr="00E813DE" w14:paraId="41C13457" w14:textId="77777777" w:rsidTr="00270231">
        <w:trPr>
          <w:trHeight w:val="315"/>
          <w:jc w:val="center"/>
        </w:trPr>
        <w:sdt>
          <w:sdtPr>
            <w:rPr>
              <w:color w:val="000000"/>
              <w:sz w:val="22"/>
              <w:szCs w:val="22"/>
            </w:rPr>
            <w:tag w:val="MENDELEY_CITATION_v3_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"/>
            <w:id w:val="244538733"/>
            <w:placeholder>
              <w:docPart w:val="F9360FDCF9E9C444B81A4F8EC76866A7"/>
            </w:placeholder>
          </w:sdtPr>
          <w:sdtContent>
            <w:tc>
              <w:tcPr>
                <w:tcW w:w="1147" w:type="pct"/>
              </w:tcPr>
              <w:p w14:paraId="7A900AEE" w14:textId="77777777" w:rsidR="00274DBA" w:rsidRPr="00E813DE" w:rsidRDefault="00274DBA" w:rsidP="00273064">
                <w:pPr>
                  <w:pStyle w:val="NoSpacing"/>
                  <w:rPr>
                    <w:sz w:val="22"/>
                    <w:szCs w:val="22"/>
                  </w:rPr>
                </w:pPr>
                <w:r w:rsidRPr="001E7ECF">
                  <w:rPr>
                    <w:color w:val="000000"/>
                    <w:sz w:val="22"/>
                    <w:szCs w:val="22"/>
                  </w:rPr>
                  <w:t>[45]</w:t>
                </w:r>
              </w:p>
            </w:tc>
          </w:sdtContent>
        </w:sdt>
        <w:tc>
          <w:tcPr>
            <w:tcW w:w="635" w:type="pct"/>
          </w:tcPr>
          <w:p w14:paraId="03004254" w14:textId="77777777" w:rsidR="00274DBA" w:rsidRPr="00E813DE" w:rsidRDefault="00274DBA" w:rsidP="00273064">
            <w:pPr>
              <w:pStyle w:val="NoSpacing"/>
              <w:rPr>
                <w:sz w:val="22"/>
                <w:szCs w:val="22"/>
              </w:rPr>
            </w:pPr>
            <w:r w:rsidRPr="00E813DE">
              <w:rPr>
                <w:sz w:val="22"/>
                <w:szCs w:val="22"/>
              </w:rPr>
              <w:t>■</w:t>
            </w:r>
          </w:p>
        </w:tc>
        <w:tc>
          <w:tcPr>
            <w:tcW w:w="635" w:type="pct"/>
          </w:tcPr>
          <w:p w14:paraId="3BFD395A" w14:textId="77777777" w:rsidR="00274DBA" w:rsidRPr="00E813DE" w:rsidRDefault="00274DBA" w:rsidP="00273064">
            <w:pPr>
              <w:pStyle w:val="NoSpacing"/>
              <w:rPr>
                <w:sz w:val="22"/>
                <w:szCs w:val="22"/>
              </w:rPr>
            </w:pPr>
            <w:r w:rsidRPr="00E813DE">
              <w:rPr>
                <w:sz w:val="22"/>
                <w:szCs w:val="22"/>
              </w:rPr>
              <w:t>×</w:t>
            </w:r>
          </w:p>
        </w:tc>
        <w:tc>
          <w:tcPr>
            <w:tcW w:w="635" w:type="pct"/>
          </w:tcPr>
          <w:p w14:paraId="7C8E0B4F" w14:textId="77777777" w:rsidR="00274DBA" w:rsidRPr="00E813DE" w:rsidRDefault="00274DBA" w:rsidP="00273064">
            <w:pPr>
              <w:pStyle w:val="NoSpacing"/>
              <w:rPr>
                <w:sz w:val="22"/>
                <w:szCs w:val="22"/>
              </w:rPr>
            </w:pPr>
            <w:r w:rsidRPr="00E813DE">
              <w:rPr>
                <w:sz w:val="22"/>
                <w:szCs w:val="22"/>
              </w:rPr>
              <w:t>×</w:t>
            </w:r>
          </w:p>
        </w:tc>
        <w:tc>
          <w:tcPr>
            <w:tcW w:w="670" w:type="pct"/>
          </w:tcPr>
          <w:p w14:paraId="7054CFD4" w14:textId="77777777" w:rsidR="00274DBA" w:rsidRPr="00E813DE" w:rsidRDefault="00274DBA" w:rsidP="00273064">
            <w:pPr>
              <w:pStyle w:val="NoSpacing"/>
              <w:rPr>
                <w:sz w:val="22"/>
                <w:szCs w:val="22"/>
              </w:rPr>
            </w:pPr>
            <w:r w:rsidRPr="00E813DE">
              <w:rPr>
                <w:sz w:val="22"/>
                <w:szCs w:val="22"/>
              </w:rPr>
              <w:t>×</w:t>
            </w:r>
          </w:p>
        </w:tc>
        <w:tc>
          <w:tcPr>
            <w:tcW w:w="642" w:type="pct"/>
          </w:tcPr>
          <w:p w14:paraId="00B5FB38" w14:textId="77777777" w:rsidR="00274DBA" w:rsidRPr="00E813DE" w:rsidRDefault="00274DBA" w:rsidP="00273064">
            <w:pPr>
              <w:pStyle w:val="NoSpacing"/>
              <w:rPr>
                <w:sz w:val="22"/>
                <w:szCs w:val="22"/>
              </w:rPr>
            </w:pPr>
            <w:r w:rsidRPr="00E813DE">
              <w:rPr>
                <w:sz w:val="22"/>
                <w:szCs w:val="22"/>
              </w:rPr>
              <w:t>×</w:t>
            </w:r>
          </w:p>
        </w:tc>
        <w:tc>
          <w:tcPr>
            <w:tcW w:w="636" w:type="pct"/>
          </w:tcPr>
          <w:p w14:paraId="607348EA" w14:textId="77777777" w:rsidR="00274DBA" w:rsidRPr="00E813DE" w:rsidRDefault="00274DBA" w:rsidP="00273064">
            <w:pPr>
              <w:pStyle w:val="NoSpacing"/>
              <w:rPr>
                <w:sz w:val="22"/>
                <w:szCs w:val="22"/>
              </w:rPr>
            </w:pPr>
            <w:r w:rsidRPr="00E813DE">
              <w:rPr>
                <w:sz w:val="22"/>
                <w:szCs w:val="22"/>
              </w:rPr>
              <w:t>×</w:t>
            </w:r>
          </w:p>
        </w:tc>
      </w:tr>
      <w:tr w:rsidR="00274DBA" w:rsidRPr="00E813DE" w14:paraId="6B634FC2" w14:textId="77777777" w:rsidTr="00270231">
        <w:trPr>
          <w:trHeight w:val="315"/>
          <w:jc w:val="center"/>
        </w:trPr>
        <w:tc>
          <w:tcPr>
            <w:tcW w:w="1147" w:type="pct"/>
          </w:tcPr>
          <w:sdt>
            <w:sdtPr>
              <w:rPr>
                <w:color w:val="000000"/>
                <w:sz w:val="22"/>
                <w:szCs w:val="22"/>
              </w:rPr>
              <w:tag w:val="MENDELEY_CITATION_v3_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"/>
              <w:id w:val="1975706834"/>
              <w:placeholder>
                <w:docPart w:val="70D0C41E41CA5C44B61BC36CC0F5E850"/>
              </w:placeholder>
            </w:sdtPr>
            <w:sdtContent>
              <w:p w14:paraId="2C01D229" w14:textId="77777777" w:rsidR="00274DBA" w:rsidRPr="00E813DE" w:rsidRDefault="00274DBA" w:rsidP="00273064">
                <w:pPr>
                  <w:pStyle w:val="NoSpacing"/>
                  <w:rPr>
                    <w:sz w:val="22"/>
                    <w:szCs w:val="22"/>
                  </w:rPr>
                </w:pPr>
                <w:r w:rsidRPr="001E7ECF">
                  <w:rPr>
                    <w:color w:val="000000"/>
                    <w:sz w:val="22"/>
                    <w:szCs w:val="22"/>
                  </w:rPr>
                  <w:t>[46]</w:t>
                </w:r>
              </w:p>
            </w:sdtContent>
          </w:sdt>
        </w:tc>
        <w:tc>
          <w:tcPr>
            <w:tcW w:w="635" w:type="pct"/>
          </w:tcPr>
          <w:p w14:paraId="5CE83F97" w14:textId="77777777" w:rsidR="00274DBA" w:rsidRPr="00E813DE" w:rsidRDefault="00274DBA" w:rsidP="00273064">
            <w:pPr>
              <w:pStyle w:val="NoSpacing"/>
              <w:rPr>
                <w:sz w:val="22"/>
                <w:szCs w:val="22"/>
              </w:rPr>
            </w:pPr>
            <w:r w:rsidRPr="00E813DE">
              <w:rPr>
                <w:sz w:val="22"/>
                <w:szCs w:val="22"/>
              </w:rPr>
              <w:t>×</w:t>
            </w:r>
          </w:p>
        </w:tc>
        <w:tc>
          <w:tcPr>
            <w:tcW w:w="635" w:type="pct"/>
          </w:tcPr>
          <w:p w14:paraId="54DC75BF" w14:textId="77777777" w:rsidR="00274DBA" w:rsidRPr="00E813DE" w:rsidRDefault="00274DBA" w:rsidP="00273064">
            <w:pPr>
              <w:pStyle w:val="NoSpacing"/>
              <w:rPr>
                <w:sz w:val="22"/>
                <w:szCs w:val="22"/>
              </w:rPr>
            </w:pPr>
            <w:r w:rsidRPr="00E813DE">
              <w:rPr>
                <w:sz w:val="22"/>
                <w:szCs w:val="22"/>
              </w:rPr>
              <w:t>×</w:t>
            </w:r>
          </w:p>
        </w:tc>
        <w:tc>
          <w:tcPr>
            <w:tcW w:w="635" w:type="pct"/>
          </w:tcPr>
          <w:p w14:paraId="289DFDD3" w14:textId="77777777" w:rsidR="00274DBA" w:rsidRPr="00E813DE" w:rsidRDefault="00274DBA" w:rsidP="00273064">
            <w:pPr>
              <w:pStyle w:val="NoSpacing"/>
              <w:rPr>
                <w:sz w:val="22"/>
                <w:szCs w:val="22"/>
              </w:rPr>
            </w:pPr>
            <w:r w:rsidRPr="00E813DE">
              <w:rPr>
                <w:sz w:val="22"/>
                <w:szCs w:val="22"/>
              </w:rPr>
              <w:t>×</w:t>
            </w:r>
          </w:p>
        </w:tc>
        <w:tc>
          <w:tcPr>
            <w:tcW w:w="670" w:type="pct"/>
          </w:tcPr>
          <w:p w14:paraId="501F4E89" w14:textId="77777777" w:rsidR="00274DBA" w:rsidRPr="00E813DE" w:rsidRDefault="00274DBA" w:rsidP="00273064">
            <w:pPr>
              <w:pStyle w:val="NoSpacing"/>
              <w:rPr>
                <w:sz w:val="22"/>
                <w:szCs w:val="22"/>
              </w:rPr>
            </w:pPr>
            <w:r w:rsidRPr="00E813DE">
              <w:rPr>
                <w:sz w:val="22"/>
                <w:szCs w:val="22"/>
              </w:rPr>
              <w:t>×</w:t>
            </w:r>
          </w:p>
        </w:tc>
        <w:tc>
          <w:tcPr>
            <w:tcW w:w="642" w:type="pct"/>
          </w:tcPr>
          <w:p w14:paraId="5C14B12A" w14:textId="77777777" w:rsidR="00274DBA" w:rsidRPr="00E813DE" w:rsidRDefault="00274DBA" w:rsidP="00273064">
            <w:pPr>
              <w:pStyle w:val="NoSpacing"/>
              <w:rPr>
                <w:sz w:val="22"/>
                <w:szCs w:val="22"/>
              </w:rPr>
            </w:pPr>
            <w:r w:rsidRPr="00E813DE">
              <w:rPr>
                <w:sz w:val="22"/>
                <w:szCs w:val="22"/>
              </w:rPr>
              <w:t>■</w:t>
            </w:r>
          </w:p>
        </w:tc>
        <w:tc>
          <w:tcPr>
            <w:tcW w:w="636" w:type="pct"/>
          </w:tcPr>
          <w:p w14:paraId="20DD7878" w14:textId="77777777" w:rsidR="00274DBA" w:rsidRPr="00E813DE" w:rsidRDefault="00274DBA" w:rsidP="00273064">
            <w:pPr>
              <w:pStyle w:val="NoSpacing"/>
              <w:rPr>
                <w:sz w:val="22"/>
                <w:szCs w:val="22"/>
              </w:rPr>
            </w:pPr>
            <w:r w:rsidRPr="00E813DE">
              <w:rPr>
                <w:sz w:val="22"/>
                <w:szCs w:val="22"/>
              </w:rPr>
              <w:t>■</w:t>
            </w:r>
          </w:p>
        </w:tc>
      </w:tr>
      <w:tr w:rsidR="00274DBA" w:rsidRPr="00E813DE" w14:paraId="1EF5479B" w14:textId="77777777" w:rsidTr="00270231">
        <w:trPr>
          <w:trHeight w:val="315"/>
          <w:jc w:val="center"/>
        </w:trPr>
        <w:tc>
          <w:tcPr>
            <w:tcW w:w="1147" w:type="pct"/>
          </w:tcPr>
          <w:sdt>
            <w:sdtPr>
              <w:rPr>
                <w:color w:val="000000"/>
                <w:sz w:val="22"/>
                <w:szCs w:val="22"/>
              </w:rPr>
              <w:tag w:val="MENDELEY_CITATION_v3_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"/>
              <w:id w:val="-1366278249"/>
              <w:placeholder>
                <w:docPart w:val="70D0C41E41CA5C44B61BC36CC0F5E850"/>
              </w:placeholder>
            </w:sdtPr>
            <w:sdtContent>
              <w:p w14:paraId="5BF7C035" w14:textId="77777777" w:rsidR="00274DBA" w:rsidRPr="00E813DE" w:rsidRDefault="00274DBA" w:rsidP="00273064">
                <w:pPr>
                  <w:pStyle w:val="NoSpacing"/>
                  <w:rPr>
                    <w:sz w:val="22"/>
                    <w:szCs w:val="22"/>
                  </w:rPr>
                </w:pPr>
                <w:r w:rsidRPr="001E7ECF">
                  <w:rPr>
                    <w:color w:val="000000"/>
                    <w:sz w:val="22"/>
                    <w:szCs w:val="22"/>
                  </w:rPr>
                  <w:t>[47]</w:t>
                </w:r>
              </w:p>
            </w:sdtContent>
          </w:sdt>
        </w:tc>
        <w:tc>
          <w:tcPr>
            <w:tcW w:w="635" w:type="pct"/>
          </w:tcPr>
          <w:p w14:paraId="4A959F79" w14:textId="77777777" w:rsidR="00274DBA" w:rsidRPr="00E813DE" w:rsidRDefault="00274DBA" w:rsidP="00273064">
            <w:pPr>
              <w:pStyle w:val="NoSpacing"/>
              <w:rPr>
                <w:sz w:val="22"/>
                <w:szCs w:val="22"/>
              </w:rPr>
            </w:pPr>
            <w:r w:rsidRPr="00E813DE">
              <w:rPr>
                <w:sz w:val="22"/>
                <w:szCs w:val="22"/>
              </w:rPr>
              <w:t>×</w:t>
            </w:r>
          </w:p>
        </w:tc>
        <w:tc>
          <w:tcPr>
            <w:tcW w:w="635" w:type="pct"/>
          </w:tcPr>
          <w:p w14:paraId="6913C636" w14:textId="77777777" w:rsidR="00274DBA" w:rsidRPr="00E813DE" w:rsidRDefault="00274DBA" w:rsidP="00273064">
            <w:pPr>
              <w:pStyle w:val="NoSpacing"/>
              <w:rPr>
                <w:sz w:val="22"/>
                <w:szCs w:val="22"/>
              </w:rPr>
            </w:pPr>
            <w:r w:rsidRPr="00E813DE">
              <w:rPr>
                <w:sz w:val="22"/>
                <w:szCs w:val="22"/>
              </w:rPr>
              <w:t>×</w:t>
            </w:r>
          </w:p>
        </w:tc>
        <w:tc>
          <w:tcPr>
            <w:tcW w:w="635" w:type="pct"/>
          </w:tcPr>
          <w:p w14:paraId="36A7FCFB" w14:textId="77777777" w:rsidR="00274DBA" w:rsidRPr="00E813DE" w:rsidRDefault="00274DBA" w:rsidP="00273064">
            <w:pPr>
              <w:pStyle w:val="NoSpacing"/>
              <w:rPr>
                <w:sz w:val="22"/>
                <w:szCs w:val="22"/>
              </w:rPr>
            </w:pPr>
            <w:r w:rsidRPr="00E813DE">
              <w:rPr>
                <w:sz w:val="22"/>
                <w:szCs w:val="22"/>
              </w:rPr>
              <w:t>×</w:t>
            </w:r>
          </w:p>
        </w:tc>
        <w:tc>
          <w:tcPr>
            <w:tcW w:w="670" w:type="pct"/>
          </w:tcPr>
          <w:p w14:paraId="65A0EA38" w14:textId="77777777" w:rsidR="00274DBA" w:rsidRPr="00E813DE" w:rsidRDefault="00274DBA" w:rsidP="00273064">
            <w:pPr>
              <w:pStyle w:val="NoSpacing"/>
              <w:rPr>
                <w:sz w:val="22"/>
                <w:szCs w:val="22"/>
              </w:rPr>
            </w:pPr>
            <w:r w:rsidRPr="00E813DE">
              <w:rPr>
                <w:sz w:val="22"/>
                <w:szCs w:val="22"/>
              </w:rPr>
              <w:t>×</w:t>
            </w:r>
          </w:p>
        </w:tc>
        <w:tc>
          <w:tcPr>
            <w:tcW w:w="642" w:type="pct"/>
          </w:tcPr>
          <w:p w14:paraId="694659A8" w14:textId="77777777" w:rsidR="00274DBA" w:rsidRPr="00E813DE" w:rsidRDefault="00274DBA" w:rsidP="00273064">
            <w:pPr>
              <w:pStyle w:val="NoSpacing"/>
              <w:rPr>
                <w:sz w:val="22"/>
                <w:szCs w:val="22"/>
              </w:rPr>
            </w:pPr>
            <w:r w:rsidRPr="00E813DE">
              <w:rPr>
                <w:sz w:val="22"/>
                <w:szCs w:val="22"/>
              </w:rPr>
              <w:t>■</w:t>
            </w:r>
          </w:p>
        </w:tc>
        <w:tc>
          <w:tcPr>
            <w:tcW w:w="636" w:type="pct"/>
          </w:tcPr>
          <w:p w14:paraId="4AEA70C6" w14:textId="77777777" w:rsidR="00274DBA" w:rsidRPr="00E813DE" w:rsidRDefault="00274DBA" w:rsidP="00273064">
            <w:pPr>
              <w:pStyle w:val="NoSpacing"/>
              <w:rPr>
                <w:sz w:val="22"/>
                <w:szCs w:val="22"/>
              </w:rPr>
            </w:pPr>
            <w:r w:rsidRPr="00E813DE">
              <w:rPr>
                <w:sz w:val="22"/>
                <w:szCs w:val="22"/>
              </w:rPr>
              <w:t>×</w:t>
            </w:r>
          </w:p>
        </w:tc>
      </w:tr>
      <w:tr w:rsidR="00274DBA" w:rsidRPr="00E813DE" w14:paraId="7E7D5112" w14:textId="77777777" w:rsidTr="00270231">
        <w:trPr>
          <w:trHeight w:val="315"/>
          <w:jc w:val="center"/>
        </w:trPr>
        <w:tc>
          <w:tcPr>
            <w:tcW w:w="1147" w:type="pct"/>
          </w:tcPr>
          <w:sdt>
            <w:sdtPr>
              <w:rPr>
                <w:color w:val="000000"/>
                <w:sz w:val="22"/>
                <w:szCs w:val="22"/>
              </w:rPr>
              <w:tag w:val="MENDELEY_CITATION_v3_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"/>
              <w:id w:val="-802994627"/>
              <w:placeholder>
                <w:docPart w:val="70D0C41E41CA5C44B61BC36CC0F5E850"/>
              </w:placeholder>
            </w:sdtPr>
            <w:sdtContent>
              <w:p w14:paraId="42C8B975" w14:textId="77777777" w:rsidR="00274DBA" w:rsidRPr="00E813DE" w:rsidRDefault="00274DBA" w:rsidP="00273064">
                <w:pPr>
                  <w:pStyle w:val="NoSpacing"/>
                  <w:rPr>
                    <w:sz w:val="22"/>
                    <w:szCs w:val="22"/>
                  </w:rPr>
                </w:pPr>
                <w:r w:rsidRPr="001E7ECF">
                  <w:rPr>
                    <w:color w:val="000000"/>
                    <w:sz w:val="22"/>
                    <w:szCs w:val="22"/>
                  </w:rPr>
                  <w:t>[48]</w:t>
                </w:r>
              </w:p>
            </w:sdtContent>
          </w:sdt>
        </w:tc>
        <w:tc>
          <w:tcPr>
            <w:tcW w:w="635" w:type="pct"/>
          </w:tcPr>
          <w:p w14:paraId="297FA787" w14:textId="77777777" w:rsidR="00274DBA" w:rsidRPr="00E813DE" w:rsidRDefault="00274DBA" w:rsidP="00273064">
            <w:pPr>
              <w:pStyle w:val="NoSpacing"/>
              <w:rPr>
                <w:sz w:val="22"/>
                <w:szCs w:val="22"/>
              </w:rPr>
            </w:pPr>
            <w:r w:rsidRPr="00E813DE">
              <w:rPr>
                <w:sz w:val="22"/>
                <w:szCs w:val="22"/>
              </w:rPr>
              <w:t>×</w:t>
            </w:r>
          </w:p>
        </w:tc>
        <w:tc>
          <w:tcPr>
            <w:tcW w:w="635" w:type="pct"/>
          </w:tcPr>
          <w:p w14:paraId="214AC0B5" w14:textId="77777777" w:rsidR="00274DBA" w:rsidRPr="00E813DE" w:rsidRDefault="00274DBA" w:rsidP="00273064">
            <w:pPr>
              <w:pStyle w:val="NoSpacing"/>
              <w:rPr>
                <w:sz w:val="22"/>
                <w:szCs w:val="22"/>
              </w:rPr>
            </w:pPr>
            <w:r w:rsidRPr="00E813DE">
              <w:rPr>
                <w:sz w:val="22"/>
                <w:szCs w:val="22"/>
              </w:rPr>
              <w:t>×</w:t>
            </w:r>
          </w:p>
        </w:tc>
        <w:tc>
          <w:tcPr>
            <w:tcW w:w="635" w:type="pct"/>
          </w:tcPr>
          <w:p w14:paraId="4BCFB15A" w14:textId="77777777" w:rsidR="00274DBA" w:rsidRPr="00E813DE" w:rsidRDefault="00274DBA" w:rsidP="00273064">
            <w:pPr>
              <w:pStyle w:val="NoSpacing"/>
              <w:rPr>
                <w:sz w:val="22"/>
                <w:szCs w:val="22"/>
              </w:rPr>
            </w:pPr>
            <w:r w:rsidRPr="00E813DE">
              <w:rPr>
                <w:sz w:val="22"/>
                <w:szCs w:val="22"/>
              </w:rPr>
              <w:t>×</w:t>
            </w:r>
          </w:p>
        </w:tc>
        <w:tc>
          <w:tcPr>
            <w:tcW w:w="670" w:type="pct"/>
          </w:tcPr>
          <w:p w14:paraId="79D39C1D" w14:textId="77777777" w:rsidR="00274DBA" w:rsidRPr="00E813DE" w:rsidRDefault="00274DBA" w:rsidP="00273064">
            <w:pPr>
              <w:pStyle w:val="NoSpacing"/>
              <w:rPr>
                <w:sz w:val="22"/>
                <w:szCs w:val="22"/>
              </w:rPr>
            </w:pPr>
            <w:r w:rsidRPr="00E813DE">
              <w:rPr>
                <w:sz w:val="22"/>
                <w:szCs w:val="22"/>
              </w:rPr>
              <w:t>×</w:t>
            </w:r>
          </w:p>
        </w:tc>
        <w:tc>
          <w:tcPr>
            <w:tcW w:w="642" w:type="pct"/>
          </w:tcPr>
          <w:p w14:paraId="4618FD3F" w14:textId="77777777" w:rsidR="00274DBA" w:rsidRPr="00E813DE" w:rsidRDefault="00274DBA" w:rsidP="00273064">
            <w:pPr>
              <w:pStyle w:val="NoSpacing"/>
              <w:rPr>
                <w:sz w:val="22"/>
                <w:szCs w:val="22"/>
              </w:rPr>
            </w:pPr>
            <w:r w:rsidRPr="00E813DE">
              <w:rPr>
                <w:sz w:val="22"/>
                <w:szCs w:val="22"/>
              </w:rPr>
              <w:t>×</w:t>
            </w:r>
          </w:p>
        </w:tc>
        <w:tc>
          <w:tcPr>
            <w:tcW w:w="636" w:type="pct"/>
          </w:tcPr>
          <w:p w14:paraId="47B82557" w14:textId="77777777" w:rsidR="00274DBA" w:rsidRPr="00E813DE" w:rsidRDefault="00274DBA" w:rsidP="00273064">
            <w:pPr>
              <w:pStyle w:val="NoSpacing"/>
              <w:rPr>
                <w:sz w:val="22"/>
                <w:szCs w:val="22"/>
              </w:rPr>
            </w:pPr>
            <w:r w:rsidRPr="00E813DE">
              <w:rPr>
                <w:sz w:val="22"/>
                <w:szCs w:val="22"/>
              </w:rPr>
              <w:t>■</w:t>
            </w:r>
          </w:p>
        </w:tc>
      </w:tr>
      <w:tr w:rsidR="00274DBA" w:rsidRPr="00E813DE" w14:paraId="167F6B60" w14:textId="77777777" w:rsidTr="00270231">
        <w:trPr>
          <w:trHeight w:val="315"/>
          <w:jc w:val="center"/>
        </w:trPr>
        <w:tc>
          <w:tcPr>
            <w:tcW w:w="1147" w:type="pct"/>
          </w:tcPr>
          <w:p w14:paraId="289C10E8" w14:textId="77777777" w:rsidR="00274DBA" w:rsidRPr="00E813DE" w:rsidRDefault="00274DBA" w:rsidP="00273064">
            <w:pPr>
              <w:pStyle w:val="NoSpacing"/>
              <w:rPr>
                <w:sz w:val="22"/>
                <w:szCs w:val="22"/>
              </w:rPr>
            </w:pPr>
            <w:r w:rsidRPr="00E813DE">
              <w:rPr>
                <w:sz w:val="22"/>
                <w:szCs w:val="22"/>
              </w:rPr>
              <w:t>This work</w:t>
            </w:r>
          </w:p>
        </w:tc>
        <w:tc>
          <w:tcPr>
            <w:tcW w:w="635" w:type="pct"/>
          </w:tcPr>
          <w:p w14:paraId="06416761" w14:textId="77777777" w:rsidR="00274DBA" w:rsidRPr="00E813DE" w:rsidRDefault="00274DBA" w:rsidP="00273064">
            <w:pPr>
              <w:pStyle w:val="NoSpacing"/>
              <w:rPr>
                <w:sz w:val="22"/>
                <w:szCs w:val="22"/>
              </w:rPr>
            </w:pPr>
            <w:r w:rsidRPr="00E813DE">
              <w:rPr>
                <w:sz w:val="22"/>
                <w:szCs w:val="22"/>
              </w:rPr>
              <w:t>■</w:t>
            </w:r>
          </w:p>
        </w:tc>
        <w:tc>
          <w:tcPr>
            <w:tcW w:w="635" w:type="pct"/>
          </w:tcPr>
          <w:p w14:paraId="1627B893" w14:textId="77777777" w:rsidR="00274DBA" w:rsidRPr="00E813DE" w:rsidRDefault="00274DBA" w:rsidP="00273064">
            <w:pPr>
              <w:pStyle w:val="NoSpacing"/>
              <w:rPr>
                <w:sz w:val="22"/>
                <w:szCs w:val="22"/>
              </w:rPr>
            </w:pPr>
            <w:r w:rsidRPr="00E813DE">
              <w:rPr>
                <w:sz w:val="22"/>
                <w:szCs w:val="22"/>
              </w:rPr>
              <w:t>■</w:t>
            </w:r>
          </w:p>
        </w:tc>
        <w:tc>
          <w:tcPr>
            <w:tcW w:w="635" w:type="pct"/>
          </w:tcPr>
          <w:p w14:paraId="0CE0AC0F" w14:textId="77777777" w:rsidR="00274DBA" w:rsidRPr="00E813DE" w:rsidRDefault="00274DBA" w:rsidP="00273064">
            <w:pPr>
              <w:pStyle w:val="NoSpacing"/>
              <w:rPr>
                <w:sz w:val="22"/>
                <w:szCs w:val="22"/>
              </w:rPr>
            </w:pPr>
            <w:r w:rsidRPr="00E813DE">
              <w:rPr>
                <w:sz w:val="22"/>
                <w:szCs w:val="22"/>
              </w:rPr>
              <w:t>■</w:t>
            </w:r>
          </w:p>
        </w:tc>
        <w:tc>
          <w:tcPr>
            <w:tcW w:w="670" w:type="pct"/>
          </w:tcPr>
          <w:p w14:paraId="223567F5" w14:textId="77777777" w:rsidR="00274DBA" w:rsidRPr="00E813DE" w:rsidRDefault="00274DBA" w:rsidP="00273064">
            <w:pPr>
              <w:pStyle w:val="NoSpacing"/>
              <w:rPr>
                <w:sz w:val="22"/>
                <w:szCs w:val="22"/>
              </w:rPr>
            </w:pPr>
            <w:r w:rsidRPr="00E813DE">
              <w:rPr>
                <w:sz w:val="22"/>
                <w:szCs w:val="22"/>
              </w:rPr>
              <w:t>■</w:t>
            </w:r>
          </w:p>
        </w:tc>
        <w:tc>
          <w:tcPr>
            <w:tcW w:w="642" w:type="pct"/>
          </w:tcPr>
          <w:p w14:paraId="75E1F7CB" w14:textId="77777777" w:rsidR="00274DBA" w:rsidRPr="00E813DE" w:rsidRDefault="00274DBA" w:rsidP="00273064">
            <w:pPr>
              <w:pStyle w:val="NoSpacing"/>
              <w:rPr>
                <w:sz w:val="22"/>
                <w:szCs w:val="22"/>
              </w:rPr>
            </w:pPr>
            <w:r w:rsidRPr="00E813DE">
              <w:rPr>
                <w:sz w:val="22"/>
                <w:szCs w:val="22"/>
              </w:rPr>
              <w:t>■</w:t>
            </w:r>
          </w:p>
        </w:tc>
        <w:tc>
          <w:tcPr>
            <w:tcW w:w="636" w:type="pct"/>
          </w:tcPr>
          <w:p w14:paraId="78EC261F" w14:textId="77777777" w:rsidR="00274DBA" w:rsidRPr="00E813DE" w:rsidRDefault="00274DBA" w:rsidP="00273064">
            <w:pPr>
              <w:pStyle w:val="NoSpacing"/>
              <w:rPr>
                <w:sz w:val="22"/>
                <w:szCs w:val="22"/>
              </w:rPr>
            </w:pPr>
            <w:r w:rsidRPr="00E813DE">
              <w:rPr>
                <w:sz w:val="22"/>
                <w:szCs w:val="22"/>
              </w:rPr>
              <w:t>■</w:t>
            </w:r>
          </w:p>
        </w:tc>
      </w:tr>
    </w:tbl>
    <w:p w14:paraId="4FECF31F" w14:textId="4F3BCDF6" w:rsidR="00274DBA" w:rsidRDefault="00274DBA">
      <w:pPr>
        <w:spacing w:before="0" w:line="240" w:lineRule="auto"/>
        <w:ind w:firstLine="0"/>
        <w:jc w:val="left"/>
        <w:rPr>
          <w:rFonts w:cs="Times New Roman"/>
        </w:rPr>
      </w:pPr>
    </w:p>
    <w:p w14:paraId="2A3DA06D" w14:textId="2AAFA90B" w:rsidR="00B17E5F" w:rsidRPr="00322E56" w:rsidRDefault="00274DBA" w:rsidP="00274DBA">
      <w:pPr>
        <w:spacing w:before="0" w:line="240" w:lineRule="auto"/>
        <w:ind w:firstLine="0"/>
        <w:jc w:val="left"/>
        <w:rPr>
          <w:rFonts w:cs="Times New Roman"/>
        </w:rPr>
      </w:pPr>
      <w:r>
        <w:rPr>
          <w:rFonts w:cs="Times New Roman"/>
        </w:rPr>
        <w:br w:type="page"/>
      </w:r>
    </w:p>
    <w:p w14:paraId="4A7A6954" w14:textId="000BD113" w:rsidR="00B17E5F" w:rsidRPr="00274DBA" w:rsidRDefault="00B17E5F" w:rsidP="00274DBA">
      <w:pPr>
        <w:ind w:firstLine="720"/>
        <w:rPr>
          <w:rFonts w:cs="Times New Roman"/>
        </w:rPr>
      </w:pPr>
      <w:r w:rsidRPr="00322E56">
        <w:rPr>
          <w:rFonts w:cs="Times New Roman"/>
        </w:rPr>
        <w:lastRenderedPageBreak/>
        <w:t>This work will use TOU utility rates and marginal grid emissions data to optimize the heat pump operation and use TES when utility price and emissions are low. The demand reduction and cost and energy savings are compared against the heat pump integrated TES as proposed case and electric heat pump without TES as a base case.</w:t>
      </w:r>
    </w:p>
    <w:p w14:paraId="5527A670" w14:textId="77777777" w:rsidR="00B17E5F" w:rsidRPr="00322E56" w:rsidRDefault="00B17E5F" w:rsidP="00334400">
      <w:pPr>
        <w:pStyle w:val="Heading3"/>
        <w:rPr>
          <w:rFonts w:cs="Times New Roman"/>
          <w:szCs w:val="24"/>
        </w:rPr>
      </w:pPr>
      <w:bookmarkStart w:id="9" w:name="_Toc140399800"/>
      <w:r w:rsidRPr="00322E56">
        <w:rPr>
          <w:rFonts w:cs="Times New Roman"/>
          <w:szCs w:val="24"/>
        </w:rPr>
        <w:t>Problem Statement</w:t>
      </w:r>
      <w:bookmarkEnd w:id="9"/>
    </w:p>
    <w:p w14:paraId="6D28F83E" w14:textId="77777777" w:rsidR="00B17E5F" w:rsidRPr="00322E56" w:rsidRDefault="00B17E5F" w:rsidP="00980940">
      <w:pPr>
        <w:ind w:firstLine="360"/>
        <w:rPr>
          <w:rFonts w:cs="Times New Roman"/>
        </w:rPr>
      </w:pPr>
      <w:r w:rsidRPr="00322E56">
        <w:rPr>
          <w:rFonts w:cs="Times New Roman"/>
        </w:rPr>
        <w:t>This work will first fill a gap in literature by providing a review on heat pump integrated TES with a focus on configurations and PCM materials used. The main contributions of this work will be,</w:t>
      </w:r>
    </w:p>
    <w:p w14:paraId="5EC3339E" w14:textId="77777777" w:rsidR="00A658AC" w:rsidRPr="00A658AC" w:rsidRDefault="00B17E5F" w:rsidP="00A658AC">
      <w:pPr>
        <w:pStyle w:val="ListParagraph"/>
        <w:numPr>
          <w:ilvl w:val="0"/>
          <w:numId w:val="29"/>
        </w:numPr>
        <w:rPr>
          <w:sz w:val="24"/>
          <w:szCs w:val="24"/>
        </w:rPr>
      </w:pPr>
      <w:r w:rsidRPr="00A658AC">
        <w:rPr>
          <w:sz w:val="24"/>
          <w:szCs w:val="24"/>
        </w:rPr>
        <w:t>A complete HP-TES model with single PCM for heating and cooling in an active heat pump-mediated configuration, using controls based on utility cost and grid emissions, to demonstrate energy savings, grid benefits, and carbon mitigation potential for various climate zones in U.S.</w:t>
      </w:r>
    </w:p>
    <w:p w14:paraId="3A9AACAF" w14:textId="1C7CF667" w:rsidR="00B17E5F" w:rsidRPr="00A658AC" w:rsidRDefault="00B17E5F" w:rsidP="00A658AC">
      <w:pPr>
        <w:pStyle w:val="ListParagraph"/>
        <w:numPr>
          <w:ilvl w:val="0"/>
          <w:numId w:val="29"/>
        </w:numPr>
        <w:rPr>
          <w:sz w:val="24"/>
          <w:szCs w:val="24"/>
        </w:rPr>
      </w:pPr>
      <w:r w:rsidRPr="00A658AC">
        <w:rPr>
          <w:sz w:val="24"/>
          <w:szCs w:val="24"/>
        </w:rPr>
        <w:t>Experimental validation of the simulations based on a full-scale experimental prototype of a PCM heat exchanger integrated with heat pump.</w:t>
      </w:r>
    </w:p>
    <w:p w14:paraId="5ADF8AFE" w14:textId="13C5A542" w:rsidR="00B17E5F" w:rsidRDefault="00274DBA" w:rsidP="00980940">
      <w:pPr>
        <w:rPr>
          <w:rFonts w:cs="Times New Roman"/>
        </w:rPr>
      </w:pPr>
      <w:r>
        <w:rPr>
          <w:rFonts w:cs="Times New Roman"/>
        </w:rPr>
        <w:fldChar w:fldCharType="begin"/>
      </w:r>
      <w:r>
        <w:rPr>
          <w:rFonts w:cs="Times New Roman"/>
        </w:rPr>
        <w:instrText xml:space="preserve"> REF _Ref140339026 \h </w:instrText>
      </w:r>
      <w:r>
        <w:rPr>
          <w:rFonts w:cs="Times New Roman"/>
        </w:rPr>
      </w:r>
      <w:r>
        <w:rPr>
          <w:rFonts w:cs="Times New Roman"/>
        </w:rPr>
        <w:fldChar w:fldCharType="separate"/>
      </w:r>
      <w:r w:rsidRPr="00322E56">
        <w:rPr>
          <w:rFonts w:cs="Times New Roman"/>
        </w:rPr>
        <w:t xml:space="preserve">Figure </w:t>
      </w:r>
      <w:r>
        <w:rPr>
          <w:rFonts w:cs="Times New Roman"/>
          <w:noProof/>
        </w:rPr>
        <w:t>1</w:t>
      </w:r>
      <w:r>
        <w:rPr>
          <w:rFonts w:cs="Times New Roman"/>
        </w:rPr>
        <w:fldChar w:fldCharType="end"/>
      </w:r>
      <w:r>
        <w:rPr>
          <w:rFonts w:cs="Times New Roman"/>
        </w:rPr>
        <w:t xml:space="preserve"> </w:t>
      </w:r>
      <w:r w:rsidR="00B17E5F" w:rsidRPr="00322E56">
        <w:rPr>
          <w:rFonts w:cs="Times New Roman"/>
        </w:rPr>
        <w:t>illustrates the contributions of this work and gaps in literature that are filled by this study.</w:t>
      </w:r>
    </w:p>
    <w:p w14:paraId="3856F4B6" w14:textId="77777777" w:rsidR="00274DBA" w:rsidRPr="00322E56" w:rsidRDefault="00274DBA" w:rsidP="00274DBA">
      <w:pPr>
        <w:pStyle w:val="Heading3"/>
        <w:rPr>
          <w:rFonts w:cs="Times New Roman"/>
        </w:rPr>
      </w:pPr>
      <w:bookmarkStart w:id="10" w:name="_Toc140399801"/>
      <w:r w:rsidRPr="00322E56">
        <w:rPr>
          <w:rFonts w:cs="Times New Roman"/>
        </w:rPr>
        <w:t>Research Significance and Contribution</w:t>
      </w:r>
      <w:bookmarkEnd w:id="10"/>
    </w:p>
    <w:p w14:paraId="7AF6AEF9" w14:textId="77777777" w:rsidR="00274DBA" w:rsidRDefault="00274DBA" w:rsidP="00274DBA">
      <w:pPr>
        <w:ind w:firstLine="720"/>
        <w:rPr>
          <w:rFonts w:cs="Times New Roman"/>
        </w:rPr>
      </w:pPr>
      <w:r w:rsidRPr="00322E56">
        <w:rPr>
          <w:rFonts w:cs="Times New Roman"/>
        </w:rPr>
        <w:t xml:space="preserve">This work will be a significant contribution to the literature by reviewing configuration and PCM for heat pump integrated thermal storage for building demand response and decarbonization. </w:t>
      </w:r>
    </w:p>
    <w:p w14:paraId="171441BC" w14:textId="77777777" w:rsidR="00274DBA" w:rsidRDefault="00274DBA" w:rsidP="00274DBA">
      <w:pPr>
        <w:ind w:firstLine="720"/>
        <w:rPr>
          <w:rFonts w:cs="Times New Roman"/>
        </w:rPr>
      </w:pPr>
      <w:r w:rsidRPr="00322E56">
        <w:rPr>
          <w:rFonts w:cs="Times New Roman"/>
        </w:rPr>
        <w:t xml:space="preserve">Deliverables are an </w:t>
      </w:r>
      <w:r w:rsidRPr="00322E56">
        <w:rPr>
          <w:rFonts w:cs="Times New Roman"/>
          <w:b/>
          <w:bCs/>
        </w:rPr>
        <w:t>HP-TES full-scale prototype</w:t>
      </w:r>
      <w:r w:rsidRPr="00322E56">
        <w:rPr>
          <w:rFonts w:cs="Times New Roman"/>
        </w:rPr>
        <w:t xml:space="preserve"> and a </w:t>
      </w:r>
      <w:r w:rsidRPr="00322E56">
        <w:rPr>
          <w:rFonts w:cs="Times New Roman"/>
          <w:b/>
          <w:bCs/>
        </w:rPr>
        <w:t>validated model with an active HP-TES configuration using single PCM for both heating and cooling</w:t>
      </w:r>
      <w:r w:rsidRPr="00322E56">
        <w:rPr>
          <w:rFonts w:cs="Times New Roman"/>
        </w:rPr>
        <w:t xml:space="preserve">. </w:t>
      </w:r>
    </w:p>
    <w:p w14:paraId="4CE40ECF" w14:textId="6698B667" w:rsidR="00B17E5F" w:rsidRPr="00322E56" w:rsidRDefault="00274DBA" w:rsidP="00274DBA">
      <w:pPr>
        <w:rPr>
          <w:rFonts w:cs="Times New Roman"/>
        </w:rPr>
      </w:pPr>
      <w:r w:rsidRPr="00322E56">
        <w:rPr>
          <w:rFonts w:cs="Times New Roman"/>
        </w:rPr>
        <w:t>The model and prototype will demonstrate grid benefits, energy savings, cost savings, and emission reduction. It might impact the policy for building decarbonization and demand response as well as will present a strong business model for commercialization.</w:t>
      </w:r>
    </w:p>
    <w:p w14:paraId="6419018D" w14:textId="5B4AFA18" w:rsidR="00B17E5F" w:rsidRPr="00322E56" w:rsidRDefault="00270231" w:rsidP="00270231">
      <w:pPr>
        <w:ind w:firstLine="0"/>
        <w:rPr>
          <w:rFonts w:cs="Times New Roman"/>
        </w:rPr>
      </w:pPr>
      <w:r w:rsidRPr="00322E56">
        <w:rPr>
          <w:rFonts w:cs="Times New Roman"/>
          <w:noProof/>
        </w:rPr>
        <w:lastRenderedPageBreak/>
        <w:drawing>
          <wp:anchor distT="0" distB="0" distL="114300" distR="114300" simplePos="0" relativeHeight="251661312" behindDoc="0" locked="0" layoutInCell="1" allowOverlap="1" wp14:anchorId="04DED871" wp14:editId="66695591">
            <wp:simplePos x="0" y="0"/>
            <wp:positionH relativeFrom="margin">
              <wp:align>center</wp:align>
            </wp:positionH>
            <wp:positionV relativeFrom="margin">
              <wp:align>top</wp:align>
            </wp:positionV>
            <wp:extent cx="5426710" cy="2743200"/>
            <wp:effectExtent l="0" t="0" r="0" b="0"/>
            <wp:wrapSquare wrapText="bothSides"/>
            <wp:docPr id="43" name="Picture 43"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Timelin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26710" cy="2743200"/>
                    </a:xfrm>
                    <a:prstGeom prst="rect">
                      <a:avLst/>
                    </a:prstGeom>
                    <a:noFill/>
                  </pic:spPr>
                </pic:pic>
              </a:graphicData>
            </a:graphic>
            <wp14:sizeRelH relativeFrom="margin">
              <wp14:pctWidth>0</wp14:pctWidth>
            </wp14:sizeRelH>
            <wp14:sizeRelV relativeFrom="margin">
              <wp14:pctHeight>0</wp14:pctHeight>
            </wp14:sizeRelV>
          </wp:anchor>
        </w:drawing>
      </w:r>
    </w:p>
    <w:p w14:paraId="4EBA6777" w14:textId="2A5B9AA3" w:rsidR="00B17E5F" w:rsidRPr="00322E56" w:rsidRDefault="00B17E5F" w:rsidP="00270231">
      <w:pPr>
        <w:pStyle w:val="Caption"/>
        <w:ind w:firstLine="0"/>
        <w:jc w:val="center"/>
        <w:rPr>
          <w:rFonts w:cs="Times New Roman"/>
        </w:rPr>
      </w:pPr>
      <w:bookmarkStart w:id="11" w:name="_Ref140339026"/>
      <w:bookmarkStart w:id="12" w:name="_Toc140403867"/>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1</w:t>
      </w:r>
      <w:r w:rsidRPr="00322E56">
        <w:rPr>
          <w:rFonts w:cs="Times New Roman"/>
        </w:rPr>
        <w:fldChar w:fldCharType="end"/>
      </w:r>
      <w:bookmarkEnd w:id="11"/>
      <w:r w:rsidRPr="00322E56">
        <w:rPr>
          <w:rFonts w:cs="Times New Roman"/>
        </w:rPr>
        <w:t>: Gaps in literature filled by this work and final contribution.</w:t>
      </w:r>
      <w:bookmarkEnd w:id="12"/>
    </w:p>
    <w:p w14:paraId="602026A8" w14:textId="77777777" w:rsidR="00B17E5F" w:rsidRPr="00322E56" w:rsidRDefault="00B17E5F" w:rsidP="00980940">
      <w:pPr>
        <w:rPr>
          <w:rFonts w:cs="Times New Roman"/>
        </w:rPr>
      </w:pPr>
    </w:p>
    <w:p w14:paraId="4C77E07C" w14:textId="77777777" w:rsidR="00B17E5F" w:rsidRPr="00322E56" w:rsidRDefault="00B17E5F">
      <w:pPr>
        <w:spacing w:line="240" w:lineRule="auto"/>
        <w:rPr>
          <w:rFonts w:cs="Times New Roman"/>
          <w:b/>
          <w:bCs/>
          <w:i/>
          <w:szCs w:val="26"/>
        </w:rPr>
      </w:pPr>
      <w:r w:rsidRPr="00322E56">
        <w:rPr>
          <w:rFonts w:cs="Times New Roman"/>
        </w:rPr>
        <w:br w:type="page"/>
      </w:r>
    </w:p>
    <w:p w14:paraId="51E759F7" w14:textId="77777777" w:rsidR="00B17E5F" w:rsidRPr="00322E56" w:rsidRDefault="00B17E5F" w:rsidP="00980940">
      <w:pPr>
        <w:pStyle w:val="Heading3"/>
        <w:rPr>
          <w:rFonts w:cs="Times New Roman"/>
        </w:rPr>
      </w:pPr>
      <w:bookmarkStart w:id="13" w:name="_Toc140399802"/>
      <w:r w:rsidRPr="00322E56">
        <w:rPr>
          <w:rFonts w:cs="Times New Roman"/>
        </w:rPr>
        <w:lastRenderedPageBreak/>
        <w:t>Research Questions</w:t>
      </w:r>
      <w:bookmarkEnd w:id="13"/>
      <w:r w:rsidRPr="00322E56">
        <w:rPr>
          <w:rFonts w:cs="Times New Roman"/>
        </w:rPr>
        <w:t xml:space="preserve"> </w:t>
      </w:r>
    </w:p>
    <w:p w14:paraId="337327C8" w14:textId="77777777" w:rsidR="00B17E5F" w:rsidRPr="00A658AC" w:rsidRDefault="00B17E5F" w:rsidP="00980940">
      <w:pPr>
        <w:pStyle w:val="ListParagraph"/>
        <w:numPr>
          <w:ilvl w:val="1"/>
          <w:numId w:val="11"/>
        </w:numPr>
        <w:spacing w:before="0" w:after="160"/>
        <w:rPr>
          <w:rFonts w:cs="Times New Roman"/>
          <w:sz w:val="24"/>
          <w:szCs w:val="24"/>
        </w:rPr>
      </w:pPr>
      <w:bookmarkStart w:id="14" w:name="_Hlk109725838"/>
      <w:r w:rsidRPr="00A658AC">
        <w:rPr>
          <w:rFonts w:cs="Times New Roman"/>
          <w:sz w:val="24"/>
          <w:szCs w:val="24"/>
        </w:rPr>
        <w:t>How much reduction in cost of electricity and carbon emissions is possible by shifting the load from peak to off-peak hours for residential buildings in various climates?</w:t>
      </w:r>
    </w:p>
    <w:p w14:paraId="63C9EF55" w14:textId="77777777" w:rsidR="00B17E5F" w:rsidRPr="00A658AC" w:rsidRDefault="00B17E5F" w:rsidP="00980940">
      <w:pPr>
        <w:pStyle w:val="ListParagraph"/>
        <w:numPr>
          <w:ilvl w:val="1"/>
          <w:numId w:val="11"/>
        </w:numPr>
        <w:spacing w:before="0" w:after="160"/>
        <w:rPr>
          <w:rFonts w:cs="Times New Roman"/>
          <w:sz w:val="24"/>
          <w:szCs w:val="24"/>
        </w:rPr>
      </w:pPr>
      <w:bookmarkStart w:id="15" w:name="_Hlk109073985"/>
      <w:bookmarkEnd w:id="14"/>
      <w:r w:rsidRPr="00A658AC">
        <w:rPr>
          <w:rFonts w:cs="Times New Roman"/>
          <w:sz w:val="24"/>
          <w:szCs w:val="24"/>
        </w:rPr>
        <w:t>How can PCM based Thermal Energy Storage be integrated into a heat pump for carbon mitigation, demand response, and reduced electric consumption of heat pumps in residential buildings?</w:t>
      </w:r>
    </w:p>
    <w:bookmarkEnd w:id="15"/>
    <w:p w14:paraId="02582B42" w14:textId="46B8DC37" w:rsidR="00B17E5F" w:rsidRPr="00A658AC" w:rsidRDefault="00B17E5F" w:rsidP="00A658AC">
      <w:pPr>
        <w:pStyle w:val="ListParagraph"/>
        <w:numPr>
          <w:ilvl w:val="1"/>
          <w:numId w:val="11"/>
        </w:numPr>
        <w:spacing w:before="0" w:after="160"/>
        <w:rPr>
          <w:rFonts w:cs="Times New Roman"/>
          <w:sz w:val="24"/>
          <w:szCs w:val="24"/>
        </w:rPr>
      </w:pPr>
      <w:r w:rsidRPr="00A658AC">
        <w:rPr>
          <w:rFonts w:cs="Times New Roman"/>
          <w:sz w:val="24"/>
          <w:szCs w:val="24"/>
        </w:rPr>
        <w:t>What is the optimum PCM temperature and heat pump configuration for maximum economic and grid benefits of heat pump integrated TES?</w:t>
      </w:r>
    </w:p>
    <w:p w14:paraId="0B8030C3" w14:textId="77777777" w:rsidR="00B17E5F" w:rsidRPr="00322E56" w:rsidRDefault="00B17E5F" w:rsidP="00980940">
      <w:pPr>
        <w:pStyle w:val="Heading3"/>
        <w:rPr>
          <w:rFonts w:cs="Times New Roman"/>
        </w:rPr>
      </w:pPr>
      <w:bookmarkStart w:id="16" w:name="_Toc140399803"/>
      <w:r w:rsidRPr="00322E56">
        <w:rPr>
          <w:rFonts w:cs="Times New Roman"/>
        </w:rPr>
        <w:t>Research Objective</w:t>
      </w:r>
      <w:bookmarkEnd w:id="16"/>
    </w:p>
    <w:p w14:paraId="2D579942" w14:textId="0B9A8036" w:rsidR="00B17E5F" w:rsidRPr="00322E56" w:rsidRDefault="00B17E5F" w:rsidP="00274DBA">
      <w:pPr>
        <w:ind w:left="720"/>
        <w:rPr>
          <w:rFonts w:cs="Times New Roman"/>
        </w:rPr>
      </w:pPr>
      <w:r w:rsidRPr="00322E56">
        <w:rPr>
          <w:rFonts w:cs="Times New Roman"/>
        </w:rPr>
        <w:t>Design heat pump integrated thermal storage using a salt hydrate PCM for heating and cooling in residential buildings to demonstrate 50% peak demand and carbon emission reduction using control strategies while maintaining occupant comfort.</w:t>
      </w:r>
    </w:p>
    <w:p w14:paraId="149F38BE" w14:textId="457DBB6E" w:rsidR="00B17E5F" w:rsidRPr="00E813DE" w:rsidRDefault="00AB7500" w:rsidP="00E813DE">
      <w:pPr>
        <w:pStyle w:val="Heading2"/>
        <w:rPr>
          <w:rFonts w:cs="Times New Roman"/>
          <w:szCs w:val="24"/>
        </w:rPr>
      </w:pPr>
      <w:bookmarkStart w:id="17" w:name="_Toc140399804"/>
      <w:r>
        <w:rPr>
          <w:rFonts w:cs="Times New Roman"/>
          <w:szCs w:val="24"/>
        </w:rPr>
        <w:t>Dissertation</w:t>
      </w:r>
      <w:r w:rsidR="00B17E5F" w:rsidRPr="00322E56">
        <w:rPr>
          <w:rFonts w:cs="Times New Roman"/>
          <w:szCs w:val="24"/>
        </w:rPr>
        <w:t xml:space="preserve"> Outline</w:t>
      </w:r>
      <w:bookmarkEnd w:id="17"/>
    </w:p>
    <w:p w14:paraId="3B509A9B" w14:textId="78B18C05" w:rsidR="00B17E5F" w:rsidRPr="00322E56" w:rsidRDefault="00AB7500" w:rsidP="0096692D">
      <w:pPr>
        <w:ind w:firstLine="720"/>
        <w:rPr>
          <w:rFonts w:cs="Times New Roman"/>
        </w:rPr>
      </w:pPr>
      <w:r>
        <w:rPr>
          <w:rFonts w:cs="Times New Roman"/>
        </w:rPr>
        <w:t>Dissertation</w:t>
      </w:r>
      <w:r w:rsidR="00B17E5F" w:rsidRPr="00322E56">
        <w:rPr>
          <w:rFonts w:cs="Times New Roman"/>
        </w:rPr>
        <w:t xml:space="preserve"> is organized into 5 main chapters preceded by Introduction and followed by Conclusions (Figure 2).</w:t>
      </w:r>
    </w:p>
    <w:p w14:paraId="1E47EE06" w14:textId="77777777" w:rsidR="00B17E5F" w:rsidRPr="00322E56" w:rsidRDefault="00B17E5F" w:rsidP="0096692D">
      <w:pPr>
        <w:ind w:firstLine="720"/>
        <w:rPr>
          <w:rFonts w:cs="Times New Roman"/>
        </w:rPr>
      </w:pPr>
      <w:r w:rsidRPr="00322E56">
        <w:rPr>
          <w:rFonts w:cs="Times New Roman"/>
        </w:rPr>
        <w:t>Chapter 1 will provide a review on HP-TES. TES can be integrated with HP via many different configurations. Researchers have either coupled TES with HP via building envelop in passive configurations, or with HP components via vapor compression cycle or air distribution system in active configurations. The chapter provides a review on HP-TES configurations, charging operation, and demand impact.</w:t>
      </w:r>
    </w:p>
    <w:p w14:paraId="48831B1F" w14:textId="2E872369" w:rsidR="00274DBA" w:rsidRDefault="00B17E5F" w:rsidP="0096692D">
      <w:pPr>
        <w:ind w:firstLine="720"/>
        <w:rPr>
          <w:rFonts w:cs="Times New Roman"/>
        </w:rPr>
      </w:pPr>
      <w:r w:rsidRPr="00322E56">
        <w:rPr>
          <w:rFonts w:cs="Times New Roman"/>
        </w:rPr>
        <w:t>Chapter 2 will review suitable PCMs for HP-TES system. Both organic and inorganic PCMs have been used in literature for HP-TES. The chapter focuses on performance analysis of PCMs used in various configurations, in different phase change temperature range and TES applications.</w:t>
      </w:r>
    </w:p>
    <w:p w14:paraId="1BEB6E3D" w14:textId="77777777" w:rsidR="00274DBA" w:rsidRDefault="00274DBA" w:rsidP="00274DBA">
      <w:pPr>
        <w:pStyle w:val="Caption"/>
        <w:ind w:firstLine="0"/>
        <w:jc w:val="center"/>
      </w:pPr>
      <w:r>
        <w:rPr>
          <w:rFonts w:cs="Times New Roman"/>
        </w:rPr>
        <w:br w:type="page"/>
      </w:r>
      <w:r>
        <w:rPr>
          <w:noProof/>
        </w:rPr>
        <w:lastRenderedPageBreak/>
        <w:drawing>
          <wp:inline distT="0" distB="0" distL="0" distR="0" wp14:anchorId="006D5D8B" wp14:editId="7EAA43B5">
            <wp:extent cx="5485196" cy="2133600"/>
            <wp:effectExtent l="0" t="0" r="1270" b="0"/>
            <wp:docPr id="1041" name="Picture 1041"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 name="Picture 1041" descr="A diagram of a flowchart&#10;&#10;Description automatically generated"/>
                    <pic:cNvPicPr/>
                  </pic:nvPicPr>
                  <pic:blipFill rotWithShape="1">
                    <a:blip r:embed="rId11"/>
                    <a:srcRect t="7265" b="10303"/>
                    <a:stretch/>
                  </pic:blipFill>
                  <pic:spPr bwMode="auto">
                    <a:xfrm>
                      <a:off x="0" y="0"/>
                      <a:ext cx="5486400" cy="2134068"/>
                    </a:xfrm>
                    <a:prstGeom prst="rect">
                      <a:avLst/>
                    </a:prstGeom>
                    <a:ln>
                      <a:noFill/>
                    </a:ln>
                    <a:extLst>
                      <a:ext uri="{53640926-AAD7-44D8-BBD7-CCE9431645EC}">
                        <a14:shadowObscured xmlns:a14="http://schemas.microsoft.com/office/drawing/2010/main"/>
                      </a:ext>
                    </a:extLst>
                  </pic:spPr>
                </pic:pic>
              </a:graphicData>
            </a:graphic>
          </wp:inline>
        </w:drawing>
      </w:r>
    </w:p>
    <w:p w14:paraId="31F0E76A" w14:textId="1C842C82" w:rsidR="00274DBA" w:rsidRDefault="00274DBA" w:rsidP="00274DBA">
      <w:pPr>
        <w:pStyle w:val="Caption"/>
        <w:jc w:val="center"/>
      </w:pPr>
      <w:bookmarkStart w:id="18" w:name="_Toc140403868"/>
      <w:r>
        <w:t xml:space="preserve">Figure </w:t>
      </w:r>
      <w:fldSimple w:instr=" SEQ Figure \* ARABIC ">
        <w:r w:rsidR="00A5526B">
          <w:rPr>
            <w:noProof/>
          </w:rPr>
          <w:t>2</w:t>
        </w:r>
      </w:fldSimple>
      <w:r>
        <w:t xml:space="preserve">: </w:t>
      </w:r>
      <w:r w:rsidRPr="001777F4">
        <w:t>Dissertation chapters and publications</w:t>
      </w:r>
      <w:r>
        <w:t>.</w:t>
      </w:r>
      <w:bookmarkEnd w:id="18"/>
    </w:p>
    <w:p w14:paraId="36211749" w14:textId="673E1483" w:rsidR="00B17E5F" w:rsidRPr="00322E56" w:rsidRDefault="00274DBA" w:rsidP="00274DBA">
      <w:pPr>
        <w:pStyle w:val="Caption"/>
        <w:jc w:val="center"/>
        <w:rPr>
          <w:rFonts w:cs="Times New Roman"/>
        </w:rPr>
      </w:pPr>
      <w:r w:rsidRPr="00322E56">
        <w:rPr>
          <w:rFonts w:cs="Times New Roman"/>
        </w:rPr>
        <w:br w:type="page"/>
      </w:r>
    </w:p>
    <w:p w14:paraId="68B43DEA" w14:textId="77777777" w:rsidR="00B17E5F" w:rsidRPr="00322E56" w:rsidRDefault="00B17E5F" w:rsidP="0096692D">
      <w:pPr>
        <w:ind w:firstLine="720"/>
        <w:rPr>
          <w:rFonts w:cs="Times New Roman"/>
        </w:rPr>
      </w:pPr>
      <w:r w:rsidRPr="00322E56">
        <w:rPr>
          <w:rFonts w:cs="Times New Roman"/>
        </w:rPr>
        <w:lastRenderedPageBreak/>
        <w:t xml:space="preserve">Chapter 3 will present a case study on techno-economic analysis for residential utility rates in California to discuss economic implications and potential of HP-TES. A control strategy is developed using pre-defined Time-of-Use utility tariff for load shifting. Technoeconomic analysis is performed to evaluate energy savings, cost savings, carbon emission reduction, and demand impact of an active HP-TES in a novel configuration. TES is integrated with heat pump in such a way that it does not directly interact with the building, heat transfer is mediated by the heat pump. </w:t>
      </w:r>
    </w:p>
    <w:p w14:paraId="65B8290D" w14:textId="77777777" w:rsidR="00B17E5F" w:rsidRPr="00322E56" w:rsidRDefault="00B17E5F" w:rsidP="0096692D">
      <w:pPr>
        <w:ind w:firstLine="720"/>
        <w:rPr>
          <w:rFonts w:cs="Times New Roman"/>
        </w:rPr>
      </w:pPr>
      <w:r w:rsidRPr="00322E56">
        <w:rPr>
          <w:rFonts w:cs="Times New Roman"/>
        </w:rPr>
        <w:t xml:space="preserve">Chapter 4 will determine optimized phase change temperature and energy storage by performing a parametric analysis for various climate locations in the U.S. It is established that for active HP-TES, different phase change temperatures are used for both heating and cooling. </w:t>
      </w:r>
      <w:r w:rsidRPr="00322E56">
        <w:rPr>
          <w:rFonts w:cs="Times New Roman"/>
          <w:color w:val="0D0D0D" w:themeColor="text1" w:themeTint="F2"/>
        </w:rPr>
        <w:t>No study has used a single PCM with constant phase change temperature for both heating and cooling in an active configuration.</w:t>
      </w:r>
      <w:r w:rsidRPr="00322E56">
        <w:rPr>
          <w:rFonts w:cs="Times New Roman"/>
        </w:rPr>
        <w:t xml:space="preserve"> This chapter will perform a parametric study to select a single PCM and phase change temperature for both heating and cooling in an active HP-TES configuration. </w:t>
      </w:r>
    </w:p>
    <w:p w14:paraId="650BB8E7" w14:textId="77777777" w:rsidR="00B17E5F" w:rsidRPr="00322E56" w:rsidRDefault="00B17E5F" w:rsidP="0096692D">
      <w:pPr>
        <w:ind w:firstLine="720"/>
        <w:rPr>
          <w:rFonts w:cs="Times New Roman"/>
        </w:rPr>
      </w:pPr>
      <w:r w:rsidRPr="00322E56">
        <w:rPr>
          <w:rFonts w:cs="Times New Roman"/>
        </w:rPr>
        <w:t>Chapter 5 will present a detailed annual simulation of HP-TES and validated experimental prototype. Controls are compared for demand reduction and decarbonization for various climate zones in the U.S.</w:t>
      </w:r>
    </w:p>
    <w:p w14:paraId="0DC16650" w14:textId="77777777" w:rsidR="00B17E5F" w:rsidRPr="00322E56" w:rsidRDefault="00B17E5F">
      <w:pPr>
        <w:spacing w:line="240" w:lineRule="auto"/>
        <w:rPr>
          <w:rFonts w:cs="Times New Roman"/>
          <w:noProof/>
        </w:rPr>
      </w:pPr>
      <w:r w:rsidRPr="00322E56">
        <w:rPr>
          <w:rFonts w:cs="Times New Roman"/>
          <w:noProof/>
        </w:rPr>
        <w:br w:type="page"/>
      </w:r>
    </w:p>
    <w:p w14:paraId="769AB425" w14:textId="77777777" w:rsidR="00B17E5F" w:rsidRPr="00322E56" w:rsidRDefault="00B17E5F" w:rsidP="00F067DC">
      <w:pPr>
        <w:pStyle w:val="Heading1"/>
        <w:rPr>
          <w:rFonts w:cs="Times New Roman"/>
          <w:szCs w:val="28"/>
        </w:rPr>
      </w:pPr>
      <w:bookmarkStart w:id="19" w:name="_Toc289175825"/>
      <w:bookmarkStart w:id="20" w:name="_Toc140399805"/>
      <w:r w:rsidRPr="00322E56">
        <w:rPr>
          <w:rFonts w:cs="Times New Roman"/>
          <w:caps w:val="0"/>
          <w:szCs w:val="28"/>
        </w:rPr>
        <w:lastRenderedPageBreak/>
        <w:t>CHAPTER I</w:t>
      </w:r>
      <w:r w:rsidRPr="00322E56">
        <w:rPr>
          <w:rFonts w:cs="Times New Roman"/>
          <w:caps w:val="0"/>
          <w:szCs w:val="28"/>
        </w:rPr>
        <w:br/>
      </w:r>
      <w:bookmarkEnd w:id="19"/>
      <w:r w:rsidRPr="00322E56">
        <w:rPr>
          <w:rFonts w:cs="Times New Roman"/>
          <w:caps w:val="0"/>
          <w:szCs w:val="28"/>
        </w:rPr>
        <w:t>HEAT PUMP INTEGRATED WITH THERMAL ENERGY STORAGE</w:t>
      </w:r>
      <w:bookmarkEnd w:id="20"/>
      <w:r w:rsidRPr="00322E56">
        <w:rPr>
          <w:rFonts w:cs="Times New Roman"/>
        </w:rPr>
        <w:br w:type="page"/>
      </w:r>
    </w:p>
    <w:p w14:paraId="27FDEE72" w14:textId="77777777" w:rsidR="00B17E5F" w:rsidRPr="00322E56" w:rsidRDefault="00B17E5F" w:rsidP="00EB552B">
      <w:pPr>
        <w:rPr>
          <w:rFonts w:cs="Times New Roman"/>
        </w:rPr>
      </w:pPr>
      <w:r w:rsidRPr="00322E56">
        <w:rPr>
          <w:rFonts w:cs="Times New Roman"/>
        </w:rPr>
        <w:lastRenderedPageBreak/>
        <w:tab/>
        <w:t>A version of this chapter was originally published by Sara Sultan and Kyle R. Gluesenkamp:</w:t>
      </w:r>
    </w:p>
    <w:p w14:paraId="53B160C2" w14:textId="6DFFC7ED" w:rsidR="00B17E5F" w:rsidRPr="00322E56" w:rsidRDefault="00B17E5F" w:rsidP="00EB552B">
      <w:pPr>
        <w:rPr>
          <w:rFonts w:cs="Times New Roman"/>
        </w:rPr>
      </w:pPr>
      <w:r w:rsidRPr="00322E56">
        <w:rPr>
          <w:rFonts w:cs="Times New Roman"/>
        </w:rPr>
        <w:tab/>
        <w:t>Sultan, S</w:t>
      </w:r>
      <w:r w:rsidR="00AE72D0">
        <w:rPr>
          <w:rFonts w:cs="Times New Roman"/>
        </w:rPr>
        <w:t>.,</w:t>
      </w:r>
      <w:r w:rsidRPr="00322E56">
        <w:rPr>
          <w:rFonts w:cs="Times New Roman"/>
        </w:rPr>
        <w:t xml:space="preserve"> &amp; Gluesenkamp, K. R. (2021). “The State of Art of Heat-Pump integrated Thermal Energy Storage for Demand Response.” </w:t>
      </w:r>
      <w:r w:rsidRPr="00322E56">
        <w:rPr>
          <w:rFonts w:cs="Times New Roman"/>
          <w:i/>
          <w:iCs/>
        </w:rPr>
        <w:t>IEA Heat Pump Technologies Magazine</w:t>
      </w:r>
      <w:r w:rsidRPr="00322E56">
        <w:rPr>
          <w:rFonts w:cs="Times New Roman"/>
        </w:rPr>
        <w:t xml:space="preserve">, </w:t>
      </w:r>
      <w:r w:rsidRPr="00322E56">
        <w:rPr>
          <w:rFonts w:cs="Times New Roman"/>
          <w:i/>
          <w:iCs/>
        </w:rPr>
        <w:t>40</w:t>
      </w:r>
      <w:r w:rsidRPr="00322E56">
        <w:rPr>
          <w:rFonts w:cs="Times New Roman"/>
        </w:rPr>
        <w:t>(2), 27–30</w:t>
      </w:r>
    </w:p>
    <w:p w14:paraId="4A6F31B4" w14:textId="716DD66C" w:rsidR="00B17E5F" w:rsidRDefault="00B17E5F" w:rsidP="00AE72D0">
      <w:pPr>
        <w:ind w:firstLine="720"/>
        <w:rPr>
          <w:rFonts w:cs="Times New Roman"/>
        </w:rPr>
      </w:pPr>
      <w:r w:rsidRPr="00322E56">
        <w:rPr>
          <w:rFonts w:cs="Times New Roman"/>
        </w:rPr>
        <w:t xml:space="preserve">A version of this chapter is submitted for publication to the Elsevier “Journal of Energy Storage” by Sara Sultan and Kyle R. Gluesenkamp: </w:t>
      </w:r>
    </w:p>
    <w:p w14:paraId="1AE9A80E" w14:textId="7CF524E2" w:rsidR="00AE72D0" w:rsidRDefault="00AE72D0" w:rsidP="00AE72D0">
      <w:pPr>
        <w:ind w:firstLine="720"/>
        <w:rPr>
          <w:rFonts w:cs="Times New Roman"/>
          <w:i/>
          <w:iCs/>
        </w:rPr>
      </w:pPr>
      <w:r w:rsidRPr="00322E56">
        <w:rPr>
          <w:rFonts w:cs="Times New Roman"/>
        </w:rPr>
        <w:t>Sultan, S</w:t>
      </w:r>
      <w:r>
        <w:rPr>
          <w:rFonts w:cs="Times New Roman"/>
        </w:rPr>
        <w:t>.,</w:t>
      </w:r>
      <w:r w:rsidRPr="00322E56">
        <w:rPr>
          <w:rFonts w:cs="Times New Roman"/>
        </w:rPr>
        <w:t xml:space="preserve"> </w:t>
      </w:r>
      <w:r w:rsidRPr="00AE72D0">
        <w:rPr>
          <w:rFonts w:cs="Times New Roman"/>
        </w:rPr>
        <w:t>Turnaoglu</w:t>
      </w:r>
      <w:r>
        <w:rPr>
          <w:rFonts w:cs="Times New Roman"/>
        </w:rPr>
        <w:t xml:space="preserve"> T.</w:t>
      </w:r>
      <w:r w:rsidRPr="00AE72D0">
        <w:rPr>
          <w:rFonts w:cs="Times New Roman"/>
        </w:rPr>
        <w:t>, Hirschey</w:t>
      </w:r>
      <w:r>
        <w:rPr>
          <w:rFonts w:cs="Times New Roman"/>
        </w:rPr>
        <w:t xml:space="preserve"> J.</w:t>
      </w:r>
      <w:r w:rsidRPr="00AE72D0">
        <w:rPr>
          <w:rFonts w:cs="Times New Roman"/>
        </w:rPr>
        <w:t>, Kumar</w:t>
      </w:r>
      <w:r>
        <w:rPr>
          <w:rFonts w:cs="Times New Roman"/>
        </w:rPr>
        <w:t xml:space="preserve"> N.</w:t>
      </w:r>
      <w:r w:rsidRPr="00AE72D0">
        <w:rPr>
          <w:rFonts w:cs="Times New Roman"/>
        </w:rPr>
        <w:t>, Rendall</w:t>
      </w:r>
      <w:r>
        <w:rPr>
          <w:rFonts w:cs="Times New Roman"/>
        </w:rPr>
        <w:t xml:space="preserve"> J.</w:t>
      </w:r>
      <w:r w:rsidRPr="00AE72D0">
        <w:rPr>
          <w:rFonts w:cs="Times New Roman"/>
        </w:rPr>
        <w:t>, LaClair</w:t>
      </w:r>
      <w:r>
        <w:rPr>
          <w:rFonts w:cs="Times New Roman"/>
        </w:rPr>
        <w:t xml:space="preserve"> T.</w:t>
      </w:r>
      <w:r w:rsidRPr="00AE72D0">
        <w:rPr>
          <w:rFonts w:cs="Times New Roman"/>
        </w:rPr>
        <w:t>, Liu</w:t>
      </w:r>
      <w:r>
        <w:rPr>
          <w:rFonts w:cs="Times New Roman"/>
        </w:rPr>
        <w:t xml:space="preserve"> X.</w:t>
      </w:r>
      <w:r w:rsidRPr="00AE72D0">
        <w:rPr>
          <w:rFonts w:cs="Times New Roman"/>
        </w:rPr>
        <w:t>, Rios</w:t>
      </w:r>
      <w:r>
        <w:rPr>
          <w:rFonts w:cs="Times New Roman"/>
        </w:rPr>
        <w:t xml:space="preserve"> O.</w:t>
      </w:r>
      <w:r w:rsidRPr="00AE72D0">
        <w:rPr>
          <w:rFonts w:cs="Times New Roman"/>
        </w:rPr>
        <w:t>, Miller</w:t>
      </w:r>
      <w:r>
        <w:rPr>
          <w:rFonts w:cs="Times New Roman"/>
        </w:rPr>
        <w:t xml:space="preserve"> W. A.</w:t>
      </w:r>
      <w:r w:rsidRPr="00AE72D0">
        <w:rPr>
          <w:rFonts w:cs="Times New Roman"/>
        </w:rPr>
        <w:t>,</w:t>
      </w:r>
      <w:r>
        <w:rPr>
          <w:rFonts w:cs="Times New Roman"/>
        </w:rPr>
        <w:t xml:space="preserve"> </w:t>
      </w:r>
      <w:r w:rsidRPr="00322E56">
        <w:rPr>
          <w:rFonts w:cs="Times New Roman"/>
        </w:rPr>
        <w:t>&amp; Gluesenkamp, K. R. (202</w:t>
      </w:r>
      <w:r>
        <w:rPr>
          <w:rFonts w:cs="Times New Roman"/>
        </w:rPr>
        <w:t>3</w:t>
      </w:r>
      <w:r w:rsidRPr="00322E56">
        <w:rPr>
          <w:rFonts w:cs="Times New Roman"/>
        </w:rPr>
        <w:t>). “</w:t>
      </w:r>
      <w:r w:rsidRPr="00AE72D0">
        <w:rPr>
          <w:rFonts w:cs="Times New Roman"/>
        </w:rPr>
        <w:t>Heat Pumps Integrated with Thermal Energy Storage in Buildings: System Configurations and Performance Review</w:t>
      </w:r>
      <w:r w:rsidRPr="00322E56">
        <w:rPr>
          <w:rFonts w:cs="Times New Roman"/>
        </w:rPr>
        <w:t xml:space="preserve">.” </w:t>
      </w:r>
      <w:r>
        <w:rPr>
          <w:rFonts w:cs="Times New Roman"/>
          <w:i/>
          <w:iCs/>
        </w:rPr>
        <w:t>Journal of Energy Storage</w:t>
      </w:r>
    </w:p>
    <w:p w14:paraId="5E66E2BB" w14:textId="1E827F23" w:rsidR="00AE72D0" w:rsidRPr="00322E56" w:rsidRDefault="00AE72D0" w:rsidP="00AE72D0">
      <w:r w:rsidRPr="00AE72D0">
        <w:t>Conceptualization</w:t>
      </w:r>
      <w:r>
        <w:t xml:space="preserve">, data collection, and </w:t>
      </w:r>
      <w:r w:rsidRPr="00AE72D0">
        <w:t xml:space="preserve">original </w:t>
      </w:r>
      <w:r>
        <w:t xml:space="preserve">manuscript </w:t>
      </w:r>
      <w:r w:rsidRPr="00AE72D0">
        <w:t xml:space="preserve">draft </w:t>
      </w:r>
      <w:r>
        <w:t xml:space="preserve">was </w:t>
      </w:r>
      <w:r w:rsidRPr="00AE72D0">
        <w:t>prepar</w:t>
      </w:r>
      <w:r>
        <w:t>ed by</w:t>
      </w:r>
      <w:r w:rsidRPr="00AE72D0">
        <w:t xml:space="preserve"> Sara Sultan</w:t>
      </w:r>
      <w:r>
        <w:t xml:space="preserve">. </w:t>
      </w:r>
      <w:r w:rsidRPr="00AE72D0">
        <w:t>Jason Hirschey, Tugba Turnaoglu, Navin Kumar, Joseph Rendall</w:t>
      </w:r>
      <w:r w:rsidR="00B3664F">
        <w:t xml:space="preserve">, </w:t>
      </w:r>
      <w:r w:rsidR="00B3664F" w:rsidRPr="00AE72D0">
        <w:t xml:space="preserve">Tim LaClair, </w:t>
      </w:r>
      <w:r w:rsidR="00B3664F">
        <w:t xml:space="preserve">and </w:t>
      </w:r>
      <w:r w:rsidR="00B3664F" w:rsidRPr="00AE72D0">
        <w:t xml:space="preserve">Xiaobing Liu </w:t>
      </w:r>
      <w:r w:rsidR="00B3664F">
        <w:t>provided</w:t>
      </w:r>
      <w:r>
        <w:t xml:space="preserve"> help with </w:t>
      </w:r>
      <w:r w:rsidRPr="00AE72D0">
        <w:t>editing</w:t>
      </w:r>
      <w:r>
        <w:t xml:space="preserve"> and analysis.</w:t>
      </w:r>
      <w:r w:rsidRPr="00AE72D0">
        <w:t xml:space="preserve"> </w:t>
      </w:r>
      <w:r>
        <w:t xml:space="preserve">Review and </w:t>
      </w:r>
      <w:r w:rsidRPr="00AE72D0">
        <w:t>supervision</w:t>
      </w:r>
      <w:r>
        <w:t xml:space="preserve"> by</w:t>
      </w:r>
      <w:r w:rsidRPr="00AE72D0">
        <w:t xml:space="preserve"> Orlando Rios, William </w:t>
      </w:r>
      <w:r>
        <w:t xml:space="preserve">A. </w:t>
      </w:r>
      <w:r w:rsidRPr="00AE72D0">
        <w:t xml:space="preserve">Miller, </w:t>
      </w:r>
      <w:r w:rsidR="00B3664F">
        <w:t xml:space="preserve">and </w:t>
      </w:r>
      <w:r w:rsidRPr="00AE72D0">
        <w:t>Kyle</w:t>
      </w:r>
      <w:r>
        <w:t xml:space="preserve"> R.</w:t>
      </w:r>
      <w:r w:rsidRPr="00AE72D0">
        <w:t xml:space="preserve"> Gluesenkamp</w:t>
      </w:r>
      <w:r>
        <w:t>.</w:t>
      </w:r>
    </w:p>
    <w:p w14:paraId="26D2A5A0" w14:textId="77777777" w:rsidR="00B17E5F" w:rsidRPr="00322E56" w:rsidRDefault="00B17E5F" w:rsidP="00EB552B">
      <w:pPr>
        <w:pStyle w:val="Heading2"/>
        <w:rPr>
          <w:rFonts w:cs="Times New Roman"/>
          <w:szCs w:val="24"/>
        </w:rPr>
      </w:pPr>
      <w:bookmarkStart w:id="21" w:name="_Toc289175826"/>
      <w:bookmarkStart w:id="22" w:name="_Toc140399806"/>
      <w:r w:rsidRPr="00322E56">
        <w:rPr>
          <w:rFonts w:cs="Times New Roman"/>
          <w:szCs w:val="24"/>
        </w:rPr>
        <w:t>Abstract</w:t>
      </w:r>
      <w:bookmarkEnd w:id="21"/>
      <w:bookmarkEnd w:id="22"/>
    </w:p>
    <w:p w14:paraId="7A28BFCA" w14:textId="77777777" w:rsidR="00B17E5F" w:rsidRPr="00322E56" w:rsidRDefault="00B17E5F" w:rsidP="007A13A4">
      <w:pPr>
        <w:rPr>
          <w:rFonts w:cs="Times New Roman"/>
        </w:rPr>
      </w:pPr>
      <w:bookmarkStart w:id="23" w:name="_Toc289175827"/>
      <w:r w:rsidRPr="00322E56">
        <w:rPr>
          <w:rFonts w:cs="Times New Roman"/>
        </w:rPr>
        <w:t xml:space="preserve">Buildings account for approximately 40% of the US energy consumption and 78% of the US peak electricity usage, almost half of which is for HVAC systems. Literature suggests that thermal energy storage (TES) can shift building peak load to off-peak periods, allowing buildings to help alleviate the challenges associated with electric peak demand. Numerous researchers have investigated coupling TES with heat pumps (HPs) in various configurations and control strategies. HP-integrated TES (HP-TES) has been demonstrated to be effective for load shifting and to provide economic benefits if combined with price-based tariffs and controls. This study provides a critical review of HP-TES using phase change materials (PCMs) and various control strategies. It is a comparative study on HP controls without TES for demand response, passive HP-TES (in the building envelope), and active HP-TES (in HP components with mechanically controlled heat transfer). The </w:t>
      </w:r>
      <w:r w:rsidRPr="00322E56">
        <w:rPr>
          <w:rFonts w:cs="Times New Roman"/>
        </w:rPr>
        <w:lastRenderedPageBreak/>
        <w:t xml:space="preserve">study provides an analysis of possible HP-TES configurations with a focus on PCM location and system performance to compare cost savings, energy savings, demand impact, and payback period. </w:t>
      </w:r>
    </w:p>
    <w:p w14:paraId="0852B254" w14:textId="77777777" w:rsidR="00B17E5F" w:rsidRPr="00322E56" w:rsidRDefault="00B17E5F" w:rsidP="009D08D9">
      <w:pPr>
        <w:pStyle w:val="Heading2"/>
        <w:rPr>
          <w:rFonts w:cs="Times New Roman"/>
        </w:rPr>
      </w:pPr>
      <w:bookmarkStart w:id="24" w:name="_Toc140399807"/>
      <w:r w:rsidRPr="00322E56">
        <w:rPr>
          <w:rFonts w:cs="Times New Roman"/>
        </w:rPr>
        <w:t>Research Question</w:t>
      </w:r>
      <w:bookmarkEnd w:id="24"/>
    </w:p>
    <w:p w14:paraId="6790036D" w14:textId="77777777" w:rsidR="00B17E5F" w:rsidRPr="00322E56" w:rsidRDefault="00B17E5F" w:rsidP="00AF5CBE">
      <w:pPr>
        <w:jc w:val="center"/>
        <w:rPr>
          <w:rFonts w:cs="Times New Roman"/>
          <w:b/>
          <w:bCs/>
        </w:rPr>
      </w:pPr>
      <w:r w:rsidRPr="00322E56">
        <w:rPr>
          <w:rFonts w:cs="Times New Roman"/>
          <w:i/>
          <w:iCs/>
        </w:rPr>
        <w:t>How can PCM based Thermal Energy Storage be integrated into a heat pump for carbon mitigation, demand response, and reduced electric consumption of heat pumps in residential buildings?</w:t>
      </w:r>
    </w:p>
    <w:p w14:paraId="2F84D460" w14:textId="77777777" w:rsidR="00E30DC4" w:rsidRDefault="00E30DC4">
      <w:pPr>
        <w:spacing w:before="0" w:line="240" w:lineRule="auto"/>
        <w:ind w:firstLine="0"/>
        <w:jc w:val="left"/>
        <w:rPr>
          <w:rFonts w:cs="Times New Roman"/>
          <w:b/>
          <w:bCs/>
          <w:iCs/>
        </w:rPr>
      </w:pPr>
      <w:r>
        <w:rPr>
          <w:rFonts w:cs="Times New Roman"/>
        </w:rPr>
        <w:br w:type="page"/>
      </w:r>
    </w:p>
    <w:p w14:paraId="2A28DAC8" w14:textId="03E62778" w:rsidR="00B17E5F" w:rsidRPr="00274DBA" w:rsidRDefault="00B17E5F" w:rsidP="00E30DC4">
      <w:pPr>
        <w:pStyle w:val="Heading1"/>
      </w:pPr>
      <w:bookmarkStart w:id="25" w:name="_Toc140399808"/>
      <w:r w:rsidRPr="00322E56">
        <w:lastRenderedPageBreak/>
        <w:t>Introduction</w:t>
      </w:r>
      <w:bookmarkEnd w:id="25"/>
    </w:p>
    <w:p w14:paraId="7C5DF954" w14:textId="13875658" w:rsidR="00B17E5F" w:rsidRPr="00322E56" w:rsidRDefault="00B17E5F" w:rsidP="008E0BB3">
      <w:pPr>
        <w:rPr>
          <w:rFonts w:cs="Times New Roman"/>
        </w:rPr>
      </w:pPr>
      <w:r w:rsidRPr="00322E56">
        <w:rPr>
          <w:rFonts w:cs="Times New Roman"/>
        </w:rPr>
        <w:t xml:space="preserve">Buildings account for approximately 40% of the US primary energy consumption. The residential sector represents about 21% of total US energy consumption </w:t>
      </w:r>
      <w:sdt>
        <w:sdtPr>
          <w:rPr>
            <w:rFonts w:cs="Times New Roman"/>
            <w:color w:val="000000"/>
            <w:shd w:val="clear" w:color="auto" w:fill="E6E6E6"/>
          </w:rPr>
          <w:tag w:val="MENDELEY_CITATION_v3_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"/>
          <w:id w:val="-1321035682"/>
          <w:placeholder>
            <w:docPart w:val="46BD8FCE7E7A49628DBD6D52F4CA1C98"/>
          </w:placeholder>
        </w:sdtPr>
        <w:sdtContent>
          <w:r w:rsidR="001E7ECF" w:rsidRPr="001E7ECF">
            <w:rPr>
              <w:rFonts w:cs="Times New Roman"/>
              <w:color w:val="000000"/>
            </w:rPr>
            <w:t>[1], [49], [50]</w:t>
          </w:r>
        </w:sdtContent>
      </w:sdt>
      <w:r w:rsidRPr="00322E56">
        <w:rPr>
          <w:rFonts w:cs="Times New Roman"/>
        </w:rPr>
        <w:t xml:space="preserve">. The major electric load from the residential buildings comprises 80% of the total electricity use in the U.S., and 78% of the peak period use during 2-8 PM </w:t>
      </w:r>
      <w:sdt>
        <w:sdtPr>
          <w:rPr>
            <w:rFonts w:cs="Times New Roman"/>
            <w:color w:val="000000"/>
            <w:shd w:val="clear" w:color="auto" w:fill="E6E6E6"/>
          </w:rPr>
          <w:tag w:val="MENDELEY_CITATION_v3_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"/>
          <w:id w:val="562305126"/>
          <w:placeholder>
            <w:docPart w:val="46BD8FCE7E7A49628DBD6D52F4CA1C98"/>
          </w:placeholder>
        </w:sdtPr>
        <w:sdtContent>
          <w:r w:rsidR="001E7ECF" w:rsidRPr="001E7ECF">
            <w:rPr>
              <w:rFonts w:cs="Times New Roman"/>
              <w:color w:val="000000"/>
            </w:rPr>
            <w:t>[51]–[53]</w:t>
          </w:r>
        </w:sdtContent>
      </w:sdt>
      <w:r w:rsidRPr="00322E56">
        <w:rPr>
          <w:rFonts w:cs="Times New Roman"/>
        </w:rPr>
        <w:t xml:space="preserve">. Buildings are already responsible for more than two-thirds of electricity consumption in the U.S., and energy consumption and peak demand is often attributed to air conditioning applications. The heat pumps (HPs) used in buildings exacerbate demand issues </w:t>
      </w:r>
      <w:sdt>
        <w:sdtPr>
          <w:rPr>
            <w:rFonts w:cs="Times New Roman"/>
            <w:color w:val="000000"/>
            <w:shd w:val="clear" w:color="auto" w:fill="E6E6E6"/>
          </w:rPr>
          <w:tag w:val="MENDELEY_CITATION_v3_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"/>
          <w:id w:val="-1979750206"/>
          <w:placeholder>
            <w:docPart w:val="947A05F854984B2380E985B9D3AFB3EB"/>
          </w:placeholder>
        </w:sdtPr>
        <w:sdtContent>
          <w:r w:rsidR="001E7ECF" w:rsidRPr="001E7ECF">
            <w:rPr>
              <w:rFonts w:cs="Times New Roman"/>
              <w:color w:val="000000"/>
            </w:rPr>
            <w:t>[4]</w:t>
          </w:r>
        </w:sdtContent>
      </w:sdt>
      <w:r w:rsidRPr="00322E56">
        <w:rPr>
          <w:rFonts w:cs="Times New Roman"/>
        </w:rPr>
        <w:t xml:space="preserve">. </w:t>
      </w:r>
    </w:p>
    <w:p w14:paraId="3C330114" w14:textId="07806AB8" w:rsidR="00B17E5F" w:rsidRPr="00322E56" w:rsidRDefault="00B17E5F" w:rsidP="00D5581B">
      <w:pPr>
        <w:rPr>
          <w:rFonts w:cs="Times New Roman"/>
        </w:rPr>
      </w:pPr>
      <w:r w:rsidRPr="00322E56">
        <w:rPr>
          <w:rFonts w:cs="Times New Roman"/>
        </w:rPr>
        <w:t xml:space="preserve">Buildings can play a significant role in reducing energy demand </w:t>
      </w:r>
      <w:sdt>
        <w:sdtPr>
          <w:rPr>
            <w:rFonts w:cs="Times New Roman"/>
            <w:color w:val="000000"/>
            <w:shd w:val="clear" w:color="auto" w:fill="E6E6E6"/>
          </w:rPr>
          <w:tag w:val="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"/>
          <w:id w:val="588039892"/>
          <w:placeholder>
            <w:docPart w:val="2EAF30AEF44C41A6AB2F58B3CF3C3C85"/>
          </w:placeholder>
        </w:sdtPr>
        <w:sdtContent>
          <w:r w:rsidR="001E7ECF" w:rsidRPr="001E7ECF">
            <w:rPr>
              <w:rFonts w:cs="Times New Roman"/>
              <w:color w:val="000000"/>
            </w:rPr>
            <w:t>[54]–[57]</w:t>
          </w:r>
        </w:sdtContent>
      </w:sdt>
      <w:r w:rsidRPr="00322E56">
        <w:rPr>
          <w:rFonts w:cs="Times New Roman"/>
        </w:rPr>
        <w:t xml:space="preserve"> and increase the building flexibility while maintaining the temperature in a comfortable range, by designing a load shifting strategy </w:t>
      </w:r>
      <w:sdt>
        <w:sdtPr>
          <w:rPr>
            <w:rFonts w:cs="Times New Roman"/>
            <w:color w:val="000000"/>
          </w:rPr>
          <w:tag w:val="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"/>
          <w:id w:val="383302731"/>
          <w:placeholder>
            <w:docPart w:val="E6E6AF17A8F94D2F849243A75294AA45"/>
          </w:placeholder>
        </w:sdtPr>
        <w:sdtContent>
          <w:r w:rsidR="001E7ECF" w:rsidRPr="001E7ECF">
            <w:rPr>
              <w:rFonts w:cs="Times New Roman"/>
              <w:color w:val="000000"/>
            </w:rPr>
            <w:t>[54]–[57]</w:t>
          </w:r>
        </w:sdtContent>
      </w:sdt>
      <w:r w:rsidRPr="00322E56">
        <w:rPr>
          <w:rFonts w:cs="Times New Roman"/>
        </w:rPr>
        <w:t xml:space="preserve">. </w:t>
      </w:r>
    </w:p>
    <w:p w14:paraId="0BBD35F5" w14:textId="3CF42F49" w:rsidR="00B17E5F" w:rsidRPr="00322E56" w:rsidRDefault="00B17E5F" w:rsidP="007B1E8B">
      <w:pPr>
        <w:tabs>
          <w:tab w:val="left" w:pos="450"/>
        </w:tabs>
        <w:rPr>
          <w:rFonts w:cs="Times New Roman"/>
        </w:rPr>
      </w:pPr>
      <w:r w:rsidRPr="00322E56">
        <w:rPr>
          <w:rFonts w:cs="Times New Roman"/>
        </w:rPr>
        <w:t xml:space="preserve">About 80% of American homes are detached single-family houses of an average area of about 2600 ft2, with an average occupancy of 2.5 </w:t>
      </w:r>
      <w:sdt>
        <w:sdtPr>
          <w:rPr>
            <w:rFonts w:cs="Times New Roman"/>
            <w:color w:val="000000"/>
          </w:rPr>
          <w:tag w:val="MENDELEY_CITATION_v3_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"/>
          <w:id w:val="-1059631529"/>
          <w:placeholder>
            <w:docPart w:val="B7C66969D8FA45798DE1590D161938CE"/>
          </w:placeholder>
        </w:sdtPr>
        <w:sdtContent>
          <w:r w:rsidR="001E7ECF" w:rsidRPr="001E7ECF">
            <w:rPr>
              <w:rFonts w:cs="Times New Roman"/>
              <w:color w:val="000000"/>
            </w:rPr>
            <w:t>[1]</w:t>
          </w:r>
        </w:sdtContent>
      </w:sdt>
      <w:r w:rsidRPr="00322E56">
        <w:rPr>
          <w:rFonts w:cs="Times New Roman"/>
        </w:rPr>
        <w:t xml:space="preserve">. Typically, in US residential buildings, there is no mechanical outdoor air exchange, or cross ventilation using natural resources, therefore, HPs are important to regulate the humidity inside the house as well as the indoor temperature. </w:t>
      </w:r>
    </w:p>
    <w:p w14:paraId="74CBBBBC" w14:textId="77777777" w:rsidR="00B17E5F" w:rsidRPr="00322E56" w:rsidRDefault="00B17E5F" w:rsidP="007B1E8B">
      <w:pPr>
        <w:tabs>
          <w:tab w:val="left" w:pos="450"/>
        </w:tabs>
        <w:rPr>
          <w:rFonts w:cs="Times New Roman"/>
        </w:rPr>
      </w:pPr>
      <w:r w:rsidRPr="00322E56">
        <w:rPr>
          <w:rFonts w:cs="Times New Roman"/>
          <w:color w:val="000000" w:themeColor="text1"/>
        </w:rPr>
        <w:t xml:space="preserve">HP technology offers cooling and heating from residential and commercial buildings to chemical, petroleum, and food industries, to name a few. Although various HP types exist, such as absorption, adsorption, or chemical reaction cycles, most commercial HP operate based on a vapor compression cycle. HP can provide heating during cold weather and cooling during hot weather throughout the year in mild climates as they can be operated in both heating and cooling mode by simply reversing the operating cycle. HP might also be considered an environmentally friendly HVAC system due to the possible utilization of waste heat. However, even though HP technology evolved over the years and continues to find new applications, the most efficient use of energy in the HP systems while maintaining or improving the overall performance is </w:t>
      </w:r>
      <w:r w:rsidRPr="00322E56">
        <w:rPr>
          <w:rFonts w:cs="Times New Roman"/>
        </w:rPr>
        <w:t>crucial to reduce the net energy consumption and consequently the greenhouse release into the environment.</w:t>
      </w:r>
    </w:p>
    <w:p w14:paraId="46EE234B" w14:textId="2F7A14D6" w:rsidR="00B17E5F" w:rsidRPr="00322E56" w:rsidRDefault="00B17E5F" w:rsidP="007B1E8B">
      <w:pPr>
        <w:tabs>
          <w:tab w:val="left" w:pos="450"/>
        </w:tabs>
        <w:rPr>
          <w:rFonts w:cs="Times New Roman"/>
        </w:rPr>
      </w:pPr>
      <w:r w:rsidRPr="00322E56">
        <w:rPr>
          <w:rFonts w:cs="Times New Roman"/>
        </w:rPr>
        <w:lastRenderedPageBreak/>
        <w:t xml:space="preserve">It is often cost-prohibitive to rebuild houses or update the conventional methods, but the HP systems can be made smart to respond to the peak demand changes. Today’s high-efficiency HVAC and appliance products can provide energy savings, but do not generally help with demand management and grid stress </w:t>
      </w:r>
      <w:sdt>
        <w:sdtPr>
          <w:rPr>
            <w:rFonts w:cs="Times New Roman"/>
            <w:color w:val="000000"/>
          </w:rPr>
          <w:tag w:val="MENDELEY_CITATION_v3_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"/>
          <w:id w:val="-1195773491"/>
          <w:placeholder>
            <w:docPart w:val="AB8EB951D6594799B364F2AAE5B246E0"/>
          </w:placeholder>
        </w:sdtPr>
        <w:sdtContent>
          <w:r w:rsidR="001E7ECF" w:rsidRPr="001E7ECF">
            <w:rPr>
              <w:rFonts w:cs="Times New Roman"/>
              <w:color w:val="000000"/>
            </w:rPr>
            <w:t>[23]</w:t>
          </w:r>
        </w:sdtContent>
      </w:sdt>
      <w:r w:rsidRPr="00322E56">
        <w:rPr>
          <w:rFonts w:cs="Times New Roman"/>
        </w:rPr>
        <w:t>.</w:t>
      </w:r>
    </w:p>
    <w:p w14:paraId="38CCC1CC" w14:textId="16A87954" w:rsidR="00B17E5F" w:rsidRPr="00322E56" w:rsidRDefault="00B17E5F" w:rsidP="00D5581B">
      <w:pPr>
        <w:rPr>
          <w:rFonts w:cs="Times New Roman"/>
        </w:rPr>
      </w:pPr>
      <w:r w:rsidRPr="00322E56">
        <w:rPr>
          <w:rFonts w:cs="Times New Roman"/>
        </w:rPr>
        <w:t xml:space="preserve">Efficient heating and cooling appliances, combined with HP controls for demand response (DR), can provide grid and building flexibility </w:t>
      </w:r>
      <w:sdt>
        <w:sdtPr>
          <w:rPr>
            <w:rFonts w:cs="Times New Roman"/>
            <w:color w:val="000000"/>
          </w:rPr>
          <w:tag w:val="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"/>
          <w:id w:val="307283165"/>
          <w:placeholder>
            <w:docPart w:val="FEDA858703184682A582DEEEA3BEA80D"/>
          </w:placeholder>
        </w:sdtPr>
        <w:sdtContent>
          <w:r w:rsidR="001E7ECF" w:rsidRPr="001E7ECF">
            <w:rPr>
              <w:rFonts w:cs="Times New Roman"/>
              <w:color w:val="000000"/>
            </w:rPr>
            <w:t>[58]–[60]</w:t>
          </w:r>
        </w:sdtContent>
      </w:sdt>
      <w:r w:rsidRPr="00322E56">
        <w:rPr>
          <w:rFonts w:cs="Times New Roman"/>
        </w:rPr>
        <w:t xml:space="preserve">, but they have numerous challenges such as heavy dependence on user data, compromise on comfort levels without additional storage, demand rebound issues, and need for complex controls </w:t>
      </w:r>
      <w:sdt>
        <w:sdtPr>
          <w:rPr>
            <w:rFonts w:cs="Times New Roman"/>
            <w:color w:val="000000"/>
          </w:rPr>
          <w:tag w:val="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"/>
          <w:id w:val="-1159077196"/>
          <w:placeholder>
            <w:docPart w:val="FEDA858703184682A582DEEEA3BEA80D"/>
          </w:placeholder>
        </w:sdtPr>
        <w:sdtContent>
          <w:r w:rsidR="001E7ECF" w:rsidRPr="001E7ECF">
            <w:rPr>
              <w:rFonts w:cs="Times New Roman"/>
              <w:color w:val="000000"/>
            </w:rPr>
            <w:t>[61]–[64]</w:t>
          </w:r>
        </w:sdtContent>
      </w:sdt>
      <w:r w:rsidRPr="00322E56">
        <w:rPr>
          <w:rFonts w:cs="Times New Roman"/>
        </w:rPr>
        <w:t xml:space="preserve">. Overall operational cost can also increase in some cases </w:t>
      </w:r>
      <w:sdt>
        <w:sdtPr>
          <w:rPr>
            <w:rFonts w:cs="Times New Roman"/>
            <w:color w:val="000000"/>
          </w:rPr>
          <w:tag w:val="MENDELEY_CITATION_v3_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"/>
          <w:id w:val="-531950459"/>
          <w:placeholder>
            <w:docPart w:val="FEDA858703184682A582DEEEA3BEA80D"/>
          </w:placeholder>
        </w:sdtPr>
        <w:sdtContent>
          <w:r w:rsidR="001E7ECF" w:rsidRPr="001E7ECF">
            <w:rPr>
              <w:rFonts w:cs="Times New Roman"/>
              <w:color w:val="000000"/>
            </w:rPr>
            <w:t>[65]</w:t>
          </w:r>
        </w:sdtContent>
      </w:sdt>
      <w:r w:rsidRPr="00322E56">
        <w:rPr>
          <w:rFonts w:cs="Times New Roman"/>
        </w:rPr>
        <w:t>.</w:t>
      </w:r>
    </w:p>
    <w:p w14:paraId="223388E0" w14:textId="77777777" w:rsidR="00B17E5F" w:rsidRPr="00322E56" w:rsidRDefault="00B17E5F" w:rsidP="00EE753C">
      <w:pPr>
        <w:tabs>
          <w:tab w:val="left" w:pos="450"/>
        </w:tabs>
        <w:rPr>
          <w:rFonts w:cs="Times New Roman"/>
        </w:rPr>
      </w:pPr>
      <w:r w:rsidRPr="00322E56">
        <w:rPr>
          <w:rFonts w:cs="Times New Roman"/>
        </w:rPr>
        <w:t xml:space="preserve">Thermal energy storage (TES), which has capability to decouple the energy generation from its demand and usage, can be a crucial tool to shift the thermal loads. TES systems can be easily incorporated in small to large single-family or multi-family residential buildings. When properly controlled, thermal storage can be useful in an economic or behavioral curtailment scenario for demand response. Major factors influencing an appropriate TES system's choice include the energy storage period and duration, cost and economic feasibility, and operational conditions. </w:t>
      </w:r>
    </w:p>
    <w:p w14:paraId="2E16C414" w14:textId="2276A244" w:rsidR="00B17E5F" w:rsidRPr="00322E56" w:rsidRDefault="00B17E5F" w:rsidP="00EE753C">
      <w:pPr>
        <w:rPr>
          <w:rFonts w:cs="Times New Roman"/>
        </w:rPr>
      </w:pPr>
      <w:r w:rsidRPr="00322E56">
        <w:rPr>
          <w:rFonts w:cs="Times New Roman"/>
        </w:rPr>
        <w:t xml:space="preserve">The thermal storage properties can be leveraged by using phase change materials (PCM). which can store energy to release later. Researchers have used various configurations to employ the economic and grid benefits of PCM-TES for heating and cooling applications in buildings. The most common configurations are to install the material in building envelope via passive storage where the charging and discharging process is the function of ambient temperature. High cooling and heating demands can be met by passively using TES while maintaining occupant comfort </w:t>
      </w:r>
      <w:sdt>
        <w:sdtPr>
          <w:rPr>
            <w:rFonts w:cs="Times New Roman"/>
            <w:color w:val="000000"/>
          </w:rPr>
          <w:tag w:val="MENDELEY_CITATION_v3_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"/>
          <w:id w:val="377757797"/>
          <w:placeholder>
            <w:docPart w:val="FEDA858703184682A582DEEEA3BEA80D"/>
          </w:placeholder>
        </w:sdtPr>
        <w:sdtContent>
          <w:r w:rsidR="001E7ECF" w:rsidRPr="001E7ECF">
            <w:rPr>
              <w:rFonts w:cs="Times New Roman"/>
              <w:color w:val="000000"/>
            </w:rPr>
            <w:t>[7]</w:t>
          </w:r>
        </w:sdtContent>
      </w:sdt>
      <w:r w:rsidRPr="00322E56">
        <w:rPr>
          <w:rFonts w:cs="Times New Roman"/>
        </w:rPr>
        <w:t xml:space="preserve">, but that effort also poses challenges such as complex installation, material encapsulation, space constraints, and additional controls and components </w:t>
      </w:r>
      <w:sdt>
        <w:sdtPr>
          <w:rPr>
            <w:rFonts w:cs="Times New Roman"/>
            <w:color w:val="000000"/>
          </w:rPr>
          <w:tag w:val="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"/>
          <w:id w:val="203215900"/>
          <w:placeholder>
            <w:docPart w:val="FEDA858703184682A582DEEEA3BEA80D"/>
          </w:placeholder>
        </w:sdtPr>
        <w:sdtContent>
          <w:r w:rsidR="001E7ECF" w:rsidRPr="001E7ECF">
            <w:rPr>
              <w:rFonts w:cs="Times New Roman"/>
              <w:color w:val="000000"/>
            </w:rPr>
            <w:t>[8]–[12]</w:t>
          </w:r>
        </w:sdtContent>
      </w:sdt>
      <w:r w:rsidRPr="00322E56">
        <w:rPr>
          <w:rFonts w:cs="Times New Roman"/>
        </w:rPr>
        <w:t xml:space="preserve">. Researchers have used TES as a building material, but those systems do not have control over when and how to use TES </w:t>
      </w:r>
      <w:sdt>
        <w:sdtPr>
          <w:rPr>
            <w:rFonts w:cs="Times New Roman"/>
            <w:color w:val="000000"/>
          </w:rPr>
          <w:tag w:val="MENDELEY_CITATION_v3_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"/>
          <w:id w:val="-298463348"/>
          <w:placeholder>
            <w:docPart w:val="FEDA858703184682A582DEEEA3BEA80D"/>
          </w:placeholder>
        </w:sdtPr>
        <w:sdtContent>
          <w:r w:rsidR="001E7ECF" w:rsidRPr="001E7ECF">
            <w:rPr>
              <w:rFonts w:cs="Times New Roman"/>
              <w:color w:val="000000"/>
            </w:rPr>
            <w:t>[5], [6]</w:t>
          </w:r>
        </w:sdtContent>
      </w:sdt>
      <w:r w:rsidRPr="00322E56">
        <w:rPr>
          <w:rFonts w:cs="Times New Roman"/>
        </w:rPr>
        <w:t>, hence the grid benefits can’t be maximized.</w:t>
      </w:r>
    </w:p>
    <w:p w14:paraId="3A6D10C7" w14:textId="77777777" w:rsidR="00B17E5F" w:rsidRPr="00322E56" w:rsidRDefault="00B17E5F" w:rsidP="00EE753C">
      <w:pPr>
        <w:rPr>
          <w:rFonts w:cs="Times New Roman"/>
        </w:rPr>
      </w:pPr>
      <w:r w:rsidRPr="00322E56">
        <w:rPr>
          <w:rFonts w:cs="Times New Roman"/>
        </w:rPr>
        <w:lastRenderedPageBreak/>
        <w:t xml:space="preserve">Active storage configurations allow real-time control of TES and are proven to be more effective than passive configurations. Active TES systems mechanically transfer the heat and hence can control when to charge or discharge the TES. This allows the TES systems to achieve grid flexibility, making them more suitable for load shifting and demand management. Another benefit of active configuration is the flexibility to be installed in an existing building infrastructure without needing a significant construction. </w:t>
      </w:r>
    </w:p>
    <w:p w14:paraId="05297026" w14:textId="77777777" w:rsidR="00B17E5F" w:rsidRPr="00322E56" w:rsidRDefault="00B17E5F" w:rsidP="00EE753C">
      <w:pPr>
        <w:rPr>
          <w:rFonts w:cs="Times New Roman"/>
        </w:rPr>
      </w:pPr>
      <w:r w:rsidRPr="00322E56">
        <w:rPr>
          <w:rFonts w:cs="Times New Roman"/>
        </w:rPr>
        <w:t>The active TES may be separate and removed from the space. PCM-TES can behave as a standalone isothermal heat exchanger when integrated with HP. TES systems when integrated with HP, can offer advantages by shifting the peak demand while maintaining an adequate internal temperature in comfort range, without excessively using HP equipment.</w:t>
      </w:r>
    </w:p>
    <w:p w14:paraId="21C00AB8" w14:textId="55DAE248" w:rsidR="00B17E5F" w:rsidRPr="00322E56" w:rsidRDefault="00B17E5F" w:rsidP="00D5581B">
      <w:pPr>
        <w:rPr>
          <w:rFonts w:cs="Times New Roman"/>
        </w:rPr>
      </w:pPr>
      <w:r w:rsidRPr="00322E56">
        <w:rPr>
          <w:rFonts w:cs="Times New Roman"/>
        </w:rPr>
        <w:t xml:space="preserve">TES can be coupled with existing air source, ground source, or dual source HPs in buildings </w:t>
      </w:r>
      <w:sdt>
        <w:sdtPr>
          <w:rPr>
            <w:rFonts w:cs="Times New Roman"/>
            <w:color w:val="000000"/>
          </w:rPr>
          <w:tag w:val="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"/>
          <w:id w:val="-1973052082"/>
          <w:placeholder>
            <w:docPart w:val="FEDA858703184682A582DEEEA3BEA80D"/>
          </w:placeholder>
        </w:sdtPr>
        <w:sdtContent>
          <w:r w:rsidR="001E7ECF" w:rsidRPr="001E7ECF">
            <w:rPr>
              <w:rFonts w:cs="Times New Roman"/>
              <w:color w:val="000000"/>
            </w:rPr>
            <w:t>[13]–[16]</w:t>
          </w:r>
        </w:sdtContent>
      </w:sdt>
      <w:r w:rsidRPr="00322E56">
        <w:rPr>
          <w:rFonts w:cs="Times New Roman"/>
        </w:rPr>
        <w:t xml:space="preserve">. Integrating TES not only increases the HP efficiency and coefficient of performance (COP) </w:t>
      </w:r>
      <w:sdt>
        <w:sdtPr>
          <w:rPr>
            <w:rFonts w:cs="Times New Roman"/>
            <w:color w:val="000000"/>
          </w:rPr>
          <w:tag w:val="MENDELEY_CITATION_v3_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"/>
          <w:id w:val="868802765"/>
          <w:placeholder>
            <w:docPart w:val="34D7C50C8DC64C8597C7F89E297DE3C4"/>
          </w:placeholder>
        </w:sdtPr>
        <w:sdtContent>
          <w:r w:rsidR="001E7ECF" w:rsidRPr="001E7ECF">
            <w:rPr>
              <w:rFonts w:cs="Times New Roman"/>
              <w:color w:val="000000"/>
            </w:rPr>
            <w:t>[17]–[19]</w:t>
          </w:r>
        </w:sdtContent>
      </w:sdt>
      <w:r w:rsidRPr="00322E56">
        <w:rPr>
          <w:rFonts w:cs="Times New Roman"/>
        </w:rPr>
        <w:t xml:space="preserve"> but also offers controls, configuration, and design flexibility </w:t>
      </w:r>
      <w:sdt>
        <w:sdtPr>
          <w:rPr>
            <w:rFonts w:cs="Times New Roman"/>
            <w:color w:val="000000"/>
          </w:rPr>
          <w:tag w:val="MENDELEY_CITATION_v3_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"/>
          <w:id w:val="-367074788"/>
          <w:placeholder>
            <w:docPart w:val="FEDA858703184682A582DEEEA3BEA80D"/>
          </w:placeholder>
        </w:sdtPr>
        <w:sdtContent>
          <w:r w:rsidR="001E7ECF" w:rsidRPr="001E7ECF">
            <w:rPr>
              <w:rFonts w:cs="Times New Roman"/>
              <w:color w:val="000000"/>
            </w:rPr>
            <w:t>[20]–[22]</w:t>
          </w:r>
        </w:sdtContent>
      </w:sdt>
      <w:r w:rsidRPr="00322E56">
        <w:rPr>
          <w:rFonts w:cs="Times New Roman"/>
        </w:rPr>
        <w:t xml:space="preserve">. HP-integrated TES (HP-TES) has a smaller space footprint and does not require additional equipment </w:t>
      </w:r>
      <w:sdt>
        <w:sdtPr>
          <w:rPr>
            <w:rFonts w:cs="Times New Roman"/>
            <w:color w:val="000000"/>
          </w:rPr>
          <w:tag w:val="MENDELEY_CITATION_v3_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"/>
          <w:id w:val="-961797140"/>
          <w:placeholder>
            <w:docPart w:val="FEDA858703184682A582DEEEA3BEA80D"/>
          </w:placeholder>
        </w:sdtPr>
        <w:sdtContent>
          <w:r w:rsidR="001E7ECF" w:rsidRPr="001E7ECF">
            <w:rPr>
              <w:rFonts w:cs="Times New Roman"/>
              <w:color w:val="000000"/>
            </w:rPr>
            <w:t>[23], [24]</w:t>
          </w:r>
        </w:sdtContent>
      </w:sdt>
      <w:r w:rsidRPr="00322E56">
        <w:rPr>
          <w:rFonts w:cs="Times New Roman"/>
        </w:rPr>
        <w:t xml:space="preserve">. HPs can control TES charging and discharging using existing equipment </w:t>
      </w:r>
      <w:sdt>
        <w:sdtPr>
          <w:rPr>
            <w:rFonts w:cs="Times New Roman"/>
            <w:color w:val="000000"/>
          </w:rPr>
          <w:tag w:val="MENDELEY_CITATION_v3_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"/>
          <w:id w:val="1503620816"/>
          <w:placeholder>
            <w:docPart w:val="FEDA858703184682A582DEEEA3BEA80D"/>
          </w:placeholder>
        </w:sdtPr>
        <w:sdtContent>
          <w:r w:rsidR="001E7ECF" w:rsidRPr="001E7ECF">
            <w:rPr>
              <w:rFonts w:cs="Times New Roman"/>
              <w:color w:val="000000"/>
            </w:rPr>
            <w:t>[25]</w:t>
          </w:r>
        </w:sdtContent>
      </w:sdt>
      <w:r w:rsidRPr="00322E56">
        <w:rPr>
          <w:rFonts w:cs="Times New Roman"/>
        </w:rPr>
        <w:t xml:space="preserve"> while providing load shifting and cost saving benefits when coupled with a utility tariff </w:t>
      </w:r>
      <w:sdt>
        <w:sdtPr>
          <w:rPr>
            <w:rFonts w:cs="Times New Roman"/>
            <w:color w:val="000000"/>
          </w:rPr>
          <w:tag w:val="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"/>
          <w:id w:val="-570658539"/>
          <w:placeholder>
            <w:docPart w:val="FEDA858703184682A582DEEEA3BEA80D"/>
          </w:placeholder>
        </w:sdtPr>
        <w:sdtContent>
          <w:r w:rsidR="001E7ECF" w:rsidRPr="001E7ECF">
            <w:rPr>
              <w:rFonts w:cs="Times New Roman"/>
              <w:color w:val="000000"/>
            </w:rPr>
            <w:t>[26]–[29]</w:t>
          </w:r>
        </w:sdtContent>
      </w:sdt>
      <w:r w:rsidRPr="00322E56">
        <w:rPr>
          <w:rFonts w:cs="Times New Roman"/>
        </w:rPr>
        <w:t xml:space="preserve">. Phase change material (PCM) TES (PCM-TES) integrated with an HP could save energy, shift the HP loads and energy use from peak to off-peak times, and provide grid flexibility by reducing grid stress during high-demand periods </w:t>
      </w:r>
      <w:sdt>
        <w:sdtPr>
          <w:rPr>
            <w:rFonts w:cs="Times New Roman"/>
            <w:color w:val="000000"/>
            <w:shd w:val="clear" w:color="auto" w:fill="E6E6E6"/>
          </w:rPr>
          <w:tag w:val="MENDELEY_CITATION_v3_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"/>
          <w:id w:val="1334563127"/>
          <w:placeholder>
            <w:docPart w:val="B11D94936EFA4A5D89FF5BA3CC0EC95F"/>
          </w:placeholder>
        </w:sdtPr>
        <w:sdtContent>
          <w:r w:rsidR="001E7ECF" w:rsidRPr="001E7ECF">
            <w:rPr>
              <w:rFonts w:cs="Times New Roman"/>
              <w:color w:val="000000"/>
            </w:rPr>
            <w:t>[30]–[32]</w:t>
          </w:r>
        </w:sdtContent>
      </w:sdt>
      <w:r w:rsidRPr="00322E56">
        <w:rPr>
          <w:rFonts w:cs="Times New Roman"/>
        </w:rPr>
        <w:t>.</w:t>
      </w:r>
    </w:p>
    <w:p w14:paraId="5F67EF10" w14:textId="77777777" w:rsidR="00B17E5F" w:rsidRPr="00322E56" w:rsidRDefault="00B17E5F" w:rsidP="0036072D">
      <w:pPr>
        <w:rPr>
          <w:rFonts w:cs="Times New Roman"/>
        </w:rPr>
      </w:pPr>
      <w:r w:rsidRPr="00322E56">
        <w:rPr>
          <w:rFonts w:cs="Times New Roman"/>
        </w:rPr>
        <w:t>This study provides a comparative review of TES in buildings integrated with HPs. An analysis of cost and demand reduction is provided by comparing HP controls without TES and comparing different configurations of HP-TES. System performance of HP-TES is provided to compare energy savings, demand impact, and payback period against different configurations, TES types, and heating and cooling applications for various climate zones.</w:t>
      </w:r>
    </w:p>
    <w:p w14:paraId="314B17D3" w14:textId="77777777" w:rsidR="00B17E5F" w:rsidRPr="00322E56" w:rsidRDefault="00B17E5F" w:rsidP="00633508">
      <w:pPr>
        <w:pStyle w:val="Heading3"/>
        <w:rPr>
          <w:rFonts w:cs="Times New Roman"/>
        </w:rPr>
      </w:pPr>
      <w:bookmarkStart w:id="26" w:name="_Toc140399809"/>
      <w:r w:rsidRPr="00322E56">
        <w:rPr>
          <w:rFonts w:cs="Times New Roman"/>
        </w:rPr>
        <w:lastRenderedPageBreak/>
        <w:t>Knowledge Gaps</w:t>
      </w:r>
      <w:bookmarkEnd w:id="26"/>
    </w:p>
    <w:p w14:paraId="28DDB96B" w14:textId="6685D020" w:rsidR="00B17E5F" w:rsidRPr="00322E56" w:rsidRDefault="00B17E5F" w:rsidP="00043889">
      <w:pPr>
        <w:rPr>
          <w:rFonts w:cs="Times New Roman"/>
        </w:rPr>
      </w:pPr>
      <w:r w:rsidRPr="00322E56">
        <w:rPr>
          <w:rFonts w:cs="Times New Roman"/>
        </w:rPr>
        <w:t xml:space="preserve">Previous reviews have discussed TES in various applications, including residential buildings </w:t>
      </w:r>
      <w:sdt>
        <w:sdtPr>
          <w:rPr>
            <w:rFonts w:cs="Times New Roman"/>
            <w:color w:val="000000"/>
            <w:shd w:val="clear" w:color="auto" w:fill="E6E6E6"/>
          </w:rPr>
          <w:tag w:val="MENDELEY_CITATION_v3_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"/>
          <w:id w:val="-691609987"/>
          <w:placeholder>
            <w:docPart w:val="AFB1364C681D41F8B1B2A440640ABE7E"/>
          </w:placeholder>
        </w:sdtPr>
        <w:sdtContent>
          <w:r w:rsidR="001E7ECF" w:rsidRPr="001E7ECF">
            <w:rPr>
              <w:rFonts w:cs="Times New Roman"/>
              <w:color w:val="000000"/>
            </w:rPr>
            <w:t>[66]</w:t>
          </w:r>
        </w:sdtContent>
      </w:sdt>
      <w:r w:rsidRPr="00322E56">
        <w:rPr>
          <w:rFonts w:cs="Times New Roman"/>
        </w:rPr>
        <w:t xml:space="preserve">, </w:t>
      </w:r>
      <w:sdt>
        <w:sdtPr>
          <w:rPr>
            <w:rFonts w:cs="Times New Roman"/>
            <w:color w:val="000000"/>
            <w:shd w:val="clear" w:color="auto" w:fill="E6E6E6"/>
          </w:rPr>
          <w:tag w:val="MENDELEY_CITATION_v3_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"/>
          <w:id w:val="685257517"/>
          <w:placeholder>
            <w:docPart w:val="AFB1364C681D41F8B1B2A440640ABE7E"/>
          </w:placeholder>
        </w:sdtPr>
        <w:sdtContent>
          <w:r w:rsidR="001E7ECF" w:rsidRPr="001E7ECF">
            <w:rPr>
              <w:rFonts w:cs="Times New Roman"/>
              <w:color w:val="000000"/>
            </w:rPr>
            <w:t>[67]</w:t>
          </w:r>
        </w:sdtContent>
      </w:sdt>
      <w:r w:rsidRPr="00322E56">
        <w:rPr>
          <w:rFonts w:cs="Times New Roman"/>
        </w:rPr>
        <w:t xml:space="preserve"> and PCMs </w:t>
      </w:r>
      <w:sdt>
        <w:sdtPr>
          <w:rPr>
            <w:rFonts w:cs="Times New Roman"/>
            <w:color w:val="000000"/>
            <w:shd w:val="clear" w:color="auto" w:fill="E6E6E6"/>
          </w:rPr>
          <w:tag w:val="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"/>
          <w:id w:val="-89774607"/>
          <w:placeholder>
            <w:docPart w:val="AFB1364C681D41F8B1B2A440640ABE7E"/>
          </w:placeholder>
        </w:sdtPr>
        <w:sdtContent>
          <w:r w:rsidR="001E7ECF" w:rsidRPr="001E7ECF">
            <w:rPr>
              <w:rFonts w:cs="Times New Roman"/>
              <w:color w:val="000000"/>
            </w:rPr>
            <w:t>[68]–[71]</w:t>
          </w:r>
        </w:sdtContent>
      </w:sdt>
      <w:r w:rsidRPr="00322E56">
        <w:rPr>
          <w:rFonts w:cs="Times New Roman"/>
        </w:rPr>
        <w:t>, but none of them reviewed TES integrated with existing HPs with a focus on controls, configuration, and installation of TES in buildings.</w:t>
      </w:r>
    </w:p>
    <w:p w14:paraId="5D1F0773" w14:textId="77777777" w:rsidR="00B17E5F" w:rsidRPr="00322E56" w:rsidRDefault="00B17E5F" w:rsidP="00043889">
      <w:pPr>
        <w:pStyle w:val="Heading3"/>
        <w:rPr>
          <w:rFonts w:cs="Times New Roman"/>
        </w:rPr>
      </w:pPr>
      <w:bookmarkStart w:id="27" w:name="_Toc140399810"/>
      <w:r w:rsidRPr="00322E56">
        <w:rPr>
          <w:rFonts w:cs="Times New Roman"/>
        </w:rPr>
        <w:t>Existing Reviews</w:t>
      </w:r>
      <w:bookmarkEnd w:id="27"/>
    </w:p>
    <w:p w14:paraId="0A6DAEDB" w14:textId="65D8C63A" w:rsidR="00B17E5F" w:rsidRPr="00322E56" w:rsidRDefault="00B17E5F" w:rsidP="00043889">
      <w:pPr>
        <w:rPr>
          <w:rFonts w:cs="Times New Roman"/>
        </w:rPr>
      </w:pPr>
      <w:r w:rsidRPr="00322E56">
        <w:rPr>
          <w:rFonts w:cs="Times New Roman"/>
        </w:rPr>
        <w:t xml:space="preserve">Navarro et al. </w:t>
      </w:r>
      <w:sdt>
        <w:sdtPr>
          <w:rPr>
            <w:rFonts w:cs="Times New Roman"/>
            <w:color w:val="000000"/>
            <w:shd w:val="clear" w:color="auto" w:fill="E6E6E6"/>
          </w:rPr>
          <w:tag w:val="MENDELEY_CITATION_v3_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"/>
          <w:id w:val="-713729834"/>
          <w:placeholder>
            <w:docPart w:val="3371C3A8D58848B49B182581F4B4420E"/>
          </w:placeholder>
        </w:sdtPr>
        <w:sdtContent>
          <w:r w:rsidR="001E7ECF" w:rsidRPr="001E7ECF">
            <w:rPr>
              <w:rFonts w:cs="Times New Roman"/>
              <w:color w:val="000000"/>
            </w:rPr>
            <w:t>[72]</w:t>
          </w:r>
        </w:sdtContent>
      </w:sdt>
      <w:r w:rsidRPr="00322E56">
        <w:rPr>
          <w:rFonts w:cs="Times New Roman"/>
        </w:rPr>
        <w:t xml:space="preserve"> discussed active storage systems integrated in buildings. Additionally, various reviews discussed the state of the art of PCMs in the building envelope and passive storage </w:t>
      </w:r>
      <w:sdt>
        <w:sdtPr>
          <w:rPr>
            <w:rFonts w:cs="Times New Roman"/>
            <w:color w:val="000000"/>
            <w:shd w:val="clear" w:color="auto" w:fill="E6E6E6"/>
          </w:rPr>
          <w:tag w:val="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"/>
          <w:id w:val="1226573686"/>
          <w:placeholder>
            <w:docPart w:val="3371C3A8D58848B49B182581F4B4420E"/>
          </w:placeholder>
        </w:sdtPr>
        <w:sdtContent>
          <w:r w:rsidR="001E7ECF" w:rsidRPr="001E7ECF">
            <w:rPr>
              <w:rFonts w:cs="Times New Roman"/>
              <w:color w:val="000000"/>
            </w:rPr>
            <w:t>[73]–[76]</w:t>
          </w:r>
        </w:sdtContent>
      </w:sdt>
      <w:r w:rsidRPr="00322E56">
        <w:rPr>
          <w:rFonts w:cs="Times New Roman"/>
        </w:rPr>
        <w:t xml:space="preserve">. Waqas et al. </w:t>
      </w:r>
      <w:sdt>
        <w:sdtPr>
          <w:rPr>
            <w:rFonts w:cs="Times New Roman"/>
            <w:color w:val="000000"/>
            <w:shd w:val="clear" w:color="auto" w:fill="E6E6E6"/>
          </w:rPr>
          <w:tag w:val="MENDELEY_CITATION_v3_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"/>
          <w:id w:val="-623078293"/>
          <w:placeholder>
            <w:docPart w:val="1DF9F766C627466F8D24F532B7FFC0FB"/>
          </w:placeholder>
        </w:sdtPr>
        <w:sdtContent>
          <w:r w:rsidR="001E7ECF" w:rsidRPr="001E7ECF">
            <w:rPr>
              <w:rFonts w:cs="Times New Roman"/>
              <w:color w:val="000000"/>
            </w:rPr>
            <w:t>[77]</w:t>
          </w:r>
        </w:sdtContent>
      </w:sdt>
      <w:r w:rsidRPr="00322E56">
        <w:rPr>
          <w:rFonts w:cs="Times New Roman"/>
        </w:rPr>
        <w:t xml:space="preserve"> presented a comprehensive review of free cooling and discussed design challenges. Some articles studied both active and passive PCM-TES for heating and cooling </w:t>
      </w:r>
      <w:sdt>
        <w:sdtPr>
          <w:rPr>
            <w:rFonts w:cs="Times New Roman"/>
            <w:color w:val="000000"/>
            <w:shd w:val="clear" w:color="auto" w:fill="E6E6E6"/>
          </w:rPr>
          <w:tag w:val="MENDELEY_CITATION_v3_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"/>
          <w:id w:val="-920173429"/>
          <w:placeholder>
            <w:docPart w:val="3371C3A8D58848B49B182581F4B4420E"/>
          </w:placeholder>
        </w:sdtPr>
        <w:sdtContent>
          <w:r w:rsidR="001E7ECF" w:rsidRPr="001E7ECF">
            <w:rPr>
              <w:rFonts w:cs="Times New Roman"/>
              <w:color w:val="000000"/>
            </w:rPr>
            <w:t>[78]</w:t>
          </w:r>
        </w:sdtContent>
      </w:sdt>
      <w:r w:rsidRPr="00322E56">
        <w:rPr>
          <w:rFonts w:cs="Times New Roman"/>
        </w:rPr>
        <w:t xml:space="preserve">, </w:t>
      </w:r>
      <w:sdt>
        <w:sdtPr>
          <w:rPr>
            <w:rFonts w:cs="Times New Roman"/>
            <w:color w:val="000000"/>
            <w:shd w:val="clear" w:color="auto" w:fill="E6E6E6"/>
          </w:rPr>
          <w:tag w:val="MENDELEY_CITATION_v3_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"/>
          <w:id w:val="-1655438092"/>
          <w:placeholder>
            <w:docPart w:val="3371C3A8D58848B49B182581F4B4420E"/>
          </w:placeholder>
        </w:sdtPr>
        <w:sdtContent>
          <w:r w:rsidR="001E7ECF" w:rsidRPr="001E7ECF">
            <w:rPr>
              <w:rFonts w:cs="Times New Roman"/>
              <w:color w:val="000000"/>
            </w:rPr>
            <w:t>[79]</w:t>
          </w:r>
        </w:sdtContent>
      </w:sdt>
      <w:r w:rsidRPr="00322E56">
        <w:rPr>
          <w:rFonts w:cs="Times New Roman"/>
        </w:rPr>
        <w:t xml:space="preserve">. Wahid et al. </w:t>
      </w:r>
      <w:sdt>
        <w:sdtPr>
          <w:rPr>
            <w:rFonts w:cs="Times New Roman"/>
            <w:color w:val="000000"/>
            <w:shd w:val="clear" w:color="auto" w:fill="E6E6E6"/>
          </w:rPr>
          <w:tag w:val="MENDELEY_CITATION_v3_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"/>
          <w:id w:val="-568646916"/>
          <w:placeholder>
            <w:docPart w:val="3371C3A8D58848B49B182581F4B4420E"/>
          </w:placeholder>
        </w:sdtPr>
        <w:sdtContent>
          <w:r w:rsidR="001E7ECF" w:rsidRPr="001E7ECF">
            <w:rPr>
              <w:rFonts w:cs="Times New Roman"/>
              <w:color w:val="000000"/>
            </w:rPr>
            <w:t>[80]</w:t>
          </w:r>
        </w:sdtContent>
      </w:sdt>
      <w:r w:rsidRPr="00322E56">
        <w:rPr>
          <w:rFonts w:cs="Times New Roman"/>
        </w:rPr>
        <w:t xml:space="preserve"> discussed the thermal performance of PCMs in buildings to reduce electric demand. Pasupathy and Velraj </w:t>
      </w:r>
      <w:sdt>
        <w:sdtPr>
          <w:rPr>
            <w:rFonts w:cs="Times New Roman"/>
            <w:color w:val="000000"/>
            <w:shd w:val="clear" w:color="auto" w:fill="E6E6E6"/>
          </w:rPr>
          <w:tag w:val="MENDELEY_CITATION_v3_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"/>
          <w:id w:val="-571891454"/>
          <w:placeholder>
            <w:docPart w:val="3371C3A8D58848B49B182581F4B4420E"/>
          </w:placeholder>
        </w:sdtPr>
        <w:sdtContent>
          <w:r w:rsidR="001E7ECF" w:rsidRPr="001E7ECF">
            <w:rPr>
              <w:rFonts w:cs="Times New Roman"/>
              <w:color w:val="000000"/>
            </w:rPr>
            <w:t>[81]</w:t>
          </w:r>
        </w:sdtContent>
      </w:sdt>
      <w:r w:rsidRPr="00322E56">
        <w:rPr>
          <w:rFonts w:cs="Times New Roman"/>
        </w:rPr>
        <w:t xml:space="preserve"> also reviewed PCMs integrated in buildings and coupled with heating and cooling systems for thermal management. </w:t>
      </w:r>
    </w:p>
    <w:p w14:paraId="2CD9C680" w14:textId="6C772FA9" w:rsidR="00B17E5F" w:rsidRPr="00322E56" w:rsidRDefault="00B17E5F" w:rsidP="00043889">
      <w:pPr>
        <w:rPr>
          <w:rFonts w:cs="Times New Roman"/>
        </w:rPr>
      </w:pPr>
      <w:r w:rsidRPr="00322E56">
        <w:rPr>
          <w:rFonts w:cs="Times New Roman"/>
        </w:rPr>
        <w:t xml:space="preserve">Another comprehensive article with an overview of thermal storage systems discussed diurnal TES systems and briefly analyzed the hot and cold storage of building HVAC systems </w:t>
      </w:r>
      <w:sdt>
        <w:sdtPr>
          <w:rPr>
            <w:rFonts w:cs="Times New Roman"/>
            <w:color w:val="000000"/>
            <w:shd w:val="clear" w:color="auto" w:fill="E6E6E6"/>
          </w:rPr>
          <w:tag w:val="MENDELEY_CITATION_v3_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"/>
          <w:id w:val="1226872079"/>
          <w:placeholder>
            <w:docPart w:val="3371C3A8D58848B49B182581F4B4420E"/>
          </w:placeholder>
        </w:sdtPr>
        <w:sdtContent>
          <w:r w:rsidR="001E7ECF" w:rsidRPr="001E7ECF">
            <w:rPr>
              <w:rFonts w:cs="Times New Roman"/>
              <w:color w:val="000000"/>
            </w:rPr>
            <w:t>[82]</w:t>
          </w:r>
        </w:sdtContent>
      </w:sdt>
      <w:r w:rsidRPr="00322E56">
        <w:rPr>
          <w:rFonts w:cs="Times New Roman"/>
        </w:rPr>
        <w:t xml:space="preserve">. Yang et al. </w:t>
      </w:r>
      <w:sdt>
        <w:sdtPr>
          <w:rPr>
            <w:rFonts w:cs="Times New Roman"/>
            <w:color w:val="000000"/>
            <w:shd w:val="clear" w:color="auto" w:fill="E6E6E6"/>
          </w:rPr>
          <w:tag w:val="MENDELEY_CITATION_v3_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"/>
          <w:id w:val="659272249"/>
          <w:placeholder>
            <w:docPart w:val="9482EBCF09D94C7B85E004E358629C8B"/>
          </w:placeholder>
        </w:sdtPr>
        <w:sdtContent>
          <w:r w:rsidR="001E7ECF" w:rsidRPr="001E7ECF">
            <w:rPr>
              <w:rFonts w:cs="Times New Roman"/>
              <w:color w:val="000000"/>
            </w:rPr>
            <w:t>[83]</w:t>
          </w:r>
        </w:sdtContent>
      </w:sdt>
      <w:r w:rsidRPr="00322E56">
        <w:rPr>
          <w:rFonts w:cs="Times New Roman"/>
        </w:rPr>
        <w:t xml:space="preserve"> presented a review of active storage using PCM and discussed the shortcomings of PCMs for active building energy savings. They also briefly reviewed PCMs in HP and ventilation systems.</w:t>
      </w:r>
    </w:p>
    <w:p w14:paraId="39A0E628" w14:textId="2C96A16E" w:rsidR="00B17E5F" w:rsidRPr="00322E56" w:rsidRDefault="00B17E5F" w:rsidP="00043889">
      <w:pPr>
        <w:rPr>
          <w:rFonts w:cs="Times New Roman"/>
        </w:rPr>
      </w:pPr>
      <w:r w:rsidRPr="00322E56">
        <w:rPr>
          <w:rFonts w:cs="Times New Roman"/>
        </w:rPr>
        <w:t xml:space="preserve">HVAC systems and control strategies for HVAC energy savings have also been reviewed </w:t>
      </w:r>
      <w:sdt>
        <w:sdtPr>
          <w:rPr>
            <w:rFonts w:cs="Times New Roman"/>
            <w:color w:val="000000"/>
            <w:shd w:val="clear" w:color="auto" w:fill="E6E6E6"/>
          </w:rPr>
          <w:tag w:val="MENDELEY_CITATION_v3_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"/>
          <w:id w:val="842821787"/>
          <w:placeholder>
            <w:docPart w:val="3371C3A8D58848B49B182581F4B4420E"/>
          </w:placeholder>
        </w:sdtPr>
        <w:sdtContent>
          <w:r w:rsidR="001E7ECF" w:rsidRPr="001E7ECF">
            <w:rPr>
              <w:rFonts w:cs="Times New Roman"/>
              <w:color w:val="000000"/>
            </w:rPr>
            <w:t>[84]</w:t>
          </w:r>
        </w:sdtContent>
      </w:sdt>
      <w:r w:rsidRPr="00322E56">
        <w:rPr>
          <w:rFonts w:cs="Times New Roman"/>
        </w:rPr>
        <w:t xml:space="preserve">, </w:t>
      </w:r>
      <w:sdt>
        <w:sdtPr>
          <w:rPr>
            <w:rFonts w:cs="Times New Roman"/>
            <w:color w:val="000000"/>
            <w:shd w:val="clear" w:color="auto" w:fill="E6E6E6"/>
          </w:rPr>
          <w:tag w:val="MENDELEY_CITATION_v3_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"/>
          <w:id w:val="1880741080"/>
          <w:placeholder>
            <w:docPart w:val="3371C3A8D58848B49B182581F4B4420E"/>
          </w:placeholder>
        </w:sdtPr>
        <w:sdtContent>
          <w:r w:rsidR="001E7ECF" w:rsidRPr="001E7ECF">
            <w:rPr>
              <w:rFonts w:cs="Times New Roman"/>
              <w:color w:val="000000"/>
            </w:rPr>
            <w:t>[85]</w:t>
          </w:r>
        </w:sdtContent>
      </w:sdt>
      <w:r w:rsidRPr="00322E56">
        <w:rPr>
          <w:rFonts w:cs="Times New Roman"/>
        </w:rPr>
        <w:t xml:space="preserve">. Neil Hewitt </w:t>
      </w:r>
      <w:sdt>
        <w:sdtPr>
          <w:rPr>
            <w:rFonts w:cs="Times New Roman"/>
            <w:color w:val="000000"/>
            <w:shd w:val="clear" w:color="auto" w:fill="E6E6E6"/>
          </w:rPr>
          <w:tag w:val="MENDELEY_CITATION_v3_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"/>
          <w:id w:val="-1128089292"/>
          <w:placeholder>
            <w:docPart w:val="3371C3A8D58848B49B182581F4B4420E"/>
          </w:placeholder>
        </w:sdtPr>
        <w:sdtContent>
          <w:r w:rsidR="001E7ECF" w:rsidRPr="001E7ECF">
            <w:rPr>
              <w:rFonts w:cs="Times New Roman"/>
              <w:color w:val="000000"/>
            </w:rPr>
            <w:t>[86]</w:t>
          </w:r>
        </w:sdtContent>
      </w:sdt>
      <w:r w:rsidRPr="00322E56">
        <w:rPr>
          <w:rFonts w:cs="Times New Roman"/>
        </w:rPr>
        <w:t xml:space="preserve"> presented an overview of HPs and energy storage for thermal load management. Rashidi</w:t>
      </w:r>
      <w:r w:rsidRPr="00322E56" w:rsidDel="00281690">
        <w:rPr>
          <w:rFonts w:cs="Times New Roman"/>
        </w:rPr>
        <w:t xml:space="preserve"> </w:t>
      </w:r>
      <w:r w:rsidRPr="00322E56">
        <w:rPr>
          <w:rFonts w:cs="Times New Roman"/>
        </w:rPr>
        <w:t xml:space="preserve">et al. reviewed the potential of combining PCMs with heat pipes and HPs </w:t>
      </w:r>
      <w:sdt>
        <w:sdtPr>
          <w:rPr>
            <w:rFonts w:cs="Times New Roman"/>
            <w:color w:val="000000"/>
            <w:shd w:val="clear" w:color="auto" w:fill="E6E6E6"/>
          </w:rPr>
          <w:tag w:val="MENDELEY_CITATION_v3_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"/>
          <w:id w:val="1157579545"/>
          <w:placeholder>
            <w:docPart w:val="3371C3A8D58848B49B182581F4B4420E"/>
          </w:placeholder>
        </w:sdtPr>
        <w:sdtContent>
          <w:r w:rsidR="001E7ECF" w:rsidRPr="001E7ECF">
            <w:rPr>
              <w:rFonts w:cs="Times New Roman"/>
              <w:color w:val="000000"/>
            </w:rPr>
            <w:t>[87]</w:t>
          </w:r>
        </w:sdtContent>
      </w:sdt>
      <w:r w:rsidRPr="00322E56">
        <w:rPr>
          <w:rFonts w:cs="Times New Roman"/>
        </w:rPr>
        <w:t xml:space="preserve">. They discussed various types of HPs, modeling of materials, and energy saving benefits of combining PCMs with different HPs and types. </w:t>
      </w:r>
    </w:p>
    <w:p w14:paraId="6CAA5536" w14:textId="3954CEE9" w:rsidR="00B17E5F" w:rsidRPr="00322E56" w:rsidRDefault="00B17E5F" w:rsidP="00043889">
      <w:pPr>
        <w:rPr>
          <w:rFonts w:cs="Times New Roman"/>
        </w:rPr>
      </w:pPr>
      <w:r w:rsidRPr="00322E56">
        <w:rPr>
          <w:rFonts w:cs="Times New Roman"/>
        </w:rPr>
        <w:t xml:space="preserve">In a recent review of a compression HP coupled with TES for space conditioning, Osterman and Stritih </w:t>
      </w:r>
      <w:sdt>
        <w:sdtPr>
          <w:rPr>
            <w:rFonts w:cs="Times New Roman"/>
            <w:color w:val="000000"/>
            <w:shd w:val="clear" w:color="auto" w:fill="E6E6E6"/>
          </w:rPr>
          <w:tag w:val="MENDELEY_CITATION_v3_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"/>
          <w:id w:val="-1069339538"/>
          <w:placeholder>
            <w:docPart w:val="156C82B4EFCB4C9092C7EB016FE2E3BE"/>
          </w:placeholder>
        </w:sdtPr>
        <w:sdtContent>
          <w:r w:rsidR="001E7ECF" w:rsidRPr="001E7ECF">
            <w:rPr>
              <w:rFonts w:cs="Times New Roman"/>
              <w:color w:val="000000"/>
            </w:rPr>
            <w:t>[88]</w:t>
          </w:r>
        </w:sdtContent>
      </w:sdt>
      <w:r w:rsidRPr="00322E56">
        <w:rPr>
          <w:rFonts w:cs="Times New Roman"/>
        </w:rPr>
        <w:t xml:space="preserve"> analyzed HP-TES performance for economic and continuous operation and to enable a larger share of renewables. They compared different storage mediums and studied the impact of TES implementation on the system operation, energy </w:t>
      </w:r>
      <w:r w:rsidRPr="00322E56">
        <w:rPr>
          <w:rFonts w:cs="Times New Roman"/>
        </w:rPr>
        <w:lastRenderedPageBreak/>
        <w:t>efficiency, and cost-effectiveness. They studied various types of HPs for heat recovery and to exploit their efficiency while using low-grade energy. The performance indicators were TES size, COP, storage capacity, and greenhouse gas emissions.</w:t>
      </w:r>
    </w:p>
    <w:p w14:paraId="5D93D9CC" w14:textId="0EF14C27" w:rsidR="00B17E5F" w:rsidRPr="00322E56" w:rsidRDefault="00B17E5F" w:rsidP="00043889">
      <w:pPr>
        <w:rPr>
          <w:rFonts w:cs="Times New Roman"/>
        </w:rPr>
      </w:pPr>
      <w:r w:rsidRPr="00322E56">
        <w:rPr>
          <w:rFonts w:cs="Times New Roman"/>
        </w:rPr>
        <w:t xml:space="preserve">Takudzwa Muzhanje et al. </w:t>
      </w:r>
      <w:sdt>
        <w:sdtPr>
          <w:rPr>
            <w:rFonts w:cs="Times New Roman"/>
            <w:color w:val="000000"/>
            <w:shd w:val="clear" w:color="auto" w:fill="E6E6E6"/>
          </w:rPr>
          <w:tag w:val="MENDELEY_CITATION_v3_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"/>
          <w:id w:val="558762797"/>
          <w:placeholder>
            <w:docPart w:val="3371C3A8D58848B49B182581F4B4420E"/>
          </w:placeholder>
        </w:sdtPr>
        <w:sdtContent>
          <w:r w:rsidR="001E7ECF" w:rsidRPr="001E7ECF">
            <w:rPr>
              <w:rFonts w:cs="Times New Roman"/>
              <w:color w:val="000000"/>
            </w:rPr>
            <w:t>[89]</w:t>
          </w:r>
        </w:sdtContent>
      </w:sdt>
      <w:r w:rsidRPr="00322E56">
        <w:rPr>
          <w:rFonts w:cs="Times New Roman"/>
          <w:color w:val="000000"/>
        </w:rPr>
        <w:t xml:space="preserve"> </w:t>
      </w:r>
      <w:r w:rsidRPr="00322E56">
        <w:rPr>
          <w:rFonts w:cs="Times New Roman"/>
        </w:rPr>
        <w:t xml:space="preserve">presented a review of PCM-TES applications for A/C with a focus on PCM heat transfer and potential benefits such as energy savings and COP improvement. Ermel et al. </w:t>
      </w:r>
      <w:sdt>
        <w:sdtPr>
          <w:rPr>
            <w:rFonts w:cs="Times New Roman"/>
            <w:color w:val="000000"/>
            <w:shd w:val="clear" w:color="auto" w:fill="E6E6E6"/>
          </w:rPr>
          <w:tag w:val="MENDELEY_CITATION_v3_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"/>
          <w:id w:val="179255094"/>
          <w:placeholder>
            <w:docPart w:val="3371C3A8D58848B49B182581F4B4420E"/>
          </w:placeholder>
        </w:sdtPr>
        <w:sdtContent>
          <w:r w:rsidR="001E7ECF" w:rsidRPr="001E7ECF">
            <w:rPr>
              <w:rFonts w:cs="Times New Roman"/>
              <w:color w:val="000000"/>
            </w:rPr>
            <w:t>[90]</w:t>
          </w:r>
        </w:sdtContent>
      </w:sdt>
      <w:r w:rsidRPr="00322E56">
        <w:rPr>
          <w:rFonts w:cs="Times New Roman"/>
          <w:color w:val="000000"/>
        </w:rPr>
        <w:t xml:space="preserve"> performed a bibliometric analysis of thermal storage with an </w:t>
      </w:r>
      <w:r w:rsidRPr="00322E56">
        <w:rPr>
          <w:rFonts w:cs="Times New Roman"/>
        </w:rPr>
        <w:t>air source heat pump</w:t>
      </w:r>
      <w:r w:rsidRPr="00322E56">
        <w:rPr>
          <w:rFonts w:cs="Times New Roman"/>
          <w:color w:val="000000"/>
        </w:rPr>
        <w:t xml:space="preserve"> (ASHP)</w:t>
      </w:r>
      <w:r w:rsidRPr="00322E56">
        <w:rPr>
          <w:rFonts w:cs="Times New Roman"/>
        </w:rPr>
        <w:t xml:space="preserve">. Gu et al. </w:t>
      </w:r>
      <w:sdt>
        <w:sdtPr>
          <w:rPr>
            <w:rFonts w:cs="Times New Roman"/>
            <w:color w:val="000000"/>
            <w:shd w:val="clear" w:color="auto" w:fill="E6E6E6"/>
          </w:rPr>
          <w:tag w:val="MENDELEY_CITATION_v3_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"/>
          <w:id w:val="-795212920"/>
          <w:placeholder>
            <w:docPart w:val="AA900629ADDB45D6A124B37EBFB76E44"/>
          </w:placeholder>
        </w:sdtPr>
        <w:sdtContent>
          <w:r w:rsidR="001E7ECF" w:rsidRPr="001E7ECF">
            <w:rPr>
              <w:rFonts w:cs="Times New Roman"/>
              <w:color w:val="000000"/>
            </w:rPr>
            <w:t>[91]</w:t>
          </w:r>
        </w:sdtContent>
      </w:sdt>
      <w:r w:rsidRPr="00322E56">
        <w:rPr>
          <w:rFonts w:cs="Times New Roman"/>
        </w:rPr>
        <w:t xml:space="preserve"> examined combining PCMs with HPs in applications such as heat storage, defrosting, and renewable energy integration.</w:t>
      </w:r>
    </w:p>
    <w:p w14:paraId="0C175795" w14:textId="77777777" w:rsidR="00B17E5F" w:rsidRPr="00322E56" w:rsidRDefault="00B17E5F" w:rsidP="00C04DD8">
      <w:pPr>
        <w:pStyle w:val="Heading3"/>
        <w:rPr>
          <w:rFonts w:cs="Times New Roman"/>
        </w:rPr>
      </w:pPr>
      <w:bookmarkStart w:id="28" w:name="_Toc140399811"/>
      <w:r w:rsidRPr="00322E56">
        <w:rPr>
          <w:rFonts w:cs="Times New Roman"/>
        </w:rPr>
        <w:t>Objectives</w:t>
      </w:r>
      <w:bookmarkEnd w:id="28"/>
    </w:p>
    <w:p w14:paraId="768794E4" w14:textId="77777777" w:rsidR="00B17E5F" w:rsidRPr="00322E56" w:rsidRDefault="00B17E5F" w:rsidP="00C04DD8">
      <w:pPr>
        <w:rPr>
          <w:rFonts w:cs="Times New Roman"/>
        </w:rPr>
      </w:pPr>
      <w:r w:rsidRPr="00322E56">
        <w:rPr>
          <w:rFonts w:cs="Times New Roman"/>
        </w:rPr>
        <w:t>In this chapter, we reviewed HPs integrated with latent TES to reduce the space conditioning cost, save energy, and shift electric demand in buildings and present a detailed analysis of reported results. The study provides a comparison of active and passive HPs integrated with TES systems and how different configurations influence performance. Although many reviews cover PCMs in buildings, a review has not been published on HP-TES in buildings to present a technoeconomic analysis. This work provides a review of HP-TES with a focus on system configuration, heat exchanger types, charging methods, and available operating modes. The configuration includes TES location with regard to HP components and within the building. This study presents an analysis of the impact on DR, energy consumption, and cost for these systems. The analysis was conducted for three systems:</w:t>
      </w:r>
    </w:p>
    <w:p w14:paraId="4A67DDA6" w14:textId="77777777" w:rsidR="00B17E5F" w:rsidRPr="00322E56" w:rsidRDefault="00B17E5F" w:rsidP="00C04DD8">
      <w:pPr>
        <w:pStyle w:val="ListParagraph"/>
        <w:numPr>
          <w:ilvl w:val="0"/>
          <w:numId w:val="1"/>
        </w:numPr>
        <w:rPr>
          <w:rFonts w:cs="Times New Roman"/>
        </w:rPr>
      </w:pPr>
      <w:r w:rsidRPr="00322E56">
        <w:rPr>
          <w:rFonts w:cs="Times New Roman"/>
        </w:rPr>
        <w:t>An HP without TES, discussing control strategies for demand impact.</w:t>
      </w:r>
    </w:p>
    <w:p w14:paraId="0DAEF5A9" w14:textId="77777777" w:rsidR="00B17E5F" w:rsidRPr="00322E56" w:rsidRDefault="00B17E5F" w:rsidP="00C04DD8">
      <w:pPr>
        <w:pStyle w:val="ListParagraph"/>
        <w:numPr>
          <w:ilvl w:val="0"/>
          <w:numId w:val="1"/>
        </w:numPr>
        <w:rPr>
          <w:rFonts w:cs="Times New Roman"/>
        </w:rPr>
      </w:pPr>
      <w:r w:rsidRPr="00322E56">
        <w:rPr>
          <w:rFonts w:cs="Times New Roman"/>
        </w:rPr>
        <w:t>Passive HP-TES connected to an A/C or ventilation system.</w:t>
      </w:r>
    </w:p>
    <w:p w14:paraId="0C130B65" w14:textId="77777777" w:rsidR="00B17E5F" w:rsidRPr="00322E56" w:rsidRDefault="00B17E5F" w:rsidP="00C04DD8">
      <w:pPr>
        <w:pStyle w:val="ListParagraph"/>
        <w:numPr>
          <w:ilvl w:val="0"/>
          <w:numId w:val="1"/>
        </w:numPr>
        <w:rPr>
          <w:rFonts w:cs="Times New Roman"/>
        </w:rPr>
      </w:pPr>
      <w:r w:rsidRPr="00322E56">
        <w:rPr>
          <w:rFonts w:cs="Times New Roman"/>
        </w:rPr>
        <w:t>Active HP-TES embedded in or coupled with HP components.</w:t>
      </w:r>
    </w:p>
    <w:p w14:paraId="51A8E19B" w14:textId="77777777" w:rsidR="00B17E5F" w:rsidRPr="00322E56" w:rsidRDefault="00B17E5F" w:rsidP="00C04DD8">
      <w:pPr>
        <w:pStyle w:val="Heading3"/>
        <w:rPr>
          <w:rFonts w:cs="Times New Roman"/>
        </w:rPr>
      </w:pPr>
      <w:bookmarkStart w:id="29" w:name="_Toc140399812"/>
      <w:r w:rsidRPr="00322E56">
        <w:rPr>
          <w:rFonts w:cs="Times New Roman"/>
        </w:rPr>
        <w:lastRenderedPageBreak/>
        <w:t>Scope and Organization</w:t>
      </w:r>
      <w:bookmarkEnd w:id="29"/>
    </w:p>
    <w:p w14:paraId="56E3CED3" w14:textId="77777777" w:rsidR="00B17E5F" w:rsidRPr="00322E56" w:rsidRDefault="00B17E5F" w:rsidP="00C04DD8">
      <w:pPr>
        <w:rPr>
          <w:rFonts w:cs="Times New Roman"/>
        </w:rPr>
      </w:pPr>
      <w:r w:rsidRPr="00322E56">
        <w:rPr>
          <w:rFonts w:cs="Times New Roman"/>
        </w:rPr>
        <w:t>This study presents a comparative review of TES in buildings integrated with HPs with a focus on configurations and controls. The impact of various configurations on performance is evaluated for energy, cost, and demand reduction.</w:t>
      </w:r>
    </w:p>
    <w:p w14:paraId="7C82547B" w14:textId="77777777" w:rsidR="00B17E5F" w:rsidRPr="00322E56" w:rsidRDefault="00B17E5F" w:rsidP="00C04DD8">
      <w:pPr>
        <w:rPr>
          <w:rFonts w:cs="Times New Roman"/>
        </w:rPr>
      </w:pPr>
      <w:r w:rsidRPr="00322E56">
        <w:rPr>
          <w:rFonts w:cs="Times New Roman"/>
        </w:rPr>
        <w:t xml:space="preserve">The </w:t>
      </w:r>
      <w:r>
        <w:rPr>
          <w:rFonts w:cs="Times New Roman"/>
        </w:rPr>
        <w:t>chapter</w:t>
      </w:r>
      <w:r w:rsidRPr="00322E56">
        <w:rPr>
          <w:rFonts w:cs="Times New Roman"/>
        </w:rPr>
        <w:t xml:space="preserve"> is divided into seven sections. </w:t>
      </w:r>
    </w:p>
    <w:p w14:paraId="2EEFFF1A" w14:textId="77777777" w:rsidR="00B17E5F" w:rsidRPr="00322E56" w:rsidRDefault="00B17E5F" w:rsidP="00C04DD8">
      <w:pPr>
        <w:rPr>
          <w:rFonts w:cs="Times New Roman"/>
        </w:rPr>
      </w:pPr>
      <w:r w:rsidRPr="00322E56">
        <w:rPr>
          <w:rFonts w:cs="Times New Roman"/>
        </w:rPr>
        <w:t xml:space="preserve">Section 1 introduces the study, defines the scope and objectives, and highlights the gaps in existing literature. Section 2 provides the background on DR and TES in buildings and provides definitions used in this work. </w:t>
      </w:r>
    </w:p>
    <w:p w14:paraId="481A4B35" w14:textId="77777777" w:rsidR="00B17E5F" w:rsidRPr="00322E56" w:rsidRDefault="00B17E5F" w:rsidP="00C04DD8">
      <w:pPr>
        <w:rPr>
          <w:rFonts w:cs="Times New Roman"/>
        </w:rPr>
      </w:pPr>
      <w:r w:rsidRPr="00322E56">
        <w:rPr>
          <w:rFonts w:cs="Times New Roman"/>
        </w:rPr>
        <w:t>Section 3 provides a literature review of HP controls for DR and cost savings without TES and an impact analysis of HP-TES configurations. It presents an analysis on passive and active HP-TES configurations by comparing performance metrics (energy savings, cost savings, and demand impact) against the PCM type, temperature, and location in HP-TES. We focused on evaluating plumbing configurations, refrigerant integration, and a hydronic heat exchanger (HX) for TES installation in an HP-TES system.</w:t>
      </w:r>
    </w:p>
    <w:p w14:paraId="33C40406" w14:textId="77777777" w:rsidR="00B17E5F" w:rsidRPr="00322E56" w:rsidRDefault="00B17E5F" w:rsidP="00C04DD8">
      <w:pPr>
        <w:rPr>
          <w:rFonts w:cs="Times New Roman"/>
        </w:rPr>
      </w:pPr>
      <w:r w:rsidRPr="00322E56">
        <w:rPr>
          <w:rFonts w:cs="Times New Roman"/>
        </w:rPr>
        <w:t xml:space="preserve">Section 4 explains the results from the literature review and focuses on comparative research trends on HP-TES in literature. A bibliographic analysis is presented on different PCMs used for heating or cooling HP-TES applications in various climate zones. A historical trend is provided for experimental and simulation studies on HP-TES in various configurations. </w:t>
      </w:r>
    </w:p>
    <w:p w14:paraId="01DB36DF" w14:textId="77777777" w:rsidR="00B17E5F" w:rsidRPr="00322E56" w:rsidRDefault="00B17E5F" w:rsidP="00C04DD8">
      <w:pPr>
        <w:rPr>
          <w:rFonts w:cs="Times New Roman"/>
        </w:rPr>
      </w:pPr>
      <w:r w:rsidRPr="00322E56">
        <w:rPr>
          <w:rFonts w:cs="Times New Roman"/>
        </w:rPr>
        <w:t xml:space="preserve">Section 5 provides a technoeconomic analysis on active HP-TES configurations, comparing energy, cost, and demand reduction. It further provides a comparative cost and demand analysis (payback period and load shifting) of active and passive HP-TES. Finally, an overall performance analysis of cost savings and load shifting is presented to compare cases with and without TES. </w:t>
      </w:r>
    </w:p>
    <w:p w14:paraId="51D4B093" w14:textId="77777777" w:rsidR="00B17E5F" w:rsidRPr="00322E56" w:rsidRDefault="00B17E5F" w:rsidP="00E813DE">
      <w:pPr>
        <w:rPr>
          <w:rFonts w:cs="Times New Roman"/>
        </w:rPr>
      </w:pPr>
      <w:r w:rsidRPr="00322E56">
        <w:rPr>
          <w:rFonts w:cs="Times New Roman"/>
        </w:rPr>
        <w:t>Section 6 provides a discussion and summarizes possible future work. Section 7 summarizes the conclusions of this study.</w:t>
      </w:r>
    </w:p>
    <w:p w14:paraId="6786CDA5" w14:textId="77777777" w:rsidR="00B17E5F" w:rsidRPr="00E813DE" w:rsidRDefault="00B17E5F" w:rsidP="00E813DE">
      <w:pPr>
        <w:pStyle w:val="Heading2"/>
        <w:rPr>
          <w:rFonts w:cs="Times New Roman"/>
          <w:szCs w:val="24"/>
        </w:rPr>
      </w:pPr>
      <w:bookmarkStart w:id="30" w:name="_Toc140399813"/>
      <w:bookmarkEnd w:id="23"/>
      <w:r w:rsidRPr="00322E56">
        <w:rPr>
          <w:rFonts w:cs="Times New Roman"/>
          <w:szCs w:val="24"/>
        </w:rPr>
        <w:lastRenderedPageBreak/>
        <w:t>Background</w:t>
      </w:r>
      <w:bookmarkEnd w:id="30"/>
    </w:p>
    <w:p w14:paraId="398C2668" w14:textId="61516C1F" w:rsidR="00B17E5F" w:rsidRPr="00322E56" w:rsidRDefault="00B17E5F" w:rsidP="005E54E2">
      <w:pPr>
        <w:rPr>
          <w:rFonts w:cs="Times New Roman"/>
        </w:rPr>
      </w:pPr>
      <w:r w:rsidRPr="00322E56">
        <w:rPr>
          <w:rFonts w:cs="Times New Roman"/>
        </w:rPr>
        <w:t xml:space="preserve">The power grids around the world are undergoing major changes to address the ever-increasing energy demand and maintain physical and economic stability </w:t>
      </w:r>
      <w:sdt>
        <w:sdtPr>
          <w:rPr>
            <w:rFonts w:cs="Times New Roman"/>
            <w:color w:val="000000"/>
          </w:rPr>
          <w:tag w:val="MENDELEY_CITATION_v3_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"/>
          <w:id w:val="-1858256532"/>
          <w:placeholder>
            <w:docPart w:val="071E162ADF9C46688E108AE112B22125"/>
          </w:placeholder>
        </w:sdtPr>
        <w:sdtContent>
          <w:r w:rsidR="001E7ECF" w:rsidRPr="001E7ECF">
            <w:rPr>
              <w:rFonts w:cs="Times New Roman"/>
              <w:color w:val="000000"/>
            </w:rPr>
            <w:t>[92]</w:t>
          </w:r>
        </w:sdtContent>
      </w:sdt>
      <w:r w:rsidRPr="00322E56">
        <w:rPr>
          <w:rFonts w:cs="Times New Roman"/>
        </w:rPr>
        <w:t>. The technological advances and flexibility in the design and operation of HPs can allow them to overcome these new load patterns. Modern high-efficiency HPs and appliances can provide some energy savings but do not generally help with demand management and grid stress. Many researchers have used different HP control strategies for DR. Section 2.1 explains these controls to achieve building flexibility.</w:t>
      </w:r>
    </w:p>
    <w:p w14:paraId="50AA3A19" w14:textId="77777777" w:rsidR="00B17E5F" w:rsidRPr="00322E56" w:rsidRDefault="00B17E5F" w:rsidP="00334400">
      <w:pPr>
        <w:pStyle w:val="Heading3"/>
        <w:rPr>
          <w:rFonts w:cs="Times New Roman"/>
          <w:szCs w:val="24"/>
        </w:rPr>
      </w:pPr>
      <w:bookmarkStart w:id="31" w:name="_Toc140399814"/>
      <w:r w:rsidRPr="00322E56">
        <w:rPr>
          <w:rFonts w:cs="Times New Roman"/>
          <w:szCs w:val="24"/>
        </w:rPr>
        <w:t>DR and Building Flexibility</w:t>
      </w:r>
      <w:bookmarkEnd w:id="31"/>
    </w:p>
    <w:p w14:paraId="2D83B483" w14:textId="47B33541" w:rsidR="00B17E5F" w:rsidRPr="00322E56" w:rsidRDefault="00B17E5F" w:rsidP="00F00169">
      <w:pPr>
        <w:rPr>
          <w:rFonts w:cs="Times New Roman"/>
        </w:rPr>
      </w:pPr>
      <w:r w:rsidRPr="00322E56">
        <w:rPr>
          <w:rFonts w:cs="Times New Roman"/>
        </w:rPr>
        <w:t xml:space="preserve">Building energy flexibility, as defined by IEA EBC Annex 67 is "the building ability to manage its demand and generation according to local climate conditions, user needs, and energy network requirements" (IEA EBC Annex 67). The building structure and HVAC system can achieve this flexibility while maintaining the occupants' comfort </w:t>
      </w:r>
      <w:sdt>
        <w:sdtPr>
          <w:rPr>
            <w:rFonts w:cs="Times New Roman"/>
            <w:color w:val="000000"/>
          </w:rPr>
          <w:tag w:val="MENDELEY_CITATION_v3_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"/>
          <w:id w:val="-1886091620"/>
          <w:placeholder>
            <w:docPart w:val="DefaultPlaceholder_-1854013440"/>
          </w:placeholder>
        </w:sdtPr>
        <w:sdtEndPr>
          <w:rPr>
            <w:rFonts w:cs="Arial"/>
          </w:rPr>
        </w:sdtEndPr>
        <w:sdtContent>
          <w:r w:rsidR="001E7ECF" w:rsidRPr="001E7ECF">
            <w:rPr>
              <w:color w:val="000000"/>
            </w:rPr>
            <w:t>[56]</w:t>
          </w:r>
        </w:sdtContent>
      </w:sdt>
      <w:r w:rsidRPr="00322E56">
        <w:rPr>
          <w:rFonts w:cs="Times New Roman"/>
        </w:rPr>
        <w:t xml:space="preserve">, </w:t>
      </w:r>
      <w:sdt>
        <w:sdtPr>
          <w:rPr>
            <w:rFonts w:cs="Times New Roman"/>
            <w:color w:val="000000"/>
          </w:rPr>
          <w:tag w:val="MENDELEY_CITATION_v3_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"/>
          <w:id w:val="-2017757730"/>
          <w:placeholder>
            <w:docPart w:val="DefaultPlaceholder_-1854013440"/>
          </w:placeholder>
        </w:sdtPr>
        <w:sdtEndPr>
          <w:rPr>
            <w:rFonts w:cs="Arial"/>
          </w:rPr>
        </w:sdtEndPr>
        <w:sdtContent>
          <w:r w:rsidR="001E7ECF" w:rsidRPr="001E7ECF">
            <w:rPr>
              <w:color w:val="000000"/>
            </w:rPr>
            <w:t>[57]</w:t>
          </w:r>
        </w:sdtContent>
      </w:sdt>
      <w:r w:rsidRPr="00322E56">
        <w:rPr>
          <w:rFonts w:cs="Times New Roman"/>
        </w:rPr>
        <w:t xml:space="preserve">. </w:t>
      </w:r>
    </w:p>
    <w:p w14:paraId="30B0E0DB" w14:textId="4F809EC0" w:rsidR="00B17E5F" w:rsidRPr="00322E56" w:rsidRDefault="00B17E5F" w:rsidP="009075C4">
      <w:pPr>
        <w:rPr>
          <w:rFonts w:cs="Times New Roman"/>
        </w:rPr>
      </w:pPr>
      <w:r w:rsidRPr="00322E56">
        <w:rPr>
          <w:rFonts w:cs="Times New Roman"/>
        </w:rPr>
        <w:t xml:space="preserve">The Demand Response ‘D.R.’ can be defined as “changes in electric use by demand-side resources from their normal consumption patterns in response to changes in the price of electricity, or to incentive payments designed to induce lower electricity use at times of high wholesale market prices or when system reliability is jeopardized” </w:t>
      </w:r>
      <w:sdt>
        <w:sdtPr>
          <w:rPr>
            <w:rFonts w:cs="Times New Roman"/>
            <w:color w:val="000000"/>
          </w:rPr>
          <w:tag w:val="MENDELEY_CITATION_v3_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"/>
          <w:id w:val="470877077"/>
          <w:placeholder>
            <w:docPart w:val="DefaultPlaceholder_-1854013440"/>
          </w:placeholder>
        </w:sdtPr>
        <w:sdtEndPr>
          <w:rPr>
            <w:rFonts w:cs="Arial"/>
          </w:rPr>
        </w:sdtEndPr>
        <w:sdtContent>
          <w:r w:rsidR="001E7ECF" w:rsidRPr="001E7ECF">
            <w:rPr>
              <w:color w:val="000000"/>
            </w:rPr>
            <w:t>[50]</w:t>
          </w:r>
        </w:sdtContent>
      </w:sdt>
    </w:p>
    <w:p w14:paraId="0CAEEE2E" w14:textId="0710CD0B" w:rsidR="00B17E5F" w:rsidRPr="00322E56" w:rsidRDefault="00B17E5F" w:rsidP="009075C4">
      <w:pPr>
        <w:rPr>
          <w:rFonts w:cs="Times New Roman"/>
        </w:rPr>
      </w:pPr>
      <w:r w:rsidRPr="00322E56">
        <w:rPr>
          <w:rFonts w:cs="Times New Roman"/>
        </w:rPr>
        <w:t xml:space="preserve">A DR strategy can be designed for load shifting </w:t>
      </w:r>
      <w:sdt>
        <w:sdtPr>
          <w:rPr>
            <w:rFonts w:cs="Times New Roman"/>
            <w:color w:val="000000"/>
            <w:shd w:val="clear" w:color="auto" w:fill="E6E6E6"/>
          </w:rPr>
          <w:tag w:val="MENDELEY_CITATION_v3_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"/>
          <w:id w:val="-306473512"/>
          <w:placeholder>
            <w:docPart w:val="592F187AFD3E43D4A01B752ED8FBA655"/>
          </w:placeholder>
        </w:sdtPr>
        <w:sdtContent>
          <w:r w:rsidR="001E7ECF" w:rsidRPr="001E7ECF">
            <w:rPr>
              <w:rFonts w:cs="Times New Roman"/>
              <w:color w:val="000000"/>
            </w:rPr>
            <w:t>[93]</w:t>
          </w:r>
        </w:sdtContent>
      </w:sdt>
      <w:r w:rsidRPr="00322E56">
        <w:rPr>
          <w:rFonts w:cs="Times New Roman"/>
        </w:rPr>
        <w:t xml:space="preserve">, </w:t>
      </w:r>
      <w:sdt>
        <w:sdtPr>
          <w:rPr>
            <w:rFonts w:cs="Times New Roman"/>
            <w:color w:val="000000"/>
            <w:shd w:val="clear" w:color="auto" w:fill="E6E6E6"/>
          </w:rPr>
          <w:tag w:val="MENDELEY_CITATION_v3_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"/>
          <w:id w:val="2058588733"/>
          <w:placeholder>
            <w:docPart w:val="592F187AFD3E43D4A01B752ED8FBA655"/>
          </w:placeholder>
        </w:sdtPr>
        <w:sdtContent>
          <w:r w:rsidR="001E7ECF" w:rsidRPr="001E7ECF">
            <w:rPr>
              <w:rFonts w:cs="Times New Roman"/>
              <w:color w:val="000000"/>
            </w:rPr>
            <w:t>[94]</w:t>
          </w:r>
        </w:sdtContent>
      </w:sdt>
      <w:r w:rsidRPr="00322E56">
        <w:rPr>
          <w:rFonts w:cs="Times New Roman"/>
        </w:rPr>
        <w:t xml:space="preserve">. Many utility providers have a rate schedule that defines peak and off-peak hours of operations. During the high-demand (peak) period, the utility rate is usually higher than the normal (off-peak) hours. Consumers can take advantage of this scenario by load shifting, in which loads are shifted from peak to off-peak hours. Load shifting can also reduce grid stress, providing more flexibility as the energy usage during the high-demand periods decreases </w:t>
      </w:r>
      <w:sdt>
        <w:sdtPr>
          <w:rPr>
            <w:rFonts w:cs="Times New Roman"/>
            <w:color w:val="000000"/>
          </w:rPr>
          <w:tag w:val="MENDELEY_CITATION_v3_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"/>
          <w:id w:val="1532067277"/>
          <w:placeholder>
            <w:docPart w:val="0AA1E9BED9024A12817B0B5A981288DA"/>
          </w:placeholder>
        </w:sdtPr>
        <w:sdtContent>
          <w:r w:rsidR="001E7ECF" w:rsidRPr="001E7ECF">
            <w:rPr>
              <w:rFonts w:cs="Times New Roman"/>
              <w:color w:val="000000"/>
            </w:rPr>
            <w:t>[95]</w:t>
          </w:r>
        </w:sdtContent>
      </w:sdt>
      <w:r w:rsidRPr="00322E56">
        <w:rPr>
          <w:rFonts w:cs="Times New Roman"/>
        </w:rPr>
        <w:t>.</w:t>
      </w:r>
    </w:p>
    <w:p w14:paraId="2DF40C2A" w14:textId="77777777" w:rsidR="00B17E5F" w:rsidRPr="00322E56" w:rsidRDefault="00B17E5F" w:rsidP="00F00169">
      <w:pPr>
        <w:pStyle w:val="Heading3"/>
        <w:rPr>
          <w:rFonts w:cs="Times New Roman"/>
        </w:rPr>
      </w:pPr>
      <w:bookmarkStart w:id="32" w:name="_Toc140399815"/>
      <w:r w:rsidRPr="00322E56">
        <w:rPr>
          <w:rFonts w:cs="Times New Roman"/>
        </w:rPr>
        <w:lastRenderedPageBreak/>
        <w:t>Utility Rate Structures</w:t>
      </w:r>
      <w:bookmarkEnd w:id="32"/>
    </w:p>
    <w:p w14:paraId="06837C9B" w14:textId="77777777" w:rsidR="00B17E5F" w:rsidRPr="00322E56" w:rsidRDefault="00B17E5F" w:rsidP="009075C4">
      <w:pPr>
        <w:rPr>
          <w:rFonts w:cs="Times New Roman"/>
        </w:rPr>
      </w:pPr>
      <w:r w:rsidRPr="00322E56">
        <w:rPr>
          <w:rFonts w:cs="Times New Roman"/>
        </w:rPr>
        <w:t xml:space="preserve">Several types of utility rate structures may be available depending on the building type and purpose, the availability within the electrical provider and municipality, and the metering capabilities. </w:t>
      </w:r>
    </w:p>
    <w:p w14:paraId="7D4FF583" w14:textId="77777777" w:rsidR="00B17E5F" w:rsidRPr="00322E56" w:rsidRDefault="00B17E5F" w:rsidP="009075C4">
      <w:pPr>
        <w:rPr>
          <w:rFonts w:cs="Times New Roman"/>
        </w:rPr>
      </w:pPr>
      <w:r w:rsidRPr="00322E56">
        <w:rPr>
          <w:rFonts w:cs="Times New Roman"/>
        </w:rPr>
        <w:t>The most common and historical utility plan is a flat-rate pricing structure.  At all hours and all energy usage levels, the consumer will pay the same price for each unit of energy from the grid.  A tiered plan will adjust the price according to the quantity of energy the customer uses, often restarting monthly.  Two or more tiers are corresponding to specific electrical usage quantities for which the price of electricity changes in each tier, often increasing the price as the customer uses more energy.  All other utility rate tariffs may have tiers.</w:t>
      </w:r>
    </w:p>
    <w:p w14:paraId="7F8A8D0F" w14:textId="541AD92A" w:rsidR="00B17E5F" w:rsidRPr="00322E56" w:rsidRDefault="00B17E5F" w:rsidP="00F00169">
      <w:pPr>
        <w:rPr>
          <w:rFonts w:cs="Times New Roman"/>
        </w:rPr>
      </w:pPr>
      <w:r w:rsidRPr="00322E56">
        <w:rPr>
          <w:rFonts w:cs="Times New Roman"/>
        </w:rPr>
        <w:t xml:space="preserve">EPRI </w:t>
      </w:r>
      <w:sdt>
        <w:sdtPr>
          <w:rPr>
            <w:rFonts w:cs="Times New Roman"/>
            <w:color w:val="000000"/>
          </w:rPr>
          <w:tag w:val="MENDELEY_CITATION_v3_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"/>
          <w:id w:val="-381638250"/>
          <w:placeholder>
            <w:docPart w:val="DefaultPlaceholder_-1854013440"/>
          </w:placeholder>
        </w:sdtPr>
        <w:sdtEndPr>
          <w:rPr>
            <w:rFonts w:cs="Arial"/>
          </w:rPr>
        </w:sdtEndPr>
        <w:sdtContent>
          <w:r w:rsidR="001E7ECF" w:rsidRPr="001E7ECF">
            <w:rPr>
              <w:color w:val="000000"/>
            </w:rPr>
            <w:t>[96]</w:t>
          </w:r>
        </w:sdtContent>
      </w:sdt>
      <w:r w:rsidRPr="00322E56">
        <w:rPr>
          <w:rFonts w:cs="Times New Roman"/>
        </w:rPr>
        <w:t xml:space="preserve"> in their technical report has divided demand-side management strategies into event-based and non-event-based treatments. An event-based treatment activates in response to certain immediate signals from the environment that are unplanned or unpredictable.  A non-event-based treatment may follow a predetermined schedule or be a systematic change to the building and is enacted regardless of the immediate environmental factors.</w:t>
      </w:r>
    </w:p>
    <w:p w14:paraId="01527D00" w14:textId="77777777" w:rsidR="00B17E5F" w:rsidRPr="00322E56" w:rsidRDefault="00B17E5F" w:rsidP="00F00169">
      <w:pPr>
        <w:rPr>
          <w:rFonts w:cs="Times New Roman"/>
        </w:rPr>
      </w:pPr>
      <w:r w:rsidRPr="00322E56">
        <w:rPr>
          <w:rFonts w:cs="Times New Roman"/>
        </w:rPr>
        <w:t>Examples of event-based treatments related to building energy include a thermostat that monitors ambient weather conditions and adjusts indoor temperature setpoints and humidity, a thermostat equipped with motion sensors that monitor building occupancy and conditions spaces accordingly, building reactions to real-time pricing, and networked electrical plugs that activate in response to specific data such as excess grid supply, low carbon energy sources, or proximity of the user to the building.  There are many more event-based treatments.  The distinguishing feature is communication between the building and external systems, with the building having some autonomy in its energy usage.</w:t>
      </w:r>
    </w:p>
    <w:p w14:paraId="549228EA" w14:textId="77777777" w:rsidR="00B17E5F" w:rsidRPr="00322E56" w:rsidRDefault="00B17E5F" w:rsidP="009075C4">
      <w:pPr>
        <w:rPr>
          <w:rFonts w:cs="Times New Roman"/>
        </w:rPr>
      </w:pPr>
      <w:r w:rsidRPr="00322E56">
        <w:rPr>
          <w:rFonts w:cs="Times New Roman"/>
        </w:rPr>
        <w:t xml:space="preserve">Non-event-based treatments include time-of-use utility pricing in which the electrical energy is priced hourly based on a predetermined schedule, improving building insulation </w:t>
      </w:r>
      <w:r w:rsidRPr="00322E56">
        <w:rPr>
          <w:rFonts w:cs="Times New Roman"/>
        </w:rPr>
        <w:lastRenderedPageBreak/>
        <w:t xml:space="preserve">and thermal capacitance, replacement of appliances with more efficient versions, and occupant-operated changes to the building operation such as seasonal thermostat adjustment.  There are many more non-event-based treatments not listed here.  These treatments are often conscience decisions of the occupants onto the building which seek to fortify the building’s energy efficiency. </w:t>
      </w:r>
    </w:p>
    <w:p w14:paraId="06387087" w14:textId="77777777" w:rsidR="00B17E5F" w:rsidRPr="00322E56" w:rsidRDefault="00B17E5F" w:rsidP="00F00169">
      <w:pPr>
        <w:rPr>
          <w:rFonts w:cs="Times New Roman"/>
        </w:rPr>
      </w:pPr>
      <w:r w:rsidRPr="00322E56">
        <w:rPr>
          <w:rFonts w:cs="Times New Roman"/>
        </w:rPr>
        <w:t xml:space="preserve">Real-time pricing (RTP) is, as the name suggests, electrical pricing at or near the bulk wholesale price.  RTP plans can change prices hourly for residential customers or at even greater frequencies for commercial and industrial customers.  A variation of the RTP rates is day-ahead pricing where the next day’s hourly electrical pricing is determined based on model forecasts of supply, demand, and weather.  </w:t>
      </w:r>
    </w:p>
    <w:p w14:paraId="3E41AFFA" w14:textId="77777777" w:rsidR="00B17E5F" w:rsidRPr="00322E56" w:rsidRDefault="00B17E5F" w:rsidP="00F00169">
      <w:pPr>
        <w:rPr>
          <w:rFonts w:cs="Times New Roman"/>
        </w:rPr>
      </w:pPr>
      <w:r w:rsidRPr="00322E56">
        <w:rPr>
          <w:rFonts w:cs="Times New Roman"/>
        </w:rPr>
        <w:t xml:space="preserve">Time-of-use (TOU) pricing follows fixed schedules for the duration of the contract.  The price is determined for all time periods, often hour blocks, in the year.  The electrical price varies with the month, day of the week, hour, and whether it is a holiday.  On-peak refers to the hours with the highest daily utility cost, off-peak to the lowest.  Some TOU plans may have several levels of pricing suggesting there can be several mid-peaks.  </w:t>
      </w:r>
    </w:p>
    <w:p w14:paraId="7908E7DA" w14:textId="77777777" w:rsidR="00B17E5F" w:rsidRPr="00322E56" w:rsidRDefault="00B17E5F" w:rsidP="00F66A80">
      <w:pPr>
        <w:rPr>
          <w:rFonts w:cs="Times New Roman"/>
        </w:rPr>
      </w:pPr>
      <w:r w:rsidRPr="00322E56">
        <w:rPr>
          <w:rFonts w:cs="Times New Roman"/>
        </w:rPr>
        <w:t>Variable peak-pricing (VPP) follows a schedule throughout the year similar to TOU, however, the utility may adjust the mid-peak or on-peak pricing under certain circumstances. For many residential customers, there may be restrictions on the maximum price, duration, advance notice given, and several instances in which these events occur depending on the governing body overseeing the utility provider.  Commercial and industrial customers may have fewer protections and could be subject to more events, unforeseen price changes, or even short-notice power cuts.  In some instances, the timing, frequency, and price change may be codified explicitly into the utility agreement.</w:t>
      </w:r>
    </w:p>
    <w:p w14:paraId="65B394D2" w14:textId="1C8A38C0" w:rsidR="00B17E5F" w:rsidRPr="00322E56" w:rsidRDefault="00B17E5F" w:rsidP="009075C4">
      <w:pPr>
        <w:rPr>
          <w:rFonts w:cs="Times New Roman"/>
        </w:rPr>
      </w:pPr>
      <w:r w:rsidRPr="00322E56">
        <w:rPr>
          <w:rFonts w:cs="Times New Roman"/>
        </w:rPr>
        <w:t>A non-event treatment such as TOU utility rate is effective even after it is onset, rather than only during critical events, so it can be hypothesized that these treatments can reduce the overall energy use in addition to the usage shift towards targeted times of the day. Real-</w:t>
      </w:r>
      <w:r w:rsidRPr="00322E56">
        <w:rPr>
          <w:rFonts w:cs="Times New Roman"/>
        </w:rPr>
        <w:lastRenderedPageBreak/>
        <w:t xml:space="preserve">time pricing (RTP), and variable peak pricing (VPP) have the characteristics of both kinds of treatments as prices vary according to the supply conditions. </w:t>
      </w:r>
      <w:sdt>
        <w:sdtPr>
          <w:rPr>
            <w:rFonts w:cs="Times New Roman"/>
            <w:color w:val="000000"/>
          </w:rPr>
          <w:tag w:val="MENDELEY_CITATION_v3_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"/>
          <w:id w:val="1884134207"/>
          <w:placeholder>
            <w:docPart w:val="DefaultPlaceholder_-1854013440"/>
          </w:placeholder>
        </w:sdtPr>
        <w:sdtEndPr>
          <w:rPr>
            <w:rFonts w:cs="Arial"/>
          </w:rPr>
        </w:sdtEndPr>
        <w:sdtContent>
          <w:r w:rsidR="001E7ECF" w:rsidRPr="001E7ECF">
            <w:rPr>
              <w:color w:val="000000"/>
            </w:rPr>
            <w:t>[96]</w:t>
          </w:r>
        </w:sdtContent>
      </w:sdt>
      <w:r w:rsidRPr="00322E56">
        <w:rPr>
          <w:rFonts w:cs="Times New Roman"/>
        </w:rPr>
        <w:t>.</w:t>
      </w:r>
      <w:r w:rsidRPr="00322E56" w:rsidDel="001617AB">
        <w:rPr>
          <w:rFonts w:cs="Times New Roman"/>
        </w:rPr>
        <w:t xml:space="preserve"> </w:t>
      </w:r>
    </w:p>
    <w:p w14:paraId="35613B98" w14:textId="464BE333" w:rsidR="00B17E5F" w:rsidRPr="00322E56" w:rsidRDefault="00B17E5F" w:rsidP="009075C4">
      <w:pPr>
        <w:rPr>
          <w:rFonts w:cs="Times New Roman"/>
        </w:rPr>
      </w:pPr>
      <w:r w:rsidRPr="00322E56">
        <w:rPr>
          <w:rFonts w:cs="Times New Roman"/>
        </w:rPr>
        <w:t xml:space="preserve">These treatments can reduce the overall energy use in addition to the usage shift toward targeted times of the day </w:t>
      </w:r>
      <w:sdt>
        <w:sdtPr>
          <w:rPr>
            <w:rFonts w:cs="Times New Roman"/>
            <w:color w:val="000000"/>
            <w:shd w:val="clear" w:color="auto" w:fill="E6E6E6"/>
          </w:rPr>
          <w:tag w:val="MENDELEY_CITATION_v3_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"/>
          <w:id w:val="1608539012"/>
          <w:placeholder>
            <w:docPart w:val="592F187AFD3E43D4A01B752ED8FBA655"/>
          </w:placeholder>
        </w:sdtPr>
        <w:sdtContent>
          <w:r w:rsidR="001E7ECF" w:rsidRPr="001E7ECF">
            <w:rPr>
              <w:rFonts w:cs="Times New Roman"/>
              <w:color w:val="000000"/>
            </w:rPr>
            <w:t>[96]</w:t>
          </w:r>
        </w:sdtContent>
      </w:sdt>
      <w:r w:rsidRPr="00322E56">
        <w:rPr>
          <w:rFonts w:cs="Times New Roman"/>
        </w:rPr>
        <w:t>.</w:t>
      </w:r>
    </w:p>
    <w:p w14:paraId="6E3800FF" w14:textId="77777777" w:rsidR="00B17E5F" w:rsidRPr="00322E56" w:rsidRDefault="00B17E5F" w:rsidP="009075C4">
      <w:pPr>
        <w:rPr>
          <w:rFonts w:cs="Times New Roman"/>
          <w:color w:val="0D0D0D" w:themeColor="text1" w:themeTint="F2"/>
        </w:rPr>
      </w:pPr>
      <w:r w:rsidRPr="00322E56">
        <w:rPr>
          <w:rFonts w:cs="Times New Roman"/>
        </w:rPr>
        <w:t xml:space="preserve">DR strategies and HP controls can provide some cost and demand reductions, which are reviewed in Section 3.1. Meanwhile, TES </w:t>
      </w:r>
      <w:r w:rsidRPr="00322E56">
        <w:rPr>
          <w:rFonts w:cs="Times New Roman"/>
          <w:color w:val="0D0D0D" w:themeColor="text1" w:themeTint="F2"/>
        </w:rPr>
        <w:t>can decouple the energy generation from its demand and usage and can be a crucial tool to shift the thermal loads. By using TES to store the energy for later use during peak hours, demand management systems can be designed to take advantage of lower utility rates during off-peak hours.</w:t>
      </w:r>
    </w:p>
    <w:p w14:paraId="758B1B1D" w14:textId="77777777" w:rsidR="00B17E5F" w:rsidRPr="00322E56" w:rsidRDefault="00B17E5F" w:rsidP="009075C4">
      <w:pPr>
        <w:pStyle w:val="Heading3"/>
        <w:rPr>
          <w:rFonts w:cs="Times New Roman"/>
        </w:rPr>
      </w:pPr>
      <w:bookmarkStart w:id="33" w:name="_Toc140399816"/>
      <w:r w:rsidRPr="00322E56">
        <w:rPr>
          <w:rFonts w:cs="Times New Roman"/>
        </w:rPr>
        <w:t>TES in Buildings</w:t>
      </w:r>
      <w:bookmarkEnd w:id="33"/>
    </w:p>
    <w:p w14:paraId="749C17B3" w14:textId="77777777" w:rsidR="00B17E5F" w:rsidRPr="00322E56" w:rsidRDefault="00B17E5F" w:rsidP="00F66A80">
      <w:pPr>
        <w:rPr>
          <w:rFonts w:cs="Times New Roman"/>
        </w:rPr>
      </w:pPr>
      <w:r w:rsidRPr="00322E56">
        <w:rPr>
          <w:rFonts w:cs="Times New Roman"/>
        </w:rPr>
        <w:t>Thermal energy storage (TES) is becoming increasingly popular as a tool to level out electrical grid demand and add stability to the grid as more intermittent renewable energy sources are installed. TES systems locally decouple heating or cooling demand from its production.</w:t>
      </w:r>
    </w:p>
    <w:p w14:paraId="23462B16" w14:textId="77AAE556" w:rsidR="00B17E5F" w:rsidRPr="00322E56" w:rsidRDefault="00B17E5F" w:rsidP="00F66A80">
      <w:pPr>
        <w:rPr>
          <w:rFonts w:cs="Times New Roman"/>
        </w:rPr>
      </w:pPr>
      <w:r w:rsidRPr="00322E56">
        <w:rPr>
          <w:rFonts w:cs="Times New Roman"/>
        </w:rPr>
        <w:t xml:space="preserve">Thermal energy storage stores high- or low-temperature energy temporarily to be used later </w:t>
      </w:r>
      <w:sdt>
        <w:sdtPr>
          <w:rPr>
            <w:rFonts w:cs="Times New Roman"/>
            <w:color w:val="000000"/>
          </w:rPr>
          <w:tag w:val="MENDELEY_CITATION_v3_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"/>
          <w:id w:val="-543368791"/>
          <w:placeholder>
            <w:docPart w:val="DefaultPlaceholder_-1854013440"/>
          </w:placeholder>
        </w:sdtPr>
        <w:sdtEndPr>
          <w:rPr>
            <w:rFonts w:cs="Arial"/>
          </w:rPr>
        </w:sdtEndPr>
        <w:sdtContent>
          <w:r w:rsidR="001E7ECF" w:rsidRPr="001E7ECF">
            <w:rPr>
              <w:color w:val="000000"/>
            </w:rPr>
            <w:t>[97]</w:t>
          </w:r>
        </w:sdtContent>
      </w:sdt>
      <w:r w:rsidRPr="00322E56">
        <w:rPr>
          <w:rFonts w:cs="Times New Roman"/>
        </w:rPr>
        <w:t xml:space="preserve">. TES systems can be easily incorporated into small to large single-family or multi-family residential buildings and all types of commercial buildings. They are designed to trim the building's electrical demand profile by reducing the energy usage and high demand costs arising from summer cooling and winter heating needs </w:t>
      </w:r>
      <w:sdt>
        <w:sdtPr>
          <w:rPr>
            <w:rFonts w:cs="Times New Roman"/>
            <w:color w:val="000000"/>
          </w:rPr>
          <w:tag w:val="MENDELEY_CITATION_v3_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"/>
          <w:id w:val="1033701351"/>
          <w:placeholder>
            <w:docPart w:val="DefaultPlaceholder_-1854013440"/>
          </w:placeholder>
        </w:sdtPr>
        <w:sdtEndPr>
          <w:rPr>
            <w:rFonts w:cs="Arial"/>
          </w:rPr>
        </w:sdtEndPr>
        <w:sdtContent>
          <w:r w:rsidR="001E7ECF" w:rsidRPr="001E7ECF">
            <w:rPr>
              <w:color w:val="000000"/>
            </w:rPr>
            <w:t>[98]</w:t>
          </w:r>
        </w:sdtContent>
      </w:sdt>
      <w:r w:rsidRPr="00322E56">
        <w:rPr>
          <w:rFonts w:cs="Times New Roman"/>
        </w:rPr>
        <w:t>.</w:t>
      </w:r>
    </w:p>
    <w:p w14:paraId="55EFA49C" w14:textId="2C3A324F" w:rsidR="00B17E5F" w:rsidRPr="00322E56" w:rsidRDefault="00B17E5F" w:rsidP="00F66A80">
      <w:pPr>
        <w:rPr>
          <w:rFonts w:cs="Times New Roman"/>
        </w:rPr>
      </w:pPr>
      <w:r w:rsidRPr="00322E56">
        <w:rPr>
          <w:rFonts w:cs="Times New Roman"/>
        </w:rPr>
        <w:t xml:space="preserve">Major factors influencing an appropriate TES system's choice include the energy storage period and duration, cost and economic feasibility, and operational conditions. The building's thermal load is highly dependent on the weather conditions and the thermal quality of the building envelope. Therefore, improving the heating or cooling systems' efficiency and building thermal quality is essential in conserving the energy and environment </w:t>
      </w:r>
      <w:sdt>
        <w:sdtPr>
          <w:rPr>
            <w:rFonts w:cs="Times New Roman"/>
            <w:color w:val="000000"/>
          </w:rPr>
          <w:tag w:val="MENDELEY_CITATION_v3_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"/>
          <w:id w:val="778225651"/>
          <w:placeholder>
            <w:docPart w:val="DefaultPlaceholder_-1854013440"/>
          </w:placeholder>
        </w:sdtPr>
        <w:sdtEndPr>
          <w:rPr>
            <w:rFonts w:cs="Arial"/>
          </w:rPr>
        </w:sdtEndPr>
        <w:sdtContent>
          <w:r w:rsidR="001E7ECF" w:rsidRPr="001E7ECF">
            <w:rPr>
              <w:color w:val="000000"/>
            </w:rPr>
            <w:t>[99]</w:t>
          </w:r>
        </w:sdtContent>
      </w:sdt>
      <w:r w:rsidRPr="00322E56">
        <w:rPr>
          <w:rFonts w:cs="Times New Roman"/>
        </w:rPr>
        <w:t xml:space="preserve">. These systems can optimize thermal equipment; they can be an effective and economical replacement of the energy resources on a large scale, thus reducing the </w:t>
      </w:r>
      <w:r w:rsidRPr="00322E56">
        <w:rPr>
          <w:rFonts w:cs="Times New Roman"/>
        </w:rPr>
        <w:lastRenderedPageBreak/>
        <w:t xml:space="preserve">disparity between thermal energy demand and supply. If a system is designed carefully and smartly, it could also cut down the preliminary cost and maintenance expenditures </w:t>
      </w:r>
      <w:sdt>
        <w:sdtPr>
          <w:rPr>
            <w:rFonts w:cs="Times New Roman"/>
            <w:color w:val="000000"/>
          </w:rPr>
          <w:tag w:val="MENDELEY_CITATION_v3_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"/>
          <w:id w:val="1907406579"/>
          <w:placeholder>
            <w:docPart w:val="DefaultPlaceholder_-1854013440"/>
          </w:placeholder>
        </w:sdtPr>
        <w:sdtEndPr>
          <w:rPr>
            <w:rFonts w:cs="Arial"/>
          </w:rPr>
        </w:sdtEndPr>
        <w:sdtContent>
          <w:r w:rsidR="001E7ECF" w:rsidRPr="001E7ECF">
            <w:rPr>
              <w:color w:val="000000"/>
            </w:rPr>
            <w:t>[97]</w:t>
          </w:r>
        </w:sdtContent>
      </w:sdt>
      <w:r w:rsidRPr="00322E56">
        <w:rPr>
          <w:rFonts w:cs="Times New Roman"/>
        </w:rPr>
        <w:t>.</w:t>
      </w:r>
    </w:p>
    <w:p w14:paraId="658AE8A9" w14:textId="77ED2D9E" w:rsidR="00B17E5F" w:rsidRPr="00322E56" w:rsidRDefault="00B17E5F" w:rsidP="00F66A80">
      <w:pPr>
        <w:rPr>
          <w:rFonts w:cs="Times New Roman"/>
        </w:rPr>
      </w:pPr>
      <w:r w:rsidRPr="00322E56">
        <w:rPr>
          <w:rFonts w:cs="Times New Roman"/>
        </w:rPr>
        <w:t xml:space="preserve">TES is classified into three types based on the principle of energy storage: sensible, latent, and thermochemical. Sensible storage systems accumulate energy by increasing or decreasing the temperature of the storage media (e.g., salt, water, soil, etc.). The energy by phase transition (e.g., frozen water storage in ice and storing heat by melting paraffin waxes) is stored as latent heat. In thermochemical storage, a chemical reaction is used to store or release energy </w:t>
      </w:r>
      <w:sdt>
        <w:sdtPr>
          <w:rPr>
            <w:rFonts w:cs="Times New Roman"/>
            <w:color w:val="000000"/>
          </w:rPr>
          <w:tag w:val="MENDELEY_CITATION_v3_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"/>
          <w:id w:val="806436381"/>
          <w:placeholder>
            <w:docPart w:val="DefaultPlaceholder_-1854013440"/>
          </w:placeholder>
        </w:sdtPr>
        <w:sdtEndPr>
          <w:rPr>
            <w:rFonts w:cs="Arial"/>
          </w:rPr>
        </w:sdtEndPr>
        <w:sdtContent>
          <w:r w:rsidR="001E7ECF" w:rsidRPr="001E7ECF">
            <w:rPr>
              <w:color w:val="000000"/>
            </w:rPr>
            <w:t>[99]–[101]</w:t>
          </w:r>
        </w:sdtContent>
      </w:sdt>
      <w:r w:rsidRPr="00322E56">
        <w:rPr>
          <w:rFonts w:cs="Times New Roman"/>
        </w:rPr>
        <w:t>.</w:t>
      </w:r>
    </w:p>
    <w:p w14:paraId="1D0C7C21" w14:textId="77777777" w:rsidR="00B17E5F" w:rsidRPr="00322E56" w:rsidRDefault="00B17E5F" w:rsidP="009075C4">
      <w:pPr>
        <w:rPr>
          <w:rFonts w:cs="Times New Roman"/>
        </w:rPr>
      </w:pPr>
      <w:r w:rsidRPr="00322E56">
        <w:rPr>
          <w:rFonts w:cs="Times New Roman"/>
        </w:rPr>
        <w:t xml:space="preserve">The thermal storage properties can be leveraged by using PCMs to allow conventional HPs to function more during off-peak hours. </w:t>
      </w:r>
    </w:p>
    <w:p w14:paraId="0302C493" w14:textId="23E9EC4E" w:rsidR="00B17E5F" w:rsidRPr="00322E56" w:rsidRDefault="00B17E5F" w:rsidP="00F66A80">
      <w:pPr>
        <w:rPr>
          <w:rFonts w:cs="Times New Roman"/>
        </w:rPr>
      </w:pPr>
      <w:r w:rsidRPr="00322E56">
        <w:rPr>
          <w:rFonts w:cs="Times New Roman"/>
        </w:rPr>
        <w:t xml:space="preserve">For an effective system, the phase change materials (PCM) must perform their phase change at temperatures in the operational range of the designated thermal application.  Often, the phase change occurs over a small temperature range, thus these systems are near isothermal in operation.  When a PCM melts from a solid to a liquid state, energy is absorbed from the surroundings. Solidification is the opposite of the melting process, where the energy is lost to the surroundings </w:t>
      </w:r>
      <w:sdt>
        <w:sdtPr>
          <w:rPr>
            <w:rFonts w:cs="Times New Roman"/>
            <w:color w:val="000000"/>
          </w:rPr>
          <w:tag w:val="MENDELEY_CITATION_v3_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"/>
          <w:id w:val="1664044945"/>
          <w:placeholder>
            <w:docPart w:val="DefaultPlaceholder_-1854013440"/>
          </w:placeholder>
        </w:sdtPr>
        <w:sdtEndPr>
          <w:rPr>
            <w:rFonts w:cs="Arial"/>
          </w:rPr>
        </w:sdtEndPr>
        <w:sdtContent>
          <w:r w:rsidR="001E7ECF" w:rsidRPr="001E7ECF">
            <w:rPr>
              <w:color w:val="000000"/>
            </w:rPr>
            <w:t>[102]</w:t>
          </w:r>
        </w:sdtContent>
      </w:sdt>
      <w:r w:rsidRPr="00322E56">
        <w:rPr>
          <w:rFonts w:cs="Times New Roman"/>
        </w:rPr>
        <w:t xml:space="preserve">. </w:t>
      </w:r>
    </w:p>
    <w:p w14:paraId="1C3BF2ED" w14:textId="77777777" w:rsidR="00B17E5F" w:rsidRPr="00322E56" w:rsidRDefault="00B17E5F" w:rsidP="009075C4">
      <w:pPr>
        <w:rPr>
          <w:rFonts w:cs="Times New Roman"/>
        </w:rPr>
      </w:pPr>
      <w:r w:rsidRPr="00322E56">
        <w:rPr>
          <w:rFonts w:cs="Times New Roman"/>
          <w:color w:val="0D0D0D" w:themeColor="text1" w:themeTint="F2"/>
        </w:rPr>
        <w:t xml:space="preserve">PCM-TES can behave as a standalone isothermal HX when integrated with an HP and can offer grid flexibility while maintaining an adequate internal temperature for occupant comfort without excessively using HP equipment. </w:t>
      </w:r>
      <w:r w:rsidRPr="00322E56">
        <w:rPr>
          <w:rFonts w:cs="Times New Roman"/>
        </w:rPr>
        <w:t>The overall load on HVAC can be reduced by storing energy in a PCM, depending on the melting temperature in the phase change process.</w:t>
      </w:r>
    </w:p>
    <w:p w14:paraId="42E3386E" w14:textId="4BF0BABA" w:rsidR="00B17E5F" w:rsidRPr="00322E56" w:rsidRDefault="00B17E5F" w:rsidP="009075C4">
      <w:pPr>
        <w:rPr>
          <w:rFonts w:cs="Times New Roman"/>
        </w:rPr>
      </w:pPr>
      <w:r w:rsidRPr="00322E56">
        <w:rPr>
          <w:rFonts w:cs="Times New Roman"/>
        </w:rPr>
        <w:t xml:space="preserve">For buildings, HVAC systems are needed to maintain a comfortable temperature inside during warmer weather months. However, the temperature for the PCM-based building materials will only tend to increase until it gets to the point of phase change. The incident energy at this point is continually absorbed through the latent heat of fusion while maintaining the same temperature. The load on HVAC could be significantly lowered if this temperature can match the comfortable temperature range of the building. This is </w:t>
      </w:r>
      <w:r w:rsidRPr="00322E56">
        <w:rPr>
          <w:rFonts w:cs="Times New Roman"/>
        </w:rPr>
        <w:lastRenderedPageBreak/>
        <w:t xml:space="preserve">predominantly suitable in the regions with a wide-ranged climate, where heat could be used through the sun during the day, while there will also be cool nights, where heat will be released from the PCM </w:t>
      </w:r>
      <w:sdt>
        <w:sdtPr>
          <w:rPr>
            <w:rFonts w:cs="Times New Roman"/>
            <w:color w:val="000000"/>
          </w:rPr>
          <w:tag w:val="MENDELEY_CITATION_v3_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"/>
          <w:id w:val="-42221714"/>
          <w:placeholder>
            <w:docPart w:val="DefaultPlaceholder_-1854013440"/>
          </w:placeholder>
        </w:sdtPr>
        <w:sdtEndPr>
          <w:rPr>
            <w:rFonts w:cs="Arial"/>
          </w:rPr>
        </w:sdtEndPr>
        <w:sdtContent>
          <w:r w:rsidR="001E7ECF" w:rsidRPr="001E7ECF">
            <w:rPr>
              <w:color w:val="000000"/>
            </w:rPr>
            <w:t>[102]</w:t>
          </w:r>
        </w:sdtContent>
      </w:sdt>
      <w:r w:rsidRPr="00322E56">
        <w:rPr>
          <w:rFonts w:cs="Times New Roman"/>
        </w:rPr>
        <w:t>.</w:t>
      </w:r>
    </w:p>
    <w:p w14:paraId="21F8A5A3" w14:textId="1D9461DD" w:rsidR="00B17E5F" w:rsidRPr="00322E56" w:rsidRDefault="00B17E5F" w:rsidP="009075C4">
      <w:pPr>
        <w:rPr>
          <w:rFonts w:cs="Times New Roman"/>
        </w:rPr>
      </w:pPr>
      <w:r w:rsidRPr="00322E56">
        <w:rPr>
          <w:rFonts w:cs="Times New Roman"/>
        </w:rPr>
        <w:t xml:space="preserve">Generally, two classifications of PCMs are suitable for building systems: organic PCMs and inorganic PCMs. Organic PCMs such as paraffins, have low heat conductivities and are flammable, whereas inorganic PCMs, such as salt hydrates, are relatively inexpensive, are easily synthesized, are nonflammable, and possess high storage capacity and higher thermal conductivity compared with organic PCMs </w:t>
      </w:r>
      <w:sdt>
        <w:sdtPr>
          <w:rPr>
            <w:rFonts w:cs="Times New Roman"/>
            <w:color w:val="000000"/>
            <w:shd w:val="clear" w:color="auto" w:fill="E6E6E6"/>
          </w:rPr>
          <w:tag w:val="MENDELEY_CITATION_v3_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"/>
          <w:id w:val="1334948626"/>
          <w:placeholder>
            <w:docPart w:val="8220DD26112844E4AA682899740B4224"/>
          </w:placeholder>
        </w:sdtPr>
        <w:sdtContent>
          <w:r w:rsidR="001E7ECF" w:rsidRPr="001E7ECF">
            <w:rPr>
              <w:rFonts w:cs="Times New Roman"/>
              <w:color w:val="000000"/>
            </w:rPr>
            <w:t>[103]</w:t>
          </w:r>
        </w:sdtContent>
      </w:sdt>
      <w:r w:rsidRPr="00322E56">
        <w:rPr>
          <w:rFonts w:cs="Times New Roman"/>
        </w:rPr>
        <w:t>.</w:t>
      </w:r>
    </w:p>
    <w:p w14:paraId="5AF7113D" w14:textId="77777777" w:rsidR="00B17E5F" w:rsidRPr="00322E56" w:rsidRDefault="00B17E5F" w:rsidP="009075C4">
      <w:pPr>
        <w:rPr>
          <w:rFonts w:cs="Times New Roman"/>
        </w:rPr>
      </w:pPr>
      <w:r w:rsidRPr="00322E56">
        <w:rPr>
          <w:rFonts w:cs="Times New Roman"/>
        </w:rPr>
        <w:t>The application of PCMs in buildings to harness energy could be produced either naturally, such as with seasonal heat and cold, or by artificial means, such as electric heating elements or HPs. Any energy storage system should at least possess the following components:</w:t>
      </w:r>
    </w:p>
    <w:p w14:paraId="535D45BF" w14:textId="77777777" w:rsidR="00B17E5F" w:rsidRPr="00322E56" w:rsidRDefault="00B17E5F" w:rsidP="009075C4">
      <w:pPr>
        <w:pStyle w:val="ListParagraph"/>
        <w:numPr>
          <w:ilvl w:val="0"/>
          <w:numId w:val="2"/>
        </w:numPr>
        <w:jc w:val="left"/>
        <w:rPr>
          <w:rFonts w:cs="Times New Roman"/>
        </w:rPr>
      </w:pPr>
      <w:r w:rsidRPr="00322E56">
        <w:rPr>
          <w:rFonts w:cs="Times New Roman"/>
        </w:rPr>
        <w:t>Material with the desired phase change temperature range</w:t>
      </w:r>
    </w:p>
    <w:p w14:paraId="3C49A281" w14:textId="77777777" w:rsidR="00B17E5F" w:rsidRPr="00322E56" w:rsidRDefault="00B17E5F" w:rsidP="009075C4">
      <w:pPr>
        <w:pStyle w:val="ListParagraph"/>
        <w:numPr>
          <w:ilvl w:val="0"/>
          <w:numId w:val="2"/>
        </w:numPr>
        <w:rPr>
          <w:rFonts w:cs="Times New Roman"/>
        </w:rPr>
      </w:pPr>
      <w:r w:rsidRPr="00322E56">
        <w:rPr>
          <w:rFonts w:cs="Times New Roman"/>
        </w:rPr>
        <w:t>HX or storage tank suitable for PCMs</w:t>
      </w:r>
    </w:p>
    <w:p w14:paraId="6FEBFAD7" w14:textId="77777777" w:rsidR="00B17E5F" w:rsidRPr="00322E56" w:rsidRDefault="00B17E5F" w:rsidP="009075C4">
      <w:pPr>
        <w:pStyle w:val="Heading3"/>
        <w:rPr>
          <w:rFonts w:cs="Times New Roman"/>
        </w:rPr>
      </w:pPr>
      <w:bookmarkStart w:id="34" w:name="_Toc130981985"/>
      <w:bookmarkStart w:id="35" w:name="_Toc140399817"/>
      <w:r w:rsidRPr="00322E56">
        <w:rPr>
          <w:rFonts w:cs="Times New Roman"/>
        </w:rPr>
        <w:t>HP-TES Configurations and Definitions</w:t>
      </w:r>
      <w:bookmarkEnd w:id="34"/>
      <w:bookmarkEnd w:id="35"/>
    </w:p>
    <w:p w14:paraId="4B02EAFD" w14:textId="1F1DB45B" w:rsidR="00B17E5F" w:rsidRPr="00322E56" w:rsidRDefault="00B17E5F" w:rsidP="009075C4">
      <w:pPr>
        <w:rPr>
          <w:rFonts w:cs="Times New Roman"/>
        </w:rPr>
      </w:pPr>
      <w:r w:rsidRPr="00322E56">
        <w:rPr>
          <w:rFonts w:cs="Times New Roman"/>
        </w:rPr>
        <w:t xml:space="preserve">Building integration with TES can be divided into three types: active, passive, and hybrid systems. Active TES systems rely on some mechanical work to transfer heat between the space and the PCM, and the decision of when to charge and discharge is determined by controller hardware. However, for passive TES systems, the heat transfer requires no mechanical work; TES charging and discharging occur according to an uncontrolled independent variable such as ambient temperature and PCM phase change temperature. Hybrid TES can be a combination of either active and passive TES, or an additional system like solar heater is coupled. </w:t>
      </w:r>
      <w:r w:rsidR="00E30DC4">
        <w:rPr>
          <w:rFonts w:cs="Times New Roman"/>
        </w:rPr>
        <w:t xml:space="preserve">Figure 3 </w:t>
      </w:r>
      <w:r w:rsidRPr="00322E56">
        <w:rPr>
          <w:rFonts w:cs="Times New Roman"/>
        </w:rPr>
        <w:t>shows various active and passive TES methods of integrating PCMs into buildings.</w:t>
      </w:r>
    </w:p>
    <w:p w14:paraId="0428B165" w14:textId="61B191AB" w:rsidR="006C3491" w:rsidRDefault="00B17E5F" w:rsidP="006C3491">
      <w:r w:rsidRPr="00322E56">
        <w:rPr>
          <w:rFonts w:cs="Times New Roman"/>
        </w:rPr>
        <w:t xml:space="preserve">PCMs in passive TES are incorporated into the building envelope and are thermally coupled directly with the space to be conditioned. </w:t>
      </w:r>
    </w:p>
    <w:p w14:paraId="3D5F82B8" w14:textId="6DC6CFA1" w:rsidR="006C3491" w:rsidRPr="00322E56" w:rsidRDefault="006C3491" w:rsidP="00270231">
      <w:pPr>
        <w:keepNext/>
        <w:jc w:val="left"/>
        <w:rPr>
          <w:rFonts w:cs="Times New Roman"/>
        </w:rPr>
      </w:pPr>
      <w:r w:rsidRPr="00322E56">
        <w:rPr>
          <w:rFonts w:cs="Times New Roman"/>
          <w:noProof/>
        </w:rPr>
        <w:lastRenderedPageBreak/>
        <w:drawing>
          <wp:anchor distT="0" distB="0" distL="114300" distR="114300" simplePos="0" relativeHeight="251662336" behindDoc="0" locked="0" layoutInCell="1" allowOverlap="1" wp14:anchorId="76E6BB36" wp14:editId="43C7F75E">
            <wp:simplePos x="0" y="0"/>
            <wp:positionH relativeFrom="margin">
              <wp:align>center</wp:align>
            </wp:positionH>
            <wp:positionV relativeFrom="margin">
              <wp:align>top</wp:align>
            </wp:positionV>
            <wp:extent cx="5528310" cy="2588260"/>
            <wp:effectExtent l="0" t="0" r="0" b="2540"/>
            <wp:wrapSquare wrapText="bothSides"/>
            <wp:docPr id="4" name="Picture 4" descr="A diagram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diagram of a building&#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28310" cy="2588260"/>
                    </a:xfrm>
                    <a:prstGeom prst="rect">
                      <a:avLst/>
                    </a:prstGeom>
                    <a:noFill/>
                  </pic:spPr>
                </pic:pic>
              </a:graphicData>
            </a:graphic>
            <wp14:sizeRelH relativeFrom="margin">
              <wp14:pctWidth>0</wp14:pctWidth>
            </wp14:sizeRelH>
            <wp14:sizeRelV relativeFrom="margin">
              <wp14:pctHeight>0</wp14:pctHeight>
            </wp14:sizeRelV>
          </wp:anchor>
        </w:drawing>
      </w:r>
    </w:p>
    <w:p w14:paraId="1426A3FD" w14:textId="238B6441" w:rsidR="006C3491" w:rsidRPr="00322E56" w:rsidRDefault="006C3491" w:rsidP="006C3491">
      <w:pPr>
        <w:pStyle w:val="Caption"/>
        <w:jc w:val="center"/>
        <w:rPr>
          <w:rFonts w:cs="Times New Roman"/>
        </w:rPr>
      </w:pPr>
      <w:bookmarkStart w:id="36" w:name="_Toc140403869"/>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3</w:t>
      </w:r>
      <w:r w:rsidRPr="00322E56">
        <w:rPr>
          <w:rFonts w:cs="Times New Roman"/>
        </w:rPr>
        <w:fldChar w:fldCharType="end"/>
      </w:r>
      <w:r w:rsidRPr="00322E56">
        <w:rPr>
          <w:rFonts w:cs="Times New Roman"/>
        </w:rPr>
        <w:t>:PCM-TES in active and passive storage</w:t>
      </w:r>
      <w:bookmarkEnd w:id="36"/>
    </w:p>
    <w:p w14:paraId="731D6062" w14:textId="72A6C321" w:rsidR="00E30DC4" w:rsidRDefault="006C3491">
      <w:pPr>
        <w:spacing w:before="0" w:line="240" w:lineRule="auto"/>
        <w:ind w:firstLine="0"/>
        <w:jc w:val="left"/>
        <w:rPr>
          <w:rFonts w:cs="Times New Roman"/>
        </w:rPr>
      </w:pPr>
      <w:r>
        <w:rPr>
          <w:rFonts w:cs="Times New Roman"/>
        </w:rPr>
        <w:br w:type="page"/>
      </w:r>
    </w:p>
    <w:p w14:paraId="49FDC081" w14:textId="0B850878" w:rsidR="00B17E5F" w:rsidRPr="00322E56" w:rsidRDefault="006C3491" w:rsidP="006C3491">
      <w:pPr>
        <w:rPr>
          <w:rFonts w:cs="Times New Roman"/>
        </w:rPr>
      </w:pPr>
      <w:r w:rsidRPr="00322E56">
        <w:rPr>
          <w:rFonts w:cs="Times New Roman"/>
        </w:rPr>
        <w:lastRenderedPageBreak/>
        <w:t xml:space="preserve">PCMs can be in exterior building walls, separating conditioned from unconditioned spaces, or in interior walls, separating two </w:t>
      </w:r>
      <w:r w:rsidR="00B17E5F" w:rsidRPr="00322E56">
        <w:rPr>
          <w:rFonts w:cs="Times New Roman"/>
        </w:rPr>
        <w:t xml:space="preserve">conditioned spaces. PCMs could also be mixed with building wall materials, such as concrete or gypsum, either directly or with encapsulation </w:t>
      </w:r>
      <w:sdt>
        <w:sdtPr>
          <w:rPr>
            <w:rFonts w:cs="Times New Roman"/>
            <w:color w:val="000000"/>
            <w:shd w:val="clear" w:color="auto" w:fill="E6E6E6"/>
          </w:rPr>
          <w:tag w:val="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"/>
          <w:id w:val="1634516602"/>
          <w:placeholder>
            <w:docPart w:val="752B710825444E3CB1E88E293DDBC702"/>
          </w:placeholder>
        </w:sdtPr>
        <w:sdtContent>
          <w:r w:rsidR="001E7ECF" w:rsidRPr="001E7ECF">
            <w:rPr>
              <w:rFonts w:cs="Times New Roman"/>
              <w:color w:val="000000"/>
            </w:rPr>
            <w:t>[66], [70], [75], [79], [104], [105]</w:t>
          </w:r>
        </w:sdtContent>
      </w:sdt>
      <w:r w:rsidR="00B17E5F" w:rsidRPr="00322E56">
        <w:rPr>
          <w:rFonts w:cs="Times New Roman"/>
        </w:rPr>
        <w:t>. PCMs in active TES are integrated into HP components or coupled with the building’s heating, cooling, or ventilation system. The TES may also be separated and removed from the space via standalone HX. Active HP-TES allows real-time control over when the TES is charged and discharged. One advantage of active configurations is the ability to add TES to existing building infrastructure without significant construction. Active HP integrated configurations can be further categorized as direct and indirect configurations depending on the heat transfer control mechanism. Detailed definitions of these terms are provided in Table 2.</w:t>
      </w:r>
    </w:p>
    <w:p w14:paraId="5D4306F4" w14:textId="110DFF42" w:rsidR="006C3491" w:rsidRPr="00322E56" w:rsidRDefault="006C3491" w:rsidP="006C3491">
      <w:pPr>
        <w:pStyle w:val="Heading2"/>
        <w:ind w:firstLine="0"/>
        <w:rPr>
          <w:rFonts w:cs="Times New Roman"/>
        </w:rPr>
      </w:pPr>
      <w:bookmarkStart w:id="37" w:name="_Toc140399818"/>
      <w:bookmarkStart w:id="38" w:name="_Toc289175849"/>
      <w:r w:rsidRPr="00322E56">
        <w:rPr>
          <w:rFonts w:cs="Times New Roman"/>
        </w:rPr>
        <w:t>Literature Review</w:t>
      </w:r>
      <w:bookmarkEnd w:id="37"/>
    </w:p>
    <w:p w14:paraId="6F6EB998" w14:textId="77777777" w:rsidR="006C3491" w:rsidRDefault="006C3491" w:rsidP="006C3491">
      <w:pPr>
        <w:rPr>
          <w:rFonts w:cs="Times New Roman"/>
        </w:rPr>
      </w:pPr>
      <w:r w:rsidRPr="00322E56">
        <w:rPr>
          <w:rFonts w:cs="Times New Roman"/>
        </w:rPr>
        <w:t>Researchers have investigated DR management systems with price- or demand-based control strategies for cost and peak demand reduction without using TES. To provide a comparison of cases with and without TES, Section 3.1 presents a literature review on cost savings and peak load shifting without TES, and Section 3.2 discusses HP-TES configurations.</w:t>
      </w:r>
    </w:p>
    <w:p w14:paraId="10CA33DC" w14:textId="77777777" w:rsidR="006C3491" w:rsidRPr="00322E56" w:rsidRDefault="006C3491" w:rsidP="006C3491">
      <w:pPr>
        <w:pStyle w:val="Heading3"/>
        <w:rPr>
          <w:rFonts w:cs="Times New Roman"/>
        </w:rPr>
      </w:pPr>
      <w:bookmarkStart w:id="39" w:name="_Toc130981987"/>
      <w:bookmarkStart w:id="40" w:name="_Toc140399819"/>
      <w:r w:rsidRPr="00322E56">
        <w:rPr>
          <w:rFonts w:cs="Times New Roman"/>
        </w:rPr>
        <w:t>Controls for HPs without TES</w:t>
      </w:r>
      <w:bookmarkEnd w:id="39"/>
      <w:bookmarkEnd w:id="40"/>
    </w:p>
    <w:p w14:paraId="38343924" w14:textId="77777777" w:rsidR="006C3491" w:rsidRDefault="006C3491" w:rsidP="006C3491">
      <w:pPr>
        <w:rPr>
          <w:rFonts w:cs="Times New Roman"/>
        </w:rPr>
      </w:pPr>
      <w:r w:rsidRPr="00322E56">
        <w:rPr>
          <w:rFonts w:cs="Times New Roman"/>
        </w:rPr>
        <w:t xml:space="preserve">The impact of time-based utility pricing on residential electricity use with different load and demand control strategies has been investigated </w:t>
      </w:r>
      <w:sdt>
        <w:sdtPr>
          <w:rPr>
            <w:rFonts w:cs="Times New Roman"/>
            <w:color w:val="000000"/>
          </w:rPr>
          <w:tag w:val="MENDELEY_CITATION_v3_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"/>
          <w:id w:val="269672543"/>
          <w:placeholder>
            <w:docPart w:val="A8039FFC8F1E6545A0FBAEF31096B25F"/>
          </w:placeholder>
        </w:sdtPr>
        <w:sdtContent>
          <w:r w:rsidRPr="001E7ECF">
            <w:rPr>
              <w:rFonts w:cs="Times New Roman"/>
              <w:color w:val="000000"/>
            </w:rPr>
            <w:t>[106]</w:t>
          </w:r>
        </w:sdtContent>
      </w:sdt>
      <w:r w:rsidRPr="00322E56">
        <w:rPr>
          <w:rFonts w:cs="Times New Roman"/>
        </w:rPr>
        <w:t xml:space="preserve">. The results suggested that the A/C cost and peak demands in buildings can be reduced, depending on utility rate structure, weather, building occupancy and thermal capacitance, and characteristics of the cooling system </w:t>
      </w:r>
      <w:sdt>
        <w:sdtPr>
          <w:rPr>
            <w:rFonts w:cs="Times New Roman"/>
            <w:color w:val="000000"/>
            <w:shd w:val="clear" w:color="auto" w:fill="E6E6E6"/>
          </w:rPr>
          <w:tag w:val="MENDELEY_CITATION_v3_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"/>
          <w:id w:val="-1738629336"/>
          <w:placeholder>
            <w:docPart w:val="189FC339502520458B42BE5906728C77"/>
          </w:placeholder>
        </w:sdtPr>
        <w:sdtContent>
          <w:r w:rsidRPr="001E7ECF">
            <w:rPr>
              <w:rFonts w:cs="Times New Roman"/>
              <w:color w:val="000000"/>
            </w:rPr>
            <w:t>[107]</w:t>
          </w:r>
        </w:sdtContent>
      </w:sdt>
      <w:r w:rsidRPr="00322E56">
        <w:rPr>
          <w:rFonts w:cs="Times New Roman"/>
        </w:rPr>
        <w:t xml:space="preserve">. </w:t>
      </w:r>
    </w:p>
    <w:p w14:paraId="07E7A11E" w14:textId="538CC5D1" w:rsidR="00B17E5F" w:rsidRPr="00322E56" w:rsidRDefault="006C3491" w:rsidP="006C3491">
      <w:pPr>
        <w:rPr>
          <w:rFonts w:cs="Times New Roman"/>
        </w:rPr>
      </w:pPr>
      <w:r w:rsidRPr="00322E56">
        <w:rPr>
          <w:rFonts w:cs="Times New Roman"/>
        </w:rPr>
        <w:t>A few models with no thermal storage have been developed for diurnal load shift by preconditioning the building at night.</w:t>
      </w:r>
      <w:r w:rsidRPr="006C3491">
        <w:rPr>
          <w:rFonts w:cs="Times New Roman"/>
        </w:rPr>
        <w:t xml:space="preserve"> </w:t>
      </w:r>
      <w:r w:rsidRPr="00322E56">
        <w:rPr>
          <w:rFonts w:cs="Times New Roman"/>
        </w:rPr>
        <w:t xml:space="preserve">Rabl and Norford </w:t>
      </w:r>
      <w:sdt>
        <w:sdtPr>
          <w:rPr>
            <w:rFonts w:cs="Times New Roman"/>
            <w:color w:val="000000"/>
            <w:shd w:val="clear" w:color="auto" w:fill="E6E6E6"/>
          </w:rPr>
          <w:tag w:val="MENDELEY_CITATION_v3_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"/>
          <w:id w:val="1931542920"/>
          <w:placeholder>
            <w:docPart w:val="1DE326E5000AAA40A06EFE869C90546C"/>
          </w:placeholder>
        </w:sdtPr>
        <w:sdtContent>
          <w:r w:rsidRPr="001E7ECF">
            <w:rPr>
              <w:rFonts w:cs="Times New Roman"/>
              <w:color w:val="000000"/>
            </w:rPr>
            <w:t>[108]</w:t>
          </w:r>
        </w:sdtContent>
      </w:sdt>
      <w:r w:rsidRPr="00322E56">
        <w:rPr>
          <w:rFonts w:cs="Times New Roman"/>
        </w:rPr>
        <w:t xml:space="preserve"> developed a model to reduce summer peak load in buildings by preconditioning the preceding night.</w:t>
      </w:r>
    </w:p>
    <w:p w14:paraId="7D4C1DF2" w14:textId="77777777" w:rsidR="006C3491" w:rsidRDefault="006C3491">
      <w:pPr>
        <w:spacing w:before="0" w:line="240" w:lineRule="auto"/>
        <w:ind w:firstLine="0"/>
        <w:jc w:val="left"/>
        <w:rPr>
          <w:rFonts w:cs="Times New Roman"/>
          <w:b/>
          <w:bCs/>
        </w:rPr>
      </w:pPr>
      <w:r>
        <w:rPr>
          <w:rFonts w:cs="Times New Roman"/>
        </w:rPr>
        <w:br w:type="page"/>
      </w:r>
    </w:p>
    <w:p w14:paraId="5C1CBDAF" w14:textId="384D01D5" w:rsidR="00B17E5F" w:rsidRPr="00322E56" w:rsidRDefault="00B17E5F" w:rsidP="00F66A80">
      <w:pPr>
        <w:pStyle w:val="Caption"/>
        <w:jc w:val="center"/>
        <w:rPr>
          <w:rFonts w:cs="Times New Roman"/>
        </w:rPr>
      </w:pPr>
      <w:bookmarkStart w:id="41" w:name="_Toc140399942"/>
      <w:r w:rsidRPr="00322E56">
        <w:rPr>
          <w:rFonts w:cs="Times New Roman"/>
        </w:rPr>
        <w:lastRenderedPageBreak/>
        <w:t xml:space="preserve">Table </w:t>
      </w:r>
      <w:r w:rsidRPr="00322E56">
        <w:rPr>
          <w:rFonts w:cs="Times New Roman"/>
        </w:rPr>
        <w:fldChar w:fldCharType="begin"/>
      </w:r>
      <w:r w:rsidRPr="00322E56">
        <w:rPr>
          <w:rFonts w:cs="Times New Roman"/>
        </w:rPr>
        <w:instrText xml:space="preserve"> SEQ Table \* ARABIC </w:instrText>
      </w:r>
      <w:r w:rsidRPr="00322E56">
        <w:rPr>
          <w:rFonts w:cs="Times New Roman"/>
        </w:rPr>
        <w:fldChar w:fldCharType="separate"/>
      </w:r>
      <w:r w:rsidR="00FC25C0">
        <w:rPr>
          <w:rFonts w:cs="Times New Roman"/>
          <w:noProof/>
        </w:rPr>
        <w:t>2</w:t>
      </w:r>
      <w:r w:rsidRPr="00322E56">
        <w:rPr>
          <w:rFonts w:cs="Times New Roman"/>
        </w:rPr>
        <w:fldChar w:fldCharType="end"/>
      </w:r>
      <w:r w:rsidRPr="00322E56">
        <w:rPr>
          <w:rFonts w:cs="Times New Roman"/>
        </w:rPr>
        <w:t>: Definitions of active, passive, direct, and indirect TES configurations</w:t>
      </w:r>
      <w:bookmarkEnd w:id="41"/>
    </w:p>
    <w:tbl>
      <w:tblPr>
        <w:tblStyle w:val="TableGrid"/>
        <w:tblW w:w="0" w:type="auto"/>
        <w:tblLook w:val="04A0" w:firstRow="1" w:lastRow="0" w:firstColumn="1" w:lastColumn="0" w:noHBand="0" w:noVBand="1"/>
      </w:tblPr>
      <w:tblGrid>
        <w:gridCol w:w="2172"/>
        <w:gridCol w:w="6458"/>
      </w:tblGrid>
      <w:tr w:rsidR="00B17E5F" w:rsidRPr="00322E56" w14:paraId="0DCF7F35" w14:textId="77777777" w:rsidTr="00A37324">
        <w:tc>
          <w:tcPr>
            <w:tcW w:w="2172" w:type="dxa"/>
            <w:vAlign w:val="center"/>
          </w:tcPr>
          <w:p w14:paraId="55A5CED8" w14:textId="77777777" w:rsidR="00B17E5F" w:rsidRPr="00103624" w:rsidRDefault="00B17E5F" w:rsidP="00103624">
            <w:pPr>
              <w:pStyle w:val="NoSpacing"/>
              <w:rPr>
                <w:b/>
                <w:bCs/>
              </w:rPr>
            </w:pPr>
            <w:r w:rsidRPr="00103624">
              <w:rPr>
                <w:b/>
                <w:bCs/>
              </w:rPr>
              <w:t>HP-TES configuration</w:t>
            </w:r>
          </w:p>
        </w:tc>
        <w:tc>
          <w:tcPr>
            <w:tcW w:w="6458" w:type="dxa"/>
            <w:vAlign w:val="center"/>
          </w:tcPr>
          <w:p w14:paraId="54FD205D" w14:textId="77777777" w:rsidR="00B17E5F" w:rsidRPr="00103624" w:rsidRDefault="00B17E5F" w:rsidP="00103624">
            <w:pPr>
              <w:pStyle w:val="NoSpacing"/>
              <w:rPr>
                <w:b/>
                <w:bCs/>
              </w:rPr>
            </w:pPr>
            <w:r w:rsidRPr="00103624">
              <w:rPr>
                <w:b/>
                <w:bCs/>
              </w:rPr>
              <w:t xml:space="preserve">Definition </w:t>
            </w:r>
          </w:p>
        </w:tc>
      </w:tr>
      <w:tr w:rsidR="00B17E5F" w:rsidRPr="00322E56" w14:paraId="6A798632" w14:textId="77777777" w:rsidTr="00A37324">
        <w:tc>
          <w:tcPr>
            <w:tcW w:w="2172" w:type="dxa"/>
            <w:vAlign w:val="center"/>
          </w:tcPr>
          <w:p w14:paraId="6C4FCB8C" w14:textId="77777777" w:rsidR="00B17E5F" w:rsidRPr="00322E56" w:rsidRDefault="00B17E5F" w:rsidP="00103624">
            <w:pPr>
              <w:pStyle w:val="NoSpacing"/>
            </w:pPr>
            <w:r w:rsidRPr="00322E56">
              <w:t>Passive HP-TES</w:t>
            </w:r>
          </w:p>
        </w:tc>
        <w:tc>
          <w:tcPr>
            <w:tcW w:w="6458" w:type="dxa"/>
            <w:vAlign w:val="center"/>
          </w:tcPr>
          <w:p w14:paraId="4C40BC02" w14:textId="77777777" w:rsidR="00B17E5F" w:rsidRPr="00322E56" w:rsidRDefault="00B17E5F" w:rsidP="00103624">
            <w:pPr>
              <w:pStyle w:val="NoSpacing"/>
            </w:pPr>
            <w:r w:rsidRPr="00322E56">
              <w:t>TES charging and discharging occur according to an uncontrolled independent variable such as ambient temperature and PCM phase change temperature. HP is indirectly used by overheating or cooling buildings</w:t>
            </w:r>
          </w:p>
        </w:tc>
      </w:tr>
      <w:tr w:rsidR="00B17E5F" w:rsidRPr="00322E56" w14:paraId="65AAD58E" w14:textId="77777777" w:rsidTr="00A37324">
        <w:tc>
          <w:tcPr>
            <w:tcW w:w="2172" w:type="dxa"/>
            <w:vAlign w:val="center"/>
          </w:tcPr>
          <w:p w14:paraId="531E1477" w14:textId="77777777" w:rsidR="00B17E5F" w:rsidRPr="00322E56" w:rsidRDefault="00B17E5F" w:rsidP="00103624">
            <w:pPr>
              <w:pStyle w:val="NoSpacing"/>
            </w:pPr>
            <w:r w:rsidRPr="00322E56">
              <w:t>Active HP-TES</w:t>
            </w:r>
          </w:p>
        </w:tc>
        <w:tc>
          <w:tcPr>
            <w:tcW w:w="6458" w:type="dxa"/>
            <w:vAlign w:val="center"/>
          </w:tcPr>
          <w:p w14:paraId="4403ED13" w14:textId="77777777" w:rsidR="00B17E5F" w:rsidRPr="00322E56" w:rsidRDefault="00B17E5F" w:rsidP="00103624">
            <w:pPr>
              <w:pStyle w:val="NoSpacing"/>
            </w:pPr>
            <w:r w:rsidRPr="00322E56">
              <w:t xml:space="preserve">TES is directly or indirectly coupled with HP and the decision of when to charge and discharge is determined by controller hardware </w:t>
            </w:r>
          </w:p>
        </w:tc>
      </w:tr>
      <w:tr w:rsidR="00B17E5F" w:rsidRPr="00322E56" w14:paraId="4756B0E0" w14:textId="77777777" w:rsidTr="00A37324">
        <w:tc>
          <w:tcPr>
            <w:tcW w:w="2172" w:type="dxa"/>
            <w:vAlign w:val="center"/>
          </w:tcPr>
          <w:p w14:paraId="65CF98C0" w14:textId="77777777" w:rsidR="00B17E5F" w:rsidRPr="00322E56" w:rsidRDefault="00B17E5F" w:rsidP="00103624">
            <w:pPr>
              <w:pStyle w:val="NoSpacing"/>
            </w:pPr>
            <w:r w:rsidRPr="00322E56">
              <w:t>Direct HP-TES</w:t>
            </w:r>
          </w:p>
        </w:tc>
        <w:tc>
          <w:tcPr>
            <w:tcW w:w="6458" w:type="dxa"/>
            <w:vAlign w:val="center"/>
          </w:tcPr>
          <w:p w14:paraId="6823FABA" w14:textId="77777777" w:rsidR="00B17E5F" w:rsidRPr="00322E56" w:rsidRDefault="00B17E5F" w:rsidP="00103624">
            <w:pPr>
              <w:pStyle w:val="NoSpacing"/>
            </w:pPr>
            <w:r w:rsidRPr="00322E56">
              <w:t>Heat is exchanged directly between the TES and the conditioned space. TES is directly used to heat or cool the building</w:t>
            </w:r>
          </w:p>
        </w:tc>
      </w:tr>
      <w:tr w:rsidR="00B17E5F" w:rsidRPr="00322E56" w14:paraId="1C5FA209" w14:textId="77777777" w:rsidTr="00A37324">
        <w:tc>
          <w:tcPr>
            <w:tcW w:w="2172" w:type="dxa"/>
            <w:vAlign w:val="center"/>
          </w:tcPr>
          <w:p w14:paraId="63CC4C27" w14:textId="77777777" w:rsidR="00B17E5F" w:rsidRPr="00322E56" w:rsidRDefault="00B17E5F" w:rsidP="00103624">
            <w:pPr>
              <w:pStyle w:val="NoSpacing"/>
            </w:pPr>
            <w:r w:rsidRPr="00322E56">
              <w:t>Indirect HP-TES</w:t>
            </w:r>
          </w:p>
        </w:tc>
        <w:tc>
          <w:tcPr>
            <w:tcW w:w="6458" w:type="dxa"/>
            <w:vAlign w:val="center"/>
          </w:tcPr>
          <w:p w14:paraId="2F9258A6" w14:textId="77777777" w:rsidR="00B17E5F" w:rsidRPr="00322E56" w:rsidRDefault="00B17E5F" w:rsidP="00103624">
            <w:pPr>
              <w:pStyle w:val="NoSpacing"/>
            </w:pPr>
            <w:r w:rsidRPr="00322E56">
              <w:t>An HP mediates all heat exchanges between the TES and the conditioned space. The TES and conditioned space thus do not directly exchange heat. TES is used as heat sink or heat source of HP</w:t>
            </w:r>
          </w:p>
        </w:tc>
      </w:tr>
    </w:tbl>
    <w:p w14:paraId="1BD802EC" w14:textId="77777777" w:rsidR="00B17E5F" w:rsidRPr="00322E56" w:rsidRDefault="00B17E5F" w:rsidP="00AC6881">
      <w:pPr>
        <w:rPr>
          <w:rFonts w:cs="Times New Roman"/>
        </w:rPr>
      </w:pPr>
    </w:p>
    <w:p w14:paraId="48F4CE6F" w14:textId="77777777" w:rsidR="00B17E5F" w:rsidRPr="00322E56" w:rsidRDefault="00B17E5F">
      <w:pPr>
        <w:spacing w:line="240" w:lineRule="auto"/>
        <w:rPr>
          <w:rFonts w:cs="Times New Roman"/>
          <w:b/>
          <w:bCs/>
          <w:iCs/>
          <w:szCs w:val="28"/>
        </w:rPr>
      </w:pPr>
      <w:r w:rsidRPr="00322E56">
        <w:rPr>
          <w:rFonts w:cs="Times New Roman"/>
        </w:rPr>
        <w:br w:type="page"/>
      </w:r>
    </w:p>
    <w:p w14:paraId="2B18FAFA" w14:textId="462BBB45" w:rsidR="00B17E5F" w:rsidRPr="00322E56" w:rsidRDefault="00B17E5F" w:rsidP="006C3491">
      <w:pPr>
        <w:ind w:firstLine="0"/>
        <w:rPr>
          <w:rFonts w:cs="Times New Roman"/>
        </w:rPr>
      </w:pPr>
      <w:bookmarkStart w:id="42" w:name="_Hlk39400375"/>
      <w:r w:rsidRPr="00322E56">
        <w:rPr>
          <w:rFonts w:cs="Times New Roman"/>
        </w:rPr>
        <w:lastRenderedPageBreak/>
        <w:t xml:space="preserve">A building model based on internal load, temperature, and solar data was developed and integrated with dynamic thermostat control strategies. The researchers, however, lacked data to predict the amount of peak load that could be shifted </w:t>
      </w:r>
      <w:sdt>
        <w:sdtPr>
          <w:rPr>
            <w:rFonts w:cs="Times New Roman"/>
            <w:color w:val="000000"/>
            <w:shd w:val="clear" w:color="auto" w:fill="E6E6E6"/>
          </w:rPr>
          <w:tag w:val="MENDELEY_CITATION_v3_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"/>
          <w:id w:val="-1897190157"/>
          <w:placeholder>
            <w:docPart w:val="A990981ECEA44629943B29E4C7765880"/>
          </w:placeholder>
        </w:sdtPr>
        <w:sdtContent>
          <w:r w:rsidR="001E7ECF" w:rsidRPr="001E7ECF">
            <w:rPr>
              <w:rFonts w:cs="Times New Roman"/>
              <w:color w:val="000000"/>
            </w:rPr>
            <w:t>[108]</w:t>
          </w:r>
        </w:sdtContent>
      </w:sdt>
      <w:r w:rsidRPr="00322E56">
        <w:rPr>
          <w:rFonts w:cs="Times New Roman"/>
        </w:rPr>
        <w:t xml:space="preserve">. A dynamic building control strategy to </w:t>
      </w:r>
      <w:bookmarkStart w:id="43" w:name="_Hlk39359323"/>
      <w:r w:rsidRPr="00322E56">
        <w:rPr>
          <w:rFonts w:cs="Times New Roman"/>
        </w:rPr>
        <w:t>reduce the A/C cost and peak demands in buildings</w:t>
      </w:r>
      <w:bookmarkEnd w:id="43"/>
      <w:r w:rsidRPr="00322E56">
        <w:rPr>
          <w:rFonts w:cs="Times New Roman"/>
        </w:rPr>
        <w:t xml:space="preserve"> was also investigated </w:t>
      </w:r>
      <w:sdt>
        <w:sdtPr>
          <w:rPr>
            <w:rFonts w:cs="Times New Roman"/>
            <w:color w:val="000000"/>
          </w:rPr>
          <w:tag w:val="MENDELEY_CITATION_v3_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"/>
          <w:id w:val="-1863206555"/>
          <w:placeholder>
            <w:docPart w:val="37BF34D14FE14A7A9162EE20AAC1293B"/>
          </w:placeholder>
        </w:sdtPr>
        <w:sdtContent>
          <w:r w:rsidR="001E7ECF" w:rsidRPr="001E7ECF">
            <w:rPr>
              <w:rFonts w:cs="Times New Roman"/>
              <w:color w:val="000000"/>
            </w:rPr>
            <w:t>[107]</w:t>
          </w:r>
        </w:sdtContent>
      </w:sdt>
      <w:r w:rsidRPr="00322E56">
        <w:rPr>
          <w:rFonts w:cs="Times New Roman"/>
        </w:rPr>
        <w:t xml:space="preserve">. The state of the building’s thermal storage was controlled by varying building zone temperatures over time within the comfort region. The cooling load was shifted from daytime to nighttime to utilize low utility rates and reduce the peak demand. The reduced cost was found to be a function of </w:t>
      </w:r>
      <w:bookmarkStart w:id="44" w:name="_Hlk39359547"/>
      <w:r w:rsidRPr="00322E56">
        <w:rPr>
          <w:rFonts w:cs="Times New Roman"/>
        </w:rPr>
        <w:t>utility rate structure, weather, building occupancy and thermal capacitance, and c</w:t>
      </w:r>
      <w:bookmarkEnd w:id="44"/>
      <w:r w:rsidRPr="00322E56">
        <w:rPr>
          <w:rFonts w:cs="Times New Roman"/>
        </w:rPr>
        <w:t xml:space="preserve">ooling system characteristics </w:t>
      </w:r>
      <w:sdt>
        <w:sdtPr>
          <w:rPr>
            <w:rFonts w:cs="Times New Roman"/>
            <w:color w:val="000000"/>
          </w:rPr>
          <w:tag w:val="MENDELEY_CITATION_v3_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"/>
          <w:id w:val="-1352636984"/>
          <w:placeholder>
            <w:docPart w:val="7F508E2377494D0A87814F5CF9CFFCAF"/>
          </w:placeholder>
        </w:sdtPr>
        <w:sdtContent>
          <w:r w:rsidR="001E7ECF" w:rsidRPr="001E7ECF">
            <w:rPr>
              <w:rFonts w:cs="Times New Roman"/>
              <w:color w:val="000000"/>
            </w:rPr>
            <w:t>[107]</w:t>
          </w:r>
        </w:sdtContent>
      </w:sdt>
      <w:r w:rsidRPr="00322E56">
        <w:rPr>
          <w:rFonts w:cs="Times New Roman"/>
          <w:color w:val="000000"/>
        </w:rPr>
        <w:t>.</w:t>
      </w:r>
    </w:p>
    <w:p w14:paraId="78610728" w14:textId="7A6C08BA" w:rsidR="00B17E5F" w:rsidRPr="00322E56" w:rsidRDefault="00B17E5F" w:rsidP="005F0214">
      <w:pPr>
        <w:rPr>
          <w:rFonts w:cs="Times New Roman"/>
        </w:rPr>
      </w:pPr>
      <w:r w:rsidRPr="00322E56">
        <w:rPr>
          <w:rFonts w:cs="Times New Roman"/>
        </w:rPr>
        <w:t>Researchers have achieved building flexibility and reported energy and cost savings by developing a dynamic control model for HPs and buildings without using TES.</w:t>
      </w:r>
      <w:r w:rsidRPr="00322E56">
        <w:rPr>
          <w:rFonts w:cs="Times New Roman"/>
          <w:noProof/>
        </w:rPr>
        <w:t xml:space="preserve"> </w:t>
      </w:r>
      <w:r w:rsidRPr="00322E56">
        <w:rPr>
          <w:rFonts w:cs="Times New Roman"/>
        </w:rPr>
        <w:t xml:space="preserve">Gottwalt et al. </w:t>
      </w:r>
      <w:sdt>
        <w:sdtPr>
          <w:rPr>
            <w:rFonts w:cs="Times New Roman"/>
            <w:color w:val="000000"/>
            <w:shd w:val="clear" w:color="auto" w:fill="E6E6E6"/>
          </w:rPr>
          <w:tag w:val="MENDELEY_CITATION_v3_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"/>
          <w:id w:val="-826675091"/>
          <w:placeholder>
            <w:docPart w:val="92A3C9CCD48C4670B881461BD0733695"/>
          </w:placeholder>
        </w:sdtPr>
        <w:sdtContent>
          <w:r w:rsidR="001E7ECF" w:rsidRPr="001E7ECF">
            <w:rPr>
              <w:rFonts w:cs="Times New Roman"/>
              <w:color w:val="000000"/>
            </w:rPr>
            <w:t>[109]</w:t>
          </w:r>
        </w:sdtContent>
      </w:sdt>
      <w:r w:rsidRPr="00322E56">
        <w:rPr>
          <w:rFonts w:cs="Times New Roman"/>
        </w:rPr>
        <w:t xml:space="preserve"> presented a model to generate the load profile of a house under flat tariffs and simulated the varying profiles using TOU tariffs with smart appliances to investigate the impact on utility bills. Besides heat pumps for space heating, they used a variety of appliances including kitchen appliances, water heaters, and washing and drying appliances. The simulations were carried out in reference to the households in Germany and they concluded that except for the heating devices like water heaters and heat pumps, the economic benefit of investing in other smart appliances is low. They recommended that for the U.S. households, with a majority using electric water and space heating, the economic benefit will be promising. The air conditioning was not included in the study because of less relevancy to German households either and is recommended for the U.S. case study. Since, TOU tariffs could create new demand peaks, building flexibility can be achieved no matter the appliance or region, and the utilities can balance the demand and supply since they need a large hourly load to be shifted. TOU tariffs could achieve grid and building flexibility by creating new demand peaks regardless of the appliance or region. </w:t>
      </w:r>
    </w:p>
    <w:p w14:paraId="3D5C8E88" w14:textId="635922C8" w:rsidR="00B17E5F" w:rsidRPr="00322E56" w:rsidRDefault="00B17E5F" w:rsidP="005F0214">
      <w:pPr>
        <w:rPr>
          <w:rFonts w:cs="Times New Roman"/>
        </w:rPr>
      </w:pPr>
      <w:r w:rsidRPr="00322E56">
        <w:rPr>
          <w:rFonts w:cs="Times New Roman"/>
        </w:rPr>
        <w:t xml:space="preserve">Vrettos et al. </w:t>
      </w:r>
      <w:sdt>
        <w:sdtPr>
          <w:rPr>
            <w:rFonts w:cs="Times New Roman"/>
            <w:color w:val="000000"/>
            <w:shd w:val="clear" w:color="auto" w:fill="E6E6E6"/>
          </w:rPr>
          <w:tag w:val="MENDELEY_CITATION_v3_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"/>
          <w:id w:val="-1839614173"/>
          <w:placeholder>
            <w:docPart w:val="92A3C9CCD48C4670B881461BD0733695"/>
          </w:placeholder>
        </w:sdtPr>
        <w:sdtContent>
          <w:r w:rsidR="001E7ECF" w:rsidRPr="001E7ECF">
            <w:rPr>
              <w:rFonts w:cs="Times New Roman"/>
              <w:color w:val="000000"/>
            </w:rPr>
            <w:t>[110]</w:t>
          </w:r>
        </w:sdtContent>
      </w:sdt>
      <w:r w:rsidRPr="00322E56">
        <w:rPr>
          <w:rFonts w:cs="Times New Roman"/>
        </w:rPr>
        <w:t xml:space="preserve"> investigated the residential buildings’ response to three price signals; day-night tariff, day-ahead dynamic tariff, real-time dynamic tariff. DR was evaluated for five appliances, including HPs. They demonstrated that most of the energy </w:t>
      </w:r>
      <w:r w:rsidRPr="00322E56">
        <w:rPr>
          <w:rFonts w:cs="Times New Roman"/>
        </w:rPr>
        <w:lastRenderedPageBreak/>
        <w:t xml:space="preserve">shifting potential could be achieved by a price step with a duration of up to two hours. The building was more responsive to the known price signals such as day-ahead tariffs. </w:t>
      </w:r>
    </w:p>
    <w:p w14:paraId="22D4BAC5" w14:textId="60FC95CA" w:rsidR="00B17E5F" w:rsidRPr="00322E56" w:rsidRDefault="00B17E5F" w:rsidP="005F0214">
      <w:pPr>
        <w:rPr>
          <w:rFonts w:cs="Times New Roman"/>
        </w:rPr>
      </w:pPr>
      <w:r w:rsidRPr="00322E56">
        <w:rPr>
          <w:rFonts w:cs="Times New Roman"/>
        </w:rPr>
        <w:t xml:space="preserve">Yoon et al. </w:t>
      </w:r>
      <w:sdt>
        <w:sdtPr>
          <w:rPr>
            <w:rFonts w:cs="Times New Roman"/>
            <w:color w:val="000000"/>
          </w:rPr>
          <w:tag w:val="MENDELEY_CITATION_v3_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"/>
          <w:id w:val="-1050303979"/>
          <w:placeholder>
            <w:docPart w:val="DefaultPlaceholder_-1854013440"/>
          </w:placeholder>
        </w:sdtPr>
        <w:sdtEndPr>
          <w:rPr>
            <w:rFonts w:cs="Arial"/>
          </w:rPr>
        </w:sdtEndPr>
        <w:sdtContent>
          <w:r w:rsidR="001E7ECF" w:rsidRPr="001E7ECF">
            <w:rPr>
              <w:color w:val="000000"/>
            </w:rPr>
            <w:t>[111]</w:t>
          </w:r>
        </w:sdtContent>
      </w:sdt>
      <w:r w:rsidRPr="00322E56">
        <w:rPr>
          <w:rFonts w:cs="Times New Roman"/>
        </w:rPr>
        <w:t xml:space="preserve">, and </w:t>
      </w:r>
      <w:sdt>
        <w:sdtPr>
          <w:rPr>
            <w:rFonts w:cs="Times New Roman"/>
            <w:color w:val="000000"/>
          </w:rPr>
          <w:tag w:val="MENDELEY_CITATION_v3_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"/>
          <w:id w:val="201835306"/>
          <w:placeholder>
            <w:docPart w:val="DefaultPlaceholder_-1854013440"/>
          </w:placeholder>
        </w:sdtPr>
        <w:sdtEndPr>
          <w:rPr>
            <w:rFonts w:cs="Arial"/>
          </w:rPr>
        </w:sdtEndPr>
        <w:sdtContent>
          <w:r w:rsidR="001E7ECF" w:rsidRPr="001E7ECF">
            <w:rPr>
              <w:color w:val="000000"/>
            </w:rPr>
            <w:t>[112]</w:t>
          </w:r>
        </w:sdtContent>
      </w:sdt>
      <w:r w:rsidRPr="00322E56">
        <w:rPr>
          <w:rFonts w:cs="Times New Roman"/>
        </w:rPr>
        <w:t xml:space="preserve"> modeled a demand response controller (DRC) for homes in Austin, Texas, based on historical real-time data for the Electricity Reliability Council of Texas (ERCOT). They demonstrated that, depending on the house's size and utility price structure, up to 24.7% of HVAC peak demand loads can be reduced, reducing annual electricity consumption by 4.3% and providing up to 10.8% cost savings while maintaining occupant thermal comfort.</w:t>
      </w:r>
    </w:p>
    <w:p w14:paraId="560DD65B" w14:textId="6F8CB88F" w:rsidR="00B17E5F" w:rsidRPr="00322E56" w:rsidRDefault="00B17E5F" w:rsidP="005F0214">
      <w:pPr>
        <w:rPr>
          <w:rFonts w:cs="Times New Roman"/>
        </w:rPr>
      </w:pPr>
      <w:r w:rsidRPr="00322E56">
        <w:rPr>
          <w:rFonts w:cs="Times New Roman"/>
        </w:rPr>
        <w:t>Schibuola</w:t>
      </w:r>
      <w:r w:rsidRPr="00322E56" w:rsidDel="00A431DD">
        <w:rPr>
          <w:rFonts w:cs="Times New Roman"/>
        </w:rPr>
        <w:t xml:space="preserve"> </w:t>
      </w:r>
      <w:r w:rsidRPr="00322E56">
        <w:rPr>
          <w:rFonts w:cs="Times New Roman"/>
        </w:rPr>
        <w:t xml:space="preserve">et al. </w:t>
      </w:r>
      <w:sdt>
        <w:sdtPr>
          <w:rPr>
            <w:rFonts w:cs="Times New Roman"/>
            <w:color w:val="000000"/>
            <w:shd w:val="clear" w:color="auto" w:fill="E6E6E6"/>
          </w:rPr>
          <w:tag w:val="MENDELEY_CITATION_v3_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"/>
          <w:id w:val="1083185897"/>
          <w:placeholder>
            <w:docPart w:val="92A3C9CCD48C4670B881461BD0733695"/>
          </w:placeholder>
        </w:sdtPr>
        <w:sdtContent>
          <w:r w:rsidR="001E7ECF" w:rsidRPr="001E7ECF">
            <w:rPr>
              <w:rFonts w:cs="Times New Roman"/>
              <w:color w:val="000000"/>
            </w:rPr>
            <w:t>[113]</w:t>
          </w:r>
        </w:sdtContent>
      </w:sdt>
      <w:r w:rsidRPr="00322E56">
        <w:rPr>
          <w:rFonts w:cs="Times New Roman"/>
        </w:rPr>
        <w:t xml:space="preserve"> simulated HP control based on real-time pricing, using three control strategies for DR, and showed up to 30% savings in electricity consumption cost. The HP was integrated into the smart grid and coupled to water heater. The system was simulated in EnergyPlus, and an 18% efficient PV panel was used for on-site energy generation. They demonstrated better performance for the control strategy that forces the HP to turn on when the PV system generates electricity. </w:t>
      </w:r>
    </w:p>
    <w:p w14:paraId="6BE54323" w14:textId="51263F8B" w:rsidR="00B17E5F" w:rsidRPr="00322E56" w:rsidRDefault="00B17E5F" w:rsidP="005F0214">
      <w:pPr>
        <w:rPr>
          <w:rFonts w:cs="Times New Roman"/>
        </w:rPr>
      </w:pPr>
      <w:r w:rsidRPr="00322E56">
        <w:rPr>
          <w:rFonts w:cs="Times New Roman"/>
        </w:rPr>
        <w:t xml:space="preserve">Farrokhifar et al. </w:t>
      </w:r>
      <w:sdt>
        <w:sdtPr>
          <w:rPr>
            <w:rFonts w:cs="Times New Roman"/>
            <w:color w:val="000000"/>
            <w:shd w:val="clear" w:color="auto" w:fill="E6E6E6"/>
          </w:rPr>
          <w:tag w:val="MENDELEY_CITATION_v3_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"/>
          <w:id w:val="1349213093"/>
          <w:placeholder>
            <w:docPart w:val="92A3C9CCD48C4670B881461BD0733695"/>
          </w:placeholder>
        </w:sdtPr>
        <w:sdtContent>
          <w:r w:rsidR="001E7ECF" w:rsidRPr="001E7ECF">
            <w:rPr>
              <w:rFonts w:cs="Times New Roman"/>
              <w:color w:val="000000"/>
            </w:rPr>
            <w:t>[114]</w:t>
          </w:r>
        </w:sdtContent>
      </w:sdt>
      <w:r w:rsidRPr="00322E56">
        <w:rPr>
          <w:rFonts w:cs="Times New Roman"/>
        </w:rPr>
        <w:t xml:space="preserve"> investigated the energy usage of 15 appliances in the building and recommended that HPs could be investigated to provide better energy management. The appliances were classified into two categories, non-programmable appliances such as T.V., computer, lights, etc., and smart appliances like the dishwasher to respond to the fluctuating time prices by programming their time of operation. They presented an energy management system with reduced electric consumption costs, based on real-time pricing, and preventing the high peak demands. All appliances were investigated for total building energy usage and studied with five cases based on different energy-cost ratios and compared by varying the number of peak hours, peak demand charge, and the run-time and energy usage of appliances. The maximum cost saved was 22.4% in case 5, where double-peaked tariff has been considered and the energy-cost ratio was 0.48.</w:t>
      </w:r>
    </w:p>
    <w:p w14:paraId="554D8D00" w14:textId="69C5CCA5" w:rsidR="00B17E5F" w:rsidRPr="00322E56" w:rsidRDefault="00B17E5F" w:rsidP="005F0214">
      <w:pPr>
        <w:rPr>
          <w:rFonts w:cs="Times New Roman"/>
        </w:rPr>
      </w:pPr>
      <w:r w:rsidRPr="00322E56">
        <w:rPr>
          <w:rFonts w:cs="Times New Roman"/>
        </w:rPr>
        <w:t xml:space="preserve">Romero Rodríguez et al. </w:t>
      </w:r>
      <w:sdt>
        <w:sdtPr>
          <w:rPr>
            <w:rFonts w:cs="Times New Roman"/>
            <w:color w:val="000000"/>
            <w:shd w:val="clear" w:color="auto" w:fill="E6E6E6"/>
          </w:rPr>
          <w:tag w:val="MENDELEY_CITATION_v3_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"/>
          <w:id w:val="1277450525"/>
          <w:placeholder>
            <w:docPart w:val="92A3C9CCD48C4670B881461BD0733695"/>
          </w:placeholder>
        </w:sdtPr>
        <w:sdtContent>
          <w:r w:rsidR="001E7ECF" w:rsidRPr="001E7ECF">
            <w:rPr>
              <w:rFonts w:cs="Times New Roman"/>
              <w:color w:val="000000"/>
            </w:rPr>
            <w:t>[115]</w:t>
          </w:r>
        </w:sdtContent>
      </w:sdt>
      <w:r w:rsidRPr="00322E56">
        <w:rPr>
          <w:rFonts w:cs="Times New Roman"/>
        </w:rPr>
        <w:t xml:space="preserve"> evaluated the energy consumption and cost for an HP using dynamic pricing and benefitting from the building’s thermal mass. They reduced the </w:t>
      </w:r>
      <w:r w:rsidRPr="00322E56">
        <w:rPr>
          <w:rFonts w:cs="Times New Roman"/>
        </w:rPr>
        <w:lastRenderedPageBreak/>
        <w:t>peak time usage of heat pumps and reported 25% cost savings using optimal strategies. The building became overheated because dynamic pricing control caused infrequent activation of the HP.</w:t>
      </w:r>
      <w:bookmarkEnd w:id="42"/>
      <w:r w:rsidRPr="00322E56">
        <w:rPr>
          <w:rFonts w:cs="Times New Roman"/>
        </w:rPr>
        <w:t xml:space="preserve"> </w:t>
      </w:r>
    </w:p>
    <w:p w14:paraId="1B27196F" w14:textId="58BF4173" w:rsidR="00B17E5F" w:rsidRPr="00322E56" w:rsidRDefault="00B17E5F" w:rsidP="005F0214">
      <w:pPr>
        <w:rPr>
          <w:rFonts w:cs="Times New Roman"/>
        </w:rPr>
      </w:pPr>
      <w:r w:rsidRPr="00322E56">
        <w:rPr>
          <w:rFonts w:cs="Times New Roman"/>
        </w:rPr>
        <w:t xml:space="preserve">Arabzadeh et al. </w:t>
      </w:r>
      <w:sdt>
        <w:sdtPr>
          <w:rPr>
            <w:rFonts w:cs="Times New Roman"/>
            <w:color w:val="000000"/>
            <w:shd w:val="clear" w:color="auto" w:fill="E6E6E6"/>
          </w:rPr>
          <w:tag w:val="MENDELEY_CITATION_v3_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"/>
          <w:id w:val="1414655245"/>
          <w:placeholder>
            <w:docPart w:val="92A3C9CCD48C4670B881461BD0733695"/>
          </w:placeholder>
        </w:sdtPr>
        <w:sdtContent>
          <w:r w:rsidR="001E7ECF" w:rsidRPr="001E7ECF">
            <w:rPr>
              <w:rFonts w:cs="Times New Roman"/>
              <w:color w:val="000000"/>
            </w:rPr>
            <w:t>[116]</w:t>
          </w:r>
        </w:sdtContent>
      </w:sdt>
      <w:r w:rsidRPr="00322E56">
        <w:rPr>
          <w:rFonts w:cs="Times New Roman"/>
        </w:rPr>
        <w:t xml:space="preserve"> developed a predictive cost-optimal DR control for HPs in residential buildings with on-site, roof-integrated PV energy generation under cold climate conditions. The model predicts a building’s heat demand one day ahead, which is implemented to optimize the grid electrical energy consumption. The excess energy generated by PV was sold back to the grid.</w:t>
      </w:r>
    </w:p>
    <w:p w14:paraId="46078866" w14:textId="77777777" w:rsidR="00B17E5F" w:rsidRDefault="00B17E5F" w:rsidP="005F0214">
      <w:pPr>
        <w:rPr>
          <w:rFonts w:cs="Times New Roman"/>
        </w:rPr>
      </w:pPr>
      <w:r w:rsidRPr="00322E56">
        <w:rPr>
          <w:rFonts w:cs="Times New Roman"/>
        </w:rPr>
        <w:t>Table 3 summarizes the cost savings and demand impact for systems without TES, using various demand and price control strategies.</w:t>
      </w:r>
    </w:p>
    <w:p w14:paraId="34131F0B" w14:textId="77777777" w:rsidR="006C3491" w:rsidRPr="00322E56" w:rsidRDefault="006C3491" w:rsidP="006C3491">
      <w:pPr>
        <w:rPr>
          <w:rFonts w:cs="Times New Roman"/>
        </w:rPr>
      </w:pPr>
      <w:r w:rsidRPr="00322E56">
        <w:rPr>
          <w:rFonts w:cs="Times New Roman"/>
        </w:rPr>
        <w:t xml:space="preserve">The role of HPs and TES was also investigated for load shifting and demand-side management </w:t>
      </w:r>
      <w:sdt>
        <w:sdtPr>
          <w:rPr>
            <w:rFonts w:cs="Times New Roman"/>
            <w:color w:val="000000"/>
            <w:shd w:val="clear" w:color="auto" w:fill="E6E6E6"/>
          </w:rPr>
          <w:tag w:val="MENDELEY_CITATION_v3_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"/>
          <w:id w:val="-409541552"/>
          <w:placeholder>
            <w:docPart w:val="EC469CF5016DD740A4F63043E437E0F5"/>
          </w:placeholder>
        </w:sdtPr>
        <w:sdtContent>
          <w:r w:rsidRPr="001E7ECF">
            <w:rPr>
              <w:rFonts w:cs="Times New Roman"/>
              <w:color w:val="000000"/>
            </w:rPr>
            <w:t>[94]</w:t>
          </w:r>
        </w:sdtContent>
      </w:sdt>
      <w:r w:rsidRPr="00322E56">
        <w:rPr>
          <w:rFonts w:cs="Times New Roman"/>
        </w:rPr>
        <w:t>. TES was coupled with an HP with radiators or underfloor heating to study the impact on thermal comfort. With the HP turned off during peak hours, the electricity bill was reduced without compromising comfort, but no significant demand reduction was reported.</w:t>
      </w:r>
    </w:p>
    <w:p w14:paraId="5C9ABBCA" w14:textId="77777777" w:rsidR="006C3491" w:rsidRDefault="006C3491" w:rsidP="006C3491">
      <w:pPr>
        <w:rPr>
          <w:rFonts w:cs="Times New Roman"/>
        </w:rPr>
      </w:pPr>
      <w:r w:rsidRPr="00322E56">
        <w:rPr>
          <w:rFonts w:cs="Times New Roman"/>
        </w:rPr>
        <w:t xml:space="preserve">Ali et al. </w:t>
      </w:r>
      <w:sdt>
        <w:sdtPr>
          <w:rPr>
            <w:rFonts w:cs="Times New Roman"/>
            <w:color w:val="000000"/>
            <w:shd w:val="clear" w:color="auto" w:fill="E6E6E6"/>
          </w:rPr>
          <w:tag w:val="MENDELEY_CITATION_v3_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"/>
          <w:id w:val="469091735"/>
          <w:placeholder>
            <w:docPart w:val="EC469CF5016DD740A4F63043E437E0F5"/>
          </w:placeholder>
        </w:sdtPr>
        <w:sdtContent>
          <w:r w:rsidRPr="001E7ECF">
            <w:rPr>
              <w:rFonts w:cs="Times New Roman"/>
              <w:color w:val="000000"/>
            </w:rPr>
            <w:t>[118]</w:t>
          </w:r>
        </w:sdtContent>
      </w:sdt>
      <w:r w:rsidRPr="00322E56">
        <w:rPr>
          <w:rFonts w:cs="Times New Roman"/>
        </w:rPr>
        <w:t xml:space="preserve"> evaluated the DR potential of residential HVAC loads. They maintained that value can be added by supporting the HVAC system with even a small TES system. In a study to investigate the DR impact on thermal comfort and cost in a residential building with an electric HP, 10% energy cost savings were reported using a predictive control strategy </w:t>
      </w:r>
      <w:sdt>
        <w:sdtPr>
          <w:rPr>
            <w:rFonts w:cs="Times New Roman"/>
            <w:color w:val="000000"/>
            <w:shd w:val="clear" w:color="auto" w:fill="E6E6E6"/>
          </w:rPr>
          <w:tag w:val="MENDELEY_CITATION_v3_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"/>
          <w:id w:val="-1017380657"/>
          <w:placeholder>
            <w:docPart w:val="EC469CF5016DD740A4F63043E437E0F5"/>
          </w:placeholder>
        </w:sdtPr>
        <w:sdtContent>
          <w:r w:rsidRPr="001E7ECF">
            <w:rPr>
              <w:rFonts w:cs="Times New Roman"/>
              <w:color w:val="000000"/>
            </w:rPr>
            <w:t>[119]</w:t>
          </w:r>
        </w:sdtContent>
      </w:sdt>
      <w:r w:rsidRPr="00322E56">
        <w:rPr>
          <w:rFonts w:cs="Times New Roman"/>
        </w:rPr>
        <w:t xml:space="preserve">, and 12% of energy was saved in addition to the cost savings when a hot water storage tank was coupled with an HP with the predictive DR control </w:t>
      </w:r>
      <w:sdt>
        <w:sdtPr>
          <w:rPr>
            <w:rFonts w:cs="Times New Roman"/>
            <w:color w:val="000000"/>
            <w:shd w:val="clear" w:color="auto" w:fill="E6E6E6"/>
          </w:rPr>
          <w:tag w:val="MENDELEY_CITATION_v3_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"/>
          <w:id w:val="607479032"/>
          <w:placeholder>
            <w:docPart w:val="EC469CF5016DD740A4F63043E437E0F5"/>
          </w:placeholder>
        </w:sdtPr>
        <w:sdtContent>
          <w:r w:rsidRPr="001E7ECF">
            <w:rPr>
              <w:rFonts w:cs="Times New Roman"/>
              <w:color w:val="000000"/>
            </w:rPr>
            <w:t>[120]</w:t>
          </w:r>
        </w:sdtContent>
      </w:sdt>
      <w:r w:rsidRPr="00322E56">
        <w:rPr>
          <w:rFonts w:cs="Times New Roman"/>
        </w:rPr>
        <w:t>.</w:t>
      </w:r>
    </w:p>
    <w:p w14:paraId="2A087910" w14:textId="35B3D448" w:rsidR="00B17E5F" w:rsidRPr="00322E56" w:rsidRDefault="006C3491" w:rsidP="006C3491">
      <w:pPr>
        <w:rPr>
          <w:rFonts w:cs="Times New Roman"/>
        </w:rPr>
      </w:pPr>
      <w:r w:rsidRPr="00322E56">
        <w:rPr>
          <w:rFonts w:cs="Times New Roman"/>
        </w:rPr>
        <w:t>The DR control strategies without TES can reduce the overall cost but cannot provide energy savings, so the demand impact is not comparable to the grid flexibility provided by HP-TES. When properly controlled, thermal storage can be useful in an economic or behavioral curtailment scenario for DR. The DR control and TES together offer more stability and grid benefits, as discussed in the upcoming sections.</w:t>
      </w:r>
    </w:p>
    <w:p w14:paraId="221923A5" w14:textId="74CA6FC9" w:rsidR="00B17E5F" w:rsidRPr="00322E56" w:rsidRDefault="00B17E5F" w:rsidP="006C3491">
      <w:pPr>
        <w:pStyle w:val="Caption"/>
        <w:jc w:val="center"/>
        <w:rPr>
          <w:rFonts w:cs="Times New Roman"/>
        </w:rPr>
      </w:pPr>
      <w:bookmarkStart w:id="45" w:name="_Toc140399943"/>
      <w:r w:rsidRPr="00322E56">
        <w:rPr>
          <w:rFonts w:cs="Times New Roman"/>
        </w:rPr>
        <w:lastRenderedPageBreak/>
        <w:t xml:space="preserve">Table </w:t>
      </w:r>
      <w:r w:rsidRPr="00322E56">
        <w:rPr>
          <w:rFonts w:cs="Times New Roman"/>
        </w:rPr>
        <w:fldChar w:fldCharType="begin"/>
      </w:r>
      <w:r w:rsidRPr="00322E56">
        <w:rPr>
          <w:rFonts w:cs="Times New Roman"/>
        </w:rPr>
        <w:instrText xml:space="preserve"> SEQ Table \* ARABIC </w:instrText>
      </w:r>
      <w:r w:rsidRPr="00322E56">
        <w:rPr>
          <w:rFonts w:cs="Times New Roman"/>
        </w:rPr>
        <w:fldChar w:fldCharType="separate"/>
      </w:r>
      <w:r w:rsidR="00FC25C0">
        <w:rPr>
          <w:rFonts w:cs="Times New Roman"/>
          <w:noProof/>
        </w:rPr>
        <w:t>3</w:t>
      </w:r>
      <w:r w:rsidRPr="00322E56">
        <w:rPr>
          <w:rFonts w:cs="Times New Roman"/>
        </w:rPr>
        <w:fldChar w:fldCharType="end"/>
      </w:r>
      <w:r w:rsidRPr="00322E56">
        <w:rPr>
          <w:rFonts w:cs="Times New Roman"/>
        </w:rPr>
        <w:t>: Demand management without TES</w:t>
      </w:r>
      <w:bookmarkEnd w:id="45"/>
    </w:p>
    <w:tbl>
      <w:tblPr>
        <w:tblStyle w:val="TableGrid"/>
        <w:tblW w:w="8613" w:type="dxa"/>
        <w:tblLayout w:type="fixed"/>
        <w:tblLook w:val="04A0" w:firstRow="1" w:lastRow="0" w:firstColumn="1" w:lastColumn="0" w:noHBand="0" w:noVBand="1"/>
      </w:tblPr>
      <w:tblGrid>
        <w:gridCol w:w="1237"/>
        <w:gridCol w:w="1680"/>
        <w:gridCol w:w="1887"/>
        <w:gridCol w:w="1440"/>
        <w:gridCol w:w="1102"/>
        <w:gridCol w:w="1267"/>
      </w:tblGrid>
      <w:tr w:rsidR="00B17E5F" w:rsidRPr="00103624" w14:paraId="626D6CA7" w14:textId="77777777" w:rsidTr="00270231">
        <w:trPr>
          <w:trHeight w:val="494"/>
        </w:trPr>
        <w:tc>
          <w:tcPr>
            <w:tcW w:w="1237" w:type="dxa"/>
          </w:tcPr>
          <w:p w14:paraId="397939B3" w14:textId="77777777" w:rsidR="00B17E5F" w:rsidRPr="00103624" w:rsidRDefault="00B17E5F" w:rsidP="009B67AD">
            <w:pPr>
              <w:pStyle w:val="NoSpacing"/>
              <w:rPr>
                <w:rFonts w:cs="Times New Roman"/>
                <w:b/>
                <w:bCs/>
                <w:sz w:val="22"/>
                <w:szCs w:val="22"/>
              </w:rPr>
            </w:pPr>
            <w:bookmarkStart w:id="46" w:name="_Hlk64277887"/>
            <w:r w:rsidRPr="00103624">
              <w:rPr>
                <w:rFonts w:cs="Times New Roman"/>
                <w:b/>
                <w:bCs/>
                <w:sz w:val="22"/>
                <w:szCs w:val="22"/>
              </w:rPr>
              <w:t>Reference</w:t>
            </w:r>
          </w:p>
        </w:tc>
        <w:tc>
          <w:tcPr>
            <w:tcW w:w="1680" w:type="dxa"/>
          </w:tcPr>
          <w:p w14:paraId="7AA749D0" w14:textId="77777777" w:rsidR="00B17E5F" w:rsidRPr="00103624" w:rsidRDefault="00B17E5F" w:rsidP="009B67AD">
            <w:pPr>
              <w:pStyle w:val="NoSpacing"/>
              <w:rPr>
                <w:rFonts w:cs="Times New Roman"/>
                <w:b/>
                <w:bCs/>
                <w:sz w:val="22"/>
                <w:szCs w:val="22"/>
              </w:rPr>
            </w:pPr>
            <w:r w:rsidRPr="00103624">
              <w:rPr>
                <w:rFonts w:cs="Times New Roman"/>
                <w:b/>
                <w:bCs/>
                <w:sz w:val="22"/>
                <w:szCs w:val="22"/>
              </w:rPr>
              <w:t>Control strategy</w:t>
            </w:r>
          </w:p>
        </w:tc>
        <w:tc>
          <w:tcPr>
            <w:tcW w:w="1887" w:type="dxa"/>
          </w:tcPr>
          <w:p w14:paraId="7EC79CD5" w14:textId="77777777" w:rsidR="00B17E5F" w:rsidRPr="00103624" w:rsidRDefault="00B17E5F" w:rsidP="009B67AD">
            <w:pPr>
              <w:pStyle w:val="NoSpacing"/>
              <w:rPr>
                <w:rFonts w:cs="Times New Roman"/>
                <w:b/>
                <w:bCs/>
                <w:sz w:val="22"/>
                <w:szCs w:val="22"/>
              </w:rPr>
            </w:pPr>
            <w:r w:rsidRPr="00103624">
              <w:rPr>
                <w:rFonts w:cs="Times New Roman"/>
                <w:b/>
                <w:bCs/>
                <w:sz w:val="22"/>
                <w:szCs w:val="22"/>
              </w:rPr>
              <w:t>Tariff</w:t>
            </w:r>
          </w:p>
        </w:tc>
        <w:tc>
          <w:tcPr>
            <w:tcW w:w="1440" w:type="dxa"/>
          </w:tcPr>
          <w:p w14:paraId="4AD8835A" w14:textId="77777777" w:rsidR="00B17E5F" w:rsidRPr="00103624" w:rsidRDefault="00B17E5F" w:rsidP="009B67AD">
            <w:pPr>
              <w:pStyle w:val="NoSpacing"/>
              <w:rPr>
                <w:rFonts w:cs="Times New Roman"/>
                <w:b/>
                <w:bCs/>
                <w:sz w:val="22"/>
                <w:szCs w:val="22"/>
              </w:rPr>
            </w:pPr>
            <w:r w:rsidRPr="00103624">
              <w:rPr>
                <w:rFonts w:cs="Times New Roman"/>
                <w:b/>
                <w:bCs/>
                <w:sz w:val="22"/>
                <w:szCs w:val="22"/>
              </w:rPr>
              <w:t>Appliance</w:t>
            </w:r>
          </w:p>
        </w:tc>
        <w:tc>
          <w:tcPr>
            <w:tcW w:w="1102" w:type="dxa"/>
          </w:tcPr>
          <w:p w14:paraId="6F33E3CB" w14:textId="77777777" w:rsidR="00B17E5F" w:rsidRPr="00103624" w:rsidRDefault="00B17E5F" w:rsidP="009B67AD">
            <w:pPr>
              <w:pStyle w:val="NoSpacing"/>
              <w:rPr>
                <w:rFonts w:cs="Times New Roman"/>
                <w:b/>
                <w:bCs/>
                <w:sz w:val="22"/>
                <w:szCs w:val="22"/>
              </w:rPr>
            </w:pPr>
            <w:r w:rsidRPr="00103624">
              <w:rPr>
                <w:rFonts w:cs="Times New Roman"/>
                <w:b/>
                <w:bCs/>
                <w:sz w:val="22"/>
                <w:szCs w:val="22"/>
              </w:rPr>
              <w:t>Cost savings</w:t>
            </w:r>
          </w:p>
        </w:tc>
        <w:tc>
          <w:tcPr>
            <w:tcW w:w="1267" w:type="dxa"/>
          </w:tcPr>
          <w:p w14:paraId="34B6C341" w14:textId="77777777" w:rsidR="00B17E5F" w:rsidRPr="00103624" w:rsidRDefault="00B17E5F" w:rsidP="009B67AD">
            <w:pPr>
              <w:pStyle w:val="NoSpacing"/>
              <w:rPr>
                <w:rFonts w:cs="Times New Roman"/>
                <w:b/>
                <w:bCs/>
                <w:sz w:val="22"/>
                <w:szCs w:val="22"/>
              </w:rPr>
            </w:pPr>
            <w:r w:rsidRPr="00103624">
              <w:rPr>
                <w:rFonts w:cs="Times New Roman"/>
                <w:b/>
                <w:bCs/>
                <w:sz w:val="22"/>
                <w:szCs w:val="22"/>
              </w:rPr>
              <w:t>Demand impact</w:t>
            </w:r>
          </w:p>
        </w:tc>
      </w:tr>
      <w:tr w:rsidR="00B17E5F" w:rsidRPr="00103624" w14:paraId="64CE3CA8" w14:textId="77777777" w:rsidTr="00270231">
        <w:trPr>
          <w:trHeight w:val="751"/>
        </w:trPr>
        <w:sdt>
          <w:sdtPr>
            <w:rPr>
              <w:rFonts w:cs="Times New Roman"/>
              <w:color w:val="000000"/>
              <w:sz w:val="22"/>
              <w:szCs w:val="22"/>
            </w:rPr>
            <w:tag w:val="MENDELEY_CITATION_v3_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"/>
            <w:id w:val="-1852796036"/>
            <w:placeholder>
              <w:docPart w:val="9AB0E83F149A42BDB246C94218252866"/>
            </w:placeholder>
          </w:sdtPr>
          <w:sdtContent>
            <w:tc>
              <w:tcPr>
                <w:tcW w:w="1237" w:type="dxa"/>
              </w:tcPr>
              <w:p w14:paraId="1AEE2CEB" w14:textId="4DC9F863" w:rsidR="00B17E5F" w:rsidRPr="00103624" w:rsidRDefault="001E7ECF" w:rsidP="009B67AD">
                <w:pPr>
                  <w:pStyle w:val="NoSpacing"/>
                  <w:rPr>
                    <w:rFonts w:cs="Times New Roman"/>
                    <w:sz w:val="22"/>
                    <w:szCs w:val="22"/>
                  </w:rPr>
                </w:pPr>
                <w:r w:rsidRPr="001E7ECF">
                  <w:rPr>
                    <w:rFonts w:cs="Times New Roman"/>
                    <w:color w:val="000000"/>
                    <w:sz w:val="22"/>
                    <w:szCs w:val="22"/>
                  </w:rPr>
                  <w:t>[109]</w:t>
                </w:r>
              </w:p>
            </w:tc>
          </w:sdtContent>
        </w:sdt>
        <w:tc>
          <w:tcPr>
            <w:tcW w:w="1680" w:type="dxa"/>
          </w:tcPr>
          <w:p w14:paraId="3E3DFC94" w14:textId="77777777" w:rsidR="00B17E5F" w:rsidRPr="00103624" w:rsidRDefault="00B17E5F" w:rsidP="009B67AD">
            <w:pPr>
              <w:pStyle w:val="NoSpacing"/>
              <w:rPr>
                <w:rFonts w:cs="Times New Roman"/>
                <w:sz w:val="22"/>
                <w:szCs w:val="22"/>
              </w:rPr>
            </w:pPr>
            <w:r w:rsidRPr="00103624">
              <w:rPr>
                <w:rFonts w:cs="Times New Roman"/>
                <w:sz w:val="22"/>
                <w:szCs w:val="22"/>
              </w:rPr>
              <w:t>Dynamic building control</w:t>
            </w:r>
          </w:p>
        </w:tc>
        <w:tc>
          <w:tcPr>
            <w:tcW w:w="1887" w:type="dxa"/>
          </w:tcPr>
          <w:p w14:paraId="6B0F7EFF" w14:textId="77777777" w:rsidR="00B17E5F" w:rsidRPr="00103624" w:rsidRDefault="00B17E5F" w:rsidP="009B67AD">
            <w:pPr>
              <w:pStyle w:val="NoSpacing"/>
              <w:rPr>
                <w:rFonts w:cs="Times New Roman"/>
                <w:sz w:val="22"/>
                <w:szCs w:val="22"/>
              </w:rPr>
            </w:pPr>
            <w:r w:rsidRPr="00103624">
              <w:rPr>
                <w:rFonts w:cs="Times New Roman"/>
                <w:sz w:val="22"/>
                <w:szCs w:val="22"/>
              </w:rPr>
              <w:t>Day-ahead hourly TOU</w:t>
            </w:r>
          </w:p>
        </w:tc>
        <w:tc>
          <w:tcPr>
            <w:tcW w:w="1440" w:type="dxa"/>
          </w:tcPr>
          <w:p w14:paraId="4C87F68B" w14:textId="77777777" w:rsidR="00B17E5F" w:rsidRPr="00103624" w:rsidRDefault="00B17E5F" w:rsidP="009B67AD">
            <w:pPr>
              <w:pStyle w:val="NoSpacing"/>
              <w:rPr>
                <w:rFonts w:cs="Times New Roman"/>
                <w:sz w:val="22"/>
                <w:szCs w:val="22"/>
              </w:rPr>
            </w:pPr>
            <w:r w:rsidRPr="00103624">
              <w:rPr>
                <w:rFonts w:cs="Times New Roman"/>
                <w:sz w:val="22"/>
                <w:szCs w:val="22"/>
              </w:rPr>
              <w:t>HP (heating) and water heater</w:t>
            </w:r>
          </w:p>
        </w:tc>
        <w:tc>
          <w:tcPr>
            <w:tcW w:w="1102" w:type="dxa"/>
          </w:tcPr>
          <w:p w14:paraId="170A20B8" w14:textId="77777777" w:rsidR="00B17E5F" w:rsidRPr="00103624" w:rsidRDefault="00B17E5F" w:rsidP="009B67AD">
            <w:pPr>
              <w:pStyle w:val="NoSpacing"/>
              <w:rPr>
                <w:rFonts w:cs="Times New Roman"/>
                <w:sz w:val="22"/>
                <w:szCs w:val="22"/>
              </w:rPr>
            </w:pPr>
            <w:r w:rsidRPr="00103624">
              <w:rPr>
                <w:rFonts w:cs="Times New Roman"/>
                <w:sz w:val="22"/>
                <w:szCs w:val="22"/>
              </w:rPr>
              <w:t>Not reported</w:t>
            </w:r>
          </w:p>
        </w:tc>
        <w:tc>
          <w:tcPr>
            <w:tcW w:w="1267" w:type="dxa"/>
          </w:tcPr>
          <w:p w14:paraId="7A95EDBC" w14:textId="77777777" w:rsidR="00B17E5F" w:rsidRPr="00103624" w:rsidRDefault="00B17E5F" w:rsidP="009B67AD">
            <w:pPr>
              <w:pStyle w:val="NoSpacing"/>
              <w:rPr>
                <w:rFonts w:cs="Times New Roman"/>
                <w:sz w:val="22"/>
                <w:szCs w:val="22"/>
              </w:rPr>
            </w:pPr>
            <w:r w:rsidRPr="00103624">
              <w:rPr>
                <w:rFonts w:cs="Times New Roman"/>
                <w:sz w:val="22"/>
                <w:szCs w:val="22"/>
              </w:rPr>
              <w:t>Hourly load shift</w:t>
            </w:r>
          </w:p>
        </w:tc>
      </w:tr>
      <w:tr w:rsidR="00B17E5F" w:rsidRPr="00103624" w14:paraId="68296C22" w14:textId="77777777" w:rsidTr="00270231">
        <w:trPr>
          <w:trHeight w:val="1027"/>
        </w:trPr>
        <w:sdt>
          <w:sdtPr>
            <w:rPr>
              <w:rFonts w:cs="Times New Roman"/>
              <w:color w:val="000000"/>
              <w:sz w:val="22"/>
              <w:szCs w:val="22"/>
            </w:rPr>
            <w:tag w:val="MENDELEY_CITATION_v3_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"/>
            <w:id w:val="-2005573287"/>
            <w:placeholder>
              <w:docPart w:val="9AB0E83F149A42BDB246C94218252866"/>
            </w:placeholder>
          </w:sdtPr>
          <w:sdtContent>
            <w:tc>
              <w:tcPr>
                <w:tcW w:w="1237" w:type="dxa"/>
              </w:tcPr>
              <w:p w14:paraId="56F9E082" w14:textId="6E2983AE" w:rsidR="00B17E5F" w:rsidRPr="00103624" w:rsidRDefault="001E7ECF" w:rsidP="009B67AD">
                <w:pPr>
                  <w:pStyle w:val="NoSpacing"/>
                  <w:rPr>
                    <w:rFonts w:cs="Times New Roman"/>
                    <w:sz w:val="22"/>
                    <w:szCs w:val="22"/>
                  </w:rPr>
                </w:pPr>
                <w:r w:rsidRPr="001E7ECF">
                  <w:rPr>
                    <w:rFonts w:cs="Times New Roman"/>
                    <w:color w:val="000000"/>
                    <w:sz w:val="22"/>
                    <w:szCs w:val="22"/>
                  </w:rPr>
                  <w:t>[110]</w:t>
                </w:r>
              </w:p>
            </w:tc>
          </w:sdtContent>
        </w:sdt>
        <w:tc>
          <w:tcPr>
            <w:tcW w:w="1680" w:type="dxa"/>
          </w:tcPr>
          <w:p w14:paraId="4B26AF25" w14:textId="77777777" w:rsidR="00B17E5F" w:rsidRPr="00103624" w:rsidRDefault="00B17E5F" w:rsidP="009B67AD">
            <w:pPr>
              <w:pStyle w:val="NoSpacing"/>
              <w:rPr>
                <w:rFonts w:cs="Times New Roman"/>
                <w:sz w:val="22"/>
                <w:szCs w:val="22"/>
              </w:rPr>
            </w:pPr>
            <w:r w:rsidRPr="00103624">
              <w:rPr>
                <w:rFonts w:cs="Times New Roman"/>
                <w:sz w:val="22"/>
                <w:szCs w:val="22"/>
              </w:rPr>
              <w:t>Dynamic building control</w:t>
            </w:r>
          </w:p>
        </w:tc>
        <w:tc>
          <w:tcPr>
            <w:tcW w:w="1887" w:type="dxa"/>
          </w:tcPr>
          <w:p w14:paraId="261A0911" w14:textId="77777777" w:rsidR="00B17E5F" w:rsidRPr="00103624" w:rsidRDefault="00B17E5F" w:rsidP="009B67AD">
            <w:pPr>
              <w:pStyle w:val="NoSpacing"/>
              <w:rPr>
                <w:rFonts w:cs="Times New Roman"/>
                <w:sz w:val="22"/>
                <w:szCs w:val="22"/>
              </w:rPr>
            </w:pPr>
            <w:r w:rsidRPr="00103624">
              <w:rPr>
                <w:rFonts w:cs="Times New Roman"/>
                <w:sz w:val="22"/>
                <w:szCs w:val="22"/>
              </w:rPr>
              <w:t>Day-night tariff, day-ahead dynamic tariff, real-time tariff</w:t>
            </w:r>
          </w:p>
        </w:tc>
        <w:tc>
          <w:tcPr>
            <w:tcW w:w="1440" w:type="dxa"/>
          </w:tcPr>
          <w:p w14:paraId="4FDA96DC" w14:textId="77777777" w:rsidR="00B17E5F" w:rsidRPr="00103624" w:rsidRDefault="00B17E5F" w:rsidP="009B67AD">
            <w:pPr>
              <w:pStyle w:val="NoSpacing"/>
              <w:rPr>
                <w:rFonts w:cs="Times New Roman"/>
                <w:sz w:val="22"/>
                <w:szCs w:val="22"/>
              </w:rPr>
            </w:pPr>
            <w:r w:rsidRPr="00103624">
              <w:rPr>
                <w:rFonts w:cs="Times New Roman"/>
                <w:sz w:val="22"/>
                <w:szCs w:val="22"/>
              </w:rPr>
              <w:t>Five appliances, including an HP</w:t>
            </w:r>
          </w:p>
        </w:tc>
        <w:tc>
          <w:tcPr>
            <w:tcW w:w="1102" w:type="dxa"/>
          </w:tcPr>
          <w:p w14:paraId="0FDA4CEB" w14:textId="77777777" w:rsidR="00B17E5F" w:rsidRPr="00103624" w:rsidRDefault="00B17E5F" w:rsidP="009B67AD">
            <w:pPr>
              <w:pStyle w:val="NoSpacing"/>
              <w:rPr>
                <w:rFonts w:cs="Times New Roman"/>
                <w:sz w:val="22"/>
                <w:szCs w:val="22"/>
              </w:rPr>
            </w:pPr>
            <w:r w:rsidRPr="00103624">
              <w:rPr>
                <w:rFonts w:cs="Times New Roman"/>
                <w:sz w:val="22"/>
                <w:szCs w:val="22"/>
              </w:rPr>
              <w:t>Not reported</w:t>
            </w:r>
          </w:p>
        </w:tc>
        <w:tc>
          <w:tcPr>
            <w:tcW w:w="1267" w:type="dxa"/>
          </w:tcPr>
          <w:p w14:paraId="44C5826D" w14:textId="77777777" w:rsidR="00B17E5F" w:rsidRPr="00103624" w:rsidRDefault="00B17E5F" w:rsidP="009B67AD">
            <w:pPr>
              <w:pStyle w:val="NoSpacing"/>
              <w:rPr>
                <w:rFonts w:cs="Times New Roman"/>
                <w:sz w:val="22"/>
                <w:szCs w:val="22"/>
              </w:rPr>
            </w:pPr>
            <w:r w:rsidRPr="00103624">
              <w:rPr>
                <w:rFonts w:cs="Times New Roman"/>
                <w:sz w:val="22"/>
                <w:szCs w:val="22"/>
              </w:rPr>
              <w:t>2 h of load shifted</w:t>
            </w:r>
          </w:p>
        </w:tc>
      </w:tr>
      <w:tr w:rsidR="00B17E5F" w:rsidRPr="00103624" w14:paraId="6313B4E6" w14:textId="77777777" w:rsidTr="00270231">
        <w:trPr>
          <w:trHeight w:val="1503"/>
        </w:trPr>
        <w:sdt>
          <w:sdtPr>
            <w:rPr>
              <w:rFonts w:cs="Times New Roman"/>
              <w:color w:val="000000"/>
              <w:sz w:val="22"/>
              <w:szCs w:val="22"/>
            </w:rPr>
            <w:tag w:val="MENDELEY_CITATION_v3_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"/>
            <w:id w:val="-1833981445"/>
            <w:placeholder>
              <w:docPart w:val="9AB0E83F149A42BDB246C94218252866"/>
            </w:placeholder>
          </w:sdtPr>
          <w:sdtContent>
            <w:tc>
              <w:tcPr>
                <w:tcW w:w="1237" w:type="dxa"/>
              </w:tcPr>
              <w:p w14:paraId="18263AB5" w14:textId="1428A857" w:rsidR="00B17E5F" w:rsidRPr="00103624" w:rsidRDefault="001E7ECF" w:rsidP="009B67AD">
                <w:pPr>
                  <w:pStyle w:val="NoSpacing"/>
                  <w:rPr>
                    <w:rFonts w:cs="Times New Roman"/>
                    <w:sz w:val="22"/>
                    <w:szCs w:val="22"/>
                  </w:rPr>
                </w:pPr>
                <w:r w:rsidRPr="001E7ECF">
                  <w:rPr>
                    <w:rFonts w:cs="Times New Roman"/>
                    <w:color w:val="000000"/>
                    <w:sz w:val="22"/>
                    <w:szCs w:val="22"/>
                  </w:rPr>
                  <w:t>[113]</w:t>
                </w:r>
              </w:p>
            </w:tc>
          </w:sdtContent>
        </w:sdt>
        <w:tc>
          <w:tcPr>
            <w:tcW w:w="1680" w:type="dxa"/>
          </w:tcPr>
          <w:p w14:paraId="0DA6E9E1" w14:textId="77777777" w:rsidR="00B17E5F" w:rsidRPr="00103624" w:rsidRDefault="00B17E5F" w:rsidP="009B67AD">
            <w:pPr>
              <w:pStyle w:val="NoSpacing"/>
              <w:rPr>
                <w:rFonts w:cs="Times New Roman"/>
                <w:sz w:val="22"/>
                <w:szCs w:val="22"/>
              </w:rPr>
            </w:pPr>
            <w:r w:rsidRPr="00103624">
              <w:rPr>
                <w:rFonts w:cs="Times New Roman"/>
                <w:sz w:val="22"/>
                <w:szCs w:val="22"/>
              </w:rPr>
              <w:t>Dynamic price control</w:t>
            </w:r>
          </w:p>
        </w:tc>
        <w:tc>
          <w:tcPr>
            <w:tcW w:w="1887" w:type="dxa"/>
          </w:tcPr>
          <w:p w14:paraId="57671216" w14:textId="77777777" w:rsidR="00B17E5F" w:rsidRPr="00103624" w:rsidRDefault="00B17E5F" w:rsidP="009B67AD">
            <w:pPr>
              <w:pStyle w:val="NoSpacing"/>
              <w:rPr>
                <w:rFonts w:cs="Times New Roman"/>
                <w:sz w:val="22"/>
                <w:szCs w:val="22"/>
              </w:rPr>
            </w:pPr>
            <w:r w:rsidRPr="00103624">
              <w:rPr>
                <w:rFonts w:cs="Times New Roman"/>
                <w:sz w:val="22"/>
                <w:szCs w:val="22"/>
              </w:rPr>
              <w:t>RTP</w:t>
            </w:r>
          </w:p>
        </w:tc>
        <w:tc>
          <w:tcPr>
            <w:tcW w:w="1440" w:type="dxa"/>
          </w:tcPr>
          <w:p w14:paraId="282DBC6C" w14:textId="77777777" w:rsidR="00B17E5F" w:rsidRPr="00103624" w:rsidRDefault="00B17E5F" w:rsidP="009B67AD">
            <w:pPr>
              <w:pStyle w:val="NoSpacing"/>
              <w:rPr>
                <w:rFonts w:cs="Times New Roman"/>
                <w:sz w:val="22"/>
                <w:szCs w:val="22"/>
              </w:rPr>
            </w:pPr>
            <w:r w:rsidRPr="00103624">
              <w:rPr>
                <w:rFonts w:cs="Times New Roman"/>
                <w:sz w:val="22"/>
                <w:szCs w:val="22"/>
              </w:rPr>
              <w:t>HP (heating and cooling) with a smart grid, coupled with a water heater</w:t>
            </w:r>
          </w:p>
        </w:tc>
        <w:tc>
          <w:tcPr>
            <w:tcW w:w="1102" w:type="dxa"/>
          </w:tcPr>
          <w:p w14:paraId="7DA23A52" w14:textId="77777777" w:rsidR="00B17E5F" w:rsidRPr="00103624" w:rsidRDefault="00B17E5F" w:rsidP="009B67AD">
            <w:pPr>
              <w:pStyle w:val="NoSpacing"/>
              <w:rPr>
                <w:rFonts w:cs="Times New Roman"/>
                <w:sz w:val="22"/>
                <w:szCs w:val="22"/>
              </w:rPr>
            </w:pPr>
            <w:r w:rsidRPr="00103624">
              <w:rPr>
                <w:rFonts w:cs="Times New Roman"/>
                <w:sz w:val="22"/>
                <w:szCs w:val="22"/>
              </w:rPr>
              <w:t>30%</w:t>
            </w:r>
          </w:p>
        </w:tc>
        <w:tc>
          <w:tcPr>
            <w:tcW w:w="1267" w:type="dxa"/>
          </w:tcPr>
          <w:p w14:paraId="53A459BE" w14:textId="77777777" w:rsidR="00B17E5F" w:rsidRPr="00103624" w:rsidRDefault="00B17E5F" w:rsidP="009B67AD">
            <w:pPr>
              <w:pStyle w:val="NoSpacing"/>
              <w:rPr>
                <w:rFonts w:cs="Times New Roman"/>
                <w:sz w:val="22"/>
                <w:szCs w:val="22"/>
              </w:rPr>
            </w:pPr>
            <w:r w:rsidRPr="00103624">
              <w:rPr>
                <w:rFonts w:cs="Times New Roman"/>
                <w:sz w:val="22"/>
                <w:szCs w:val="22"/>
              </w:rPr>
              <w:t>Not reported</w:t>
            </w:r>
          </w:p>
        </w:tc>
      </w:tr>
      <w:tr w:rsidR="00B17E5F" w:rsidRPr="00103624" w14:paraId="6381AE3A" w14:textId="77777777" w:rsidTr="00270231">
        <w:trPr>
          <w:trHeight w:val="513"/>
        </w:trPr>
        <w:sdt>
          <w:sdtPr>
            <w:rPr>
              <w:rFonts w:cs="Times New Roman"/>
              <w:noProof/>
              <w:color w:val="000000"/>
              <w:sz w:val="22"/>
              <w:szCs w:val="22"/>
            </w:rPr>
            <w:tag w:val="MENDELEY_CITATION_v3_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"/>
            <w:id w:val="-1438433057"/>
            <w:placeholder>
              <w:docPart w:val="9AB0E83F149A42BDB246C94218252866"/>
            </w:placeholder>
          </w:sdtPr>
          <w:sdtContent>
            <w:tc>
              <w:tcPr>
                <w:tcW w:w="1237" w:type="dxa"/>
              </w:tcPr>
              <w:p w14:paraId="060FC475" w14:textId="6F85CA61" w:rsidR="00B17E5F" w:rsidRPr="00103624" w:rsidRDefault="001E7ECF" w:rsidP="009B67AD">
                <w:pPr>
                  <w:pStyle w:val="NoSpacing"/>
                  <w:rPr>
                    <w:rFonts w:cs="Times New Roman"/>
                    <w:noProof/>
                    <w:sz w:val="22"/>
                    <w:szCs w:val="22"/>
                  </w:rPr>
                </w:pPr>
                <w:r w:rsidRPr="001E7ECF">
                  <w:rPr>
                    <w:rFonts w:cs="Times New Roman"/>
                    <w:noProof/>
                    <w:color w:val="000000"/>
                    <w:sz w:val="22"/>
                    <w:szCs w:val="22"/>
                  </w:rPr>
                  <w:t>[114]</w:t>
                </w:r>
              </w:p>
            </w:tc>
          </w:sdtContent>
        </w:sdt>
        <w:tc>
          <w:tcPr>
            <w:tcW w:w="1680" w:type="dxa"/>
          </w:tcPr>
          <w:p w14:paraId="25F07B5F" w14:textId="77777777" w:rsidR="00B17E5F" w:rsidRPr="00103624" w:rsidRDefault="00B17E5F" w:rsidP="009B67AD">
            <w:pPr>
              <w:pStyle w:val="NoSpacing"/>
              <w:rPr>
                <w:rFonts w:cs="Times New Roman"/>
                <w:sz w:val="22"/>
                <w:szCs w:val="22"/>
              </w:rPr>
            </w:pPr>
            <w:r w:rsidRPr="00103624">
              <w:rPr>
                <w:rFonts w:cs="Times New Roman"/>
                <w:sz w:val="22"/>
                <w:szCs w:val="22"/>
              </w:rPr>
              <w:t>Dynamic price control</w:t>
            </w:r>
          </w:p>
        </w:tc>
        <w:tc>
          <w:tcPr>
            <w:tcW w:w="1887" w:type="dxa"/>
          </w:tcPr>
          <w:p w14:paraId="15B9AE33" w14:textId="77777777" w:rsidR="00B17E5F" w:rsidRPr="00103624" w:rsidRDefault="00B17E5F" w:rsidP="009B67AD">
            <w:pPr>
              <w:pStyle w:val="NoSpacing"/>
              <w:rPr>
                <w:rFonts w:cs="Times New Roman"/>
                <w:sz w:val="22"/>
                <w:szCs w:val="22"/>
              </w:rPr>
            </w:pPr>
            <w:r w:rsidRPr="00103624">
              <w:rPr>
                <w:rFonts w:cs="Times New Roman"/>
                <w:sz w:val="22"/>
                <w:szCs w:val="22"/>
              </w:rPr>
              <w:t>RTP, TOU</w:t>
            </w:r>
          </w:p>
        </w:tc>
        <w:tc>
          <w:tcPr>
            <w:tcW w:w="1440" w:type="dxa"/>
          </w:tcPr>
          <w:p w14:paraId="0F5CA755" w14:textId="77777777" w:rsidR="00B17E5F" w:rsidRPr="00103624" w:rsidRDefault="00B17E5F" w:rsidP="009B67AD">
            <w:pPr>
              <w:pStyle w:val="NoSpacing"/>
              <w:rPr>
                <w:rFonts w:cs="Times New Roman"/>
                <w:sz w:val="22"/>
                <w:szCs w:val="22"/>
              </w:rPr>
            </w:pPr>
            <w:r w:rsidRPr="00103624">
              <w:rPr>
                <w:rFonts w:cs="Times New Roman"/>
                <w:sz w:val="22"/>
                <w:szCs w:val="22"/>
              </w:rPr>
              <w:t>15 appliances</w:t>
            </w:r>
          </w:p>
        </w:tc>
        <w:tc>
          <w:tcPr>
            <w:tcW w:w="1102" w:type="dxa"/>
          </w:tcPr>
          <w:p w14:paraId="708C2252" w14:textId="77777777" w:rsidR="00B17E5F" w:rsidRPr="00103624" w:rsidRDefault="00B17E5F" w:rsidP="009B67AD">
            <w:pPr>
              <w:pStyle w:val="NoSpacing"/>
              <w:rPr>
                <w:rFonts w:cs="Times New Roman"/>
                <w:sz w:val="22"/>
                <w:szCs w:val="22"/>
              </w:rPr>
            </w:pPr>
            <w:r w:rsidRPr="00103624">
              <w:rPr>
                <w:rFonts w:cs="Times New Roman"/>
                <w:sz w:val="22"/>
                <w:szCs w:val="22"/>
              </w:rPr>
              <w:t>22.4%</w:t>
            </w:r>
          </w:p>
        </w:tc>
        <w:tc>
          <w:tcPr>
            <w:tcW w:w="1267" w:type="dxa"/>
          </w:tcPr>
          <w:p w14:paraId="4B0D97B4" w14:textId="77777777" w:rsidR="00B17E5F" w:rsidRPr="00103624" w:rsidRDefault="00B17E5F" w:rsidP="009B67AD">
            <w:pPr>
              <w:pStyle w:val="NoSpacing"/>
              <w:rPr>
                <w:rFonts w:cs="Times New Roman"/>
                <w:sz w:val="22"/>
                <w:szCs w:val="22"/>
              </w:rPr>
            </w:pPr>
            <w:r w:rsidRPr="00103624">
              <w:rPr>
                <w:rFonts w:cs="Times New Roman"/>
                <w:sz w:val="22"/>
                <w:szCs w:val="22"/>
              </w:rPr>
              <w:t>Peak load shift</w:t>
            </w:r>
          </w:p>
        </w:tc>
      </w:tr>
      <w:tr w:rsidR="00B17E5F" w:rsidRPr="00103624" w14:paraId="11767C25" w14:textId="77777777" w:rsidTr="00270231">
        <w:trPr>
          <w:trHeight w:val="1008"/>
        </w:trPr>
        <w:tc>
          <w:tcPr>
            <w:tcW w:w="1237" w:type="dxa"/>
          </w:tcPr>
          <w:bookmarkStart w:id="47" w:name="_Hlk74657389" w:displacedByCustomXml="next"/>
          <w:sdt>
            <w:sdtPr>
              <w:rPr>
                <w:rFonts w:cs="Times New Roman"/>
                <w:color w:val="000000"/>
                <w:sz w:val="22"/>
                <w:szCs w:val="22"/>
                <w:shd w:val="clear" w:color="auto" w:fill="E6E6E6"/>
              </w:rPr>
              <w:tag w:val="MENDELEY_CITATION_v3_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"/>
              <w:id w:val="-531338815"/>
              <w:placeholder>
                <w:docPart w:val="CE435B4FF6A64A59915554F77D73A3AC"/>
              </w:placeholder>
            </w:sdtPr>
            <w:sdtContent>
              <w:bookmarkEnd w:id="47" w:displacedByCustomXml="prev"/>
              <w:p w14:paraId="0105DF1C" w14:textId="78D5FEE2" w:rsidR="00B17E5F" w:rsidRPr="00103624" w:rsidRDefault="001E7ECF" w:rsidP="009B67AD">
                <w:pPr>
                  <w:pStyle w:val="NoSpacing"/>
                  <w:rPr>
                    <w:rFonts w:cs="Times New Roman"/>
                    <w:noProof/>
                    <w:sz w:val="22"/>
                    <w:szCs w:val="22"/>
                  </w:rPr>
                </w:pPr>
                <w:r w:rsidRPr="001E7ECF">
                  <w:rPr>
                    <w:rFonts w:cs="Times New Roman"/>
                    <w:color w:val="000000"/>
                    <w:sz w:val="22"/>
                    <w:szCs w:val="22"/>
                  </w:rPr>
                  <w:t>[115]</w:t>
                </w:r>
              </w:p>
            </w:sdtContent>
          </w:sdt>
        </w:tc>
        <w:tc>
          <w:tcPr>
            <w:tcW w:w="1680" w:type="dxa"/>
          </w:tcPr>
          <w:p w14:paraId="594CE832" w14:textId="77777777" w:rsidR="00B17E5F" w:rsidRPr="00103624" w:rsidRDefault="00B17E5F" w:rsidP="009B67AD">
            <w:pPr>
              <w:pStyle w:val="NoSpacing"/>
              <w:rPr>
                <w:rFonts w:cs="Times New Roman"/>
                <w:sz w:val="22"/>
                <w:szCs w:val="22"/>
              </w:rPr>
            </w:pPr>
            <w:r w:rsidRPr="00103624">
              <w:rPr>
                <w:rFonts w:cs="Times New Roman"/>
                <w:sz w:val="22"/>
                <w:szCs w:val="22"/>
              </w:rPr>
              <w:t>DR control</w:t>
            </w:r>
          </w:p>
        </w:tc>
        <w:tc>
          <w:tcPr>
            <w:tcW w:w="1887" w:type="dxa"/>
          </w:tcPr>
          <w:p w14:paraId="7674BAC0" w14:textId="77777777" w:rsidR="00B17E5F" w:rsidRPr="00103624" w:rsidRDefault="00B17E5F" w:rsidP="009B67AD">
            <w:pPr>
              <w:pStyle w:val="NoSpacing"/>
              <w:rPr>
                <w:rFonts w:cs="Times New Roman"/>
                <w:sz w:val="22"/>
                <w:szCs w:val="22"/>
              </w:rPr>
            </w:pPr>
            <w:r w:rsidRPr="00103624">
              <w:rPr>
                <w:rFonts w:cs="Times New Roman"/>
                <w:sz w:val="22"/>
                <w:szCs w:val="22"/>
              </w:rPr>
              <w:t>Dynamic electricity pricing</w:t>
            </w:r>
          </w:p>
        </w:tc>
        <w:tc>
          <w:tcPr>
            <w:tcW w:w="1440" w:type="dxa"/>
          </w:tcPr>
          <w:p w14:paraId="772D5554" w14:textId="77777777" w:rsidR="00B17E5F" w:rsidRPr="00103624" w:rsidRDefault="00B17E5F" w:rsidP="009B67AD">
            <w:pPr>
              <w:pStyle w:val="NoSpacing"/>
              <w:rPr>
                <w:rFonts w:cs="Times New Roman"/>
                <w:sz w:val="22"/>
                <w:szCs w:val="22"/>
              </w:rPr>
            </w:pPr>
            <w:r w:rsidRPr="00103624">
              <w:rPr>
                <w:rFonts w:cs="Times New Roman"/>
                <w:sz w:val="22"/>
                <w:szCs w:val="22"/>
              </w:rPr>
              <w:t>HP coupled with the building’s thermal mass</w:t>
            </w:r>
          </w:p>
        </w:tc>
        <w:tc>
          <w:tcPr>
            <w:tcW w:w="1102" w:type="dxa"/>
          </w:tcPr>
          <w:p w14:paraId="212F61D7" w14:textId="77777777" w:rsidR="00B17E5F" w:rsidRPr="00103624" w:rsidRDefault="00B17E5F" w:rsidP="009B67AD">
            <w:pPr>
              <w:pStyle w:val="NoSpacing"/>
              <w:rPr>
                <w:rFonts w:cs="Times New Roman"/>
                <w:sz w:val="22"/>
                <w:szCs w:val="22"/>
              </w:rPr>
            </w:pPr>
            <w:r w:rsidRPr="00103624">
              <w:rPr>
                <w:rFonts w:cs="Times New Roman"/>
                <w:sz w:val="22"/>
                <w:szCs w:val="22"/>
              </w:rPr>
              <w:t>25%</w:t>
            </w:r>
          </w:p>
        </w:tc>
        <w:tc>
          <w:tcPr>
            <w:tcW w:w="1267" w:type="dxa"/>
          </w:tcPr>
          <w:p w14:paraId="31C9455B" w14:textId="77777777" w:rsidR="00B17E5F" w:rsidRPr="00103624" w:rsidRDefault="00B17E5F" w:rsidP="009B67AD">
            <w:pPr>
              <w:pStyle w:val="NoSpacing"/>
              <w:rPr>
                <w:rFonts w:cs="Times New Roman"/>
                <w:sz w:val="22"/>
                <w:szCs w:val="22"/>
              </w:rPr>
            </w:pPr>
            <w:r w:rsidRPr="00103624">
              <w:rPr>
                <w:rFonts w:cs="Times New Roman"/>
                <w:sz w:val="22"/>
                <w:szCs w:val="22"/>
              </w:rPr>
              <w:t>HP did not operate during peak hours</w:t>
            </w:r>
          </w:p>
        </w:tc>
      </w:tr>
      <w:tr w:rsidR="00B17E5F" w:rsidRPr="00103624" w14:paraId="18E1F465" w14:textId="77777777" w:rsidTr="00270231">
        <w:trPr>
          <w:trHeight w:val="1265"/>
        </w:trPr>
        <w:tc>
          <w:tcPr>
            <w:tcW w:w="1237" w:type="dxa"/>
          </w:tcPr>
          <w:sdt>
            <w:sdtPr>
              <w:rPr>
                <w:rFonts w:cs="Times New Roman"/>
                <w:color w:val="000000"/>
                <w:sz w:val="22"/>
                <w:szCs w:val="22"/>
                <w:shd w:val="clear" w:color="auto" w:fill="E6E6E6"/>
              </w:rPr>
              <w:tag w:val="MENDELEY_CITATION_v3_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"/>
              <w:id w:val="-1572886266"/>
              <w:placeholder>
                <w:docPart w:val="CE435B4FF6A64A59915554F77D73A3AC"/>
              </w:placeholder>
            </w:sdtPr>
            <w:sdtContent>
              <w:p w14:paraId="098540E1" w14:textId="34EDA8A4" w:rsidR="00B17E5F" w:rsidRPr="00103624" w:rsidRDefault="001E7ECF" w:rsidP="009B67AD">
                <w:pPr>
                  <w:pStyle w:val="NoSpacing"/>
                  <w:rPr>
                    <w:rFonts w:cs="Times New Roman"/>
                    <w:noProof/>
                    <w:sz w:val="22"/>
                    <w:szCs w:val="22"/>
                  </w:rPr>
                </w:pPr>
                <w:r w:rsidRPr="001E7ECF">
                  <w:rPr>
                    <w:rFonts w:cs="Times New Roman"/>
                    <w:color w:val="000000"/>
                    <w:sz w:val="22"/>
                    <w:szCs w:val="22"/>
                  </w:rPr>
                  <w:t>[116]</w:t>
                </w:r>
              </w:p>
            </w:sdtContent>
          </w:sdt>
        </w:tc>
        <w:tc>
          <w:tcPr>
            <w:tcW w:w="1680" w:type="dxa"/>
          </w:tcPr>
          <w:p w14:paraId="5816BC5F" w14:textId="77777777" w:rsidR="00B17E5F" w:rsidRPr="00103624" w:rsidRDefault="00B17E5F" w:rsidP="009B67AD">
            <w:pPr>
              <w:pStyle w:val="NoSpacing"/>
              <w:rPr>
                <w:rFonts w:cs="Times New Roman"/>
                <w:sz w:val="22"/>
                <w:szCs w:val="22"/>
              </w:rPr>
            </w:pPr>
            <w:r w:rsidRPr="00103624">
              <w:rPr>
                <w:rFonts w:cs="Times New Roman"/>
                <w:sz w:val="22"/>
                <w:szCs w:val="22"/>
              </w:rPr>
              <w:t>Predictive DR control</w:t>
            </w:r>
            <w:r w:rsidRPr="00103624" w:rsidDel="006C4D19">
              <w:rPr>
                <w:rFonts w:cs="Times New Roman"/>
                <w:sz w:val="22"/>
                <w:szCs w:val="22"/>
              </w:rPr>
              <w:t xml:space="preserve"> </w:t>
            </w:r>
          </w:p>
        </w:tc>
        <w:tc>
          <w:tcPr>
            <w:tcW w:w="1887" w:type="dxa"/>
          </w:tcPr>
          <w:p w14:paraId="7B457109" w14:textId="77777777" w:rsidR="00B17E5F" w:rsidRPr="00103624" w:rsidRDefault="00B17E5F" w:rsidP="009B67AD">
            <w:pPr>
              <w:pStyle w:val="NoSpacing"/>
              <w:rPr>
                <w:rFonts w:cs="Times New Roman"/>
                <w:sz w:val="22"/>
                <w:szCs w:val="22"/>
              </w:rPr>
            </w:pPr>
            <w:r w:rsidRPr="00103624">
              <w:rPr>
                <w:rFonts w:cs="Times New Roman"/>
                <w:sz w:val="22"/>
                <w:szCs w:val="22"/>
              </w:rPr>
              <w:t>Dynamic electricity pricing</w:t>
            </w:r>
          </w:p>
        </w:tc>
        <w:tc>
          <w:tcPr>
            <w:tcW w:w="1440" w:type="dxa"/>
          </w:tcPr>
          <w:p w14:paraId="320E4F05" w14:textId="77777777" w:rsidR="00B17E5F" w:rsidRPr="00103624" w:rsidRDefault="00B17E5F" w:rsidP="009B67AD">
            <w:pPr>
              <w:pStyle w:val="NoSpacing"/>
              <w:rPr>
                <w:rFonts w:cs="Times New Roman"/>
                <w:sz w:val="22"/>
                <w:szCs w:val="22"/>
              </w:rPr>
            </w:pPr>
            <w:r w:rsidRPr="00103624">
              <w:rPr>
                <w:rFonts w:cs="Times New Roman"/>
                <w:sz w:val="22"/>
                <w:szCs w:val="22"/>
              </w:rPr>
              <w:t>HP (heating) and on-site PV energy generation</w:t>
            </w:r>
            <w:r w:rsidRPr="00103624" w:rsidDel="006C4D19">
              <w:rPr>
                <w:rFonts w:cs="Times New Roman"/>
                <w:sz w:val="22"/>
                <w:szCs w:val="22"/>
              </w:rPr>
              <w:t xml:space="preserve"> </w:t>
            </w:r>
          </w:p>
        </w:tc>
        <w:tc>
          <w:tcPr>
            <w:tcW w:w="1102" w:type="dxa"/>
          </w:tcPr>
          <w:p w14:paraId="69FA4A41" w14:textId="77777777" w:rsidR="00B17E5F" w:rsidRPr="00103624" w:rsidRDefault="00B17E5F" w:rsidP="009B67AD">
            <w:pPr>
              <w:pStyle w:val="NoSpacing"/>
              <w:rPr>
                <w:rFonts w:cs="Times New Roman"/>
                <w:sz w:val="22"/>
                <w:szCs w:val="22"/>
              </w:rPr>
            </w:pPr>
            <w:r w:rsidRPr="00103624">
              <w:rPr>
                <w:rFonts w:cs="Times New Roman"/>
                <w:sz w:val="22"/>
                <w:szCs w:val="22"/>
              </w:rPr>
              <w:t>12% with predictive control,</w:t>
            </w:r>
          </w:p>
          <w:p w14:paraId="41FF9ED7" w14:textId="77777777" w:rsidR="00B17E5F" w:rsidRPr="00103624" w:rsidRDefault="00B17E5F" w:rsidP="009B67AD">
            <w:pPr>
              <w:pStyle w:val="NoSpacing"/>
              <w:rPr>
                <w:rFonts w:cs="Times New Roman"/>
                <w:sz w:val="22"/>
                <w:szCs w:val="22"/>
              </w:rPr>
            </w:pPr>
            <w:r w:rsidRPr="00103624">
              <w:rPr>
                <w:rFonts w:cs="Times New Roman"/>
                <w:sz w:val="22"/>
                <w:szCs w:val="22"/>
              </w:rPr>
              <w:t>43% with on-site PV</w:t>
            </w:r>
          </w:p>
        </w:tc>
        <w:tc>
          <w:tcPr>
            <w:tcW w:w="1267" w:type="dxa"/>
          </w:tcPr>
          <w:p w14:paraId="067D8848" w14:textId="77777777" w:rsidR="00B17E5F" w:rsidRPr="00103624" w:rsidRDefault="00B17E5F" w:rsidP="009B67AD">
            <w:pPr>
              <w:pStyle w:val="NoSpacing"/>
              <w:rPr>
                <w:rFonts w:cs="Times New Roman"/>
                <w:sz w:val="22"/>
                <w:szCs w:val="22"/>
              </w:rPr>
            </w:pPr>
            <w:r w:rsidRPr="00103624">
              <w:rPr>
                <w:rFonts w:cs="Times New Roman"/>
                <w:sz w:val="22"/>
                <w:szCs w:val="22"/>
              </w:rPr>
              <w:t>24% less energy consumed due to PV</w:t>
            </w:r>
          </w:p>
        </w:tc>
      </w:tr>
      <w:tr w:rsidR="00B17E5F" w:rsidRPr="00103624" w14:paraId="23B163C0" w14:textId="77777777" w:rsidTr="00270231">
        <w:trPr>
          <w:trHeight w:val="751"/>
        </w:trPr>
        <w:tc>
          <w:tcPr>
            <w:tcW w:w="1237" w:type="dxa"/>
          </w:tcPr>
          <w:sdt>
            <w:sdtPr>
              <w:rPr>
                <w:rFonts w:cs="Times New Roman"/>
                <w:color w:val="000000"/>
                <w:sz w:val="22"/>
                <w:szCs w:val="22"/>
                <w:shd w:val="clear" w:color="auto" w:fill="E6E6E6"/>
              </w:rPr>
              <w:tag w:val="MENDELEY_CITATION_v3_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"/>
              <w:id w:val="-489095120"/>
              <w:placeholder>
                <w:docPart w:val="A43C9F2094FC4F4B901641382618B129"/>
              </w:placeholder>
            </w:sdtPr>
            <w:sdtContent>
              <w:p w14:paraId="2F69900C" w14:textId="2B520D52" w:rsidR="00B17E5F" w:rsidRPr="00103624" w:rsidRDefault="001E7ECF" w:rsidP="009B67AD">
                <w:pPr>
                  <w:pStyle w:val="NoSpacing"/>
                  <w:rPr>
                    <w:rFonts w:cs="Times New Roman"/>
                    <w:color w:val="000000"/>
                    <w:sz w:val="22"/>
                    <w:szCs w:val="22"/>
                    <w:shd w:val="clear" w:color="auto" w:fill="E6E6E6"/>
                  </w:rPr>
                </w:pPr>
                <w:r w:rsidRPr="001E7ECF">
                  <w:rPr>
                    <w:rFonts w:cs="Times New Roman"/>
                    <w:color w:val="000000"/>
                    <w:sz w:val="22"/>
                    <w:szCs w:val="22"/>
                  </w:rPr>
                  <w:t>[117]</w:t>
                </w:r>
              </w:p>
            </w:sdtContent>
          </w:sdt>
        </w:tc>
        <w:tc>
          <w:tcPr>
            <w:tcW w:w="1680" w:type="dxa"/>
          </w:tcPr>
          <w:p w14:paraId="7FC7EF87" w14:textId="77777777" w:rsidR="00B17E5F" w:rsidRPr="00103624" w:rsidRDefault="00B17E5F" w:rsidP="009B67AD">
            <w:pPr>
              <w:pStyle w:val="NoSpacing"/>
              <w:rPr>
                <w:rFonts w:cs="Times New Roman"/>
                <w:sz w:val="22"/>
                <w:szCs w:val="22"/>
              </w:rPr>
            </w:pPr>
            <w:r w:rsidRPr="00103624">
              <w:rPr>
                <w:rFonts w:cs="Times New Roman"/>
                <w:sz w:val="22"/>
                <w:szCs w:val="22"/>
              </w:rPr>
              <w:t>Precooling for various climates</w:t>
            </w:r>
          </w:p>
        </w:tc>
        <w:tc>
          <w:tcPr>
            <w:tcW w:w="1887" w:type="dxa"/>
          </w:tcPr>
          <w:p w14:paraId="343CFFB6" w14:textId="77777777" w:rsidR="00B17E5F" w:rsidRPr="00103624" w:rsidRDefault="00B17E5F" w:rsidP="009B67AD">
            <w:pPr>
              <w:pStyle w:val="NoSpacing"/>
              <w:rPr>
                <w:rFonts w:cs="Times New Roman"/>
                <w:sz w:val="22"/>
                <w:szCs w:val="22"/>
              </w:rPr>
            </w:pPr>
            <w:r w:rsidRPr="00103624">
              <w:rPr>
                <w:rFonts w:cs="Times New Roman"/>
                <w:sz w:val="22"/>
                <w:szCs w:val="22"/>
              </w:rPr>
              <w:t>Predefined peak times from TOU rates</w:t>
            </w:r>
          </w:p>
        </w:tc>
        <w:tc>
          <w:tcPr>
            <w:tcW w:w="1440" w:type="dxa"/>
          </w:tcPr>
          <w:p w14:paraId="232AB1BA" w14:textId="77777777" w:rsidR="00B17E5F" w:rsidRPr="00103624" w:rsidRDefault="00B17E5F" w:rsidP="009B67AD">
            <w:pPr>
              <w:pStyle w:val="NoSpacing"/>
              <w:rPr>
                <w:rFonts w:cs="Times New Roman"/>
                <w:sz w:val="22"/>
                <w:szCs w:val="22"/>
              </w:rPr>
            </w:pPr>
            <w:r w:rsidRPr="00103624">
              <w:rPr>
                <w:rFonts w:cs="Times New Roman"/>
                <w:sz w:val="22"/>
                <w:szCs w:val="22"/>
              </w:rPr>
              <w:t>Low thermal mass building with HVAC</w:t>
            </w:r>
          </w:p>
        </w:tc>
        <w:tc>
          <w:tcPr>
            <w:tcW w:w="1102" w:type="dxa"/>
          </w:tcPr>
          <w:p w14:paraId="37F0E06C" w14:textId="77777777" w:rsidR="00B17E5F" w:rsidRPr="00103624" w:rsidRDefault="00B17E5F" w:rsidP="009B67AD">
            <w:pPr>
              <w:pStyle w:val="NoSpacing"/>
              <w:rPr>
                <w:rFonts w:cs="Times New Roman"/>
                <w:sz w:val="22"/>
                <w:szCs w:val="22"/>
              </w:rPr>
            </w:pPr>
            <w:r w:rsidRPr="00103624">
              <w:rPr>
                <w:rFonts w:cs="Times New Roman"/>
                <w:sz w:val="22"/>
                <w:szCs w:val="22"/>
              </w:rPr>
              <w:t>Not reported</w:t>
            </w:r>
          </w:p>
        </w:tc>
        <w:tc>
          <w:tcPr>
            <w:tcW w:w="1267" w:type="dxa"/>
          </w:tcPr>
          <w:p w14:paraId="2EDE5D63" w14:textId="77777777" w:rsidR="00B17E5F" w:rsidRPr="00103624" w:rsidRDefault="00B17E5F" w:rsidP="009B67AD">
            <w:pPr>
              <w:pStyle w:val="NoSpacing"/>
              <w:rPr>
                <w:rFonts w:cs="Times New Roman"/>
                <w:sz w:val="22"/>
                <w:szCs w:val="22"/>
              </w:rPr>
            </w:pPr>
            <w:r w:rsidRPr="00103624">
              <w:rPr>
                <w:rFonts w:cs="Times New Roman"/>
                <w:sz w:val="22"/>
                <w:szCs w:val="22"/>
              </w:rPr>
              <w:t>50%–75% peak load shifted</w:t>
            </w:r>
          </w:p>
        </w:tc>
      </w:tr>
      <w:tr w:rsidR="00B17E5F" w:rsidRPr="00103624" w14:paraId="0FDE291E" w14:textId="77777777" w:rsidTr="00270231">
        <w:trPr>
          <w:trHeight w:val="989"/>
        </w:trPr>
        <w:sdt>
          <w:sdtPr>
            <w:rPr>
              <w:rFonts w:cs="Times New Roman"/>
              <w:color w:val="000000"/>
              <w:sz w:val="22"/>
              <w:szCs w:val="22"/>
            </w:rPr>
            <w:tag w:val="MENDELEY_CITATION_v3_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"/>
            <w:id w:val="-294915641"/>
            <w:placeholder>
              <w:docPart w:val="A1B342E9AF934BFE93D891005FD1483A"/>
            </w:placeholder>
          </w:sdtPr>
          <w:sdtContent>
            <w:tc>
              <w:tcPr>
                <w:tcW w:w="1237" w:type="dxa"/>
              </w:tcPr>
              <w:p w14:paraId="674C8CD9" w14:textId="4BC88BAB" w:rsidR="00B17E5F" w:rsidRPr="00103624" w:rsidRDefault="001E7ECF" w:rsidP="009B67AD">
                <w:pPr>
                  <w:pStyle w:val="NoSpacing"/>
                  <w:rPr>
                    <w:rFonts w:cs="Times New Roman"/>
                    <w:color w:val="000000"/>
                    <w:sz w:val="22"/>
                    <w:szCs w:val="22"/>
                    <w:shd w:val="clear" w:color="auto" w:fill="E6E6E6"/>
                  </w:rPr>
                </w:pPr>
                <w:r w:rsidRPr="001E7ECF">
                  <w:rPr>
                    <w:rFonts w:cs="Times New Roman"/>
                    <w:color w:val="000000"/>
                    <w:sz w:val="22"/>
                    <w:szCs w:val="22"/>
                  </w:rPr>
                  <w:t>[111]</w:t>
                </w:r>
              </w:p>
            </w:tc>
          </w:sdtContent>
        </w:sdt>
        <w:tc>
          <w:tcPr>
            <w:tcW w:w="1680" w:type="dxa"/>
          </w:tcPr>
          <w:p w14:paraId="7EC44156" w14:textId="77777777" w:rsidR="00B17E5F" w:rsidRPr="00103624" w:rsidRDefault="00B17E5F" w:rsidP="009B67AD">
            <w:pPr>
              <w:pStyle w:val="NoSpacing"/>
              <w:rPr>
                <w:rFonts w:cs="Times New Roman"/>
                <w:sz w:val="22"/>
                <w:szCs w:val="22"/>
              </w:rPr>
            </w:pPr>
            <w:r w:rsidRPr="00103624">
              <w:rPr>
                <w:rFonts w:cs="Times New Roman"/>
                <w:sz w:val="22"/>
                <w:szCs w:val="22"/>
              </w:rPr>
              <w:t>Dynamic price control</w:t>
            </w:r>
          </w:p>
        </w:tc>
        <w:tc>
          <w:tcPr>
            <w:tcW w:w="1887" w:type="dxa"/>
          </w:tcPr>
          <w:p w14:paraId="4A0B7EA5" w14:textId="77777777" w:rsidR="00B17E5F" w:rsidRPr="00103624" w:rsidRDefault="00B17E5F" w:rsidP="009B67AD">
            <w:pPr>
              <w:pStyle w:val="NoSpacing"/>
              <w:rPr>
                <w:rFonts w:cs="Times New Roman"/>
                <w:sz w:val="22"/>
                <w:szCs w:val="22"/>
              </w:rPr>
            </w:pPr>
            <w:r w:rsidRPr="00103624">
              <w:rPr>
                <w:rFonts w:cs="Times New Roman"/>
                <w:sz w:val="22"/>
                <w:szCs w:val="22"/>
              </w:rPr>
              <w:t>RTP</w:t>
            </w:r>
          </w:p>
        </w:tc>
        <w:tc>
          <w:tcPr>
            <w:tcW w:w="1440" w:type="dxa"/>
          </w:tcPr>
          <w:p w14:paraId="36066A44" w14:textId="77777777" w:rsidR="00B17E5F" w:rsidRPr="00103624" w:rsidRDefault="00B17E5F" w:rsidP="009B67AD">
            <w:pPr>
              <w:pStyle w:val="NoSpacing"/>
              <w:rPr>
                <w:rFonts w:cs="Times New Roman"/>
                <w:sz w:val="22"/>
                <w:szCs w:val="22"/>
              </w:rPr>
            </w:pPr>
            <w:r w:rsidRPr="00103624">
              <w:rPr>
                <w:rFonts w:cs="Times New Roman"/>
                <w:sz w:val="22"/>
                <w:szCs w:val="22"/>
              </w:rPr>
              <w:t>HVAC (cooling)</w:t>
            </w:r>
          </w:p>
        </w:tc>
        <w:tc>
          <w:tcPr>
            <w:tcW w:w="1102" w:type="dxa"/>
          </w:tcPr>
          <w:p w14:paraId="2F2782E1" w14:textId="77777777" w:rsidR="00B17E5F" w:rsidRPr="00103624" w:rsidRDefault="00B17E5F" w:rsidP="009B67AD">
            <w:pPr>
              <w:pStyle w:val="NoSpacing"/>
              <w:rPr>
                <w:rFonts w:cs="Times New Roman"/>
                <w:sz w:val="22"/>
                <w:szCs w:val="22"/>
              </w:rPr>
            </w:pPr>
            <w:r w:rsidRPr="00103624">
              <w:rPr>
                <w:rFonts w:cs="Times New Roman"/>
                <w:sz w:val="22"/>
                <w:szCs w:val="22"/>
              </w:rPr>
              <w:t xml:space="preserve">12% </w:t>
            </w:r>
          </w:p>
        </w:tc>
        <w:tc>
          <w:tcPr>
            <w:tcW w:w="1267" w:type="dxa"/>
          </w:tcPr>
          <w:p w14:paraId="19D4B2DB" w14:textId="77777777" w:rsidR="00B17E5F" w:rsidRPr="00103624" w:rsidRDefault="00B17E5F" w:rsidP="009B67AD">
            <w:pPr>
              <w:pStyle w:val="NoSpacing"/>
              <w:rPr>
                <w:rFonts w:cs="Times New Roman"/>
                <w:sz w:val="22"/>
                <w:szCs w:val="22"/>
              </w:rPr>
            </w:pPr>
            <w:r w:rsidRPr="00103624">
              <w:rPr>
                <w:rFonts w:cs="Times New Roman"/>
                <w:sz w:val="22"/>
                <w:szCs w:val="22"/>
              </w:rPr>
              <w:t>24.7% HVAC cooling load reduced</w:t>
            </w:r>
          </w:p>
        </w:tc>
      </w:tr>
      <w:bookmarkEnd w:id="38"/>
      <w:bookmarkEnd w:id="46"/>
    </w:tbl>
    <w:p w14:paraId="58DC2828" w14:textId="77777777" w:rsidR="00B17E5F" w:rsidRPr="00322E56" w:rsidRDefault="00B17E5F" w:rsidP="009B67AD">
      <w:pPr>
        <w:ind w:firstLine="0"/>
      </w:pPr>
      <w:r w:rsidRPr="00322E56">
        <w:br w:type="page"/>
      </w:r>
      <w:bookmarkStart w:id="48" w:name="_Toc289175829"/>
    </w:p>
    <w:p w14:paraId="222776BB" w14:textId="77777777" w:rsidR="00B17E5F" w:rsidRPr="00322E56" w:rsidRDefault="00B17E5F" w:rsidP="00E9558C">
      <w:pPr>
        <w:pStyle w:val="Heading2"/>
        <w:rPr>
          <w:rFonts w:cs="Times New Roman"/>
        </w:rPr>
      </w:pPr>
      <w:bookmarkStart w:id="49" w:name="_Toc140399820"/>
      <w:r w:rsidRPr="00322E56">
        <w:rPr>
          <w:rFonts w:cs="Times New Roman"/>
        </w:rPr>
        <w:lastRenderedPageBreak/>
        <w:t>H</w:t>
      </w:r>
      <w:bookmarkEnd w:id="48"/>
      <w:r w:rsidRPr="00322E56">
        <w:rPr>
          <w:rFonts w:cs="Times New Roman"/>
        </w:rPr>
        <w:t>P-TES Configurations</w:t>
      </w:r>
      <w:bookmarkEnd w:id="49"/>
    </w:p>
    <w:p w14:paraId="5F02A3EC" w14:textId="77777777" w:rsidR="00B17E5F" w:rsidRPr="00322E56" w:rsidRDefault="00B17E5F" w:rsidP="005E54E2">
      <w:pPr>
        <w:rPr>
          <w:rFonts w:cs="Times New Roman"/>
        </w:rPr>
      </w:pPr>
      <w:r w:rsidRPr="00322E56">
        <w:rPr>
          <w:rFonts w:cs="Times New Roman"/>
        </w:rPr>
        <w:t>PCM-TES can be integrated with HPs via various configurations, as shown in Figure 4. Passive configurations (shown as ovals in Figure 4) are integrated in the building envelope. Active configurations (shown as horizontal cylinders in Figure 4) are integrated in HP components or an HX coupled with an HP. Some locations in the building envelope provide both possibilities, so PCMs can be directly embedded in ceiling, wall, or floor via passive storage and installed via active storage in an HX placed at these locations.</w:t>
      </w:r>
    </w:p>
    <w:p w14:paraId="03577339" w14:textId="77777777" w:rsidR="00B17E5F" w:rsidRPr="00322E56" w:rsidRDefault="00B17E5F" w:rsidP="0065375F">
      <w:pPr>
        <w:rPr>
          <w:rFonts w:cs="Times New Roman"/>
        </w:rPr>
      </w:pPr>
      <w:r w:rsidRPr="00322E56">
        <w:rPr>
          <w:rFonts w:cs="Times New Roman"/>
        </w:rPr>
        <w:t>The research on passive HP-TES and active HP-TES configurations is reviewed in this section. This section discusses different configurations investigated in the literature. Based on PCM type and configuration and on price- and demand-based controls, these performance metrics are summarized:</w:t>
      </w:r>
    </w:p>
    <w:p w14:paraId="4CEC070E" w14:textId="77777777" w:rsidR="00B17E5F" w:rsidRPr="00322E56" w:rsidRDefault="00B17E5F" w:rsidP="0065375F">
      <w:pPr>
        <w:pStyle w:val="ListParagraph"/>
        <w:numPr>
          <w:ilvl w:val="0"/>
          <w:numId w:val="3"/>
        </w:numPr>
        <w:rPr>
          <w:rFonts w:cs="Times New Roman"/>
        </w:rPr>
      </w:pPr>
      <w:r w:rsidRPr="00322E56">
        <w:rPr>
          <w:rFonts w:cs="Times New Roman"/>
        </w:rPr>
        <w:t>Energy savings (energy, COP, power, and load reduction)</w:t>
      </w:r>
    </w:p>
    <w:p w14:paraId="15D78A84" w14:textId="77777777" w:rsidR="00B17E5F" w:rsidRPr="00322E56" w:rsidRDefault="00B17E5F" w:rsidP="0065375F">
      <w:pPr>
        <w:pStyle w:val="ListParagraph"/>
        <w:numPr>
          <w:ilvl w:val="0"/>
          <w:numId w:val="3"/>
        </w:numPr>
        <w:rPr>
          <w:rFonts w:cs="Times New Roman"/>
        </w:rPr>
      </w:pPr>
      <w:r w:rsidRPr="00322E56">
        <w:rPr>
          <w:rFonts w:cs="Times New Roman"/>
        </w:rPr>
        <w:t>Cost savings (daily/annual cost and payback period)</w:t>
      </w:r>
    </w:p>
    <w:p w14:paraId="08E9A90C" w14:textId="77777777" w:rsidR="00B17E5F" w:rsidRPr="00322E56" w:rsidRDefault="00B17E5F" w:rsidP="005E54E2">
      <w:pPr>
        <w:pStyle w:val="ListParagraph"/>
        <w:numPr>
          <w:ilvl w:val="0"/>
          <w:numId w:val="3"/>
        </w:numPr>
        <w:rPr>
          <w:rFonts w:cs="Times New Roman"/>
        </w:rPr>
      </w:pPr>
      <w:r w:rsidRPr="00322E56">
        <w:rPr>
          <w:rFonts w:cs="Times New Roman"/>
        </w:rPr>
        <w:t>Demand impact (load shift, instantaneous power during peak, and demand reduction)</w:t>
      </w:r>
    </w:p>
    <w:p w14:paraId="0706E297" w14:textId="77777777" w:rsidR="00B17E5F" w:rsidRPr="00322E56" w:rsidRDefault="00B17E5F" w:rsidP="00826AA1">
      <w:pPr>
        <w:pStyle w:val="Heading3"/>
        <w:rPr>
          <w:rFonts w:cs="Times New Roman"/>
          <w:szCs w:val="24"/>
        </w:rPr>
      </w:pPr>
      <w:bookmarkStart w:id="50" w:name="_Toc140399821"/>
      <w:r w:rsidRPr="00322E56">
        <w:rPr>
          <w:rFonts w:cs="Times New Roman"/>
          <w:szCs w:val="24"/>
        </w:rPr>
        <w:t>Passive HP-TES</w:t>
      </w:r>
      <w:bookmarkEnd w:id="50"/>
    </w:p>
    <w:p w14:paraId="2E2F7B4C" w14:textId="4322DB9C" w:rsidR="00B17E5F" w:rsidRPr="00322E56" w:rsidRDefault="00B17E5F" w:rsidP="0065375F">
      <w:pPr>
        <w:rPr>
          <w:rFonts w:cs="Times New Roman"/>
        </w:rPr>
      </w:pPr>
      <w:r w:rsidRPr="00322E56">
        <w:rPr>
          <w:rFonts w:cs="Times New Roman"/>
        </w:rPr>
        <w:t xml:space="preserve">Various passive storage configurations have been investigated in literature. PCMs can be coupled with a ventilation system or standalone cooling or heating systems via passive storage </w:t>
      </w:r>
      <w:sdt>
        <w:sdtPr>
          <w:rPr>
            <w:rFonts w:cs="Times New Roman"/>
            <w:color w:val="000000"/>
            <w:shd w:val="clear" w:color="auto" w:fill="E6E6E6"/>
          </w:rPr>
          <w:tag w:val="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"/>
          <w:id w:val="2124258478"/>
          <w:placeholder>
            <w:docPart w:val="C86F7DF4E44A41A58416FDEDB5CA4BF3"/>
          </w:placeholder>
        </w:sdtPr>
        <w:sdtContent>
          <w:r w:rsidR="001E7ECF" w:rsidRPr="001E7ECF">
            <w:rPr>
              <w:rFonts w:cs="Times New Roman"/>
              <w:color w:val="000000"/>
            </w:rPr>
            <w:t>[121]–[123]</w:t>
          </w:r>
        </w:sdtContent>
      </w:sdt>
      <w:r w:rsidRPr="00322E56">
        <w:rPr>
          <w:rFonts w:cs="Times New Roman"/>
        </w:rPr>
        <w:t xml:space="preserve">. This section discusses HP-coupled passive configurations in which PCMs are integrated in the attic </w:t>
      </w:r>
      <w:sdt>
        <w:sdtPr>
          <w:rPr>
            <w:rFonts w:cs="Times New Roman"/>
            <w:color w:val="000000"/>
            <w:shd w:val="clear" w:color="auto" w:fill="E6E6E6"/>
          </w:rPr>
          <w:tag w:val="MENDELEY_CITATION_v3_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"/>
          <w:id w:val="2079702560"/>
          <w:placeholder>
            <w:docPart w:val="C86F7DF4E44A41A58416FDEDB5CA4BF3"/>
          </w:placeholder>
        </w:sdtPr>
        <w:sdtContent>
          <w:r w:rsidR="001E7ECF" w:rsidRPr="001E7ECF">
            <w:rPr>
              <w:rFonts w:cs="Times New Roman"/>
              <w:color w:val="000000"/>
            </w:rPr>
            <w:t>[124]</w:t>
          </w:r>
        </w:sdtContent>
      </w:sdt>
      <w:r w:rsidRPr="00322E56">
        <w:rPr>
          <w:rFonts w:cs="Times New Roman"/>
        </w:rPr>
        <w:t xml:space="preserve">, </w:t>
      </w:r>
      <w:sdt>
        <w:sdtPr>
          <w:rPr>
            <w:rFonts w:cs="Times New Roman"/>
            <w:color w:val="000000"/>
            <w:shd w:val="clear" w:color="auto" w:fill="E6E6E6"/>
          </w:rPr>
          <w:tag w:val="MENDELEY_CITATION_v3_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"/>
          <w:id w:val="1313908735"/>
          <w:placeholder>
            <w:docPart w:val="C86F7DF4E44A41A58416FDEDB5CA4BF3"/>
          </w:placeholder>
        </w:sdtPr>
        <w:sdtContent>
          <w:r w:rsidR="001E7ECF" w:rsidRPr="001E7ECF">
            <w:rPr>
              <w:rFonts w:cs="Times New Roman"/>
              <w:color w:val="000000"/>
            </w:rPr>
            <w:t>[125]</w:t>
          </w:r>
        </w:sdtContent>
      </w:sdt>
      <w:r w:rsidRPr="00322E56">
        <w:rPr>
          <w:rFonts w:cs="Times New Roman"/>
        </w:rPr>
        <w:t xml:space="preserve">, floor </w:t>
      </w:r>
      <w:sdt>
        <w:sdtPr>
          <w:rPr>
            <w:rFonts w:cs="Times New Roman"/>
            <w:color w:val="000000"/>
            <w:shd w:val="clear" w:color="auto" w:fill="E6E6E6"/>
          </w:rPr>
          <w:tag w:val="MENDELEY_CITATION_v3_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"/>
          <w:id w:val="1730032714"/>
          <w:placeholder>
            <w:docPart w:val="C86F7DF4E44A41A58416FDEDB5CA4BF3"/>
          </w:placeholder>
        </w:sdtPr>
        <w:sdtContent>
          <w:r w:rsidR="001E7ECF" w:rsidRPr="001E7ECF">
            <w:rPr>
              <w:rFonts w:cs="Times New Roman"/>
              <w:color w:val="000000"/>
            </w:rPr>
            <w:t>[126]</w:t>
          </w:r>
        </w:sdtContent>
      </w:sdt>
      <w:r w:rsidRPr="00322E56">
        <w:rPr>
          <w:rFonts w:cs="Times New Roman"/>
        </w:rPr>
        <w:t xml:space="preserve">, </w:t>
      </w:r>
      <w:sdt>
        <w:sdtPr>
          <w:rPr>
            <w:rFonts w:cs="Times New Roman"/>
            <w:color w:val="000000"/>
            <w:shd w:val="clear" w:color="auto" w:fill="E6E6E6"/>
          </w:rPr>
          <w:tag w:val="MENDELEY_CITATION_v3_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"/>
          <w:id w:val="1226026830"/>
          <w:placeholder>
            <w:docPart w:val="C86F7DF4E44A41A58416FDEDB5CA4BF3"/>
          </w:placeholder>
        </w:sdtPr>
        <w:sdtContent>
          <w:r w:rsidR="001E7ECF" w:rsidRPr="001E7ECF">
            <w:rPr>
              <w:rFonts w:cs="Times New Roman"/>
              <w:color w:val="000000"/>
            </w:rPr>
            <w:t>[127]</w:t>
          </w:r>
        </w:sdtContent>
      </w:sdt>
      <w:r w:rsidRPr="00322E56">
        <w:rPr>
          <w:rFonts w:cs="Times New Roman"/>
        </w:rPr>
        <w:t xml:space="preserve">, internal building envelope </w:t>
      </w:r>
      <w:sdt>
        <w:sdtPr>
          <w:rPr>
            <w:rFonts w:cs="Times New Roman"/>
            <w:color w:val="000000"/>
            <w:shd w:val="clear" w:color="auto" w:fill="E6E6E6"/>
          </w:rPr>
          <w:tag w:val="MENDELEY_CITATION_v3_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"/>
          <w:id w:val="1078097011"/>
          <w:placeholder>
            <w:docPart w:val="C86F7DF4E44A41A58416FDEDB5CA4BF3"/>
          </w:placeholder>
        </w:sdtPr>
        <w:sdtContent>
          <w:r w:rsidR="001E7ECF" w:rsidRPr="001E7ECF">
            <w:rPr>
              <w:rFonts w:cs="Times New Roman"/>
              <w:color w:val="000000"/>
            </w:rPr>
            <w:t>[128], [129]</w:t>
          </w:r>
        </w:sdtContent>
      </w:sdt>
      <w:r w:rsidRPr="00322E56">
        <w:rPr>
          <w:rFonts w:cs="Times New Roman"/>
        </w:rPr>
        <w:t xml:space="preserve">, wallboard </w:t>
      </w:r>
      <w:sdt>
        <w:sdtPr>
          <w:rPr>
            <w:rFonts w:cs="Times New Roman"/>
            <w:color w:val="000000"/>
            <w:shd w:val="clear" w:color="auto" w:fill="E6E6E6"/>
          </w:rPr>
          <w:tag w:val="MENDELEY_CITATION_v3_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"/>
          <w:id w:val="-122316049"/>
          <w:placeholder>
            <w:docPart w:val="C86F7DF4E44A41A58416FDEDB5CA4BF3"/>
          </w:placeholder>
        </w:sdtPr>
        <w:sdtContent>
          <w:r w:rsidR="001E7ECF" w:rsidRPr="001E7ECF">
            <w:rPr>
              <w:rFonts w:cs="Times New Roman"/>
              <w:color w:val="000000"/>
            </w:rPr>
            <w:t>[130]</w:t>
          </w:r>
        </w:sdtContent>
      </w:sdt>
      <w:r w:rsidRPr="00322E56">
        <w:rPr>
          <w:rFonts w:cs="Times New Roman"/>
        </w:rPr>
        <w:t xml:space="preserve">, </w:t>
      </w:r>
      <w:sdt>
        <w:sdtPr>
          <w:rPr>
            <w:rFonts w:cs="Times New Roman"/>
            <w:color w:val="000000"/>
            <w:shd w:val="clear" w:color="auto" w:fill="E6E6E6"/>
          </w:rPr>
          <w:tag w:val="MENDELEY_CITATION_v3_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"/>
          <w:id w:val="1619643148"/>
          <w:placeholder>
            <w:docPart w:val="C86F7DF4E44A41A58416FDEDB5CA4BF3"/>
          </w:placeholder>
        </w:sdtPr>
        <w:sdtContent>
          <w:r w:rsidR="001E7ECF" w:rsidRPr="001E7ECF">
            <w:rPr>
              <w:rFonts w:cs="Times New Roman"/>
              <w:color w:val="000000"/>
            </w:rPr>
            <w:t>[131]</w:t>
          </w:r>
        </w:sdtContent>
      </w:sdt>
      <w:r w:rsidRPr="00322E56">
        <w:rPr>
          <w:rFonts w:cs="Times New Roman"/>
        </w:rPr>
        <w:t xml:space="preserve">, frame wall </w:t>
      </w:r>
      <w:sdt>
        <w:sdtPr>
          <w:rPr>
            <w:rFonts w:cs="Times New Roman"/>
            <w:color w:val="000000"/>
            <w:shd w:val="clear" w:color="auto" w:fill="E6E6E6"/>
          </w:rPr>
          <w:tag w:val="MENDELEY_CITATION_v3_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"/>
          <w:id w:val="1318853384"/>
          <w:placeholder>
            <w:docPart w:val="C86F7DF4E44A41A58416FDEDB5CA4BF3"/>
          </w:placeholder>
        </w:sdtPr>
        <w:sdtContent>
          <w:r w:rsidR="001E7ECF" w:rsidRPr="001E7ECF">
            <w:rPr>
              <w:rFonts w:cs="Times New Roman"/>
              <w:color w:val="000000"/>
            </w:rPr>
            <w:t>[132]</w:t>
          </w:r>
        </w:sdtContent>
      </w:sdt>
      <w:r w:rsidRPr="00322E56">
        <w:rPr>
          <w:rFonts w:cs="Times New Roman"/>
        </w:rPr>
        <w:t xml:space="preserve">, or window </w:t>
      </w:r>
      <w:sdt>
        <w:sdtPr>
          <w:rPr>
            <w:rFonts w:cs="Times New Roman"/>
            <w:color w:val="000000"/>
            <w:shd w:val="clear" w:color="auto" w:fill="E6E6E6"/>
          </w:rPr>
          <w:tag w:val="MENDELEY_CITATION_v3_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"/>
          <w:id w:val="-1843622000"/>
          <w:placeholder>
            <w:docPart w:val="C86F7DF4E44A41A58416FDEDB5CA4BF3"/>
          </w:placeholder>
        </w:sdtPr>
        <w:sdtContent>
          <w:r w:rsidR="001E7ECF" w:rsidRPr="001E7ECF">
            <w:rPr>
              <w:rFonts w:cs="Times New Roman"/>
              <w:color w:val="000000"/>
            </w:rPr>
            <w:t>[133]</w:t>
          </w:r>
        </w:sdtContent>
      </w:sdt>
      <w:r w:rsidRPr="00322E56">
        <w:rPr>
          <w:rFonts w:cs="Times New Roman"/>
        </w:rPr>
        <w:t xml:space="preserve"> for load shifting and energy and cost savings. The performance of passive TES is highly dependent on the occupant’s choice of indoor set point temperature, and passive TES does not have controllable parameter that can be manipulated in real time by a controller.</w:t>
      </w:r>
    </w:p>
    <w:p w14:paraId="6E99CE2D" w14:textId="77777777" w:rsidR="00B17E5F" w:rsidRPr="00322E56" w:rsidRDefault="00B17E5F" w:rsidP="005645CA">
      <w:pPr>
        <w:rPr>
          <w:rFonts w:cs="Times New Roman"/>
        </w:rPr>
      </w:pPr>
      <w:r w:rsidRPr="00322E56">
        <w:rPr>
          <w:rFonts w:cs="Times New Roman"/>
        </w:rPr>
        <w:t xml:space="preserve">Numerous studies have demonstrated energy savings using free cooling or heating to charge PCMs, usually overnight, and passively blocking thermal loads. </w:t>
      </w:r>
    </w:p>
    <w:p w14:paraId="71EDFE7C" w14:textId="77777777" w:rsidR="00B17E5F" w:rsidRPr="00322E56" w:rsidRDefault="00B17E5F" w:rsidP="00EE036A">
      <w:pPr>
        <w:keepNext/>
        <w:rPr>
          <w:rFonts w:cs="Times New Roman"/>
        </w:rPr>
      </w:pPr>
      <w:r w:rsidRPr="00322E56">
        <w:rPr>
          <w:rFonts w:cs="Times New Roman"/>
          <w:noProof/>
        </w:rPr>
        <w:lastRenderedPageBreak/>
        <w:drawing>
          <wp:anchor distT="0" distB="0" distL="114300" distR="114300" simplePos="0" relativeHeight="251663360" behindDoc="0" locked="0" layoutInCell="1" allowOverlap="1" wp14:anchorId="13EA5072" wp14:editId="2BCBAB4A">
            <wp:simplePos x="0" y="0"/>
            <wp:positionH relativeFrom="margin">
              <wp:align>center</wp:align>
            </wp:positionH>
            <wp:positionV relativeFrom="margin">
              <wp:align>top</wp:align>
            </wp:positionV>
            <wp:extent cx="5303520" cy="3300316"/>
            <wp:effectExtent l="0" t="0" r="508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03520" cy="3300316"/>
                    </a:xfrm>
                    <a:prstGeom prst="rect">
                      <a:avLst/>
                    </a:prstGeom>
                    <a:noFill/>
                  </pic:spPr>
                </pic:pic>
              </a:graphicData>
            </a:graphic>
          </wp:anchor>
        </w:drawing>
      </w:r>
    </w:p>
    <w:p w14:paraId="5248DFAB" w14:textId="2416B9AE" w:rsidR="00B17E5F" w:rsidRPr="00322E56" w:rsidRDefault="00B17E5F" w:rsidP="006C3491">
      <w:pPr>
        <w:pStyle w:val="Caption"/>
        <w:jc w:val="center"/>
        <w:rPr>
          <w:rFonts w:cs="Times New Roman"/>
        </w:rPr>
      </w:pPr>
      <w:bookmarkStart w:id="51" w:name="_Toc140403870"/>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4</w:t>
      </w:r>
      <w:r w:rsidRPr="00322E56">
        <w:rPr>
          <w:rFonts w:cs="Times New Roman"/>
        </w:rPr>
        <w:fldChar w:fldCharType="end"/>
      </w:r>
      <w:r w:rsidRPr="00322E56">
        <w:rPr>
          <w:rFonts w:cs="Times New Roman"/>
        </w:rPr>
        <w:t>: Possible configurations for PCMs integrated in a building</w:t>
      </w:r>
      <w:bookmarkEnd w:id="51"/>
    </w:p>
    <w:p w14:paraId="50B99071" w14:textId="77777777" w:rsidR="00B17E5F" w:rsidRPr="00322E56" w:rsidRDefault="00B17E5F" w:rsidP="00EE036A">
      <w:pPr>
        <w:rPr>
          <w:rFonts w:cs="Times New Roman"/>
        </w:rPr>
      </w:pPr>
    </w:p>
    <w:p w14:paraId="79E71969" w14:textId="77777777" w:rsidR="00B17E5F" w:rsidRPr="00322E56" w:rsidRDefault="00B17E5F" w:rsidP="00EE036A">
      <w:pPr>
        <w:rPr>
          <w:rFonts w:cs="Times New Roman"/>
        </w:rPr>
      </w:pPr>
    </w:p>
    <w:p w14:paraId="31C6D399" w14:textId="77777777" w:rsidR="00B17E5F" w:rsidRPr="00322E56" w:rsidRDefault="00B17E5F">
      <w:pPr>
        <w:rPr>
          <w:rFonts w:cs="Times New Roman"/>
        </w:rPr>
      </w:pPr>
      <w:r w:rsidRPr="00322E56">
        <w:rPr>
          <w:rFonts w:cs="Times New Roman"/>
        </w:rPr>
        <w:br w:type="page"/>
      </w:r>
    </w:p>
    <w:p w14:paraId="04BE53C5" w14:textId="57E9D245" w:rsidR="006C3491" w:rsidRDefault="006C3491" w:rsidP="006C3491">
      <w:pPr>
        <w:rPr>
          <w:rFonts w:cs="Times New Roman"/>
        </w:rPr>
      </w:pPr>
      <w:r w:rsidRPr="00322E56">
        <w:rPr>
          <w:rFonts w:cs="Times New Roman"/>
        </w:rPr>
        <w:lastRenderedPageBreak/>
        <w:t xml:space="preserve">Halford et al. </w:t>
      </w:r>
      <w:sdt>
        <w:sdtPr>
          <w:rPr>
            <w:rFonts w:cs="Times New Roman"/>
            <w:color w:val="000000"/>
            <w:shd w:val="clear" w:color="auto" w:fill="E6E6E6"/>
          </w:rPr>
          <w:tag w:val="MENDELEY_CITATION_v3_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"/>
          <w:id w:val="-2032173346"/>
          <w:placeholder>
            <w:docPart w:val="A77CFC017D463F4491C70286759F036F"/>
          </w:placeholder>
        </w:sdtPr>
        <w:sdtContent>
          <w:r w:rsidRPr="001E7ECF">
            <w:rPr>
              <w:rFonts w:cs="Times New Roman"/>
              <w:color w:val="000000"/>
            </w:rPr>
            <w:t>[124]</w:t>
          </w:r>
        </w:sdtContent>
      </w:sdt>
      <w:r w:rsidRPr="00322E56">
        <w:rPr>
          <w:rFonts w:cs="Times New Roman"/>
        </w:rPr>
        <w:t xml:space="preserve"> shifted the peak A/C cooling load using a salt PCM perlite mixture with a melting temperature range of 28°C–40°C. The PCM melting temperature varied relative to the ambient temperature. The material and temperature were selected to change the phase during peak times of the day by absorbing heat from the ambient and releasing it later when the temperature lowers or A/C causes the solidification. The material was stored in the attic in two layers of insulation. The developed model was based on a simple geometry with many simplified assumptions to explore the approximate value of the resistive, capacitive, resistive configuration. The simulation results were compared against varying heat flow without the PCM application as an insulation-only baseline in which the heat transfer takes place through the resistive wall.</w:t>
      </w:r>
    </w:p>
    <w:p w14:paraId="33B05133" w14:textId="12BD56F9" w:rsidR="00B17E5F" w:rsidRPr="00322E56" w:rsidRDefault="00B17E5F" w:rsidP="005645CA">
      <w:pPr>
        <w:rPr>
          <w:rFonts w:cs="Times New Roman"/>
        </w:rPr>
      </w:pPr>
      <w:r w:rsidRPr="00322E56">
        <w:rPr>
          <w:rFonts w:cs="Times New Roman"/>
        </w:rPr>
        <w:t xml:space="preserve">Barzin et al. </w:t>
      </w:r>
      <w:sdt>
        <w:sdtPr>
          <w:rPr>
            <w:rFonts w:cs="Times New Roman"/>
            <w:color w:val="000000"/>
            <w:shd w:val="clear" w:color="auto" w:fill="E6E6E6"/>
          </w:rPr>
          <w:tag w:val="MENDELEY_CITATION_v3_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"/>
          <w:id w:val="384996089"/>
          <w:placeholder>
            <w:docPart w:val="88A619402DFA4DFCBB32B0F51779181B"/>
          </w:placeholder>
        </w:sdtPr>
        <w:sdtContent>
          <w:r w:rsidR="001E7ECF" w:rsidRPr="001E7ECF">
            <w:rPr>
              <w:rFonts w:cs="Times New Roman"/>
              <w:color w:val="000000"/>
            </w:rPr>
            <w:t>[126]</w:t>
          </w:r>
        </w:sdtContent>
      </w:sdt>
      <w:r w:rsidRPr="00322E56">
        <w:rPr>
          <w:rFonts w:cs="Times New Roman"/>
        </w:rPr>
        <w:t xml:space="preserve"> and Devaux et al. </w:t>
      </w:r>
      <w:sdt>
        <w:sdtPr>
          <w:rPr>
            <w:rFonts w:cs="Times New Roman"/>
            <w:color w:val="000000"/>
            <w:shd w:val="clear" w:color="auto" w:fill="E6E6E6"/>
          </w:rPr>
          <w:tag w:val="MENDELEY_CITATION_v3_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"/>
          <w:id w:val="1315754873"/>
          <w:placeholder>
            <w:docPart w:val="88A619402DFA4DFCBB32B0F51779181B"/>
          </w:placeholder>
        </w:sdtPr>
        <w:sdtContent>
          <w:r w:rsidR="001E7ECF" w:rsidRPr="001E7ECF">
            <w:rPr>
              <w:rFonts w:cs="Times New Roman"/>
              <w:color w:val="000000"/>
            </w:rPr>
            <w:t>[134]</w:t>
          </w:r>
        </w:sdtContent>
      </w:sdt>
      <w:r w:rsidRPr="00322E56">
        <w:rPr>
          <w:rFonts w:cs="Times New Roman"/>
        </w:rPr>
        <w:t xml:space="preserve"> used underfloor heating systems in combination with natural solar irradiation to charge PCMs for heating. Though significant savings per day and per week were achieved, the indoor comfort was compromised often because of overheating. Plytaria et al. </w:t>
      </w:r>
      <w:sdt>
        <w:sdtPr>
          <w:rPr>
            <w:rFonts w:cs="Times New Roman"/>
            <w:color w:val="000000"/>
            <w:shd w:val="clear" w:color="auto" w:fill="E6E6E6"/>
          </w:rPr>
          <w:tag w:val="MENDELEY_CITATION_v3_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"/>
          <w:id w:val="-1129395866"/>
          <w:placeholder>
            <w:docPart w:val="88A619402DFA4DFCBB32B0F51779181B"/>
          </w:placeholder>
        </w:sdtPr>
        <w:sdtContent>
          <w:r w:rsidR="001E7ECF" w:rsidRPr="001E7ECF">
            <w:rPr>
              <w:rFonts w:cs="Times New Roman"/>
              <w:color w:val="000000"/>
            </w:rPr>
            <w:t>[127]</w:t>
          </w:r>
        </w:sdtContent>
      </w:sdt>
      <w:r w:rsidRPr="00322E56">
        <w:rPr>
          <w:rFonts w:cs="Times New Roman"/>
        </w:rPr>
        <w:t xml:space="preserve"> combined a solar collector and PV system with a water-to-water HP, and an underfloor heating system contained PCMs. A storage tank was also used for hot water, which provided convective heating.</w:t>
      </w:r>
    </w:p>
    <w:p w14:paraId="0E27E959" w14:textId="3023C111" w:rsidR="00B17E5F" w:rsidRPr="00322E56" w:rsidRDefault="00B17E5F" w:rsidP="00EE036A">
      <w:pPr>
        <w:rPr>
          <w:rFonts w:cs="Times New Roman"/>
        </w:rPr>
      </w:pPr>
      <w:r w:rsidRPr="00322E56">
        <w:rPr>
          <w:rFonts w:cs="Times New Roman"/>
        </w:rPr>
        <w:t xml:space="preserve">Kosny et al. </w:t>
      </w:r>
      <w:sdt>
        <w:sdtPr>
          <w:rPr>
            <w:rFonts w:cs="Times New Roman"/>
            <w:color w:val="000000"/>
            <w:shd w:val="clear" w:color="auto" w:fill="E6E6E6"/>
          </w:rPr>
          <w:tag w:val="MENDELEY_CITATION_v3_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"/>
          <w:id w:val="22689204"/>
          <w:placeholder>
            <w:docPart w:val="BB12735069934489AB3A3B84F2957BBC"/>
          </w:placeholder>
        </w:sdtPr>
        <w:sdtContent>
          <w:r w:rsidR="001E7ECF" w:rsidRPr="001E7ECF">
            <w:rPr>
              <w:rFonts w:cs="Times New Roman"/>
              <w:color w:val="000000"/>
            </w:rPr>
            <w:t>[125]</w:t>
          </w:r>
        </w:sdtContent>
      </w:sdt>
      <w:r w:rsidRPr="00322E56">
        <w:rPr>
          <w:rFonts w:cs="Times New Roman"/>
        </w:rPr>
        <w:t xml:space="preserve"> modeled a passive attic insulation and compared two configurations using a 30% condensed and a 90% dispersed paraffin PCM layer. The melting temperature range was 22°C–27°C, and the freezing range was 20°C–26°C. The model was complex and was analyzed in detail, and the building model considered internal gains and construction material properties. The configuration with the condensed PCMs performed better than the other. Within that configuration, PCM locations were also analyzed, and the PCMs installed on the bottom of the attic floor insulation yielded the best results with the 13 mm PCM layer.</w:t>
      </w:r>
    </w:p>
    <w:p w14:paraId="76679179" w14:textId="6921E599" w:rsidR="00B17E5F" w:rsidRPr="00322E56" w:rsidRDefault="00B17E5F" w:rsidP="00744EBA">
      <w:pPr>
        <w:rPr>
          <w:rFonts w:cs="Times New Roman"/>
        </w:rPr>
      </w:pPr>
      <w:r w:rsidRPr="00322E56">
        <w:rPr>
          <w:rFonts w:cs="Times New Roman"/>
        </w:rPr>
        <w:t>Tables 4, 5, and 6 summarize the configuration and impact analysis of passive TES systems coupled with the conventional HP or A/C system. Tables 4 and 5 describe the cooling-only and heating-only cases, respectively. Table 6 provides information on both heating and cooling cases.</w:t>
      </w:r>
    </w:p>
    <w:p w14:paraId="7E44D48D" w14:textId="4A1438C8" w:rsidR="00B17E5F" w:rsidRPr="00322E56" w:rsidRDefault="00B17E5F" w:rsidP="00744EBA">
      <w:pPr>
        <w:pStyle w:val="Caption"/>
        <w:jc w:val="center"/>
        <w:rPr>
          <w:rFonts w:cs="Times New Roman"/>
        </w:rPr>
      </w:pPr>
      <w:bookmarkStart w:id="52" w:name="_Toc140399944"/>
      <w:r w:rsidRPr="00322E56">
        <w:rPr>
          <w:rFonts w:cs="Times New Roman"/>
        </w:rPr>
        <w:lastRenderedPageBreak/>
        <w:t xml:space="preserve">Table </w:t>
      </w:r>
      <w:r w:rsidRPr="00322E56">
        <w:rPr>
          <w:rFonts w:cs="Times New Roman"/>
        </w:rPr>
        <w:fldChar w:fldCharType="begin"/>
      </w:r>
      <w:r w:rsidRPr="00322E56">
        <w:rPr>
          <w:rFonts w:cs="Times New Roman"/>
        </w:rPr>
        <w:instrText xml:space="preserve"> SEQ Table \* ARABIC </w:instrText>
      </w:r>
      <w:r w:rsidRPr="00322E56">
        <w:rPr>
          <w:rFonts w:cs="Times New Roman"/>
        </w:rPr>
        <w:fldChar w:fldCharType="separate"/>
      </w:r>
      <w:r w:rsidR="00FC25C0">
        <w:rPr>
          <w:rFonts w:cs="Times New Roman"/>
          <w:noProof/>
        </w:rPr>
        <w:t>4</w:t>
      </w:r>
      <w:r w:rsidRPr="00322E56">
        <w:rPr>
          <w:rFonts w:cs="Times New Roman"/>
        </w:rPr>
        <w:fldChar w:fldCharType="end"/>
      </w:r>
      <w:r w:rsidRPr="00322E56">
        <w:rPr>
          <w:rFonts w:cs="Times New Roman"/>
        </w:rPr>
        <w:t>: Passive TES configurations with cooling only</w:t>
      </w:r>
      <w:bookmarkEnd w:id="52"/>
    </w:p>
    <w:tbl>
      <w:tblPr>
        <w:tblW w:w="860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4A0" w:firstRow="1" w:lastRow="0" w:firstColumn="1" w:lastColumn="0" w:noHBand="0" w:noVBand="1"/>
      </w:tblPr>
      <w:tblGrid>
        <w:gridCol w:w="807"/>
        <w:gridCol w:w="1219"/>
        <w:gridCol w:w="974"/>
        <w:gridCol w:w="977"/>
        <w:gridCol w:w="814"/>
        <w:gridCol w:w="1210"/>
        <w:gridCol w:w="915"/>
        <w:gridCol w:w="895"/>
        <w:gridCol w:w="784"/>
        <w:gridCol w:w="12"/>
      </w:tblGrid>
      <w:tr w:rsidR="00B17E5F" w:rsidRPr="00D14B09" w14:paraId="064A3AD6" w14:textId="77777777" w:rsidTr="00270231">
        <w:trPr>
          <w:trHeight w:val="375"/>
        </w:trPr>
        <w:tc>
          <w:tcPr>
            <w:tcW w:w="808" w:type="dxa"/>
          </w:tcPr>
          <w:p w14:paraId="319B2055" w14:textId="77777777" w:rsidR="00B17E5F" w:rsidRPr="00D14B09" w:rsidRDefault="00B17E5F" w:rsidP="00103624">
            <w:pPr>
              <w:pStyle w:val="NoSpacing"/>
              <w:rPr>
                <w:b/>
                <w:bCs/>
                <w:sz w:val="22"/>
                <w:szCs w:val="22"/>
              </w:rPr>
            </w:pPr>
          </w:p>
        </w:tc>
        <w:tc>
          <w:tcPr>
            <w:tcW w:w="5194" w:type="dxa"/>
            <w:gridSpan w:val="5"/>
          </w:tcPr>
          <w:p w14:paraId="27342124" w14:textId="77777777" w:rsidR="00B17E5F" w:rsidRPr="00D14B09" w:rsidRDefault="00B17E5F" w:rsidP="00103624">
            <w:pPr>
              <w:pStyle w:val="NoSpacing"/>
              <w:rPr>
                <w:b/>
                <w:bCs/>
                <w:sz w:val="22"/>
                <w:szCs w:val="22"/>
              </w:rPr>
            </w:pPr>
            <w:r w:rsidRPr="00D14B09">
              <w:rPr>
                <w:b/>
                <w:bCs/>
                <w:sz w:val="22"/>
                <w:szCs w:val="22"/>
              </w:rPr>
              <w:t>Study parameters</w:t>
            </w:r>
          </w:p>
        </w:tc>
        <w:tc>
          <w:tcPr>
            <w:tcW w:w="2605" w:type="dxa"/>
            <w:gridSpan w:val="4"/>
            <w:hideMark/>
          </w:tcPr>
          <w:p w14:paraId="15E827C4" w14:textId="77777777" w:rsidR="00B17E5F" w:rsidRPr="00D14B09" w:rsidRDefault="00B17E5F" w:rsidP="00103624">
            <w:pPr>
              <w:pStyle w:val="NoSpacing"/>
              <w:rPr>
                <w:b/>
                <w:bCs/>
                <w:sz w:val="22"/>
                <w:szCs w:val="22"/>
              </w:rPr>
            </w:pPr>
            <w:r w:rsidRPr="00D14B09">
              <w:rPr>
                <w:b/>
                <w:bCs/>
                <w:sz w:val="22"/>
                <w:szCs w:val="22"/>
              </w:rPr>
              <w:t>Study outcomes</w:t>
            </w:r>
          </w:p>
        </w:tc>
      </w:tr>
      <w:tr w:rsidR="00B17E5F" w:rsidRPr="00D14B09" w14:paraId="563DFC20" w14:textId="77777777" w:rsidTr="00270231">
        <w:trPr>
          <w:gridAfter w:val="1"/>
          <w:wAfter w:w="12" w:type="dxa"/>
          <w:trHeight w:val="375"/>
        </w:trPr>
        <w:tc>
          <w:tcPr>
            <w:tcW w:w="808" w:type="dxa"/>
            <w:hideMark/>
          </w:tcPr>
          <w:p w14:paraId="68BFD2CC" w14:textId="77777777" w:rsidR="00B17E5F" w:rsidRPr="00D14B09" w:rsidRDefault="00B17E5F" w:rsidP="00103624">
            <w:pPr>
              <w:pStyle w:val="NoSpacing"/>
              <w:rPr>
                <w:b/>
                <w:bCs/>
                <w:sz w:val="22"/>
                <w:szCs w:val="22"/>
              </w:rPr>
            </w:pPr>
            <w:r w:rsidRPr="00D14B09">
              <w:rPr>
                <w:b/>
                <w:bCs/>
                <w:sz w:val="22"/>
                <w:szCs w:val="22"/>
              </w:rPr>
              <w:t>Source</w:t>
            </w:r>
          </w:p>
        </w:tc>
        <w:tc>
          <w:tcPr>
            <w:tcW w:w="1219" w:type="dxa"/>
            <w:hideMark/>
          </w:tcPr>
          <w:p w14:paraId="2206B8A6" w14:textId="77777777" w:rsidR="00B17E5F" w:rsidRPr="00D14B09" w:rsidRDefault="00B17E5F" w:rsidP="00103624">
            <w:pPr>
              <w:pStyle w:val="NoSpacing"/>
              <w:rPr>
                <w:b/>
                <w:bCs/>
                <w:sz w:val="22"/>
                <w:szCs w:val="22"/>
              </w:rPr>
            </w:pPr>
            <w:r w:rsidRPr="00D14B09">
              <w:rPr>
                <w:b/>
                <w:bCs/>
                <w:sz w:val="22"/>
                <w:szCs w:val="22"/>
              </w:rPr>
              <w:t>PCM type &amp; phase change temperature</w:t>
            </w:r>
          </w:p>
        </w:tc>
        <w:tc>
          <w:tcPr>
            <w:tcW w:w="974" w:type="dxa"/>
            <w:hideMark/>
          </w:tcPr>
          <w:p w14:paraId="76E6784A" w14:textId="77777777" w:rsidR="00B17E5F" w:rsidRPr="00D14B09" w:rsidRDefault="00B17E5F" w:rsidP="00103624">
            <w:pPr>
              <w:pStyle w:val="NoSpacing"/>
              <w:rPr>
                <w:b/>
                <w:bCs/>
                <w:sz w:val="22"/>
                <w:szCs w:val="22"/>
              </w:rPr>
            </w:pPr>
            <w:r w:rsidRPr="00D14B09">
              <w:rPr>
                <w:b/>
                <w:bCs/>
                <w:sz w:val="22"/>
                <w:szCs w:val="22"/>
              </w:rPr>
              <w:t>PCM location</w:t>
            </w:r>
          </w:p>
        </w:tc>
        <w:tc>
          <w:tcPr>
            <w:tcW w:w="977" w:type="dxa"/>
          </w:tcPr>
          <w:p w14:paraId="02A1B3BC" w14:textId="77777777" w:rsidR="00B17E5F" w:rsidRPr="00D14B09" w:rsidRDefault="00B17E5F" w:rsidP="00103624">
            <w:pPr>
              <w:pStyle w:val="NoSpacing"/>
              <w:rPr>
                <w:b/>
                <w:bCs/>
                <w:sz w:val="22"/>
                <w:szCs w:val="22"/>
              </w:rPr>
            </w:pPr>
            <w:r w:rsidRPr="00D14B09">
              <w:rPr>
                <w:b/>
                <w:bCs/>
                <w:sz w:val="22"/>
                <w:szCs w:val="22"/>
              </w:rPr>
              <w:t>Climate &amp; study approach</w:t>
            </w:r>
          </w:p>
        </w:tc>
        <w:tc>
          <w:tcPr>
            <w:tcW w:w="814" w:type="dxa"/>
            <w:hideMark/>
          </w:tcPr>
          <w:p w14:paraId="1078E8B9" w14:textId="77777777" w:rsidR="00B17E5F" w:rsidRPr="00D14B09" w:rsidRDefault="00B17E5F" w:rsidP="00103624">
            <w:pPr>
              <w:pStyle w:val="NoSpacing"/>
              <w:rPr>
                <w:b/>
                <w:bCs/>
                <w:sz w:val="22"/>
                <w:szCs w:val="22"/>
              </w:rPr>
            </w:pPr>
            <w:r w:rsidRPr="00D14B09">
              <w:rPr>
                <w:b/>
                <w:bCs/>
                <w:sz w:val="22"/>
                <w:szCs w:val="22"/>
              </w:rPr>
              <w:t>Notes</w:t>
            </w:r>
          </w:p>
        </w:tc>
        <w:tc>
          <w:tcPr>
            <w:tcW w:w="1209" w:type="dxa"/>
            <w:hideMark/>
          </w:tcPr>
          <w:p w14:paraId="0984C83F" w14:textId="77777777" w:rsidR="00B17E5F" w:rsidRPr="00D14B09" w:rsidRDefault="00B17E5F" w:rsidP="00103624">
            <w:pPr>
              <w:pStyle w:val="NoSpacing"/>
              <w:rPr>
                <w:b/>
                <w:bCs/>
                <w:sz w:val="22"/>
                <w:szCs w:val="22"/>
              </w:rPr>
            </w:pPr>
            <w:r w:rsidRPr="00D14B09">
              <w:rPr>
                <w:b/>
                <w:bCs/>
                <w:sz w:val="22"/>
                <w:szCs w:val="22"/>
              </w:rPr>
              <w:t>Charging method</w:t>
            </w:r>
          </w:p>
        </w:tc>
        <w:tc>
          <w:tcPr>
            <w:tcW w:w="915" w:type="dxa"/>
            <w:hideMark/>
          </w:tcPr>
          <w:p w14:paraId="4602C47F" w14:textId="77777777" w:rsidR="00B17E5F" w:rsidRPr="00D14B09" w:rsidRDefault="00B17E5F" w:rsidP="00103624">
            <w:pPr>
              <w:pStyle w:val="NoSpacing"/>
              <w:rPr>
                <w:b/>
                <w:bCs/>
                <w:sz w:val="22"/>
                <w:szCs w:val="22"/>
              </w:rPr>
            </w:pPr>
            <w:r w:rsidRPr="00D14B09">
              <w:rPr>
                <w:b/>
                <w:bCs/>
                <w:sz w:val="22"/>
                <w:szCs w:val="22"/>
              </w:rPr>
              <w:t>Energy savings</w:t>
            </w:r>
          </w:p>
        </w:tc>
        <w:tc>
          <w:tcPr>
            <w:tcW w:w="895" w:type="dxa"/>
            <w:hideMark/>
          </w:tcPr>
          <w:p w14:paraId="73390B09" w14:textId="77777777" w:rsidR="00B17E5F" w:rsidRPr="00D14B09" w:rsidRDefault="00B17E5F" w:rsidP="00103624">
            <w:pPr>
              <w:pStyle w:val="NoSpacing"/>
              <w:rPr>
                <w:b/>
                <w:bCs/>
                <w:sz w:val="22"/>
                <w:szCs w:val="22"/>
              </w:rPr>
            </w:pPr>
            <w:r w:rsidRPr="00D14B09">
              <w:rPr>
                <w:b/>
                <w:bCs/>
                <w:sz w:val="22"/>
                <w:szCs w:val="22"/>
              </w:rPr>
              <w:t>Demand impact</w:t>
            </w:r>
          </w:p>
        </w:tc>
        <w:tc>
          <w:tcPr>
            <w:tcW w:w="784" w:type="dxa"/>
            <w:hideMark/>
          </w:tcPr>
          <w:p w14:paraId="6E693C5F" w14:textId="77777777" w:rsidR="00B17E5F" w:rsidRPr="00D14B09" w:rsidRDefault="00B17E5F" w:rsidP="00103624">
            <w:pPr>
              <w:pStyle w:val="NoSpacing"/>
              <w:rPr>
                <w:b/>
                <w:bCs/>
                <w:sz w:val="22"/>
                <w:szCs w:val="22"/>
              </w:rPr>
            </w:pPr>
            <w:r w:rsidRPr="00D14B09">
              <w:rPr>
                <w:b/>
                <w:bCs/>
                <w:sz w:val="22"/>
                <w:szCs w:val="22"/>
              </w:rPr>
              <w:t>Cost savings</w:t>
            </w:r>
          </w:p>
        </w:tc>
      </w:tr>
      <w:tr w:rsidR="00B17E5F" w:rsidRPr="00D14B09" w14:paraId="79111C7D" w14:textId="77777777" w:rsidTr="00270231">
        <w:trPr>
          <w:gridAfter w:val="1"/>
          <w:wAfter w:w="12" w:type="dxa"/>
          <w:trHeight w:val="375"/>
        </w:trPr>
        <w:tc>
          <w:tcPr>
            <w:tcW w:w="808" w:type="dxa"/>
          </w:tcPr>
          <w:sdt>
            <w:sdtPr>
              <w:rPr>
                <w:color w:val="000000"/>
                <w:sz w:val="22"/>
                <w:szCs w:val="22"/>
                <w:shd w:val="clear" w:color="auto" w:fill="E6E6E6"/>
              </w:rPr>
              <w:tag w:val="MENDELEY_CITATION_v3_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"/>
              <w:id w:val="1391542364"/>
              <w:placeholder>
                <w:docPart w:val="80C09ED0AB2A4A38B870FB4D4D20E6C6"/>
              </w:placeholder>
            </w:sdtPr>
            <w:sdtContent>
              <w:p w14:paraId="22FE3BF5" w14:textId="5046BBAF" w:rsidR="00B17E5F" w:rsidRPr="00D14B09" w:rsidRDefault="001E7ECF" w:rsidP="00103624">
                <w:pPr>
                  <w:pStyle w:val="NoSpacing"/>
                  <w:rPr>
                    <w:sz w:val="22"/>
                    <w:szCs w:val="22"/>
                  </w:rPr>
                </w:pPr>
                <w:r w:rsidRPr="001E7ECF">
                  <w:rPr>
                    <w:color w:val="000000"/>
                    <w:sz w:val="22"/>
                    <w:szCs w:val="22"/>
                  </w:rPr>
                  <w:t>[124]</w:t>
                </w:r>
              </w:p>
            </w:sdtContent>
          </w:sdt>
        </w:tc>
        <w:tc>
          <w:tcPr>
            <w:tcW w:w="1219" w:type="dxa"/>
          </w:tcPr>
          <w:p w14:paraId="0E4EE1CD" w14:textId="77777777" w:rsidR="00B17E5F" w:rsidRPr="00D14B09" w:rsidRDefault="00B17E5F" w:rsidP="00103624">
            <w:pPr>
              <w:pStyle w:val="NoSpacing"/>
              <w:rPr>
                <w:sz w:val="22"/>
                <w:szCs w:val="22"/>
              </w:rPr>
            </w:pPr>
            <w:r w:rsidRPr="00D14B09">
              <w:rPr>
                <w:sz w:val="22"/>
                <w:szCs w:val="22"/>
              </w:rPr>
              <w:t>Salt PCM perlite mixture</w:t>
            </w:r>
            <w:r w:rsidRPr="00D14B09" w:rsidDel="004869EE">
              <w:rPr>
                <w:sz w:val="22"/>
                <w:szCs w:val="22"/>
              </w:rPr>
              <w:t xml:space="preserve"> </w:t>
            </w:r>
          </w:p>
        </w:tc>
        <w:tc>
          <w:tcPr>
            <w:tcW w:w="974" w:type="dxa"/>
          </w:tcPr>
          <w:p w14:paraId="03392701" w14:textId="77777777" w:rsidR="00B17E5F" w:rsidRPr="00D14B09" w:rsidRDefault="00B17E5F" w:rsidP="00103624">
            <w:pPr>
              <w:pStyle w:val="NoSpacing"/>
              <w:rPr>
                <w:sz w:val="22"/>
                <w:szCs w:val="22"/>
              </w:rPr>
            </w:pPr>
            <w:r w:rsidRPr="00D14B09">
              <w:rPr>
                <w:sz w:val="22"/>
                <w:szCs w:val="22"/>
              </w:rPr>
              <w:t>In attic</w:t>
            </w:r>
          </w:p>
        </w:tc>
        <w:tc>
          <w:tcPr>
            <w:tcW w:w="977" w:type="dxa"/>
          </w:tcPr>
          <w:p w14:paraId="429A0750" w14:textId="77777777" w:rsidR="00B17E5F" w:rsidRPr="00D14B09" w:rsidRDefault="00B17E5F" w:rsidP="00103624">
            <w:pPr>
              <w:pStyle w:val="NoSpacing"/>
              <w:rPr>
                <w:sz w:val="22"/>
                <w:szCs w:val="22"/>
              </w:rPr>
            </w:pPr>
            <w:r w:rsidRPr="00D14B09">
              <w:rPr>
                <w:sz w:val="22"/>
                <w:szCs w:val="22"/>
              </w:rPr>
              <w:t xml:space="preserve">Simulation Las Vegas, Nevada, United States </w:t>
            </w:r>
          </w:p>
        </w:tc>
        <w:tc>
          <w:tcPr>
            <w:tcW w:w="814" w:type="dxa"/>
          </w:tcPr>
          <w:p w14:paraId="2A175983" w14:textId="77777777" w:rsidR="00B17E5F" w:rsidRPr="00D14B09" w:rsidRDefault="00B17E5F" w:rsidP="00103624">
            <w:pPr>
              <w:pStyle w:val="NoSpacing"/>
              <w:rPr>
                <w:sz w:val="22"/>
                <w:szCs w:val="22"/>
              </w:rPr>
            </w:pPr>
            <w:r w:rsidRPr="00D14B09">
              <w:rPr>
                <w:sz w:val="22"/>
                <w:szCs w:val="22"/>
              </w:rPr>
              <w:t>Peak load shift</w:t>
            </w:r>
          </w:p>
        </w:tc>
        <w:tc>
          <w:tcPr>
            <w:tcW w:w="1209" w:type="dxa"/>
          </w:tcPr>
          <w:p w14:paraId="5CD1D213" w14:textId="77777777" w:rsidR="00B17E5F" w:rsidRPr="00D14B09" w:rsidRDefault="00B17E5F" w:rsidP="00103624">
            <w:pPr>
              <w:pStyle w:val="NoSpacing"/>
              <w:rPr>
                <w:sz w:val="22"/>
                <w:szCs w:val="22"/>
              </w:rPr>
            </w:pPr>
            <w:r w:rsidRPr="00D14B09">
              <w:rPr>
                <w:sz w:val="22"/>
                <w:szCs w:val="22"/>
              </w:rPr>
              <w:t>PCM stores heat from ambient during peak times to solidify later</w:t>
            </w:r>
          </w:p>
        </w:tc>
        <w:tc>
          <w:tcPr>
            <w:tcW w:w="915" w:type="dxa"/>
          </w:tcPr>
          <w:p w14:paraId="78751AC9" w14:textId="77777777" w:rsidR="00B17E5F" w:rsidRPr="00D14B09" w:rsidRDefault="00B17E5F" w:rsidP="00103624">
            <w:pPr>
              <w:pStyle w:val="NoSpacing"/>
              <w:rPr>
                <w:sz w:val="22"/>
                <w:szCs w:val="22"/>
              </w:rPr>
            </w:pPr>
            <w:r w:rsidRPr="00D14B09">
              <w:rPr>
                <w:sz w:val="22"/>
                <w:szCs w:val="22"/>
              </w:rPr>
              <w:t>Not reported</w:t>
            </w:r>
          </w:p>
        </w:tc>
        <w:tc>
          <w:tcPr>
            <w:tcW w:w="895" w:type="dxa"/>
          </w:tcPr>
          <w:p w14:paraId="3F9182D6" w14:textId="77777777" w:rsidR="00B17E5F" w:rsidRPr="00D14B09" w:rsidRDefault="00B17E5F" w:rsidP="00103624">
            <w:pPr>
              <w:pStyle w:val="NoSpacing"/>
              <w:rPr>
                <w:sz w:val="22"/>
                <w:szCs w:val="22"/>
              </w:rPr>
            </w:pPr>
            <w:r w:rsidRPr="00D14B09">
              <w:rPr>
                <w:sz w:val="22"/>
                <w:szCs w:val="22"/>
              </w:rPr>
              <w:t>19%–57% peak load reduced</w:t>
            </w:r>
          </w:p>
        </w:tc>
        <w:tc>
          <w:tcPr>
            <w:tcW w:w="784" w:type="dxa"/>
          </w:tcPr>
          <w:p w14:paraId="4C552249" w14:textId="77777777" w:rsidR="00B17E5F" w:rsidRPr="00D14B09" w:rsidRDefault="00B17E5F" w:rsidP="00103624">
            <w:pPr>
              <w:pStyle w:val="NoSpacing"/>
              <w:rPr>
                <w:sz w:val="22"/>
                <w:szCs w:val="22"/>
              </w:rPr>
            </w:pPr>
            <w:r w:rsidRPr="00D14B09">
              <w:rPr>
                <w:sz w:val="22"/>
                <w:szCs w:val="22"/>
              </w:rPr>
              <w:t>Not reported</w:t>
            </w:r>
          </w:p>
        </w:tc>
      </w:tr>
      <w:tr w:rsidR="00B17E5F" w:rsidRPr="00D14B09" w14:paraId="39AFAB68" w14:textId="77777777" w:rsidTr="00270231">
        <w:trPr>
          <w:gridAfter w:val="1"/>
          <w:wAfter w:w="12" w:type="dxa"/>
          <w:trHeight w:val="375"/>
        </w:trPr>
        <w:tc>
          <w:tcPr>
            <w:tcW w:w="808" w:type="dxa"/>
          </w:tcPr>
          <w:bookmarkStart w:id="53" w:name="_Hlk129855367" w:displacedByCustomXml="next"/>
          <w:sdt>
            <w:sdtPr>
              <w:rPr>
                <w:color w:val="000000"/>
                <w:sz w:val="22"/>
                <w:szCs w:val="22"/>
              </w:rPr>
              <w:tag w:val="MENDELEY_CITATION_v3_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"/>
              <w:id w:val="-887109731"/>
              <w:placeholder>
                <w:docPart w:val="80C09ED0AB2A4A38B870FB4D4D20E6C6"/>
              </w:placeholder>
            </w:sdtPr>
            <w:sdtContent>
              <w:p w14:paraId="207EDCAD" w14:textId="01123AC8" w:rsidR="00B17E5F" w:rsidRPr="00D14B09" w:rsidRDefault="001E7ECF" w:rsidP="00103624">
                <w:pPr>
                  <w:pStyle w:val="NoSpacing"/>
                  <w:rPr>
                    <w:sz w:val="22"/>
                    <w:szCs w:val="22"/>
                  </w:rPr>
                </w:pPr>
                <w:r w:rsidRPr="001E7ECF">
                  <w:rPr>
                    <w:color w:val="000000"/>
                    <w:sz w:val="22"/>
                    <w:szCs w:val="22"/>
                  </w:rPr>
                  <w:t>[129]</w:t>
                </w:r>
              </w:p>
            </w:sdtContent>
          </w:sdt>
          <w:bookmarkEnd w:id="53" w:displacedByCustomXml="prev"/>
        </w:tc>
        <w:tc>
          <w:tcPr>
            <w:tcW w:w="1219" w:type="dxa"/>
          </w:tcPr>
          <w:p w14:paraId="3DE496AA" w14:textId="77777777" w:rsidR="00B17E5F" w:rsidRPr="00D14B09" w:rsidRDefault="00B17E5F" w:rsidP="00103624">
            <w:pPr>
              <w:pStyle w:val="NoSpacing"/>
              <w:rPr>
                <w:sz w:val="22"/>
                <w:szCs w:val="22"/>
              </w:rPr>
            </w:pPr>
            <w:r w:rsidRPr="00D14B09">
              <w:rPr>
                <w:sz w:val="22"/>
                <w:szCs w:val="22"/>
              </w:rPr>
              <w:t>Bio PCM (23°C)</w:t>
            </w:r>
          </w:p>
        </w:tc>
        <w:tc>
          <w:tcPr>
            <w:tcW w:w="974" w:type="dxa"/>
          </w:tcPr>
          <w:p w14:paraId="0574CBFB" w14:textId="77777777" w:rsidR="00B17E5F" w:rsidRPr="00D14B09" w:rsidRDefault="00B17E5F" w:rsidP="00103624">
            <w:pPr>
              <w:pStyle w:val="NoSpacing"/>
              <w:rPr>
                <w:sz w:val="22"/>
                <w:szCs w:val="22"/>
              </w:rPr>
            </w:pPr>
            <w:r w:rsidRPr="00D14B09">
              <w:rPr>
                <w:sz w:val="22"/>
                <w:szCs w:val="22"/>
              </w:rPr>
              <w:t>In walls to enhance envelope of air-conditioned building</w:t>
            </w:r>
          </w:p>
        </w:tc>
        <w:tc>
          <w:tcPr>
            <w:tcW w:w="977" w:type="dxa"/>
          </w:tcPr>
          <w:p w14:paraId="6CC215F3" w14:textId="77777777" w:rsidR="00B17E5F" w:rsidRPr="00D14B09" w:rsidRDefault="00B17E5F" w:rsidP="00103624">
            <w:pPr>
              <w:pStyle w:val="NoSpacing"/>
              <w:rPr>
                <w:sz w:val="22"/>
                <w:szCs w:val="22"/>
              </w:rPr>
            </w:pPr>
            <w:r w:rsidRPr="00D14B09">
              <w:rPr>
                <w:sz w:val="22"/>
                <w:szCs w:val="22"/>
              </w:rPr>
              <w:t>Simulation, Termoli, Italy</w:t>
            </w:r>
          </w:p>
        </w:tc>
        <w:tc>
          <w:tcPr>
            <w:tcW w:w="814" w:type="dxa"/>
          </w:tcPr>
          <w:p w14:paraId="6CD10D33" w14:textId="77777777" w:rsidR="00B17E5F" w:rsidRPr="00D14B09" w:rsidRDefault="00B17E5F" w:rsidP="00103624">
            <w:pPr>
              <w:pStyle w:val="NoSpacing"/>
              <w:rPr>
                <w:sz w:val="22"/>
                <w:szCs w:val="22"/>
              </w:rPr>
            </w:pPr>
            <w:r w:rsidRPr="00D14B09">
              <w:rPr>
                <w:sz w:val="22"/>
                <w:szCs w:val="22"/>
              </w:rPr>
              <w:t>Retrofit to reduce cooling demand, no tariff reported</w:t>
            </w:r>
          </w:p>
        </w:tc>
        <w:tc>
          <w:tcPr>
            <w:tcW w:w="1209" w:type="dxa"/>
          </w:tcPr>
          <w:p w14:paraId="2AF45C88" w14:textId="77777777" w:rsidR="00B17E5F" w:rsidRPr="00D14B09" w:rsidRDefault="00B17E5F" w:rsidP="00103624">
            <w:pPr>
              <w:pStyle w:val="NoSpacing"/>
              <w:rPr>
                <w:sz w:val="22"/>
                <w:szCs w:val="22"/>
              </w:rPr>
            </w:pPr>
            <w:r w:rsidRPr="00D14B09">
              <w:rPr>
                <w:sz w:val="22"/>
                <w:szCs w:val="22"/>
              </w:rPr>
              <w:t>Night convective cooling. PCM prevents overheating</w:t>
            </w:r>
          </w:p>
        </w:tc>
        <w:tc>
          <w:tcPr>
            <w:tcW w:w="915" w:type="dxa"/>
          </w:tcPr>
          <w:p w14:paraId="7B8EA2BF" w14:textId="77777777" w:rsidR="00B17E5F" w:rsidRPr="00D14B09" w:rsidRDefault="00B17E5F" w:rsidP="00103624">
            <w:pPr>
              <w:pStyle w:val="NoSpacing"/>
              <w:rPr>
                <w:sz w:val="22"/>
                <w:szCs w:val="22"/>
              </w:rPr>
            </w:pPr>
            <w:r w:rsidRPr="00D14B09">
              <w:rPr>
                <w:sz w:val="22"/>
                <w:szCs w:val="22"/>
              </w:rPr>
              <w:t>Summer energy consumption reduced by 11.7%</w:t>
            </w:r>
          </w:p>
        </w:tc>
        <w:tc>
          <w:tcPr>
            <w:tcW w:w="895" w:type="dxa"/>
          </w:tcPr>
          <w:p w14:paraId="2A067552" w14:textId="77777777" w:rsidR="00B17E5F" w:rsidRPr="00D14B09" w:rsidRDefault="00B17E5F" w:rsidP="00103624">
            <w:pPr>
              <w:pStyle w:val="NoSpacing"/>
              <w:rPr>
                <w:sz w:val="22"/>
                <w:szCs w:val="22"/>
              </w:rPr>
            </w:pPr>
            <w:r w:rsidRPr="00D14B09">
              <w:rPr>
                <w:sz w:val="22"/>
                <w:szCs w:val="22"/>
              </w:rPr>
              <w:t>HVAC load reduced by 6.1%</w:t>
            </w:r>
          </w:p>
        </w:tc>
        <w:tc>
          <w:tcPr>
            <w:tcW w:w="784" w:type="dxa"/>
          </w:tcPr>
          <w:p w14:paraId="54CF8F0C" w14:textId="77777777" w:rsidR="00B17E5F" w:rsidRPr="00D14B09" w:rsidRDefault="00B17E5F" w:rsidP="00103624">
            <w:pPr>
              <w:pStyle w:val="NoSpacing"/>
              <w:rPr>
                <w:sz w:val="22"/>
                <w:szCs w:val="22"/>
              </w:rPr>
            </w:pPr>
            <w:r w:rsidRPr="00D14B09">
              <w:rPr>
                <w:sz w:val="22"/>
                <w:szCs w:val="22"/>
              </w:rPr>
              <w:t>30 year payback period</w:t>
            </w:r>
          </w:p>
        </w:tc>
      </w:tr>
    </w:tbl>
    <w:p w14:paraId="234F8BC6" w14:textId="77777777" w:rsidR="00B17E5F" w:rsidRPr="00322E56" w:rsidRDefault="00B17E5F" w:rsidP="00EE036A">
      <w:pPr>
        <w:rPr>
          <w:rFonts w:cs="Times New Roman"/>
        </w:rPr>
      </w:pPr>
    </w:p>
    <w:p w14:paraId="3DB20059" w14:textId="77777777" w:rsidR="00B17E5F" w:rsidRPr="00322E56" w:rsidRDefault="00B17E5F">
      <w:pPr>
        <w:spacing w:line="240" w:lineRule="auto"/>
        <w:rPr>
          <w:rFonts w:cs="Times New Roman"/>
          <w:b/>
          <w:bCs/>
        </w:rPr>
      </w:pPr>
      <w:r w:rsidRPr="00322E56">
        <w:rPr>
          <w:rFonts w:cs="Times New Roman"/>
        </w:rPr>
        <w:br w:type="page"/>
      </w:r>
    </w:p>
    <w:p w14:paraId="70C432DE" w14:textId="65BF0362" w:rsidR="00B17E5F" w:rsidRPr="00322E56" w:rsidRDefault="00B17E5F" w:rsidP="00744EBA">
      <w:pPr>
        <w:pStyle w:val="Caption"/>
        <w:jc w:val="center"/>
        <w:rPr>
          <w:rFonts w:cs="Times New Roman"/>
        </w:rPr>
      </w:pPr>
      <w:bookmarkStart w:id="54" w:name="_Toc140399945"/>
      <w:r w:rsidRPr="00322E56">
        <w:rPr>
          <w:rFonts w:cs="Times New Roman"/>
        </w:rPr>
        <w:lastRenderedPageBreak/>
        <w:t xml:space="preserve">Table </w:t>
      </w:r>
      <w:r w:rsidRPr="00322E56">
        <w:rPr>
          <w:rFonts w:cs="Times New Roman"/>
        </w:rPr>
        <w:fldChar w:fldCharType="begin"/>
      </w:r>
      <w:r w:rsidRPr="00322E56">
        <w:rPr>
          <w:rFonts w:cs="Times New Roman"/>
        </w:rPr>
        <w:instrText xml:space="preserve"> SEQ Table \* ARABIC </w:instrText>
      </w:r>
      <w:r w:rsidRPr="00322E56">
        <w:rPr>
          <w:rFonts w:cs="Times New Roman"/>
        </w:rPr>
        <w:fldChar w:fldCharType="separate"/>
      </w:r>
      <w:r w:rsidR="00FC25C0">
        <w:rPr>
          <w:rFonts w:cs="Times New Roman"/>
          <w:noProof/>
        </w:rPr>
        <w:t>5</w:t>
      </w:r>
      <w:r w:rsidRPr="00322E56">
        <w:rPr>
          <w:rFonts w:cs="Times New Roman"/>
        </w:rPr>
        <w:fldChar w:fldCharType="end"/>
      </w:r>
      <w:r w:rsidRPr="00322E56">
        <w:rPr>
          <w:rFonts w:cs="Times New Roman"/>
        </w:rPr>
        <w:t>: Passive TES configurations with heating only</w:t>
      </w:r>
      <w:bookmarkEnd w:id="54"/>
    </w:p>
    <w:tbl>
      <w:tblPr>
        <w:tblW w:w="86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4A0" w:firstRow="1" w:lastRow="0" w:firstColumn="1" w:lastColumn="0" w:noHBand="0" w:noVBand="1"/>
      </w:tblPr>
      <w:tblGrid>
        <w:gridCol w:w="885"/>
        <w:gridCol w:w="1241"/>
        <w:gridCol w:w="984"/>
        <w:gridCol w:w="1066"/>
        <w:gridCol w:w="823"/>
        <w:gridCol w:w="985"/>
        <w:gridCol w:w="905"/>
        <w:gridCol w:w="905"/>
        <w:gridCol w:w="816"/>
      </w:tblGrid>
      <w:tr w:rsidR="00B17E5F" w:rsidRPr="006172EB" w14:paraId="268C73B0" w14:textId="77777777" w:rsidTr="00744EBA">
        <w:trPr>
          <w:trHeight w:val="353"/>
        </w:trPr>
        <w:tc>
          <w:tcPr>
            <w:tcW w:w="885" w:type="dxa"/>
          </w:tcPr>
          <w:p w14:paraId="31E05500" w14:textId="77777777" w:rsidR="00B17E5F" w:rsidRPr="006172EB" w:rsidRDefault="00B17E5F" w:rsidP="006172EB">
            <w:pPr>
              <w:pStyle w:val="NoSpacing"/>
              <w:rPr>
                <w:b/>
                <w:bCs/>
                <w:sz w:val="22"/>
                <w:szCs w:val="22"/>
              </w:rPr>
            </w:pPr>
          </w:p>
        </w:tc>
        <w:tc>
          <w:tcPr>
            <w:tcW w:w="5099" w:type="dxa"/>
            <w:gridSpan w:val="5"/>
          </w:tcPr>
          <w:p w14:paraId="0629BFA3" w14:textId="77777777" w:rsidR="00B17E5F" w:rsidRPr="006172EB" w:rsidRDefault="00B17E5F" w:rsidP="006172EB">
            <w:pPr>
              <w:pStyle w:val="NoSpacing"/>
              <w:rPr>
                <w:b/>
                <w:bCs/>
                <w:sz w:val="22"/>
                <w:szCs w:val="22"/>
              </w:rPr>
            </w:pPr>
            <w:r w:rsidRPr="006172EB">
              <w:rPr>
                <w:b/>
                <w:bCs/>
                <w:sz w:val="22"/>
                <w:szCs w:val="22"/>
              </w:rPr>
              <w:t>Study parameters</w:t>
            </w:r>
          </w:p>
        </w:tc>
        <w:tc>
          <w:tcPr>
            <w:tcW w:w="2626" w:type="dxa"/>
            <w:gridSpan w:val="3"/>
            <w:hideMark/>
          </w:tcPr>
          <w:p w14:paraId="0AA99381" w14:textId="77777777" w:rsidR="00B17E5F" w:rsidRPr="006172EB" w:rsidRDefault="00B17E5F" w:rsidP="006172EB">
            <w:pPr>
              <w:pStyle w:val="NoSpacing"/>
              <w:rPr>
                <w:b/>
                <w:bCs/>
                <w:sz w:val="22"/>
                <w:szCs w:val="22"/>
              </w:rPr>
            </w:pPr>
            <w:r w:rsidRPr="006172EB">
              <w:rPr>
                <w:b/>
                <w:bCs/>
                <w:sz w:val="22"/>
                <w:szCs w:val="22"/>
              </w:rPr>
              <w:t>Study outcomes</w:t>
            </w:r>
          </w:p>
        </w:tc>
      </w:tr>
      <w:tr w:rsidR="00B17E5F" w:rsidRPr="006172EB" w14:paraId="734C218A" w14:textId="77777777" w:rsidTr="00744EBA">
        <w:trPr>
          <w:trHeight w:val="353"/>
        </w:trPr>
        <w:tc>
          <w:tcPr>
            <w:tcW w:w="885" w:type="dxa"/>
            <w:hideMark/>
          </w:tcPr>
          <w:p w14:paraId="753EE6C6" w14:textId="77777777" w:rsidR="00B17E5F" w:rsidRPr="006172EB" w:rsidRDefault="00B17E5F" w:rsidP="006172EB">
            <w:pPr>
              <w:pStyle w:val="NoSpacing"/>
              <w:rPr>
                <w:b/>
                <w:bCs/>
                <w:sz w:val="22"/>
                <w:szCs w:val="22"/>
              </w:rPr>
            </w:pPr>
            <w:r w:rsidRPr="006172EB">
              <w:rPr>
                <w:b/>
                <w:bCs/>
                <w:sz w:val="22"/>
                <w:szCs w:val="22"/>
              </w:rPr>
              <w:t>Source</w:t>
            </w:r>
          </w:p>
        </w:tc>
        <w:tc>
          <w:tcPr>
            <w:tcW w:w="1241" w:type="dxa"/>
            <w:hideMark/>
          </w:tcPr>
          <w:p w14:paraId="092830D8" w14:textId="77777777" w:rsidR="00B17E5F" w:rsidRPr="006172EB" w:rsidRDefault="00B17E5F" w:rsidP="006172EB">
            <w:pPr>
              <w:pStyle w:val="NoSpacing"/>
              <w:rPr>
                <w:b/>
                <w:bCs/>
                <w:sz w:val="22"/>
                <w:szCs w:val="22"/>
              </w:rPr>
            </w:pPr>
            <w:r w:rsidRPr="006172EB">
              <w:rPr>
                <w:b/>
                <w:bCs/>
                <w:sz w:val="22"/>
                <w:szCs w:val="22"/>
              </w:rPr>
              <w:t>PCM type &amp; phase change temperature</w:t>
            </w:r>
          </w:p>
        </w:tc>
        <w:tc>
          <w:tcPr>
            <w:tcW w:w="984" w:type="dxa"/>
            <w:hideMark/>
          </w:tcPr>
          <w:p w14:paraId="65E68C22" w14:textId="77777777" w:rsidR="00B17E5F" w:rsidRPr="006172EB" w:rsidRDefault="00B17E5F" w:rsidP="006172EB">
            <w:pPr>
              <w:pStyle w:val="NoSpacing"/>
              <w:rPr>
                <w:b/>
                <w:bCs/>
                <w:sz w:val="22"/>
                <w:szCs w:val="22"/>
              </w:rPr>
            </w:pPr>
            <w:r w:rsidRPr="006172EB">
              <w:rPr>
                <w:b/>
                <w:bCs/>
                <w:sz w:val="22"/>
                <w:szCs w:val="22"/>
              </w:rPr>
              <w:t>PCM location</w:t>
            </w:r>
          </w:p>
        </w:tc>
        <w:tc>
          <w:tcPr>
            <w:tcW w:w="1066" w:type="dxa"/>
          </w:tcPr>
          <w:p w14:paraId="589AE0FF" w14:textId="77777777" w:rsidR="00B17E5F" w:rsidRPr="006172EB" w:rsidRDefault="00B17E5F" w:rsidP="006172EB">
            <w:pPr>
              <w:pStyle w:val="NoSpacing"/>
              <w:rPr>
                <w:b/>
                <w:bCs/>
                <w:sz w:val="22"/>
                <w:szCs w:val="22"/>
              </w:rPr>
            </w:pPr>
            <w:r w:rsidRPr="006172EB">
              <w:rPr>
                <w:b/>
                <w:bCs/>
                <w:sz w:val="22"/>
                <w:szCs w:val="22"/>
              </w:rPr>
              <w:t>Climate &amp; study approach</w:t>
            </w:r>
          </w:p>
        </w:tc>
        <w:tc>
          <w:tcPr>
            <w:tcW w:w="823" w:type="dxa"/>
            <w:hideMark/>
          </w:tcPr>
          <w:p w14:paraId="48B67F03" w14:textId="77777777" w:rsidR="00B17E5F" w:rsidRPr="006172EB" w:rsidRDefault="00B17E5F" w:rsidP="006172EB">
            <w:pPr>
              <w:pStyle w:val="NoSpacing"/>
              <w:rPr>
                <w:b/>
                <w:bCs/>
                <w:sz w:val="22"/>
                <w:szCs w:val="22"/>
              </w:rPr>
            </w:pPr>
            <w:r w:rsidRPr="006172EB">
              <w:rPr>
                <w:b/>
                <w:bCs/>
                <w:sz w:val="22"/>
                <w:szCs w:val="22"/>
              </w:rPr>
              <w:t>Notes</w:t>
            </w:r>
          </w:p>
        </w:tc>
        <w:tc>
          <w:tcPr>
            <w:tcW w:w="985" w:type="dxa"/>
            <w:hideMark/>
          </w:tcPr>
          <w:p w14:paraId="1C3370E8" w14:textId="77777777" w:rsidR="00B17E5F" w:rsidRPr="006172EB" w:rsidRDefault="00B17E5F" w:rsidP="006172EB">
            <w:pPr>
              <w:pStyle w:val="NoSpacing"/>
              <w:rPr>
                <w:b/>
                <w:bCs/>
                <w:sz w:val="22"/>
                <w:szCs w:val="22"/>
              </w:rPr>
            </w:pPr>
            <w:r w:rsidRPr="006172EB">
              <w:rPr>
                <w:b/>
                <w:bCs/>
                <w:sz w:val="22"/>
                <w:szCs w:val="22"/>
              </w:rPr>
              <w:t>Charging method</w:t>
            </w:r>
          </w:p>
        </w:tc>
        <w:tc>
          <w:tcPr>
            <w:tcW w:w="905" w:type="dxa"/>
            <w:hideMark/>
          </w:tcPr>
          <w:p w14:paraId="7C7F2D73" w14:textId="77777777" w:rsidR="00B17E5F" w:rsidRPr="006172EB" w:rsidRDefault="00B17E5F" w:rsidP="006172EB">
            <w:pPr>
              <w:pStyle w:val="NoSpacing"/>
              <w:rPr>
                <w:b/>
                <w:bCs/>
                <w:sz w:val="22"/>
                <w:szCs w:val="22"/>
              </w:rPr>
            </w:pPr>
            <w:r w:rsidRPr="006172EB">
              <w:rPr>
                <w:b/>
                <w:bCs/>
                <w:sz w:val="22"/>
                <w:szCs w:val="22"/>
              </w:rPr>
              <w:t>Energy savings</w:t>
            </w:r>
          </w:p>
        </w:tc>
        <w:tc>
          <w:tcPr>
            <w:tcW w:w="905" w:type="dxa"/>
            <w:hideMark/>
          </w:tcPr>
          <w:p w14:paraId="35FF8552" w14:textId="77777777" w:rsidR="00B17E5F" w:rsidRPr="006172EB" w:rsidRDefault="00B17E5F" w:rsidP="006172EB">
            <w:pPr>
              <w:pStyle w:val="NoSpacing"/>
              <w:rPr>
                <w:b/>
                <w:bCs/>
                <w:sz w:val="22"/>
                <w:szCs w:val="22"/>
              </w:rPr>
            </w:pPr>
            <w:r w:rsidRPr="006172EB">
              <w:rPr>
                <w:b/>
                <w:bCs/>
                <w:sz w:val="22"/>
                <w:szCs w:val="22"/>
              </w:rPr>
              <w:t>Demand impact</w:t>
            </w:r>
          </w:p>
        </w:tc>
        <w:tc>
          <w:tcPr>
            <w:tcW w:w="816" w:type="dxa"/>
            <w:hideMark/>
          </w:tcPr>
          <w:p w14:paraId="26AA6E09" w14:textId="77777777" w:rsidR="00B17E5F" w:rsidRPr="006172EB" w:rsidRDefault="00B17E5F" w:rsidP="006172EB">
            <w:pPr>
              <w:pStyle w:val="NoSpacing"/>
              <w:rPr>
                <w:b/>
                <w:bCs/>
                <w:sz w:val="22"/>
                <w:szCs w:val="22"/>
              </w:rPr>
            </w:pPr>
            <w:r w:rsidRPr="006172EB">
              <w:rPr>
                <w:b/>
                <w:bCs/>
                <w:sz w:val="22"/>
                <w:szCs w:val="22"/>
              </w:rPr>
              <w:t>Cost savings</w:t>
            </w:r>
          </w:p>
        </w:tc>
      </w:tr>
      <w:tr w:rsidR="00B17E5F" w:rsidRPr="006172EB" w14:paraId="3650102B" w14:textId="77777777" w:rsidTr="00744EBA">
        <w:trPr>
          <w:trHeight w:val="353"/>
        </w:trPr>
        <w:tc>
          <w:tcPr>
            <w:tcW w:w="885" w:type="dxa"/>
          </w:tcPr>
          <w:sdt>
            <w:sdtPr>
              <w:rPr>
                <w:color w:val="000000"/>
                <w:sz w:val="22"/>
                <w:szCs w:val="22"/>
              </w:rPr>
              <w:tag w:val="MENDELEY_CITATION_v3_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"/>
              <w:id w:val="499237816"/>
              <w:placeholder>
                <w:docPart w:val="3F8D2D2710354B7FAE8D12E9E0C32B75"/>
              </w:placeholder>
            </w:sdtPr>
            <w:sdtContent>
              <w:p w14:paraId="4AAF95E8" w14:textId="0799EF1D" w:rsidR="00B17E5F" w:rsidRPr="006172EB" w:rsidRDefault="001E7ECF" w:rsidP="006172EB">
                <w:pPr>
                  <w:pStyle w:val="NoSpacing"/>
                  <w:rPr>
                    <w:bCs/>
                    <w:sz w:val="22"/>
                    <w:szCs w:val="22"/>
                  </w:rPr>
                </w:pPr>
                <w:r w:rsidRPr="001E7ECF">
                  <w:rPr>
                    <w:color w:val="000000"/>
                    <w:sz w:val="22"/>
                    <w:szCs w:val="22"/>
                  </w:rPr>
                  <w:t>[126]</w:t>
                </w:r>
              </w:p>
            </w:sdtContent>
          </w:sdt>
        </w:tc>
        <w:tc>
          <w:tcPr>
            <w:tcW w:w="1241" w:type="dxa"/>
          </w:tcPr>
          <w:p w14:paraId="4D16B8FA" w14:textId="77777777" w:rsidR="00B17E5F" w:rsidRPr="006172EB" w:rsidRDefault="00B17E5F" w:rsidP="00744EBA">
            <w:pPr>
              <w:pStyle w:val="NoSpacing"/>
              <w:jc w:val="left"/>
              <w:rPr>
                <w:bCs/>
                <w:sz w:val="22"/>
                <w:szCs w:val="22"/>
              </w:rPr>
            </w:pPr>
            <w:r w:rsidRPr="006172EB">
              <w:rPr>
                <w:sz w:val="22"/>
                <w:szCs w:val="22"/>
              </w:rPr>
              <w:t>Paraffin (28°C)</w:t>
            </w:r>
          </w:p>
        </w:tc>
        <w:tc>
          <w:tcPr>
            <w:tcW w:w="984" w:type="dxa"/>
          </w:tcPr>
          <w:p w14:paraId="7BC32489" w14:textId="77777777" w:rsidR="00B17E5F" w:rsidRPr="006172EB" w:rsidRDefault="00B17E5F" w:rsidP="00744EBA">
            <w:pPr>
              <w:pStyle w:val="NoSpacing"/>
              <w:jc w:val="left"/>
              <w:rPr>
                <w:bCs/>
                <w:sz w:val="22"/>
                <w:szCs w:val="22"/>
              </w:rPr>
            </w:pPr>
            <w:r w:rsidRPr="006172EB">
              <w:rPr>
                <w:sz w:val="22"/>
                <w:szCs w:val="22"/>
              </w:rPr>
              <w:t>In wallboard with underfloor heating</w:t>
            </w:r>
          </w:p>
        </w:tc>
        <w:tc>
          <w:tcPr>
            <w:tcW w:w="1066" w:type="dxa"/>
          </w:tcPr>
          <w:p w14:paraId="085D942F" w14:textId="77777777" w:rsidR="00B17E5F" w:rsidRPr="006172EB" w:rsidRDefault="00B17E5F" w:rsidP="00744EBA">
            <w:pPr>
              <w:pStyle w:val="NoSpacing"/>
              <w:jc w:val="left"/>
              <w:rPr>
                <w:bCs/>
                <w:sz w:val="22"/>
                <w:szCs w:val="22"/>
              </w:rPr>
            </w:pPr>
            <w:r w:rsidRPr="006172EB">
              <w:rPr>
                <w:sz w:val="22"/>
                <w:szCs w:val="22"/>
              </w:rPr>
              <w:t>Experiment, Auckland, New Zealand</w:t>
            </w:r>
          </w:p>
        </w:tc>
        <w:tc>
          <w:tcPr>
            <w:tcW w:w="823" w:type="dxa"/>
          </w:tcPr>
          <w:p w14:paraId="090A7EA8" w14:textId="77777777" w:rsidR="00B17E5F" w:rsidRPr="006172EB" w:rsidRDefault="00B17E5F" w:rsidP="00744EBA">
            <w:pPr>
              <w:pStyle w:val="NoSpacing"/>
              <w:jc w:val="left"/>
              <w:rPr>
                <w:bCs/>
                <w:sz w:val="22"/>
                <w:szCs w:val="22"/>
              </w:rPr>
            </w:pPr>
            <w:r w:rsidRPr="006172EB">
              <w:rPr>
                <w:sz w:val="22"/>
                <w:szCs w:val="22"/>
              </w:rPr>
              <w:t>Price-based control</w:t>
            </w:r>
          </w:p>
        </w:tc>
        <w:tc>
          <w:tcPr>
            <w:tcW w:w="985" w:type="dxa"/>
          </w:tcPr>
          <w:p w14:paraId="72A9B39E" w14:textId="77777777" w:rsidR="00B17E5F" w:rsidRPr="006172EB" w:rsidRDefault="00B17E5F" w:rsidP="00744EBA">
            <w:pPr>
              <w:pStyle w:val="NoSpacing"/>
              <w:jc w:val="left"/>
              <w:rPr>
                <w:bCs/>
                <w:sz w:val="22"/>
                <w:szCs w:val="22"/>
              </w:rPr>
            </w:pPr>
            <w:r w:rsidRPr="006172EB">
              <w:rPr>
                <w:sz w:val="22"/>
                <w:szCs w:val="22"/>
              </w:rPr>
              <w:t>PCM charged during the night using underfloor heating and an A/C unit</w:t>
            </w:r>
          </w:p>
        </w:tc>
        <w:tc>
          <w:tcPr>
            <w:tcW w:w="905" w:type="dxa"/>
          </w:tcPr>
          <w:p w14:paraId="735CA443" w14:textId="77777777" w:rsidR="00B17E5F" w:rsidRPr="006172EB" w:rsidRDefault="00B17E5F" w:rsidP="00744EBA">
            <w:pPr>
              <w:pStyle w:val="NoSpacing"/>
              <w:jc w:val="left"/>
              <w:rPr>
                <w:bCs/>
                <w:sz w:val="22"/>
                <w:szCs w:val="22"/>
              </w:rPr>
            </w:pPr>
            <w:r w:rsidRPr="006172EB">
              <w:rPr>
                <w:sz w:val="22"/>
                <w:szCs w:val="22"/>
              </w:rPr>
              <w:t>44.4% energy savings per day</w:t>
            </w:r>
          </w:p>
        </w:tc>
        <w:tc>
          <w:tcPr>
            <w:tcW w:w="905" w:type="dxa"/>
          </w:tcPr>
          <w:p w14:paraId="4416A5E3" w14:textId="77777777" w:rsidR="00B17E5F" w:rsidRPr="006172EB" w:rsidRDefault="00B17E5F" w:rsidP="00744EBA">
            <w:pPr>
              <w:pStyle w:val="NoSpacing"/>
              <w:jc w:val="left"/>
              <w:rPr>
                <w:bCs/>
                <w:sz w:val="22"/>
                <w:szCs w:val="22"/>
              </w:rPr>
            </w:pPr>
            <w:r w:rsidRPr="006172EB">
              <w:rPr>
                <w:sz w:val="22"/>
                <w:szCs w:val="22"/>
              </w:rPr>
              <w:t>3–4 h of peak load shifted</w:t>
            </w:r>
          </w:p>
        </w:tc>
        <w:tc>
          <w:tcPr>
            <w:tcW w:w="816" w:type="dxa"/>
          </w:tcPr>
          <w:p w14:paraId="33E6BF92" w14:textId="77777777" w:rsidR="00B17E5F" w:rsidRPr="006172EB" w:rsidRDefault="00B17E5F" w:rsidP="00744EBA">
            <w:pPr>
              <w:pStyle w:val="NoSpacing"/>
              <w:jc w:val="left"/>
              <w:rPr>
                <w:bCs/>
                <w:sz w:val="22"/>
                <w:szCs w:val="22"/>
              </w:rPr>
            </w:pPr>
            <w:r w:rsidRPr="006172EB">
              <w:rPr>
                <w:sz w:val="22"/>
                <w:szCs w:val="22"/>
              </w:rPr>
              <w:t>35% cost savings per day</w:t>
            </w:r>
          </w:p>
        </w:tc>
      </w:tr>
      <w:tr w:rsidR="00B17E5F" w:rsidRPr="006172EB" w14:paraId="39D43F27" w14:textId="77777777" w:rsidTr="00744EBA">
        <w:trPr>
          <w:trHeight w:val="353"/>
        </w:trPr>
        <w:tc>
          <w:tcPr>
            <w:tcW w:w="885" w:type="dxa"/>
          </w:tcPr>
          <w:sdt>
            <w:sdtPr>
              <w:rPr>
                <w:color w:val="000000"/>
                <w:sz w:val="22"/>
                <w:szCs w:val="22"/>
              </w:rPr>
              <w:tag w:val="MENDELEY_CITATION_v3_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"/>
              <w:id w:val="-1149588085"/>
              <w:placeholder>
                <w:docPart w:val="2CB06BADD1FC4CEF878A1CC4F839D864"/>
              </w:placeholder>
            </w:sdtPr>
            <w:sdtContent>
              <w:p w14:paraId="38890A14" w14:textId="0F7A5A7A" w:rsidR="00B17E5F" w:rsidRPr="006172EB" w:rsidRDefault="001E7ECF" w:rsidP="006172EB">
                <w:pPr>
                  <w:pStyle w:val="NoSpacing"/>
                  <w:rPr>
                    <w:color w:val="000000"/>
                    <w:sz w:val="22"/>
                    <w:szCs w:val="22"/>
                  </w:rPr>
                </w:pPr>
                <w:r w:rsidRPr="001E7ECF">
                  <w:rPr>
                    <w:color w:val="000000"/>
                    <w:sz w:val="22"/>
                    <w:szCs w:val="22"/>
                  </w:rPr>
                  <w:t>[127]</w:t>
                </w:r>
              </w:p>
            </w:sdtContent>
          </w:sdt>
        </w:tc>
        <w:tc>
          <w:tcPr>
            <w:tcW w:w="1241" w:type="dxa"/>
          </w:tcPr>
          <w:p w14:paraId="7C546D8A" w14:textId="77777777" w:rsidR="00B17E5F" w:rsidRPr="006172EB" w:rsidRDefault="00B17E5F" w:rsidP="00744EBA">
            <w:pPr>
              <w:pStyle w:val="NoSpacing"/>
              <w:jc w:val="left"/>
              <w:rPr>
                <w:sz w:val="22"/>
                <w:szCs w:val="22"/>
              </w:rPr>
            </w:pPr>
            <w:r w:rsidRPr="006172EB">
              <w:rPr>
                <w:sz w:val="22"/>
                <w:szCs w:val="22"/>
              </w:rPr>
              <w:t>Bio PCM Q29 (29°C)</w:t>
            </w:r>
          </w:p>
        </w:tc>
        <w:tc>
          <w:tcPr>
            <w:tcW w:w="984" w:type="dxa"/>
          </w:tcPr>
          <w:p w14:paraId="4DFB43E3" w14:textId="77777777" w:rsidR="00B17E5F" w:rsidRPr="006172EB" w:rsidRDefault="00B17E5F" w:rsidP="00744EBA">
            <w:pPr>
              <w:pStyle w:val="NoSpacing"/>
              <w:jc w:val="left"/>
              <w:rPr>
                <w:sz w:val="22"/>
                <w:szCs w:val="22"/>
              </w:rPr>
            </w:pPr>
            <w:r w:rsidRPr="006172EB">
              <w:rPr>
                <w:sz w:val="22"/>
                <w:szCs w:val="22"/>
              </w:rPr>
              <w:t>In an underfloor heating system</w:t>
            </w:r>
          </w:p>
        </w:tc>
        <w:tc>
          <w:tcPr>
            <w:tcW w:w="1066" w:type="dxa"/>
          </w:tcPr>
          <w:p w14:paraId="3B6845F0" w14:textId="77777777" w:rsidR="00B17E5F" w:rsidRPr="006172EB" w:rsidRDefault="00B17E5F" w:rsidP="00744EBA">
            <w:pPr>
              <w:pStyle w:val="NoSpacing"/>
              <w:jc w:val="left"/>
              <w:rPr>
                <w:sz w:val="22"/>
                <w:szCs w:val="22"/>
              </w:rPr>
            </w:pPr>
            <w:r w:rsidRPr="006172EB">
              <w:rPr>
                <w:sz w:val="22"/>
                <w:szCs w:val="22"/>
              </w:rPr>
              <w:t>Simulation, Athens, Greece</w:t>
            </w:r>
          </w:p>
        </w:tc>
        <w:tc>
          <w:tcPr>
            <w:tcW w:w="823" w:type="dxa"/>
          </w:tcPr>
          <w:p w14:paraId="2A4FE64D" w14:textId="77777777" w:rsidR="00B17E5F" w:rsidRPr="006172EB" w:rsidRDefault="00B17E5F" w:rsidP="00744EBA">
            <w:pPr>
              <w:pStyle w:val="NoSpacing"/>
              <w:jc w:val="left"/>
              <w:rPr>
                <w:sz w:val="22"/>
                <w:szCs w:val="22"/>
              </w:rPr>
            </w:pPr>
            <w:r w:rsidRPr="006172EB">
              <w:rPr>
                <w:sz w:val="22"/>
                <w:szCs w:val="22"/>
              </w:rPr>
              <w:t>Hybrid system</w:t>
            </w:r>
          </w:p>
        </w:tc>
        <w:tc>
          <w:tcPr>
            <w:tcW w:w="985" w:type="dxa"/>
          </w:tcPr>
          <w:p w14:paraId="5642D0D8" w14:textId="77777777" w:rsidR="00B17E5F" w:rsidRPr="006172EB" w:rsidRDefault="00B17E5F" w:rsidP="00744EBA">
            <w:pPr>
              <w:pStyle w:val="NoSpacing"/>
              <w:jc w:val="left"/>
              <w:rPr>
                <w:sz w:val="22"/>
                <w:szCs w:val="22"/>
              </w:rPr>
            </w:pPr>
            <w:r w:rsidRPr="006172EB">
              <w:rPr>
                <w:sz w:val="22"/>
                <w:szCs w:val="22"/>
              </w:rPr>
              <w:t>Solar-assisted HP and underfloor system used for charging</w:t>
            </w:r>
          </w:p>
        </w:tc>
        <w:tc>
          <w:tcPr>
            <w:tcW w:w="905" w:type="dxa"/>
          </w:tcPr>
          <w:p w14:paraId="5C52C323" w14:textId="77777777" w:rsidR="00B17E5F" w:rsidRPr="006172EB" w:rsidRDefault="00B17E5F" w:rsidP="00744EBA">
            <w:pPr>
              <w:pStyle w:val="NoSpacing"/>
              <w:jc w:val="left"/>
              <w:rPr>
                <w:sz w:val="22"/>
                <w:szCs w:val="22"/>
              </w:rPr>
            </w:pPr>
            <w:r w:rsidRPr="006172EB">
              <w:rPr>
                <w:sz w:val="22"/>
                <w:szCs w:val="22"/>
              </w:rPr>
              <w:t>42%–67% electricity savings (winter)</w:t>
            </w:r>
          </w:p>
        </w:tc>
        <w:tc>
          <w:tcPr>
            <w:tcW w:w="905" w:type="dxa"/>
          </w:tcPr>
          <w:p w14:paraId="6E14F94B" w14:textId="77777777" w:rsidR="00B17E5F" w:rsidRPr="006172EB" w:rsidRDefault="00B17E5F" w:rsidP="00744EBA">
            <w:pPr>
              <w:pStyle w:val="NoSpacing"/>
              <w:jc w:val="left"/>
              <w:rPr>
                <w:sz w:val="22"/>
                <w:szCs w:val="22"/>
              </w:rPr>
            </w:pPr>
            <w:r w:rsidRPr="006172EB">
              <w:rPr>
                <w:sz w:val="22"/>
                <w:szCs w:val="22"/>
              </w:rPr>
              <w:t>Heating demand reduced by 40%</w:t>
            </w:r>
          </w:p>
        </w:tc>
        <w:tc>
          <w:tcPr>
            <w:tcW w:w="816" w:type="dxa"/>
          </w:tcPr>
          <w:p w14:paraId="35AC9B72" w14:textId="77777777" w:rsidR="00B17E5F" w:rsidRPr="006172EB" w:rsidRDefault="00B17E5F" w:rsidP="00744EBA">
            <w:pPr>
              <w:pStyle w:val="NoSpacing"/>
              <w:jc w:val="left"/>
              <w:rPr>
                <w:sz w:val="22"/>
                <w:szCs w:val="22"/>
              </w:rPr>
            </w:pPr>
            <w:r w:rsidRPr="006172EB">
              <w:rPr>
                <w:sz w:val="22"/>
                <w:szCs w:val="22"/>
              </w:rPr>
              <w:t>9.61–22.06 year payback</w:t>
            </w:r>
          </w:p>
        </w:tc>
      </w:tr>
      <w:tr w:rsidR="00B17E5F" w:rsidRPr="006172EB" w14:paraId="531502C6" w14:textId="77777777" w:rsidTr="00744EBA">
        <w:trPr>
          <w:trHeight w:val="353"/>
        </w:trPr>
        <w:tc>
          <w:tcPr>
            <w:tcW w:w="885" w:type="dxa"/>
          </w:tcPr>
          <w:sdt>
            <w:sdtPr>
              <w:rPr>
                <w:color w:val="000000"/>
                <w:sz w:val="22"/>
                <w:szCs w:val="22"/>
              </w:rPr>
              <w:tag w:val="MENDELEY_CITATION_v3_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"/>
              <w:id w:val="-2033948359"/>
              <w:placeholder>
                <w:docPart w:val="090A10A4C1434D01B2BEC4CD44FBF6C3"/>
              </w:placeholder>
            </w:sdtPr>
            <w:sdtContent>
              <w:p w14:paraId="1E8793BC" w14:textId="12635FC2" w:rsidR="00B17E5F" w:rsidRPr="006172EB" w:rsidRDefault="001E7ECF" w:rsidP="006172EB">
                <w:pPr>
                  <w:pStyle w:val="NoSpacing"/>
                  <w:rPr>
                    <w:sz w:val="22"/>
                    <w:szCs w:val="22"/>
                  </w:rPr>
                </w:pPr>
                <w:r w:rsidRPr="001E7ECF">
                  <w:rPr>
                    <w:color w:val="000000"/>
                    <w:sz w:val="22"/>
                    <w:szCs w:val="22"/>
                  </w:rPr>
                  <w:t>[130]</w:t>
                </w:r>
              </w:p>
            </w:sdtContent>
          </w:sdt>
        </w:tc>
        <w:tc>
          <w:tcPr>
            <w:tcW w:w="1241" w:type="dxa"/>
          </w:tcPr>
          <w:p w14:paraId="523B6199" w14:textId="77777777" w:rsidR="00B17E5F" w:rsidRPr="006172EB" w:rsidRDefault="00B17E5F" w:rsidP="00744EBA">
            <w:pPr>
              <w:pStyle w:val="NoSpacing"/>
              <w:jc w:val="left"/>
              <w:rPr>
                <w:sz w:val="22"/>
                <w:szCs w:val="22"/>
              </w:rPr>
            </w:pPr>
            <w:r w:rsidRPr="006172EB">
              <w:rPr>
                <w:sz w:val="22"/>
                <w:szCs w:val="22"/>
              </w:rPr>
              <w:t>Fatty acids (21°C–22°C)</w:t>
            </w:r>
          </w:p>
        </w:tc>
        <w:tc>
          <w:tcPr>
            <w:tcW w:w="984" w:type="dxa"/>
          </w:tcPr>
          <w:p w14:paraId="4B1BFD4D" w14:textId="77777777" w:rsidR="00B17E5F" w:rsidRPr="006172EB" w:rsidRDefault="00B17E5F" w:rsidP="00744EBA">
            <w:pPr>
              <w:pStyle w:val="NoSpacing"/>
              <w:jc w:val="left"/>
              <w:rPr>
                <w:sz w:val="22"/>
                <w:szCs w:val="22"/>
              </w:rPr>
            </w:pPr>
            <w:r w:rsidRPr="006172EB">
              <w:rPr>
                <w:sz w:val="22"/>
                <w:szCs w:val="22"/>
              </w:rPr>
              <w:t>In wall (direct solar gain)</w:t>
            </w:r>
          </w:p>
        </w:tc>
        <w:tc>
          <w:tcPr>
            <w:tcW w:w="1066" w:type="dxa"/>
          </w:tcPr>
          <w:p w14:paraId="0BD16132" w14:textId="77777777" w:rsidR="00B17E5F" w:rsidRPr="006172EB" w:rsidRDefault="00B17E5F" w:rsidP="00744EBA">
            <w:pPr>
              <w:pStyle w:val="NoSpacing"/>
              <w:jc w:val="left"/>
              <w:rPr>
                <w:sz w:val="22"/>
                <w:szCs w:val="22"/>
              </w:rPr>
            </w:pPr>
            <w:r w:rsidRPr="006172EB">
              <w:rPr>
                <w:sz w:val="22"/>
                <w:szCs w:val="22"/>
              </w:rPr>
              <w:t>Experiment, Helsinki, Finland, and Madison, Wisconsin, United States</w:t>
            </w:r>
          </w:p>
        </w:tc>
        <w:tc>
          <w:tcPr>
            <w:tcW w:w="823" w:type="dxa"/>
          </w:tcPr>
          <w:p w14:paraId="7A8A760E" w14:textId="77777777" w:rsidR="00B17E5F" w:rsidRPr="006172EB" w:rsidRDefault="00B17E5F" w:rsidP="00744EBA">
            <w:pPr>
              <w:pStyle w:val="NoSpacing"/>
              <w:jc w:val="left"/>
              <w:rPr>
                <w:sz w:val="22"/>
                <w:szCs w:val="22"/>
              </w:rPr>
            </w:pPr>
            <w:r w:rsidRPr="006172EB">
              <w:rPr>
                <w:sz w:val="22"/>
                <w:szCs w:val="22"/>
              </w:rPr>
              <w:t>Diurnal load shifting</w:t>
            </w:r>
          </w:p>
        </w:tc>
        <w:tc>
          <w:tcPr>
            <w:tcW w:w="985" w:type="dxa"/>
          </w:tcPr>
          <w:p w14:paraId="2CDFEE73" w14:textId="77777777" w:rsidR="00B17E5F" w:rsidRPr="006172EB" w:rsidDel="008823DE" w:rsidRDefault="00B17E5F" w:rsidP="00744EBA">
            <w:pPr>
              <w:pStyle w:val="NoSpacing"/>
              <w:jc w:val="left"/>
              <w:rPr>
                <w:sz w:val="22"/>
                <w:szCs w:val="22"/>
              </w:rPr>
            </w:pPr>
            <w:r w:rsidRPr="006172EB">
              <w:rPr>
                <w:sz w:val="22"/>
                <w:szCs w:val="22"/>
              </w:rPr>
              <w:t>Passive solar gain</w:t>
            </w:r>
          </w:p>
        </w:tc>
        <w:tc>
          <w:tcPr>
            <w:tcW w:w="905" w:type="dxa"/>
          </w:tcPr>
          <w:p w14:paraId="25CB72E4" w14:textId="77777777" w:rsidR="00B17E5F" w:rsidRPr="006172EB" w:rsidRDefault="00B17E5F" w:rsidP="00744EBA">
            <w:pPr>
              <w:pStyle w:val="NoSpacing"/>
              <w:jc w:val="left"/>
              <w:rPr>
                <w:sz w:val="22"/>
                <w:szCs w:val="22"/>
              </w:rPr>
            </w:pPr>
            <w:r w:rsidRPr="006172EB">
              <w:rPr>
                <w:sz w:val="22"/>
                <w:szCs w:val="22"/>
              </w:rPr>
              <w:t>5%–20% energy savings</w:t>
            </w:r>
          </w:p>
        </w:tc>
        <w:tc>
          <w:tcPr>
            <w:tcW w:w="905" w:type="dxa"/>
          </w:tcPr>
          <w:p w14:paraId="090368C0" w14:textId="77777777" w:rsidR="00B17E5F" w:rsidRPr="006172EB" w:rsidRDefault="00B17E5F" w:rsidP="00744EBA">
            <w:pPr>
              <w:pStyle w:val="NoSpacing"/>
              <w:jc w:val="left"/>
              <w:rPr>
                <w:sz w:val="22"/>
                <w:szCs w:val="22"/>
              </w:rPr>
            </w:pPr>
            <w:r w:rsidRPr="006172EB">
              <w:rPr>
                <w:sz w:val="22"/>
                <w:szCs w:val="22"/>
              </w:rPr>
              <w:t>Not reported</w:t>
            </w:r>
          </w:p>
        </w:tc>
        <w:tc>
          <w:tcPr>
            <w:tcW w:w="816" w:type="dxa"/>
          </w:tcPr>
          <w:p w14:paraId="62D65202" w14:textId="77777777" w:rsidR="00B17E5F" w:rsidRPr="006172EB" w:rsidRDefault="00B17E5F" w:rsidP="00744EBA">
            <w:pPr>
              <w:pStyle w:val="NoSpacing"/>
              <w:jc w:val="left"/>
              <w:rPr>
                <w:sz w:val="22"/>
                <w:szCs w:val="22"/>
              </w:rPr>
            </w:pPr>
            <w:r w:rsidRPr="006172EB">
              <w:rPr>
                <w:sz w:val="22"/>
                <w:szCs w:val="22"/>
              </w:rPr>
              <w:t>Not reported</w:t>
            </w:r>
          </w:p>
        </w:tc>
      </w:tr>
      <w:tr w:rsidR="00B17E5F" w:rsidRPr="006172EB" w14:paraId="036915CE" w14:textId="77777777" w:rsidTr="00744EBA">
        <w:trPr>
          <w:trHeight w:val="353"/>
        </w:trPr>
        <w:tc>
          <w:tcPr>
            <w:tcW w:w="885" w:type="dxa"/>
            <w:tcBorders>
              <w:bottom w:val="single" w:sz="4" w:space="0" w:color="auto"/>
            </w:tcBorders>
          </w:tcPr>
          <w:bookmarkStart w:id="55" w:name="_Hlk129893235" w:displacedByCustomXml="next"/>
          <w:sdt>
            <w:sdtPr>
              <w:rPr>
                <w:color w:val="000000"/>
                <w:sz w:val="22"/>
                <w:szCs w:val="22"/>
              </w:rPr>
              <w:tag w:val="MENDELEY_CITATION_v3_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"/>
              <w:id w:val="1489983101"/>
              <w:placeholder>
                <w:docPart w:val="090A10A4C1434D01B2BEC4CD44FBF6C3"/>
              </w:placeholder>
            </w:sdtPr>
            <w:sdtContent>
              <w:p w14:paraId="68183CEB" w14:textId="55AA850A" w:rsidR="00B17E5F" w:rsidRPr="006172EB" w:rsidRDefault="001E7ECF" w:rsidP="006172EB">
                <w:pPr>
                  <w:pStyle w:val="NoSpacing"/>
                  <w:rPr>
                    <w:sz w:val="22"/>
                    <w:szCs w:val="22"/>
                  </w:rPr>
                </w:pPr>
                <w:r w:rsidRPr="001E7ECF">
                  <w:rPr>
                    <w:color w:val="000000"/>
                    <w:sz w:val="22"/>
                    <w:szCs w:val="22"/>
                  </w:rPr>
                  <w:t>[131]</w:t>
                </w:r>
              </w:p>
            </w:sdtContent>
          </w:sdt>
          <w:bookmarkEnd w:id="55" w:displacedByCustomXml="prev"/>
        </w:tc>
        <w:tc>
          <w:tcPr>
            <w:tcW w:w="1241" w:type="dxa"/>
            <w:tcBorders>
              <w:bottom w:val="single" w:sz="4" w:space="0" w:color="auto"/>
            </w:tcBorders>
          </w:tcPr>
          <w:p w14:paraId="04E5FF28" w14:textId="77777777" w:rsidR="00B17E5F" w:rsidRPr="006172EB" w:rsidRDefault="00B17E5F" w:rsidP="00744EBA">
            <w:pPr>
              <w:pStyle w:val="NoSpacing"/>
              <w:jc w:val="left"/>
              <w:rPr>
                <w:sz w:val="22"/>
                <w:szCs w:val="22"/>
              </w:rPr>
            </w:pPr>
            <w:r w:rsidRPr="006172EB">
              <w:rPr>
                <w:sz w:val="22"/>
                <w:szCs w:val="22"/>
              </w:rPr>
              <w:t>Ammonium chloride (21.7°C)</w:t>
            </w:r>
          </w:p>
        </w:tc>
        <w:tc>
          <w:tcPr>
            <w:tcW w:w="984" w:type="dxa"/>
            <w:tcBorders>
              <w:bottom w:val="single" w:sz="4" w:space="0" w:color="auto"/>
            </w:tcBorders>
          </w:tcPr>
          <w:p w14:paraId="067A57B5" w14:textId="77777777" w:rsidR="00B17E5F" w:rsidRPr="006172EB" w:rsidRDefault="00B17E5F" w:rsidP="00744EBA">
            <w:pPr>
              <w:pStyle w:val="NoSpacing"/>
              <w:jc w:val="left"/>
              <w:rPr>
                <w:sz w:val="22"/>
                <w:szCs w:val="22"/>
              </w:rPr>
            </w:pPr>
            <w:r w:rsidRPr="006172EB">
              <w:rPr>
                <w:sz w:val="22"/>
                <w:szCs w:val="22"/>
              </w:rPr>
              <w:t>In DuPont wallboard</w:t>
            </w:r>
          </w:p>
        </w:tc>
        <w:tc>
          <w:tcPr>
            <w:tcW w:w="1066" w:type="dxa"/>
            <w:tcBorders>
              <w:bottom w:val="single" w:sz="4" w:space="0" w:color="auto"/>
            </w:tcBorders>
          </w:tcPr>
          <w:p w14:paraId="1E837ABF" w14:textId="77777777" w:rsidR="00B17E5F" w:rsidRPr="006172EB" w:rsidRDefault="00B17E5F" w:rsidP="00744EBA">
            <w:pPr>
              <w:pStyle w:val="NoSpacing"/>
              <w:jc w:val="left"/>
              <w:rPr>
                <w:sz w:val="22"/>
                <w:szCs w:val="22"/>
              </w:rPr>
            </w:pPr>
            <w:r w:rsidRPr="006172EB">
              <w:rPr>
                <w:sz w:val="22"/>
                <w:szCs w:val="22"/>
              </w:rPr>
              <w:t>Experiment Auckland, New Zealand</w:t>
            </w:r>
          </w:p>
        </w:tc>
        <w:tc>
          <w:tcPr>
            <w:tcW w:w="823" w:type="dxa"/>
            <w:tcBorders>
              <w:bottom w:val="single" w:sz="4" w:space="0" w:color="auto"/>
            </w:tcBorders>
          </w:tcPr>
          <w:p w14:paraId="3508A982" w14:textId="77777777" w:rsidR="00B17E5F" w:rsidRPr="006172EB" w:rsidRDefault="00B17E5F" w:rsidP="00744EBA">
            <w:pPr>
              <w:pStyle w:val="NoSpacing"/>
              <w:jc w:val="left"/>
              <w:rPr>
                <w:sz w:val="22"/>
                <w:szCs w:val="22"/>
              </w:rPr>
            </w:pPr>
            <w:r w:rsidRPr="006172EB">
              <w:rPr>
                <w:sz w:val="22"/>
                <w:szCs w:val="22"/>
              </w:rPr>
              <w:t>Price-based control</w:t>
            </w:r>
          </w:p>
        </w:tc>
        <w:tc>
          <w:tcPr>
            <w:tcW w:w="985" w:type="dxa"/>
            <w:tcBorders>
              <w:bottom w:val="single" w:sz="4" w:space="0" w:color="auto"/>
            </w:tcBorders>
          </w:tcPr>
          <w:p w14:paraId="285BBBF1" w14:textId="77777777" w:rsidR="00B17E5F" w:rsidRPr="006172EB" w:rsidRDefault="00B17E5F" w:rsidP="00744EBA">
            <w:pPr>
              <w:pStyle w:val="NoSpacing"/>
              <w:jc w:val="left"/>
              <w:rPr>
                <w:sz w:val="22"/>
                <w:szCs w:val="22"/>
              </w:rPr>
            </w:pPr>
            <w:bookmarkStart w:id="56" w:name="_Hlk129862231"/>
            <w:r w:rsidRPr="006172EB">
              <w:rPr>
                <w:sz w:val="22"/>
                <w:szCs w:val="22"/>
              </w:rPr>
              <w:t>PCM charged using solar heat gains</w:t>
            </w:r>
            <w:bookmarkEnd w:id="56"/>
          </w:p>
        </w:tc>
        <w:tc>
          <w:tcPr>
            <w:tcW w:w="905" w:type="dxa"/>
            <w:tcBorders>
              <w:bottom w:val="single" w:sz="4" w:space="0" w:color="auto"/>
            </w:tcBorders>
          </w:tcPr>
          <w:p w14:paraId="6245CC9D" w14:textId="77777777" w:rsidR="00B17E5F" w:rsidRPr="006172EB" w:rsidRDefault="00B17E5F" w:rsidP="00744EBA">
            <w:pPr>
              <w:pStyle w:val="NoSpacing"/>
              <w:jc w:val="left"/>
              <w:rPr>
                <w:sz w:val="22"/>
                <w:szCs w:val="22"/>
              </w:rPr>
            </w:pPr>
            <w:r w:rsidRPr="006172EB">
              <w:rPr>
                <w:sz w:val="22"/>
                <w:szCs w:val="22"/>
              </w:rPr>
              <w:t>60% energy savings per day</w:t>
            </w:r>
          </w:p>
        </w:tc>
        <w:tc>
          <w:tcPr>
            <w:tcW w:w="905" w:type="dxa"/>
            <w:tcBorders>
              <w:bottom w:val="single" w:sz="4" w:space="0" w:color="auto"/>
            </w:tcBorders>
          </w:tcPr>
          <w:p w14:paraId="2AC7887D" w14:textId="77777777" w:rsidR="00B17E5F" w:rsidRPr="006172EB" w:rsidRDefault="00B17E5F" w:rsidP="00744EBA">
            <w:pPr>
              <w:pStyle w:val="NoSpacing"/>
              <w:jc w:val="left"/>
              <w:rPr>
                <w:sz w:val="22"/>
                <w:szCs w:val="22"/>
              </w:rPr>
            </w:pPr>
            <w:r w:rsidRPr="006172EB">
              <w:rPr>
                <w:sz w:val="22"/>
                <w:szCs w:val="22"/>
              </w:rPr>
              <w:t>5 h of peak load shifted</w:t>
            </w:r>
          </w:p>
        </w:tc>
        <w:tc>
          <w:tcPr>
            <w:tcW w:w="816" w:type="dxa"/>
            <w:tcBorders>
              <w:bottom w:val="single" w:sz="4" w:space="0" w:color="auto"/>
            </w:tcBorders>
          </w:tcPr>
          <w:p w14:paraId="43CBFB00" w14:textId="77777777" w:rsidR="00B17E5F" w:rsidRPr="006172EB" w:rsidRDefault="00B17E5F" w:rsidP="00744EBA">
            <w:pPr>
              <w:pStyle w:val="NoSpacing"/>
              <w:jc w:val="left"/>
              <w:rPr>
                <w:sz w:val="22"/>
                <w:szCs w:val="22"/>
              </w:rPr>
            </w:pPr>
            <w:r w:rsidRPr="006172EB">
              <w:rPr>
                <w:sz w:val="22"/>
                <w:szCs w:val="22"/>
              </w:rPr>
              <w:t xml:space="preserve">62.64% cost savings per day </w:t>
            </w:r>
          </w:p>
        </w:tc>
      </w:tr>
    </w:tbl>
    <w:p w14:paraId="41A38CB7" w14:textId="5E19357B" w:rsidR="00270231" w:rsidRPr="00744EBA" w:rsidRDefault="00B17E5F" w:rsidP="00744EBA">
      <w:pPr>
        <w:spacing w:line="240" w:lineRule="auto"/>
        <w:ind w:firstLine="0"/>
        <w:jc w:val="center"/>
        <w:rPr>
          <w:rFonts w:cs="Times New Roman"/>
          <w:b/>
          <w:bCs/>
        </w:rPr>
      </w:pPr>
      <w:r w:rsidRPr="00322E56">
        <w:rPr>
          <w:rFonts w:cs="Times New Roman"/>
        </w:rPr>
        <w:br w:type="page"/>
      </w:r>
      <w:r w:rsidR="00270231" w:rsidRPr="00744EBA">
        <w:rPr>
          <w:rFonts w:cs="Times New Roman"/>
          <w:b/>
          <w:bCs/>
        </w:rPr>
        <w:lastRenderedPageBreak/>
        <w:t>Table 5 Continued</w:t>
      </w:r>
    </w:p>
    <w:p w14:paraId="5188B962" w14:textId="77777777" w:rsidR="00744EBA" w:rsidRPr="00322E56" w:rsidRDefault="00744EBA" w:rsidP="00744EBA">
      <w:pPr>
        <w:spacing w:line="240" w:lineRule="auto"/>
        <w:ind w:firstLine="0"/>
        <w:jc w:val="center"/>
        <w:rPr>
          <w:rFonts w:cs="Times New Roman"/>
          <w:b/>
          <w:bCs/>
        </w:rPr>
      </w:pPr>
    </w:p>
    <w:tbl>
      <w:tblPr>
        <w:tblStyle w:val="TableGrid"/>
        <w:tblW w:w="8630" w:type="dxa"/>
        <w:tblLayout w:type="fixed"/>
        <w:tblLook w:val="04A0" w:firstRow="1" w:lastRow="0" w:firstColumn="1" w:lastColumn="0" w:noHBand="0" w:noVBand="1"/>
      </w:tblPr>
      <w:tblGrid>
        <w:gridCol w:w="805"/>
        <w:gridCol w:w="1170"/>
        <w:gridCol w:w="1080"/>
        <w:gridCol w:w="1080"/>
        <w:gridCol w:w="900"/>
        <w:gridCol w:w="990"/>
        <w:gridCol w:w="900"/>
        <w:gridCol w:w="900"/>
        <w:gridCol w:w="805"/>
      </w:tblGrid>
      <w:tr w:rsidR="00744EBA" w14:paraId="05EC55D2" w14:textId="77777777" w:rsidTr="00744EBA">
        <w:trPr>
          <w:trHeight w:val="1634"/>
        </w:trPr>
        <w:tc>
          <w:tcPr>
            <w:tcW w:w="805" w:type="dxa"/>
          </w:tcPr>
          <w:bookmarkStart w:id="57" w:name="_Hlk129858426" w:displacedByCustomXml="next"/>
          <w:sdt>
            <w:sdtPr>
              <w:rPr>
                <w:color w:val="000000"/>
                <w:sz w:val="22"/>
                <w:szCs w:val="22"/>
              </w:rPr>
              <w:tag w:val="MENDELEY_CITATION_v3_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"/>
              <w:id w:val="616574743"/>
              <w:placeholder>
                <w:docPart w:val="F1A174669AD8334ABBC822AABA5447B8"/>
              </w:placeholder>
            </w:sdtPr>
            <w:sdtContent>
              <w:p w14:paraId="6AAA6270" w14:textId="5AE96671" w:rsidR="00744EBA" w:rsidRDefault="00744EBA" w:rsidP="00744EBA">
                <w:pPr>
                  <w:spacing w:line="240" w:lineRule="auto"/>
                  <w:ind w:firstLine="0"/>
                  <w:jc w:val="left"/>
                  <w:rPr>
                    <w:color w:val="000000"/>
                    <w:sz w:val="22"/>
                    <w:szCs w:val="22"/>
                  </w:rPr>
                </w:pPr>
                <w:r w:rsidRPr="001E7ECF">
                  <w:rPr>
                    <w:color w:val="000000"/>
                    <w:sz w:val="22"/>
                    <w:szCs w:val="22"/>
                  </w:rPr>
                  <w:t>[132]</w:t>
                </w:r>
              </w:p>
            </w:sdtContent>
          </w:sdt>
          <w:bookmarkEnd w:id="57" w:displacedByCustomXml="prev"/>
        </w:tc>
        <w:tc>
          <w:tcPr>
            <w:tcW w:w="1170" w:type="dxa"/>
          </w:tcPr>
          <w:p w14:paraId="258F62E4" w14:textId="1BEB9536" w:rsidR="00744EBA" w:rsidRPr="006172EB" w:rsidRDefault="00744EBA" w:rsidP="00744EBA">
            <w:pPr>
              <w:spacing w:line="240" w:lineRule="auto"/>
              <w:ind w:firstLine="0"/>
              <w:jc w:val="left"/>
              <w:rPr>
                <w:sz w:val="22"/>
                <w:szCs w:val="22"/>
              </w:rPr>
            </w:pPr>
            <w:r w:rsidRPr="006172EB">
              <w:rPr>
                <w:sz w:val="22"/>
                <w:szCs w:val="22"/>
              </w:rPr>
              <w:t>7 PCMs (3°C–20°C)</w:t>
            </w:r>
          </w:p>
        </w:tc>
        <w:tc>
          <w:tcPr>
            <w:tcW w:w="1080" w:type="dxa"/>
          </w:tcPr>
          <w:p w14:paraId="08D19681" w14:textId="37C7F77C" w:rsidR="00744EBA" w:rsidRPr="006172EB" w:rsidRDefault="00744EBA" w:rsidP="00744EBA">
            <w:pPr>
              <w:spacing w:line="240" w:lineRule="auto"/>
              <w:ind w:firstLine="0"/>
              <w:jc w:val="left"/>
              <w:rPr>
                <w:sz w:val="22"/>
                <w:szCs w:val="22"/>
              </w:rPr>
            </w:pPr>
            <w:r w:rsidRPr="006172EB">
              <w:rPr>
                <w:sz w:val="22"/>
                <w:szCs w:val="22"/>
              </w:rPr>
              <w:t>In frame wall of an air-conditioned building</w:t>
            </w:r>
          </w:p>
        </w:tc>
        <w:tc>
          <w:tcPr>
            <w:tcW w:w="1080" w:type="dxa"/>
          </w:tcPr>
          <w:p w14:paraId="6B8785E3" w14:textId="0D6E12BD" w:rsidR="00744EBA" w:rsidRPr="006172EB" w:rsidRDefault="00744EBA" w:rsidP="00744EBA">
            <w:pPr>
              <w:spacing w:line="240" w:lineRule="auto"/>
              <w:ind w:firstLine="0"/>
              <w:jc w:val="left"/>
              <w:rPr>
                <w:sz w:val="22"/>
                <w:szCs w:val="22"/>
              </w:rPr>
            </w:pPr>
            <w:r w:rsidRPr="006172EB">
              <w:rPr>
                <w:sz w:val="22"/>
                <w:szCs w:val="22"/>
              </w:rPr>
              <w:t>Simulation, Jeddah, Saudi Arabia</w:t>
            </w:r>
          </w:p>
        </w:tc>
        <w:tc>
          <w:tcPr>
            <w:tcW w:w="900" w:type="dxa"/>
          </w:tcPr>
          <w:p w14:paraId="49284A0E" w14:textId="52D18319" w:rsidR="00744EBA" w:rsidRPr="006172EB" w:rsidRDefault="00744EBA" w:rsidP="00744EBA">
            <w:pPr>
              <w:spacing w:line="240" w:lineRule="auto"/>
              <w:ind w:firstLine="0"/>
              <w:jc w:val="left"/>
              <w:rPr>
                <w:sz w:val="22"/>
                <w:szCs w:val="22"/>
              </w:rPr>
            </w:pPr>
            <w:r w:rsidRPr="006172EB">
              <w:rPr>
                <w:sz w:val="22"/>
                <w:szCs w:val="22"/>
              </w:rPr>
              <w:t>Effect on air handling unit energy usage</w:t>
            </w:r>
          </w:p>
        </w:tc>
        <w:tc>
          <w:tcPr>
            <w:tcW w:w="990" w:type="dxa"/>
          </w:tcPr>
          <w:p w14:paraId="29ADC6D7" w14:textId="4A9F36E4" w:rsidR="00744EBA" w:rsidRPr="006172EB" w:rsidRDefault="00744EBA" w:rsidP="00744EBA">
            <w:pPr>
              <w:spacing w:line="240" w:lineRule="auto"/>
              <w:ind w:firstLine="0"/>
              <w:jc w:val="left"/>
              <w:rPr>
                <w:sz w:val="22"/>
                <w:szCs w:val="22"/>
              </w:rPr>
            </w:pPr>
            <w:r w:rsidRPr="006172EB">
              <w:rPr>
                <w:sz w:val="22"/>
                <w:szCs w:val="22"/>
              </w:rPr>
              <w:t>PCM wall stores heat from solar radiations, energy losses minimized</w:t>
            </w:r>
          </w:p>
        </w:tc>
        <w:tc>
          <w:tcPr>
            <w:tcW w:w="900" w:type="dxa"/>
          </w:tcPr>
          <w:p w14:paraId="0AB1F216" w14:textId="59099661" w:rsidR="00744EBA" w:rsidRPr="006172EB" w:rsidRDefault="00744EBA" w:rsidP="00744EBA">
            <w:pPr>
              <w:spacing w:line="240" w:lineRule="auto"/>
              <w:ind w:firstLine="0"/>
              <w:jc w:val="left"/>
              <w:rPr>
                <w:sz w:val="22"/>
                <w:szCs w:val="22"/>
              </w:rPr>
            </w:pPr>
            <w:r w:rsidRPr="006172EB">
              <w:rPr>
                <w:sz w:val="22"/>
                <w:szCs w:val="22"/>
              </w:rPr>
              <w:t xml:space="preserve">10%–11.2% energy savings </w:t>
            </w:r>
          </w:p>
        </w:tc>
        <w:tc>
          <w:tcPr>
            <w:tcW w:w="900" w:type="dxa"/>
          </w:tcPr>
          <w:p w14:paraId="67A0F082" w14:textId="5FDAE100" w:rsidR="00744EBA" w:rsidRPr="006172EB" w:rsidRDefault="00744EBA" w:rsidP="00744EBA">
            <w:pPr>
              <w:spacing w:line="240" w:lineRule="auto"/>
              <w:ind w:firstLine="0"/>
              <w:jc w:val="left"/>
              <w:rPr>
                <w:sz w:val="22"/>
                <w:szCs w:val="22"/>
              </w:rPr>
            </w:pPr>
            <w:r w:rsidRPr="006172EB">
              <w:rPr>
                <w:sz w:val="22"/>
                <w:szCs w:val="22"/>
              </w:rPr>
              <w:t>Air handling unit power usage decreased by 11.73%</w:t>
            </w:r>
          </w:p>
        </w:tc>
        <w:tc>
          <w:tcPr>
            <w:tcW w:w="805" w:type="dxa"/>
          </w:tcPr>
          <w:p w14:paraId="2437A61C" w14:textId="6AF6AE11" w:rsidR="00744EBA" w:rsidRPr="006172EB" w:rsidRDefault="00744EBA" w:rsidP="00744EBA">
            <w:pPr>
              <w:spacing w:line="240" w:lineRule="auto"/>
              <w:ind w:firstLine="0"/>
              <w:jc w:val="left"/>
              <w:rPr>
                <w:sz w:val="22"/>
                <w:szCs w:val="22"/>
              </w:rPr>
            </w:pPr>
            <w:r w:rsidRPr="006172EB">
              <w:rPr>
                <w:sz w:val="22"/>
                <w:szCs w:val="22"/>
              </w:rPr>
              <w:t>18.6 year payback</w:t>
            </w:r>
          </w:p>
        </w:tc>
      </w:tr>
      <w:tr w:rsidR="00744EBA" w14:paraId="72419D8A" w14:textId="77777777" w:rsidTr="00744EBA">
        <w:trPr>
          <w:trHeight w:val="1634"/>
        </w:trPr>
        <w:tc>
          <w:tcPr>
            <w:tcW w:w="805" w:type="dxa"/>
          </w:tcPr>
          <w:sdt>
            <w:sdtPr>
              <w:rPr>
                <w:color w:val="000000"/>
                <w:sz w:val="22"/>
                <w:szCs w:val="22"/>
              </w:rPr>
              <w:tag w:val="MENDELEY_CITATION_v3_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"/>
              <w:id w:val="885610336"/>
              <w:placeholder>
                <w:docPart w:val="C4CD5BA984F4F94A80378D14CFAB0B71"/>
              </w:placeholder>
            </w:sdtPr>
            <w:sdtContent>
              <w:p w14:paraId="521AE13F" w14:textId="61FAD493" w:rsidR="00744EBA" w:rsidRDefault="00744EBA" w:rsidP="00744EBA">
                <w:pPr>
                  <w:spacing w:line="240" w:lineRule="auto"/>
                  <w:ind w:firstLine="0"/>
                  <w:jc w:val="left"/>
                  <w:rPr>
                    <w:rFonts w:cs="Times New Roman"/>
                    <w:b/>
                    <w:bCs/>
                  </w:rPr>
                </w:pPr>
                <w:r w:rsidRPr="001E7ECF">
                  <w:rPr>
                    <w:color w:val="000000"/>
                    <w:sz w:val="22"/>
                    <w:szCs w:val="22"/>
                  </w:rPr>
                  <w:t>[134]</w:t>
                </w:r>
              </w:p>
            </w:sdtContent>
          </w:sdt>
        </w:tc>
        <w:tc>
          <w:tcPr>
            <w:tcW w:w="1170" w:type="dxa"/>
          </w:tcPr>
          <w:p w14:paraId="6C400420" w14:textId="5CC94E5E" w:rsidR="00744EBA" w:rsidRDefault="00744EBA" w:rsidP="00744EBA">
            <w:pPr>
              <w:spacing w:line="240" w:lineRule="auto"/>
              <w:ind w:firstLine="0"/>
              <w:jc w:val="left"/>
              <w:rPr>
                <w:rFonts w:cs="Times New Roman"/>
                <w:b/>
                <w:bCs/>
              </w:rPr>
            </w:pPr>
            <w:r w:rsidRPr="006172EB">
              <w:rPr>
                <w:sz w:val="22"/>
                <w:szCs w:val="22"/>
              </w:rPr>
              <w:t>PCM gypsum board (27°C–29°C)</w:t>
            </w:r>
          </w:p>
        </w:tc>
        <w:tc>
          <w:tcPr>
            <w:tcW w:w="1080" w:type="dxa"/>
          </w:tcPr>
          <w:p w14:paraId="6EEB4273" w14:textId="31D04850" w:rsidR="00744EBA" w:rsidRDefault="00744EBA" w:rsidP="00744EBA">
            <w:pPr>
              <w:spacing w:line="240" w:lineRule="auto"/>
              <w:ind w:firstLine="0"/>
              <w:jc w:val="left"/>
              <w:rPr>
                <w:rFonts w:cs="Times New Roman"/>
                <w:b/>
                <w:bCs/>
              </w:rPr>
            </w:pPr>
            <w:r w:rsidRPr="006172EB">
              <w:rPr>
                <w:sz w:val="22"/>
                <w:szCs w:val="22"/>
              </w:rPr>
              <w:t>In wall, ceiling, and an underfloor heating system</w:t>
            </w:r>
          </w:p>
        </w:tc>
        <w:tc>
          <w:tcPr>
            <w:tcW w:w="1080" w:type="dxa"/>
          </w:tcPr>
          <w:p w14:paraId="5261154F" w14:textId="1E72E893" w:rsidR="00744EBA" w:rsidRDefault="00744EBA" w:rsidP="00744EBA">
            <w:pPr>
              <w:spacing w:line="240" w:lineRule="auto"/>
              <w:ind w:firstLine="0"/>
              <w:jc w:val="left"/>
              <w:rPr>
                <w:rFonts w:cs="Times New Roman"/>
                <w:b/>
                <w:bCs/>
              </w:rPr>
            </w:pPr>
            <w:r w:rsidRPr="006172EB">
              <w:rPr>
                <w:sz w:val="22"/>
                <w:szCs w:val="22"/>
              </w:rPr>
              <w:t>Experiment and simulation, Auckland, New Zealand</w:t>
            </w:r>
          </w:p>
        </w:tc>
        <w:tc>
          <w:tcPr>
            <w:tcW w:w="900" w:type="dxa"/>
          </w:tcPr>
          <w:p w14:paraId="717B6850" w14:textId="39511C21" w:rsidR="00744EBA" w:rsidRDefault="00744EBA" w:rsidP="00744EBA">
            <w:pPr>
              <w:spacing w:line="240" w:lineRule="auto"/>
              <w:ind w:firstLine="0"/>
              <w:jc w:val="left"/>
              <w:rPr>
                <w:rFonts w:cs="Times New Roman"/>
                <w:b/>
                <w:bCs/>
              </w:rPr>
            </w:pPr>
            <w:r w:rsidRPr="006172EB">
              <w:rPr>
                <w:sz w:val="22"/>
                <w:szCs w:val="22"/>
              </w:rPr>
              <w:t>10 day period analyzed</w:t>
            </w:r>
          </w:p>
        </w:tc>
        <w:tc>
          <w:tcPr>
            <w:tcW w:w="990" w:type="dxa"/>
          </w:tcPr>
          <w:p w14:paraId="265DC57E" w14:textId="77B0F7D3" w:rsidR="00744EBA" w:rsidRDefault="00744EBA" w:rsidP="00744EBA">
            <w:pPr>
              <w:spacing w:line="240" w:lineRule="auto"/>
              <w:ind w:firstLine="0"/>
              <w:jc w:val="left"/>
              <w:rPr>
                <w:rFonts w:cs="Times New Roman"/>
                <w:b/>
                <w:bCs/>
              </w:rPr>
            </w:pPr>
            <w:r w:rsidRPr="006172EB">
              <w:rPr>
                <w:sz w:val="22"/>
                <w:szCs w:val="22"/>
              </w:rPr>
              <w:t>Combined solar and underfloor heating to charge PCMs</w:t>
            </w:r>
          </w:p>
        </w:tc>
        <w:tc>
          <w:tcPr>
            <w:tcW w:w="900" w:type="dxa"/>
          </w:tcPr>
          <w:p w14:paraId="766E3322" w14:textId="5B2051B0" w:rsidR="00744EBA" w:rsidRDefault="00744EBA" w:rsidP="00744EBA">
            <w:pPr>
              <w:spacing w:line="240" w:lineRule="auto"/>
              <w:ind w:firstLine="0"/>
              <w:jc w:val="left"/>
              <w:rPr>
                <w:rFonts w:cs="Times New Roman"/>
                <w:b/>
                <w:bCs/>
              </w:rPr>
            </w:pPr>
            <w:r w:rsidRPr="006172EB">
              <w:rPr>
                <w:sz w:val="22"/>
                <w:szCs w:val="22"/>
              </w:rPr>
              <w:t>32% energy savings</w:t>
            </w:r>
          </w:p>
        </w:tc>
        <w:tc>
          <w:tcPr>
            <w:tcW w:w="900" w:type="dxa"/>
          </w:tcPr>
          <w:p w14:paraId="7CACA0AD" w14:textId="01EAA67B" w:rsidR="00744EBA" w:rsidRDefault="00744EBA" w:rsidP="00744EBA">
            <w:pPr>
              <w:spacing w:line="240" w:lineRule="auto"/>
              <w:ind w:firstLine="0"/>
              <w:jc w:val="left"/>
              <w:rPr>
                <w:rFonts w:cs="Times New Roman"/>
                <w:b/>
                <w:bCs/>
              </w:rPr>
            </w:pPr>
            <w:r w:rsidRPr="006172EB">
              <w:rPr>
                <w:sz w:val="22"/>
                <w:szCs w:val="22"/>
              </w:rPr>
              <w:t>2.5%–9% peak load shifted</w:t>
            </w:r>
          </w:p>
        </w:tc>
        <w:tc>
          <w:tcPr>
            <w:tcW w:w="805" w:type="dxa"/>
          </w:tcPr>
          <w:p w14:paraId="059CFA79" w14:textId="2201727C" w:rsidR="00744EBA" w:rsidRDefault="00744EBA" w:rsidP="00744EBA">
            <w:pPr>
              <w:spacing w:line="240" w:lineRule="auto"/>
              <w:ind w:firstLine="0"/>
              <w:jc w:val="left"/>
              <w:rPr>
                <w:rFonts w:cs="Times New Roman"/>
                <w:b/>
                <w:bCs/>
              </w:rPr>
            </w:pPr>
            <w:r w:rsidRPr="006172EB">
              <w:rPr>
                <w:sz w:val="22"/>
                <w:szCs w:val="22"/>
              </w:rPr>
              <w:t>42% cost savings per week</w:t>
            </w:r>
          </w:p>
        </w:tc>
      </w:tr>
    </w:tbl>
    <w:p w14:paraId="0814BDCE" w14:textId="297326C8" w:rsidR="00B17E5F" w:rsidRPr="00322E56" w:rsidRDefault="00B17E5F">
      <w:pPr>
        <w:spacing w:line="240" w:lineRule="auto"/>
        <w:rPr>
          <w:rFonts w:cs="Times New Roman"/>
          <w:b/>
          <w:bCs/>
        </w:rPr>
      </w:pPr>
    </w:p>
    <w:p w14:paraId="22FFCC84" w14:textId="77777777" w:rsidR="00270231" w:rsidRDefault="00270231">
      <w:pPr>
        <w:spacing w:before="0" w:line="240" w:lineRule="auto"/>
        <w:ind w:firstLine="0"/>
        <w:jc w:val="left"/>
        <w:rPr>
          <w:rFonts w:cs="Times New Roman"/>
          <w:b/>
          <w:bCs/>
        </w:rPr>
      </w:pPr>
      <w:r>
        <w:rPr>
          <w:rFonts w:cs="Times New Roman"/>
        </w:rPr>
        <w:br w:type="page"/>
      </w:r>
    </w:p>
    <w:p w14:paraId="1EC24AD3" w14:textId="082588DA" w:rsidR="00B17E5F" w:rsidRPr="00322E56" w:rsidRDefault="00B17E5F" w:rsidP="00744EBA">
      <w:pPr>
        <w:pStyle w:val="Caption"/>
        <w:jc w:val="center"/>
        <w:rPr>
          <w:rFonts w:cs="Times New Roman"/>
        </w:rPr>
      </w:pPr>
      <w:bookmarkStart w:id="58" w:name="_Toc140399946"/>
      <w:r w:rsidRPr="00322E56">
        <w:rPr>
          <w:rFonts w:cs="Times New Roman"/>
        </w:rPr>
        <w:lastRenderedPageBreak/>
        <w:t xml:space="preserve">Table </w:t>
      </w:r>
      <w:r w:rsidRPr="00322E56">
        <w:rPr>
          <w:rFonts w:cs="Times New Roman"/>
        </w:rPr>
        <w:fldChar w:fldCharType="begin"/>
      </w:r>
      <w:r w:rsidRPr="00322E56">
        <w:rPr>
          <w:rFonts w:cs="Times New Roman"/>
        </w:rPr>
        <w:instrText xml:space="preserve"> SEQ Table \* ARABIC </w:instrText>
      </w:r>
      <w:r w:rsidRPr="00322E56">
        <w:rPr>
          <w:rFonts w:cs="Times New Roman"/>
        </w:rPr>
        <w:fldChar w:fldCharType="separate"/>
      </w:r>
      <w:r w:rsidR="00FC25C0">
        <w:rPr>
          <w:rFonts w:cs="Times New Roman"/>
          <w:noProof/>
        </w:rPr>
        <w:t>6</w:t>
      </w:r>
      <w:r w:rsidRPr="00322E56">
        <w:rPr>
          <w:rFonts w:cs="Times New Roman"/>
        </w:rPr>
        <w:fldChar w:fldCharType="end"/>
      </w:r>
      <w:r w:rsidRPr="00322E56">
        <w:rPr>
          <w:rFonts w:cs="Times New Roman"/>
        </w:rPr>
        <w:t>: Passive TES configurations with both heating and cooling</w:t>
      </w:r>
      <w:bookmarkEnd w:id="58"/>
    </w:p>
    <w:tbl>
      <w:tblPr>
        <w:tblW w:w="8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4A0" w:firstRow="1" w:lastRow="0" w:firstColumn="1" w:lastColumn="0" w:noHBand="0" w:noVBand="1"/>
      </w:tblPr>
      <w:tblGrid>
        <w:gridCol w:w="879"/>
        <w:gridCol w:w="1222"/>
        <w:gridCol w:w="977"/>
        <w:gridCol w:w="1069"/>
        <w:gridCol w:w="817"/>
        <w:gridCol w:w="981"/>
        <w:gridCol w:w="975"/>
        <w:gridCol w:w="900"/>
        <w:gridCol w:w="782"/>
      </w:tblGrid>
      <w:tr w:rsidR="00B17E5F" w:rsidRPr="00D14B09" w14:paraId="50D21064" w14:textId="77777777" w:rsidTr="00744EBA">
        <w:trPr>
          <w:trHeight w:val="353"/>
        </w:trPr>
        <w:tc>
          <w:tcPr>
            <w:tcW w:w="879" w:type="dxa"/>
          </w:tcPr>
          <w:p w14:paraId="1EBD42F7" w14:textId="77777777" w:rsidR="00B17E5F" w:rsidRPr="00D14B09" w:rsidRDefault="00B17E5F" w:rsidP="00D14B09">
            <w:pPr>
              <w:pStyle w:val="NoSpacing"/>
              <w:rPr>
                <w:b/>
                <w:bCs/>
                <w:sz w:val="22"/>
                <w:szCs w:val="22"/>
              </w:rPr>
            </w:pPr>
          </w:p>
        </w:tc>
        <w:tc>
          <w:tcPr>
            <w:tcW w:w="5066" w:type="dxa"/>
            <w:gridSpan w:val="5"/>
          </w:tcPr>
          <w:p w14:paraId="5DBECE0D" w14:textId="77777777" w:rsidR="00B17E5F" w:rsidRPr="00D14B09" w:rsidRDefault="00B17E5F" w:rsidP="00D14B09">
            <w:pPr>
              <w:pStyle w:val="NoSpacing"/>
              <w:rPr>
                <w:b/>
                <w:bCs/>
                <w:sz w:val="22"/>
                <w:szCs w:val="22"/>
              </w:rPr>
            </w:pPr>
            <w:r w:rsidRPr="00D14B09">
              <w:rPr>
                <w:b/>
                <w:bCs/>
                <w:sz w:val="22"/>
                <w:szCs w:val="22"/>
              </w:rPr>
              <w:t>Study parameters</w:t>
            </w:r>
          </w:p>
        </w:tc>
        <w:tc>
          <w:tcPr>
            <w:tcW w:w="2657" w:type="dxa"/>
            <w:gridSpan w:val="3"/>
            <w:hideMark/>
          </w:tcPr>
          <w:p w14:paraId="7BF3BE22" w14:textId="77777777" w:rsidR="00B17E5F" w:rsidRPr="00D14B09" w:rsidRDefault="00B17E5F" w:rsidP="00D14B09">
            <w:pPr>
              <w:pStyle w:val="NoSpacing"/>
              <w:rPr>
                <w:b/>
                <w:bCs/>
                <w:sz w:val="22"/>
                <w:szCs w:val="22"/>
              </w:rPr>
            </w:pPr>
            <w:r w:rsidRPr="00D14B09">
              <w:rPr>
                <w:b/>
                <w:bCs/>
                <w:sz w:val="22"/>
                <w:szCs w:val="22"/>
              </w:rPr>
              <w:t>Study outcomes</w:t>
            </w:r>
          </w:p>
        </w:tc>
      </w:tr>
      <w:tr w:rsidR="00B17E5F" w:rsidRPr="00D14B09" w14:paraId="72F17FF1" w14:textId="77777777" w:rsidTr="00744EBA">
        <w:trPr>
          <w:trHeight w:val="353"/>
        </w:trPr>
        <w:tc>
          <w:tcPr>
            <w:tcW w:w="879" w:type="dxa"/>
            <w:hideMark/>
          </w:tcPr>
          <w:p w14:paraId="25CBB7DA" w14:textId="77777777" w:rsidR="00B17E5F" w:rsidRPr="00D14B09" w:rsidRDefault="00B17E5F" w:rsidP="00D14B09">
            <w:pPr>
              <w:pStyle w:val="NoSpacing"/>
              <w:rPr>
                <w:b/>
                <w:bCs/>
                <w:sz w:val="22"/>
                <w:szCs w:val="22"/>
              </w:rPr>
            </w:pPr>
            <w:r w:rsidRPr="00D14B09">
              <w:rPr>
                <w:b/>
                <w:bCs/>
                <w:sz w:val="22"/>
                <w:szCs w:val="22"/>
              </w:rPr>
              <w:t>Source</w:t>
            </w:r>
          </w:p>
        </w:tc>
        <w:tc>
          <w:tcPr>
            <w:tcW w:w="1222" w:type="dxa"/>
            <w:hideMark/>
          </w:tcPr>
          <w:p w14:paraId="1358F2C6" w14:textId="77777777" w:rsidR="00B17E5F" w:rsidRPr="00D14B09" w:rsidRDefault="00B17E5F" w:rsidP="00D14B09">
            <w:pPr>
              <w:pStyle w:val="NoSpacing"/>
              <w:rPr>
                <w:b/>
                <w:bCs/>
                <w:sz w:val="22"/>
                <w:szCs w:val="22"/>
              </w:rPr>
            </w:pPr>
            <w:r w:rsidRPr="00D14B09">
              <w:rPr>
                <w:b/>
                <w:bCs/>
                <w:sz w:val="22"/>
                <w:szCs w:val="22"/>
              </w:rPr>
              <w:t>PCM type &amp; phase change temperature</w:t>
            </w:r>
          </w:p>
        </w:tc>
        <w:tc>
          <w:tcPr>
            <w:tcW w:w="977" w:type="dxa"/>
            <w:hideMark/>
          </w:tcPr>
          <w:p w14:paraId="566661D5" w14:textId="77777777" w:rsidR="00B17E5F" w:rsidRPr="00D14B09" w:rsidRDefault="00B17E5F" w:rsidP="00D14B09">
            <w:pPr>
              <w:pStyle w:val="NoSpacing"/>
              <w:rPr>
                <w:b/>
                <w:bCs/>
                <w:sz w:val="22"/>
                <w:szCs w:val="22"/>
              </w:rPr>
            </w:pPr>
            <w:r w:rsidRPr="00D14B09">
              <w:rPr>
                <w:b/>
                <w:bCs/>
                <w:sz w:val="22"/>
                <w:szCs w:val="22"/>
              </w:rPr>
              <w:t>PCM location</w:t>
            </w:r>
          </w:p>
        </w:tc>
        <w:tc>
          <w:tcPr>
            <w:tcW w:w="1069" w:type="dxa"/>
          </w:tcPr>
          <w:p w14:paraId="30C4024B" w14:textId="77777777" w:rsidR="00B17E5F" w:rsidRPr="00D14B09" w:rsidRDefault="00B17E5F" w:rsidP="00D14B09">
            <w:pPr>
              <w:pStyle w:val="NoSpacing"/>
              <w:rPr>
                <w:b/>
                <w:bCs/>
                <w:sz w:val="22"/>
                <w:szCs w:val="22"/>
              </w:rPr>
            </w:pPr>
            <w:r w:rsidRPr="00D14B09">
              <w:rPr>
                <w:b/>
                <w:bCs/>
                <w:sz w:val="22"/>
                <w:szCs w:val="22"/>
              </w:rPr>
              <w:t>Climate &amp; study approach</w:t>
            </w:r>
          </w:p>
        </w:tc>
        <w:tc>
          <w:tcPr>
            <w:tcW w:w="817" w:type="dxa"/>
            <w:hideMark/>
          </w:tcPr>
          <w:p w14:paraId="6A98CFE2" w14:textId="77777777" w:rsidR="00B17E5F" w:rsidRPr="00D14B09" w:rsidRDefault="00B17E5F" w:rsidP="00D14B09">
            <w:pPr>
              <w:pStyle w:val="NoSpacing"/>
              <w:rPr>
                <w:b/>
                <w:bCs/>
                <w:sz w:val="22"/>
                <w:szCs w:val="22"/>
              </w:rPr>
            </w:pPr>
            <w:r w:rsidRPr="00D14B09">
              <w:rPr>
                <w:b/>
                <w:bCs/>
                <w:sz w:val="22"/>
                <w:szCs w:val="22"/>
              </w:rPr>
              <w:t>Notes</w:t>
            </w:r>
          </w:p>
        </w:tc>
        <w:tc>
          <w:tcPr>
            <w:tcW w:w="979" w:type="dxa"/>
            <w:hideMark/>
          </w:tcPr>
          <w:p w14:paraId="036C0CBD" w14:textId="77777777" w:rsidR="00B17E5F" w:rsidRPr="00D14B09" w:rsidRDefault="00B17E5F" w:rsidP="00D14B09">
            <w:pPr>
              <w:pStyle w:val="NoSpacing"/>
              <w:rPr>
                <w:b/>
                <w:bCs/>
                <w:sz w:val="22"/>
                <w:szCs w:val="22"/>
              </w:rPr>
            </w:pPr>
            <w:r w:rsidRPr="00D14B09">
              <w:rPr>
                <w:b/>
                <w:bCs/>
                <w:sz w:val="22"/>
                <w:szCs w:val="22"/>
              </w:rPr>
              <w:t>Charging method</w:t>
            </w:r>
          </w:p>
        </w:tc>
        <w:tc>
          <w:tcPr>
            <w:tcW w:w="975" w:type="dxa"/>
            <w:hideMark/>
          </w:tcPr>
          <w:p w14:paraId="633156E5" w14:textId="77777777" w:rsidR="00B17E5F" w:rsidRPr="00D14B09" w:rsidRDefault="00B17E5F" w:rsidP="00D14B09">
            <w:pPr>
              <w:pStyle w:val="NoSpacing"/>
              <w:rPr>
                <w:b/>
                <w:bCs/>
                <w:sz w:val="22"/>
                <w:szCs w:val="22"/>
              </w:rPr>
            </w:pPr>
            <w:r w:rsidRPr="00D14B09">
              <w:rPr>
                <w:b/>
                <w:bCs/>
                <w:sz w:val="22"/>
                <w:szCs w:val="22"/>
              </w:rPr>
              <w:t>Energy savings</w:t>
            </w:r>
          </w:p>
        </w:tc>
        <w:tc>
          <w:tcPr>
            <w:tcW w:w="900" w:type="dxa"/>
            <w:hideMark/>
          </w:tcPr>
          <w:p w14:paraId="76DF7DC8" w14:textId="77777777" w:rsidR="00B17E5F" w:rsidRPr="00D14B09" w:rsidRDefault="00B17E5F" w:rsidP="00D14B09">
            <w:pPr>
              <w:pStyle w:val="NoSpacing"/>
              <w:rPr>
                <w:b/>
                <w:bCs/>
                <w:sz w:val="22"/>
                <w:szCs w:val="22"/>
              </w:rPr>
            </w:pPr>
            <w:r w:rsidRPr="00D14B09">
              <w:rPr>
                <w:b/>
                <w:bCs/>
                <w:sz w:val="22"/>
                <w:szCs w:val="22"/>
              </w:rPr>
              <w:t>Demand impact</w:t>
            </w:r>
          </w:p>
        </w:tc>
        <w:tc>
          <w:tcPr>
            <w:tcW w:w="780" w:type="dxa"/>
            <w:hideMark/>
          </w:tcPr>
          <w:p w14:paraId="76E965C0" w14:textId="77777777" w:rsidR="00B17E5F" w:rsidRPr="00D14B09" w:rsidRDefault="00B17E5F" w:rsidP="00D14B09">
            <w:pPr>
              <w:pStyle w:val="NoSpacing"/>
              <w:rPr>
                <w:b/>
                <w:bCs/>
                <w:sz w:val="22"/>
                <w:szCs w:val="22"/>
              </w:rPr>
            </w:pPr>
            <w:r w:rsidRPr="00D14B09">
              <w:rPr>
                <w:b/>
                <w:bCs/>
                <w:sz w:val="22"/>
                <w:szCs w:val="22"/>
              </w:rPr>
              <w:t>Cost savings</w:t>
            </w:r>
          </w:p>
        </w:tc>
      </w:tr>
      <w:tr w:rsidR="00B17E5F" w:rsidRPr="00D14B09" w14:paraId="5EC11BEC" w14:textId="77777777" w:rsidTr="00744EBA">
        <w:trPr>
          <w:trHeight w:val="353"/>
        </w:trPr>
        <w:tc>
          <w:tcPr>
            <w:tcW w:w="879" w:type="dxa"/>
          </w:tcPr>
          <w:sdt>
            <w:sdtPr>
              <w:rPr>
                <w:color w:val="000000"/>
                <w:sz w:val="22"/>
                <w:szCs w:val="22"/>
              </w:rPr>
              <w:tag w:val="MENDELEY_CITATION_v3_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"/>
              <w:id w:val="906417192"/>
              <w:placeholder>
                <w:docPart w:val="A139B623EC544516B110F9FA94343EDE"/>
              </w:placeholder>
            </w:sdtPr>
            <w:sdtContent>
              <w:p w14:paraId="35C630DF" w14:textId="64FEEA4C" w:rsidR="00B17E5F" w:rsidRPr="00D14B09" w:rsidRDefault="001E7ECF" w:rsidP="00D14B09">
                <w:pPr>
                  <w:pStyle w:val="NoSpacing"/>
                  <w:rPr>
                    <w:bCs/>
                    <w:sz w:val="22"/>
                    <w:szCs w:val="22"/>
                  </w:rPr>
                </w:pPr>
                <w:r w:rsidRPr="001E7ECF">
                  <w:rPr>
                    <w:color w:val="000000"/>
                    <w:sz w:val="22"/>
                    <w:szCs w:val="22"/>
                  </w:rPr>
                  <w:t>[125]</w:t>
                </w:r>
              </w:p>
            </w:sdtContent>
          </w:sdt>
        </w:tc>
        <w:tc>
          <w:tcPr>
            <w:tcW w:w="1222" w:type="dxa"/>
          </w:tcPr>
          <w:p w14:paraId="0F4D9948" w14:textId="77777777" w:rsidR="00B17E5F" w:rsidRPr="00D14B09" w:rsidRDefault="00B17E5F" w:rsidP="00D14B09">
            <w:pPr>
              <w:pStyle w:val="NoSpacing"/>
              <w:rPr>
                <w:bCs/>
                <w:sz w:val="22"/>
                <w:szCs w:val="22"/>
              </w:rPr>
            </w:pPr>
            <w:r w:rsidRPr="00D14B09">
              <w:rPr>
                <w:sz w:val="22"/>
                <w:szCs w:val="22"/>
              </w:rPr>
              <w:t>Paraffin (cooling: 22°C–27</w:t>
            </w:r>
            <w:bookmarkStart w:id="59" w:name="_Hlk92812412"/>
            <w:r w:rsidRPr="00D14B09">
              <w:rPr>
                <w:sz w:val="22"/>
                <w:szCs w:val="22"/>
              </w:rPr>
              <w:t>°</w:t>
            </w:r>
            <w:bookmarkEnd w:id="59"/>
            <w:r w:rsidRPr="00D14B09">
              <w:rPr>
                <w:sz w:val="22"/>
                <w:szCs w:val="22"/>
              </w:rPr>
              <w:t>C; heating: 20°C–26°C)</w:t>
            </w:r>
          </w:p>
        </w:tc>
        <w:tc>
          <w:tcPr>
            <w:tcW w:w="977" w:type="dxa"/>
          </w:tcPr>
          <w:p w14:paraId="2EFE1076" w14:textId="77777777" w:rsidR="00B17E5F" w:rsidRPr="00D14B09" w:rsidRDefault="00B17E5F" w:rsidP="00D14B09">
            <w:pPr>
              <w:pStyle w:val="NoSpacing"/>
              <w:rPr>
                <w:bCs/>
                <w:sz w:val="22"/>
                <w:szCs w:val="22"/>
              </w:rPr>
            </w:pPr>
            <w:r w:rsidRPr="00D14B09">
              <w:rPr>
                <w:sz w:val="22"/>
                <w:szCs w:val="22"/>
              </w:rPr>
              <w:t>In attic insulation</w:t>
            </w:r>
          </w:p>
        </w:tc>
        <w:tc>
          <w:tcPr>
            <w:tcW w:w="1069" w:type="dxa"/>
          </w:tcPr>
          <w:p w14:paraId="63CA4646" w14:textId="77777777" w:rsidR="00B17E5F" w:rsidRPr="00D14B09" w:rsidRDefault="00B17E5F" w:rsidP="00D14B09">
            <w:pPr>
              <w:pStyle w:val="NoSpacing"/>
              <w:rPr>
                <w:bCs/>
                <w:sz w:val="22"/>
                <w:szCs w:val="22"/>
              </w:rPr>
            </w:pPr>
            <w:r w:rsidRPr="00D14B09">
              <w:rPr>
                <w:sz w:val="22"/>
                <w:szCs w:val="22"/>
              </w:rPr>
              <w:t>Simulation, Phoenix, Arizona, United States</w:t>
            </w:r>
          </w:p>
        </w:tc>
        <w:tc>
          <w:tcPr>
            <w:tcW w:w="817" w:type="dxa"/>
          </w:tcPr>
          <w:p w14:paraId="61F6C93D" w14:textId="77777777" w:rsidR="00B17E5F" w:rsidRPr="00D14B09" w:rsidRDefault="00B17E5F" w:rsidP="00D14B09">
            <w:pPr>
              <w:pStyle w:val="NoSpacing"/>
              <w:rPr>
                <w:bCs/>
                <w:sz w:val="22"/>
                <w:szCs w:val="22"/>
              </w:rPr>
            </w:pPr>
            <w:r w:rsidRPr="00D14B09">
              <w:rPr>
                <w:sz w:val="22"/>
                <w:szCs w:val="22"/>
              </w:rPr>
              <w:t>Dynamic load shift</w:t>
            </w:r>
          </w:p>
        </w:tc>
        <w:tc>
          <w:tcPr>
            <w:tcW w:w="979" w:type="dxa"/>
          </w:tcPr>
          <w:p w14:paraId="539312E2" w14:textId="77777777" w:rsidR="00B17E5F" w:rsidRPr="00D14B09" w:rsidRDefault="00B17E5F" w:rsidP="00D14B09">
            <w:pPr>
              <w:pStyle w:val="NoSpacing"/>
              <w:rPr>
                <w:bCs/>
                <w:sz w:val="22"/>
                <w:szCs w:val="22"/>
              </w:rPr>
            </w:pPr>
            <w:r w:rsidRPr="00D14B09">
              <w:rPr>
                <w:sz w:val="22"/>
                <w:szCs w:val="22"/>
              </w:rPr>
              <w:t>Passive cooling and heating depending on ambient</w:t>
            </w:r>
          </w:p>
        </w:tc>
        <w:tc>
          <w:tcPr>
            <w:tcW w:w="975" w:type="dxa"/>
          </w:tcPr>
          <w:p w14:paraId="4C484D41" w14:textId="77777777" w:rsidR="00B17E5F" w:rsidRPr="00D14B09" w:rsidRDefault="00B17E5F" w:rsidP="00D14B09">
            <w:pPr>
              <w:pStyle w:val="NoSpacing"/>
              <w:rPr>
                <w:bCs/>
                <w:sz w:val="22"/>
                <w:szCs w:val="22"/>
              </w:rPr>
            </w:pPr>
            <w:r w:rsidRPr="00D14B09">
              <w:rPr>
                <w:sz w:val="22"/>
                <w:szCs w:val="22"/>
              </w:rPr>
              <w:t>3.6%–6.2% heating and 3.1%–5.6% cooling load savings annually</w:t>
            </w:r>
          </w:p>
        </w:tc>
        <w:tc>
          <w:tcPr>
            <w:tcW w:w="900" w:type="dxa"/>
          </w:tcPr>
          <w:p w14:paraId="0CC898B3" w14:textId="77777777" w:rsidR="00B17E5F" w:rsidRPr="00D14B09" w:rsidRDefault="00B17E5F" w:rsidP="00D14B09">
            <w:pPr>
              <w:pStyle w:val="NoSpacing"/>
              <w:rPr>
                <w:bCs/>
                <w:sz w:val="22"/>
                <w:szCs w:val="22"/>
              </w:rPr>
            </w:pPr>
            <w:r w:rsidRPr="00D14B09">
              <w:rPr>
                <w:sz w:val="22"/>
                <w:szCs w:val="22"/>
              </w:rPr>
              <w:t>Reduced peak load by 25%–35%</w:t>
            </w:r>
          </w:p>
        </w:tc>
        <w:tc>
          <w:tcPr>
            <w:tcW w:w="780" w:type="dxa"/>
          </w:tcPr>
          <w:p w14:paraId="0696B597" w14:textId="77777777" w:rsidR="00B17E5F" w:rsidRPr="00D14B09" w:rsidRDefault="00B17E5F" w:rsidP="00D14B09">
            <w:pPr>
              <w:pStyle w:val="NoSpacing"/>
              <w:rPr>
                <w:bCs/>
                <w:sz w:val="22"/>
                <w:szCs w:val="22"/>
              </w:rPr>
            </w:pPr>
            <w:r w:rsidRPr="00D14B09">
              <w:rPr>
                <w:sz w:val="22"/>
                <w:szCs w:val="22"/>
              </w:rPr>
              <w:t>Not reported</w:t>
            </w:r>
          </w:p>
        </w:tc>
      </w:tr>
      <w:tr w:rsidR="00B17E5F" w:rsidRPr="00D14B09" w14:paraId="6833523D" w14:textId="77777777" w:rsidTr="00744EBA">
        <w:trPr>
          <w:trHeight w:val="353"/>
        </w:trPr>
        <w:tc>
          <w:tcPr>
            <w:tcW w:w="879" w:type="dxa"/>
          </w:tcPr>
          <w:sdt>
            <w:sdtPr>
              <w:rPr>
                <w:color w:val="000000"/>
                <w:sz w:val="22"/>
                <w:szCs w:val="22"/>
              </w:rPr>
              <w:tag w:val="MENDELEY_CITATION_v3_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"/>
              <w:id w:val="-2031860027"/>
              <w:placeholder>
                <w:docPart w:val="0082D9CA693E42BEB32F429FF978BB59"/>
              </w:placeholder>
            </w:sdtPr>
            <w:sdtContent>
              <w:p w14:paraId="3159242C" w14:textId="6F28B078" w:rsidR="00B17E5F" w:rsidRPr="00D14B09" w:rsidRDefault="001E7ECF" w:rsidP="00D14B09">
                <w:pPr>
                  <w:pStyle w:val="NoSpacing"/>
                  <w:rPr>
                    <w:sz w:val="22"/>
                    <w:szCs w:val="22"/>
                  </w:rPr>
                </w:pPr>
                <w:r w:rsidRPr="001E7ECF">
                  <w:rPr>
                    <w:color w:val="000000"/>
                    <w:sz w:val="22"/>
                    <w:szCs w:val="22"/>
                  </w:rPr>
                  <w:t>[128]</w:t>
                </w:r>
              </w:p>
            </w:sdtContent>
          </w:sdt>
        </w:tc>
        <w:tc>
          <w:tcPr>
            <w:tcW w:w="1222" w:type="dxa"/>
          </w:tcPr>
          <w:p w14:paraId="43CD73FE" w14:textId="77777777" w:rsidR="00B17E5F" w:rsidRPr="00D14B09" w:rsidRDefault="00B17E5F" w:rsidP="00D14B09">
            <w:pPr>
              <w:pStyle w:val="NoSpacing"/>
              <w:rPr>
                <w:sz w:val="22"/>
                <w:szCs w:val="22"/>
              </w:rPr>
            </w:pPr>
            <w:r w:rsidRPr="00D14B09">
              <w:rPr>
                <w:sz w:val="22"/>
                <w:szCs w:val="22"/>
              </w:rPr>
              <w:t>Bio PCM (29°C)</w:t>
            </w:r>
          </w:p>
        </w:tc>
        <w:tc>
          <w:tcPr>
            <w:tcW w:w="977" w:type="dxa"/>
          </w:tcPr>
          <w:p w14:paraId="3BE7A01B" w14:textId="77777777" w:rsidR="00B17E5F" w:rsidRPr="00D14B09" w:rsidRDefault="00B17E5F" w:rsidP="00D14B09">
            <w:pPr>
              <w:pStyle w:val="NoSpacing"/>
              <w:rPr>
                <w:sz w:val="22"/>
                <w:szCs w:val="22"/>
              </w:rPr>
            </w:pPr>
            <w:r w:rsidRPr="00D14B09">
              <w:rPr>
                <w:sz w:val="22"/>
                <w:szCs w:val="22"/>
              </w:rPr>
              <w:t>In building envelope (ceiling, floor, wall)</w:t>
            </w:r>
          </w:p>
        </w:tc>
        <w:tc>
          <w:tcPr>
            <w:tcW w:w="1069" w:type="dxa"/>
          </w:tcPr>
          <w:p w14:paraId="3FF5F490" w14:textId="77777777" w:rsidR="00B17E5F" w:rsidRPr="00D14B09" w:rsidRDefault="00B17E5F" w:rsidP="00D14B09">
            <w:pPr>
              <w:pStyle w:val="NoSpacing"/>
              <w:rPr>
                <w:sz w:val="22"/>
                <w:szCs w:val="22"/>
              </w:rPr>
            </w:pPr>
            <w:r w:rsidRPr="00D14B09">
              <w:rPr>
                <w:sz w:val="22"/>
                <w:szCs w:val="22"/>
              </w:rPr>
              <w:t>Simulation, Tempe, Arizona, United States</w:t>
            </w:r>
          </w:p>
        </w:tc>
        <w:tc>
          <w:tcPr>
            <w:tcW w:w="817" w:type="dxa"/>
          </w:tcPr>
          <w:p w14:paraId="59B42076" w14:textId="77777777" w:rsidR="00B17E5F" w:rsidRPr="00D14B09" w:rsidRDefault="00B17E5F" w:rsidP="00D14B09">
            <w:pPr>
              <w:pStyle w:val="NoSpacing"/>
              <w:rPr>
                <w:sz w:val="22"/>
                <w:szCs w:val="22"/>
              </w:rPr>
            </w:pPr>
            <w:r w:rsidRPr="00D14B09">
              <w:rPr>
                <w:sz w:val="22"/>
                <w:szCs w:val="22"/>
              </w:rPr>
              <w:t>Peak load shift</w:t>
            </w:r>
          </w:p>
        </w:tc>
        <w:tc>
          <w:tcPr>
            <w:tcW w:w="979" w:type="dxa"/>
          </w:tcPr>
          <w:p w14:paraId="6E4E3B23" w14:textId="77777777" w:rsidR="00B17E5F" w:rsidRPr="00D14B09" w:rsidRDefault="00B17E5F" w:rsidP="00D14B09">
            <w:pPr>
              <w:pStyle w:val="NoSpacing"/>
              <w:rPr>
                <w:sz w:val="22"/>
                <w:szCs w:val="22"/>
              </w:rPr>
            </w:pPr>
            <w:bookmarkStart w:id="60" w:name="_Hlk129862322"/>
            <w:r w:rsidRPr="00D14B09">
              <w:rPr>
                <w:sz w:val="22"/>
                <w:szCs w:val="22"/>
              </w:rPr>
              <w:t>PCM melts or solidifies based on ambient</w:t>
            </w:r>
            <w:bookmarkEnd w:id="60"/>
          </w:p>
        </w:tc>
        <w:tc>
          <w:tcPr>
            <w:tcW w:w="975" w:type="dxa"/>
          </w:tcPr>
          <w:p w14:paraId="4A3F999C" w14:textId="77777777" w:rsidR="00B17E5F" w:rsidRPr="00D14B09" w:rsidRDefault="00B17E5F" w:rsidP="00D14B09">
            <w:pPr>
              <w:pStyle w:val="NoSpacing"/>
              <w:rPr>
                <w:sz w:val="22"/>
                <w:szCs w:val="22"/>
              </w:rPr>
            </w:pPr>
            <w:r w:rsidRPr="00D14B09">
              <w:rPr>
                <w:sz w:val="22"/>
                <w:szCs w:val="22"/>
              </w:rPr>
              <w:t>9%–30% energy savings</w:t>
            </w:r>
          </w:p>
        </w:tc>
        <w:tc>
          <w:tcPr>
            <w:tcW w:w="900" w:type="dxa"/>
          </w:tcPr>
          <w:p w14:paraId="04F4E518" w14:textId="77777777" w:rsidR="00B17E5F" w:rsidRPr="00D14B09" w:rsidRDefault="00B17E5F" w:rsidP="00D14B09">
            <w:pPr>
              <w:pStyle w:val="NoSpacing"/>
              <w:rPr>
                <w:sz w:val="22"/>
                <w:szCs w:val="22"/>
              </w:rPr>
            </w:pPr>
            <w:r w:rsidRPr="00D14B09">
              <w:rPr>
                <w:sz w:val="22"/>
                <w:szCs w:val="22"/>
              </w:rPr>
              <w:t>1 h of peak load shifted</w:t>
            </w:r>
          </w:p>
        </w:tc>
        <w:tc>
          <w:tcPr>
            <w:tcW w:w="780" w:type="dxa"/>
          </w:tcPr>
          <w:p w14:paraId="42058104" w14:textId="77777777" w:rsidR="00B17E5F" w:rsidRPr="00D14B09" w:rsidRDefault="00B17E5F" w:rsidP="00D14B09">
            <w:pPr>
              <w:pStyle w:val="NoSpacing"/>
              <w:rPr>
                <w:sz w:val="22"/>
                <w:szCs w:val="22"/>
              </w:rPr>
            </w:pPr>
            <w:r w:rsidRPr="00D14B09">
              <w:rPr>
                <w:sz w:val="22"/>
                <w:szCs w:val="22"/>
              </w:rPr>
              <w:t>10%–30% cost savings</w:t>
            </w:r>
          </w:p>
        </w:tc>
      </w:tr>
      <w:tr w:rsidR="00B17E5F" w:rsidRPr="00D14B09" w14:paraId="5C117768" w14:textId="77777777" w:rsidTr="00744EBA">
        <w:trPr>
          <w:trHeight w:val="353"/>
        </w:trPr>
        <w:tc>
          <w:tcPr>
            <w:tcW w:w="879" w:type="dxa"/>
          </w:tcPr>
          <w:sdt>
            <w:sdtPr>
              <w:rPr>
                <w:color w:val="000000"/>
                <w:sz w:val="22"/>
                <w:szCs w:val="22"/>
              </w:rPr>
              <w:tag w:val="MENDELEY_CITATION_v3_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"/>
              <w:id w:val="-224523117"/>
              <w:placeholder>
                <w:docPart w:val="0082D9CA693E42BEB32F429FF978BB59"/>
              </w:placeholder>
            </w:sdtPr>
            <w:sdtContent>
              <w:p w14:paraId="13E6DB8F" w14:textId="5AAEDD48" w:rsidR="00B17E5F" w:rsidRPr="00D14B09" w:rsidRDefault="001E7ECF" w:rsidP="00D14B09">
                <w:pPr>
                  <w:pStyle w:val="NoSpacing"/>
                  <w:rPr>
                    <w:sz w:val="22"/>
                    <w:szCs w:val="22"/>
                  </w:rPr>
                </w:pPr>
                <w:r w:rsidRPr="001E7ECF">
                  <w:rPr>
                    <w:color w:val="000000"/>
                    <w:sz w:val="22"/>
                    <w:szCs w:val="22"/>
                  </w:rPr>
                  <w:t>[133]</w:t>
                </w:r>
              </w:p>
            </w:sdtContent>
          </w:sdt>
        </w:tc>
        <w:tc>
          <w:tcPr>
            <w:tcW w:w="1222" w:type="dxa"/>
          </w:tcPr>
          <w:p w14:paraId="1A81B7EC" w14:textId="77777777" w:rsidR="00B17E5F" w:rsidRPr="00D14B09" w:rsidRDefault="00B17E5F" w:rsidP="00D14B09">
            <w:pPr>
              <w:pStyle w:val="NoSpacing"/>
              <w:rPr>
                <w:sz w:val="22"/>
                <w:szCs w:val="22"/>
              </w:rPr>
            </w:pPr>
            <w:r w:rsidRPr="00D14B09">
              <w:rPr>
                <w:sz w:val="22"/>
                <w:szCs w:val="22"/>
              </w:rPr>
              <w:t>Paraffin wax (16°C–23°C)</w:t>
            </w:r>
          </w:p>
        </w:tc>
        <w:tc>
          <w:tcPr>
            <w:tcW w:w="977" w:type="dxa"/>
          </w:tcPr>
          <w:p w14:paraId="7D798A55" w14:textId="77777777" w:rsidR="00B17E5F" w:rsidRPr="00D14B09" w:rsidRDefault="00B17E5F" w:rsidP="00D14B09">
            <w:pPr>
              <w:pStyle w:val="NoSpacing"/>
              <w:rPr>
                <w:sz w:val="22"/>
                <w:szCs w:val="22"/>
              </w:rPr>
            </w:pPr>
            <w:r w:rsidRPr="00D14B09">
              <w:rPr>
                <w:sz w:val="22"/>
                <w:szCs w:val="22"/>
              </w:rPr>
              <w:t>In ventilated window</w:t>
            </w:r>
          </w:p>
        </w:tc>
        <w:tc>
          <w:tcPr>
            <w:tcW w:w="1069" w:type="dxa"/>
          </w:tcPr>
          <w:p w14:paraId="3ABCE886" w14:textId="77777777" w:rsidR="00B17E5F" w:rsidRPr="00D14B09" w:rsidRDefault="00B17E5F" w:rsidP="00D14B09">
            <w:pPr>
              <w:pStyle w:val="NoSpacing"/>
              <w:rPr>
                <w:sz w:val="22"/>
                <w:szCs w:val="22"/>
              </w:rPr>
            </w:pPr>
            <w:r w:rsidRPr="00D14B09">
              <w:rPr>
                <w:sz w:val="22"/>
                <w:szCs w:val="22"/>
              </w:rPr>
              <w:t>Simulation, New York, United States</w:t>
            </w:r>
          </w:p>
        </w:tc>
        <w:tc>
          <w:tcPr>
            <w:tcW w:w="817" w:type="dxa"/>
          </w:tcPr>
          <w:p w14:paraId="7C312A14" w14:textId="77777777" w:rsidR="00B17E5F" w:rsidRPr="00D14B09" w:rsidRDefault="00B17E5F" w:rsidP="00D14B09">
            <w:pPr>
              <w:pStyle w:val="NoSpacing"/>
              <w:rPr>
                <w:sz w:val="22"/>
                <w:szCs w:val="22"/>
              </w:rPr>
            </w:pPr>
            <w:r w:rsidRPr="00D14B09">
              <w:rPr>
                <w:sz w:val="22"/>
                <w:szCs w:val="22"/>
              </w:rPr>
              <w:t>Demand control strategies</w:t>
            </w:r>
          </w:p>
        </w:tc>
        <w:tc>
          <w:tcPr>
            <w:tcW w:w="979" w:type="dxa"/>
          </w:tcPr>
          <w:p w14:paraId="05283376" w14:textId="77777777" w:rsidR="00B17E5F" w:rsidRPr="00D14B09" w:rsidRDefault="00B17E5F" w:rsidP="00D14B09">
            <w:pPr>
              <w:pStyle w:val="NoSpacing"/>
              <w:rPr>
                <w:sz w:val="22"/>
                <w:szCs w:val="22"/>
              </w:rPr>
            </w:pPr>
            <w:r w:rsidRPr="00D14B09">
              <w:rPr>
                <w:sz w:val="22"/>
                <w:szCs w:val="22"/>
              </w:rPr>
              <w:t>Preheating and precooling through ventilation</w:t>
            </w:r>
          </w:p>
        </w:tc>
        <w:tc>
          <w:tcPr>
            <w:tcW w:w="975" w:type="dxa"/>
          </w:tcPr>
          <w:p w14:paraId="724AE272" w14:textId="77777777" w:rsidR="00B17E5F" w:rsidRPr="00D14B09" w:rsidRDefault="00B17E5F" w:rsidP="00D14B09">
            <w:pPr>
              <w:pStyle w:val="NoSpacing"/>
              <w:rPr>
                <w:sz w:val="22"/>
                <w:szCs w:val="22"/>
              </w:rPr>
            </w:pPr>
            <w:r w:rsidRPr="00D14B09">
              <w:rPr>
                <w:sz w:val="22"/>
                <w:szCs w:val="22"/>
              </w:rPr>
              <w:t>Energy savings of 10.1%–12% in summer and 26.6%–32.8% in winter</w:t>
            </w:r>
          </w:p>
        </w:tc>
        <w:tc>
          <w:tcPr>
            <w:tcW w:w="900" w:type="dxa"/>
          </w:tcPr>
          <w:p w14:paraId="3DDE328A" w14:textId="77777777" w:rsidR="00B17E5F" w:rsidRPr="00D14B09" w:rsidRDefault="00B17E5F" w:rsidP="00D14B09">
            <w:pPr>
              <w:pStyle w:val="NoSpacing"/>
              <w:rPr>
                <w:sz w:val="22"/>
                <w:szCs w:val="22"/>
              </w:rPr>
            </w:pPr>
            <w:r w:rsidRPr="00D14B09">
              <w:rPr>
                <w:sz w:val="22"/>
                <w:szCs w:val="22"/>
              </w:rPr>
              <w:t>Demand-based savings of 14.7% in summer, 30.4% in winter</w:t>
            </w:r>
          </w:p>
        </w:tc>
        <w:tc>
          <w:tcPr>
            <w:tcW w:w="780" w:type="dxa"/>
          </w:tcPr>
          <w:p w14:paraId="1045AD2E" w14:textId="77777777" w:rsidR="00B17E5F" w:rsidRPr="00D14B09" w:rsidRDefault="00B17E5F" w:rsidP="00D14B09">
            <w:pPr>
              <w:pStyle w:val="NoSpacing"/>
              <w:rPr>
                <w:sz w:val="22"/>
                <w:szCs w:val="22"/>
              </w:rPr>
            </w:pPr>
            <w:r w:rsidRPr="00D14B09">
              <w:rPr>
                <w:sz w:val="22"/>
                <w:szCs w:val="22"/>
              </w:rPr>
              <w:t>Not reported</w:t>
            </w:r>
          </w:p>
        </w:tc>
      </w:tr>
      <w:tr w:rsidR="00B17E5F" w:rsidRPr="00D14B09" w14:paraId="1D308E0B" w14:textId="77777777" w:rsidTr="00744EBA">
        <w:trPr>
          <w:trHeight w:val="353"/>
        </w:trPr>
        <w:tc>
          <w:tcPr>
            <w:tcW w:w="879" w:type="dxa"/>
          </w:tcPr>
          <w:sdt>
            <w:sdtPr>
              <w:rPr>
                <w:color w:val="000000"/>
                <w:sz w:val="22"/>
                <w:szCs w:val="22"/>
              </w:rPr>
              <w:tag w:val="MENDELEY_CITATION_v3_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"/>
              <w:id w:val="1712843782"/>
              <w:placeholder>
                <w:docPart w:val="662E0CD877AE4271903191D9E1F0C21F"/>
              </w:placeholder>
            </w:sdtPr>
            <w:sdtContent>
              <w:p w14:paraId="251EA561" w14:textId="6FE4A4F1" w:rsidR="00B17E5F" w:rsidRPr="00D14B09" w:rsidRDefault="001E7ECF" w:rsidP="00D14B09">
                <w:pPr>
                  <w:pStyle w:val="NoSpacing"/>
                  <w:rPr>
                    <w:color w:val="000000"/>
                    <w:sz w:val="22"/>
                    <w:szCs w:val="22"/>
                  </w:rPr>
                </w:pPr>
                <w:r w:rsidRPr="001E7ECF">
                  <w:rPr>
                    <w:color w:val="000000"/>
                    <w:sz w:val="22"/>
                    <w:szCs w:val="22"/>
                  </w:rPr>
                  <w:t>[135]</w:t>
                </w:r>
              </w:p>
            </w:sdtContent>
          </w:sdt>
        </w:tc>
        <w:tc>
          <w:tcPr>
            <w:tcW w:w="1222" w:type="dxa"/>
          </w:tcPr>
          <w:p w14:paraId="23BB307D" w14:textId="77777777" w:rsidR="00B17E5F" w:rsidRPr="00D14B09" w:rsidRDefault="00B17E5F" w:rsidP="00D14B09">
            <w:pPr>
              <w:pStyle w:val="NoSpacing"/>
              <w:rPr>
                <w:sz w:val="22"/>
                <w:szCs w:val="22"/>
              </w:rPr>
            </w:pPr>
            <w:r w:rsidRPr="00D14B09">
              <w:rPr>
                <w:sz w:val="22"/>
                <w:szCs w:val="22"/>
              </w:rPr>
              <w:t>n-paraﬃn (20°C–30°C)</w:t>
            </w:r>
          </w:p>
        </w:tc>
        <w:tc>
          <w:tcPr>
            <w:tcW w:w="977" w:type="dxa"/>
          </w:tcPr>
          <w:p w14:paraId="5F3FF25E" w14:textId="77777777" w:rsidR="00B17E5F" w:rsidRPr="00D14B09" w:rsidRDefault="00B17E5F" w:rsidP="00D14B09">
            <w:pPr>
              <w:pStyle w:val="NoSpacing"/>
              <w:rPr>
                <w:sz w:val="22"/>
                <w:szCs w:val="22"/>
              </w:rPr>
            </w:pPr>
            <w:r w:rsidRPr="00D14B09">
              <w:rPr>
                <w:sz w:val="22"/>
                <w:szCs w:val="22"/>
              </w:rPr>
              <w:t>In frame wall of air-conditioned building</w:t>
            </w:r>
          </w:p>
        </w:tc>
        <w:tc>
          <w:tcPr>
            <w:tcW w:w="1069" w:type="dxa"/>
          </w:tcPr>
          <w:p w14:paraId="3341DA83" w14:textId="77777777" w:rsidR="00B17E5F" w:rsidRPr="00D14B09" w:rsidRDefault="00B17E5F" w:rsidP="00D14B09">
            <w:pPr>
              <w:pStyle w:val="NoSpacing"/>
              <w:rPr>
                <w:sz w:val="22"/>
                <w:szCs w:val="22"/>
              </w:rPr>
            </w:pPr>
            <w:r w:rsidRPr="00D14B09">
              <w:rPr>
                <w:sz w:val="22"/>
                <w:szCs w:val="22"/>
              </w:rPr>
              <w:t>Experiment, Lawrence, Kansas, United States</w:t>
            </w:r>
          </w:p>
        </w:tc>
        <w:tc>
          <w:tcPr>
            <w:tcW w:w="817" w:type="dxa"/>
          </w:tcPr>
          <w:p w14:paraId="0068AFAE" w14:textId="77777777" w:rsidR="00B17E5F" w:rsidRPr="00D14B09" w:rsidRDefault="00B17E5F" w:rsidP="00D14B09">
            <w:pPr>
              <w:pStyle w:val="NoSpacing"/>
              <w:rPr>
                <w:sz w:val="22"/>
                <w:szCs w:val="22"/>
              </w:rPr>
            </w:pPr>
            <w:r w:rsidRPr="00D14B09">
              <w:rPr>
                <w:sz w:val="22"/>
                <w:szCs w:val="22"/>
              </w:rPr>
              <w:t>Peak load shift</w:t>
            </w:r>
          </w:p>
        </w:tc>
        <w:tc>
          <w:tcPr>
            <w:tcW w:w="979" w:type="dxa"/>
          </w:tcPr>
          <w:p w14:paraId="4B2862C1" w14:textId="77777777" w:rsidR="00B17E5F" w:rsidRPr="00D14B09" w:rsidRDefault="00B17E5F" w:rsidP="00D14B09">
            <w:pPr>
              <w:pStyle w:val="NoSpacing"/>
              <w:rPr>
                <w:sz w:val="22"/>
                <w:szCs w:val="22"/>
              </w:rPr>
            </w:pPr>
            <w:r w:rsidRPr="00D14B09">
              <w:rPr>
                <w:sz w:val="22"/>
                <w:szCs w:val="22"/>
              </w:rPr>
              <w:t>PCM charged using ambient temperature and diurnal swing</w:t>
            </w:r>
          </w:p>
        </w:tc>
        <w:tc>
          <w:tcPr>
            <w:tcW w:w="975" w:type="dxa"/>
          </w:tcPr>
          <w:p w14:paraId="676156F6" w14:textId="77777777" w:rsidR="00B17E5F" w:rsidRPr="00D14B09" w:rsidRDefault="00B17E5F" w:rsidP="00D14B09">
            <w:pPr>
              <w:pStyle w:val="NoSpacing"/>
              <w:rPr>
                <w:sz w:val="22"/>
                <w:szCs w:val="22"/>
              </w:rPr>
            </w:pPr>
            <w:r w:rsidRPr="00D14B09">
              <w:rPr>
                <w:sz w:val="22"/>
                <w:szCs w:val="22"/>
              </w:rPr>
              <w:t>8.6%–10.8% cooling load reduced</w:t>
            </w:r>
          </w:p>
        </w:tc>
        <w:tc>
          <w:tcPr>
            <w:tcW w:w="900" w:type="dxa"/>
          </w:tcPr>
          <w:p w14:paraId="1C520338" w14:textId="77777777" w:rsidR="00B17E5F" w:rsidRPr="00D14B09" w:rsidRDefault="00B17E5F" w:rsidP="00D14B09">
            <w:pPr>
              <w:pStyle w:val="NoSpacing"/>
              <w:rPr>
                <w:sz w:val="22"/>
                <w:szCs w:val="22"/>
              </w:rPr>
            </w:pPr>
            <w:r w:rsidRPr="00D14B09">
              <w:rPr>
                <w:sz w:val="22"/>
                <w:szCs w:val="22"/>
              </w:rPr>
              <w:t>Peak load shifted, spread over 13 h</w:t>
            </w:r>
          </w:p>
        </w:tc>
        <w:tc>
          <w:tcPr>
            <w:tcW w:w="780" w:type="dxa"/>
          </w:tcPr>
          <w:p w14:paraId="11524BBF" w14:textId="77777777" w:rsidR="00B17E5F" w:rsidRPr="00D14B09" w:rsidRDefault="00B17E5F" w:rsidP="00D14B09">
            <w:pPr>
              <w:pStyle w:val="NoSpacing"/>
              <w:rPr>
                <w:sz w:val="22"/>
                <w:szCs w:val="22"/>
              </w:rPr>
            </w:pPr>
            <w:r w:rsidRPr="00D14B09">
              <w:rPr>
                <w:sz w:val="22"/>
                <w:szCs w:val="22"/>
              </w:rPr>
              <w:t>Not reported</w:t>
            </w:r>
          </w:p>
        </w:tc>
      </w:tr>
    </w:tbl>
    <w:p w14:paraId="6AC6038D" w14:textId="77777777" w:rsidR="00B17E5F" w:rsidRPr="00322E56" w:rsidRDefault="00B17E5F" w:rsidP="00C4675D">
      <w:pPr>
        <w:jc w:val="center"/>
        <w:rPr>
          <w:rFonts w:cs="Times New Roman"/>
        </w:rPr>
      </w:pPr>
    </w:p>
    <w:p w14:paraId="3FEAA1BE" w14:textId="77777777" w:rsidR="00744EBA" w:rsidRDefault="00B17E5F" w:rsidP="00744EBA">
      <w:pPr>
        <w:rPr>
          <w:rFonts w:cs="Times New Roman"/>
        </w:rPr>
      </w:pPr>
      <w:r w:rsidRPr="00322E56">
        <w:rPr>
          <w:rFonts w:cs="Times New Roman"/>
        </w:rPr>
        <w:br w:type="page"/>
      </w:r>
      <w:r w:rsidR="00744EBA" w:rsidRPr="00322E56">
        <w:rPr>
          <w:rFonts w:cs="Times New Roman"/>
        </w:rPr>
        <w:lastRenderedPageBreak/>
        <w:t>Figure 5 shows the locations of different passive HP-TES systems in building, as reported in literature. All of these are embedded in the interior or exterior envelope of the building.</w:t>
      </w:r>
    </w:p>
    <w:p w14:paraId="211A08F9" w14:textId="77777777" w:rsidR="00744EBA" w:rsidRPr="00322E56" w:rsidRDefault="00744EBA" w:rsidP="00744EBA">
      <w:pPr>
        <w:rPr>
          <w:rFonts w:cs="Times New Roman"/>
        </w:rPr>
      </w:pPr>
      <w:r w:rsidRPr="00322E56">
        <w:rPr>
          <w:rFonts w:cs="Times New Roman"/>
        </w:rPr>
        <w:t>The energy and cost saving benefits are more prominent for heating-only systems than for cooling-only systems. Most of the heating systems use solar heat gains passively to charge the PCM, and the diurnal temperature difference works in the building’s favor to discharge PCM at night, simultaneously shifting the demand to off-peak hours. In the cooling-only case, for the free or passive cooling, the building’s thermal capacity is enhanced. PCMs store the solar heat during the day that otherwise would be accumulated by the building and solidify when the ambient temperature drops. Such systems do not necessarily provide A/C and depend on ambient temperature, solar radiation, and diurnal temperature swing range. An additional system is required to control and charge the PCMs to achieve significant savings.</w:t>
      </w:r>
    </w:p>
    <w:p w14:paraId="7ED6EEB4" w14:textId="77777777" w:rsidR="00744EBA" w:rsidRDefault="00744EBA" w:rsidP="00744EBA">
      <w:pPr>
        <w:rPr>
          <w:rFonts w:cs="Times New Roman"/>
        </w:rPr>
      </w:pPr>
      <w:r w:rsidRPr="00322E56">
        <w:rPr>
          <w:rFonts w:cs="Times New Roman"/>
        </w:rPr>
        <w:t>For both systems, indoor comfort is often compromised, and combined annual benefits are not as promising as for heating-only systems. Thus, the payback period for most systems is more than 10 years.</w:t>
      </w:r>
    </w:p>
    <w:p w14:paraId="5F309862" w14:textId="77777777" w:rsidR="00744EBA" w:rsidRPr="00322E56" w:rsidRDefault="00744EBA" w:rsidP="00744EBA">
      <w:pPr>
        <w:pStyle w:val="Heading3"/>
        <w:rPr>
          <w:rFonts w:cs="Times New Roman"/>
        </w:rPr>
      </w:pPr>
      <w:bookmarkStart w:id="61" w:name="_Toc140399822"/>
      <w:r w:rsidRPr="00322E56">
        <w:rPr>
          <w:rFonts w:cs="Times New Roman"/>
        </w:rPr>
        <w:t>Active HP-TES</w:t>
      </w:r>
      <w:bookmarkEnd w:id="61"/>
    </w:p>
    <w:p w14:paraId="6652D658" w14:textId="77777777" w:rsidR="00744EBA" w:rsidRDefault="00744EBA" w:rsidP="00744EBA">
      <w:pPr>
        <w:rPr>
          <w:rFonts w:cs="Times New Roman"/>
        </w:rPr>
      </w:pPr>
      <w:r w:rsidRPr="00322E56">
        <w:rPr>
          <w:rFonts w:cs="Times New Roman"/>
        </w:rPr>
        <w:t xml:space="preserve">Ideally, passive TES configurations can offset the peak demand by shifting loads. However, they cannot control the charging or discharging operation to optimize grid benefits. Active HP-TES configurations offer a high level of control of indoor conditions and improve heat energy storage </w:t>
      </w:r>
      <w:sdt>
        <w:sdtPr>
          <w:rPr>
            <w:rFonts w:cs="Times New Roman"/>
            <w:color w:val="000000"/>
            <w:shd w:val="clear" w:color="auto" w:fill="E6E6E6"/>
          </w:rPr>
          <w:tag w:val="MENDELEY_CITATION_v3_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"/>
          <w:id w:val="175233729"/>
          <w:placeholder>
            <w:docPart w:val="9424CAA92A73464F862BAB90334D3C8A"/>
          </w:placeholder>
        </w:sdtPr>
        <w:sdtContent>
          <w:r w:rsidRPr="001E7ECF">
            <w:rPr>
              <w:rFonts w:cs="Times New Roman"/>
              <w:color w:val="000000"/>
            </w:rPr>
            <w:t>[23]</w:t>
          </w:r>
        </w:sdtContent>
      </w:sdt>
      <w:r w:rsidRPr="00322E56">
        <w:rPr>
          <w:rFonts w:cs="Times New Roman"/>
        </w:rPr>
        <w:t xml:space="preserve"> by allowing real-time charging and discharging for grid-interactive operation. </w:t>
      </w:r>
    </w:p>
    <w:p w14:paraId="1BB2A20A" w14:textId="77777777" w:rsidR="00744EBA" w:rsidRPr="00322E56" w:rsidRDefault="00744EBA" w:rsidP="00744EBA">
      <w:pPr>
        <w:rPr>
          <w:rFonts w:cs="Times New Roman"/>
          <w:sz w:val="28"/>
          <w:szCs w:val="28"/>
        </w:rPr>
      </w:pPr>
      <w:r w:rsidRPr="00322E56">
        <w:rPr>
          <w:rFonts w:cs="Times New Roman"/>
        </w:rPr>
        <w:t>We categorized active TES configurations into three types based on PCM location and integration, and each type is addressed in the following sections. The three types are as follows:</w:t>
      </w:r>
    </w:p>
    <w:p w14:paraId="2EFF19D9" w14:textId="77777777" w:rsidR="00744EBA" w:rsidRPr="00322E56" w:rsidRDefault="00744EBA" w:rsidP="00744EBA">
      <w:pPr>
        <w:pStyle w:val="ListParagraph"/>
        <w:numPr>
          <w:ilvl w:val="0"/>
          <w:numId w:val="5"/>
        </w:numPr>
        <w:rPr>
          <w:rFonts w:cs="Times New Roman"/>
          <w:sz w:val="24"/>
          <w:szCs w:val="24"/>
        </w:rPr>
      </w:pPr>
      <w:r w:rsidRPr="00322E56">
        <w:rPr>
          <w:rFonts w:cs="Times New Roman"/>
          <w:sz w:val="24"/>
          <w:szCs w:val="24"/>
        </w:rPr>
        <w:t>Building envelope integration</w:t>
      </w:r>
    </w:p>
    <w:p w14:paraId="498323F8" w14:textId="7D57D0BF" w:rsidR="00B17E5F" w:rsidRPr="007A7EF2" w:rsidRDefault="00744EBA" w:rsidP="007A7EF2">
      <w:pPr>
        <w:pStyle w:val="ListParagraph"/>
        <w:numPr>
          <w:ilvl w:val="0"/>
          <w:numId w:val="5"/>
        </w:numPr>
        <w:rPr>
          <w:rFonts w:cs="Times New Roman"/>
          <w:sz w:val="24"/>
          <w:szCs w:val="24"/>
        </w:rPr>
      </w:pPr>
      <w:r w:rsidRPr="00322E56">
        <w:rPr>
          <w:rFonts w:cs="Times New Roman"/>
          <w:sz w:val="24"/>
          <w:szCs w:val="24"/>
        </w:rPr>
        <w:t>Air distribution system</w:t>
      </w:r>
    </w:p>
    <w:p w14:paraId="4707C2BA" w14:textId="77777777" w:rsidR="00B17E5F" w:rsidRPr="00322E56" w:rsidRDefault="00B17E5F" w:rsidP="00C4675D">
      <w:pPr>
        <w:jc w:val="center"/>
        <w:rPr>
          <w:rFonts w:cs="Times New Roman"/>
        </w:rPr>
      </w:pPr>
      <w:r w:rsidRPr="00322E56">
        <w:rPr>
          <w:rFonts w:cs="Times New Roman"/>
          <w:noProof/>
        </w:rPr>
        <w:lastRenderedPageBreak/>
        <w:drawing>
          <wp:inline distT="0" distB="0" distL="0" distR="0" wp14:anchorId="31AAE9A3" wp14:editId="04D1EAB6">
            <wp:extent cx="4572000" cy="356975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72000" cy="3569759"/>
                    </a:xfrm>
                    <a:prstGeom prst="rect">
                      <a:avLst/>
                    </a:prstGeom>
                    <a:noFill/>
                  </pic:spPr>
                </pic:pic>
              </a:graphicData>
            </a:graphic>
          </wp:inline>
        </w:drawing>
      </w:r>
    </w:p>
    <w:p w14:paraId="0FC6270D" w14:textId="2086694D" w:rsidR="00B17E5F" w:rsidRPr="00322E56" w:rsidRDefault="00B17E5F" w:rsidP="00C4675D">
      <w:pPr>
        <w:pStyle w:val="Caption"/>
        <w:jc w:val="center"/>
        <w:rPr>
          <w:rFonts w:cs="Times New Roman"/>
        </w:rPr>
      </w:pPr>
      <w:bookmarkStart w:id="62" w:name="_Toc140403871"/>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5</w:t>
      </w:r>
      <w:r w:rsidRPr="00322E56">
        <w:rPr>
          <w:rFonts w:cs="Times New Roman"/>
        </w:rPr>
        <w:fldChar w:fldCharType="end"/>
      </w:r>
      <w:r w:rsidRPr="00322E56">
        <w:rPr>
          <w:rFonts w:cs="Times New Roman"/>
        </w:rPr>
        <w:t>: Passive storage locations in the building.</w:t>
      </w:r>
      <w:bookmarkEnd w:id="62"/>
    </w:p>
    <w:p w14:paraId="3FD4CA28" w14:textId="77777777" w:rsidR="00B17E5F" w:rsidRPr="00322E56" w:rsidRDefault="00B17E5F" w:rsidP="00EA2E17">
      <w:pPr>
        <w:rPr>
          <w:rFonts w:cs="Times New Roman"/>
        </w:rPr>
      </w:pPr>
    </w:p>
    <w:p w14:paraId="615C2F5B" w14:textId="77777777" w:rsidR="00B17E5F" w:rsidRPr="00322E56" w:rsidRDefault="00B17E5F" w:rsidP="00EA2E17">
      <w:pPr>
        <w:rPr>
          <w:rFonts w:cs="Times New Roman"/>
        </w:rPr>
      </w:pPr>
      <w:r w:rsidRPr="00322E56">
        <w:rPr>
          <w:rFonts w:cs="Times New Roman"/>
        </w:rPr>
        <w:br w:type="page"/>
      </w:r>
    </w:p>
    <w:p w14:paraId="460C1605" w14:textId="47298975" w:rsidR="00744EBA" w:rsidRPr="00744EBA" w:rsidRDefault="00744EBA" w:rsidP="00744EBA">
      <w:pPr>
        <w:pStyle w:val="ListParagraph"/>
        <w:numPr>
          <w:ilvl w:val="0"/>
          <w:numId w:val="5"/>
        </w:numPr>
        <w:rPr>
          <w:rFonts w:cs="Times New Roman"/>
          <w:sz w:val="24"/>
          <w:szCs w:val="24"/>
        </w:rPr>
      </w:pPr>
      <w:r w:rsidRPr="00322E56">
        <w:rPr>
          <w:rFonts w:cs="Times New Roman"/>
          <w:sz w:val="24"/>
          <w:szCs w:val="24"/>
        </w:rPr>
        <w:lastRenderedPageBreak/>
        <w:t>Vapor compression system (VCS): load side and source side</w:t>
      </w:r>
    </w:p>
    <w:p w14:paraId="22F4ED74" w14:textId="55234B49" w:rsidR="00B17E5F" w:rsidRPr="00322E56" w:rsidRDefault="00B17E5F" w:rsidP="0032783F">
      <w:pPr>
        <w:pStyle w:val="Heading3"/>
        <w:rPr>
          <w:rFonts w:cs="Times New Roman"/>
        </w:rPr>
      </w:pPr>
      <w:bookmarkStart w:id="63" w:name="_Toc140399823"/>
      <w:r w:rsidRPr="00322E56">
        <w:rPr>
          <w:rFonts w:cs="Times New Roman"/>
        </w:rPr>
        <w:t>Building Envelope</w:t>
      </w:r>
      <w:bookmarkEnd w:id="63"/>
    </w:p>
    <w:p w14:paraId="29464FF6" w14:textId="77777777" w:rsidR="00B17E5F" w:rsidRPr="00322E56" w:rsidRDefault="00B17E5F" w:rsidP="0032783F">
      <w:pPr>
        <w:rPr>
          <w:rFonts w:cs="Times New Roman"/>
        </w:rPr>
      </w:pPr>
      <w:r w:rsidRPr="00322E56">
        <w:rPr>
          <w:rFonts w:cs="Times New Roman"/>
        </w:rPr>
        <w:t>Few studies have examined active configurations in the building envelope. In these studies, PCMs are installed in an HX coupled with an HP or HVAC unit.</w:t>
      </w:r>
    </w:p>
    <w:p w14:paraId="09765B86" w14:textId="69BD2E81" w:rsidR="00B17E5F" w:rsidRPr="00322E56" w:rsidRDefault="00B17E5F" w:rsidP="0032783F">
      <w:pPr>
        <w:rPr>
          <w:rFonts w:cs="Times New Roman"/>
        </w:rPr>
      </w:pPr>
      <w:r w:rsidRPr="00322E56">
        <w:rPr>
          <w:rFonts w:cs="Times New Roman"/>
        </w:rPr>
        <w:t xml:space="preserve">Mazo </w:t>
      </w:r>
      <w:sdt>
        <w:sdtPr>
          <w:rPr>
            <w:rFonts w:cs="Times New Roman"/>
            <w:color w:val="000000"/>
            <w:shd w:val="clear" w:color="auto" w:fill="E6E6E6"/>
          </w:rPr>
          <w:tag w:val="MENDELEY_CITATION_v3_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"/>
          <w:id w:val="1002323653"/>
          <w:placeholder>
            <w:docPart w:val="22CAC8B557BC45398B751388E859A05F"/>
          </w:placeholder>
        </w:sdtPr>
        <w:sdtContent>
          <w:r w:rsidR="001E7ECF" w:rsidRPr="001E7ECF">
            <w:rPr>
              <w:rFonts w:cs="Times New Roman"/>
              <w:color w:val="000000"/>
            </w:rPr>
            <w:t>[46]</w:t>
          </w:r>
        </w:sdtContent>
      </w:sdt>
      <w:r w:rsidRPr="00322E56">
        <w:rPr>
          <w:rFonts w:cs="Times New Roman"/>
        </w:rPr>
        <w:t xml:space="preserve"> developed a model to simulate a PCM radiant floor system coupled with an HP that operates during the night to supply hot water to the system. The stored energy is discharged during the day to shift the electric energy consumption from peak hours.</w:t>
      </w:r>
    </w:p>
    <w:p w14:paraId="1CA1DE47" w14:textId="53ED8A2E" w:rsidR="00B17E5F" w:rsidRPr="00322E56" w:rsidRDefault="00B17E5F" w:rsidP="0032783F">
      <w:pPr>
        <w:rPr>
          <w:rFonts w:cs="Times New Roman"/>
        </w:rPr>
      </w:pPr>
      <w:r w:rsidRPr="00322E56">
        <w:rPr>
          <w:rFonts w:cs="Times New Roman"/>
        </w:rPr>
        <w:t xml:space="preserve">Kondo </w:t>
      </w:r>
      <w:sdt>
        <w:sdtPr>
          <w:rPr>
            <w:rFonts w:cs="Times New Roman"/>
            <w:color w:val="000000"/>
            <w:shd w:val="clear" w:color="auto" w:fill="E6E6E6"/>
          </w:rPr>
          <w:tag w:val="MENDELEY_CITATION_v3_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"/>
          <w:id w:val="-1165626424"/>
          <w:placeholder>
            <w:docPart w:val="22CAC8B557BC45398B751388E859A05F"/>
          </w:placeholder>
        </w:sdtPr>
        <w:sdtContent>
          <w:r w:rsidR="001E7ECF" w:rsidRPr="001E7ECF">
            <w:rPr>
              <w:rFonts w:cs="Times New Roman"/>
              <w:color w:val="000000"/>
            </w:rPr>
            <w:t>[136]</w:t>
          </w:r>
        </w:sdtContent>
      </w:sdt>
      <w:r w:rsidRPr="00322E56">
        <w:rPr>
          <w:rFonts w:cs="Times New Roman"/>
        </w:rPr>
        <w:t xml:space="preserve"> enhanced a PCM ceiling board to reduce the air handling unit (AHU) load for A/C using peak shaving controls. The cold air from the AHU passes through the ceiling chamber, charging the PCM overnight using a less expensive nighttime tariff. The stored cooling energy is then used to precool the return air during peak hours, thus reducing the thermal load.</w:t>
      </w:r>
    </w:p>
    <w:p w14:paraId="08D8FEEC" w14:textId="3CA33546" w:rsidR="00B17E5F" w:rsidRPr="00322E56" w:rsidRDefault="00B17E5F" w:rsidP="0032783F">
      <w:pPr>
        <w:rPr>
          <w:rFonts w:cs="Times New Roman"/>
        </w:rPr>
      </w:pPr>
      <w:r w:rsidRPr="00322E56">
        <w:rPr>
          <w:rFonts w:cs="Times New Roman"/>
        </w:rPr>
        <w:t xml:space="preserve">Zhu et al. </w:t>
      </w:r>
      <w:sdt>
        <w:sdtPr>
          <w:rPr>
            <w:rFonts w:cs="Times New Roman"/>
            <w:color w:val="000000"/>
            <w:shd w:val="clear" w:color="auto" w:fill="E6E6E6"/>
          </w:rPr>
          <w:tag w:val="MENDELEY_CITATION_v3_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"/>
          <w:id w:val="-1200632318"/>
          <w:placeholder>
            <w:docPart w:val="22CAC8B557BC45398B751388E859A05F"/>
          </w:placeholder>
        </w:sdtPr>
        <w:sdtContent>
          <w:r w:rsidR="001E7ECF" w:rsidRPr="001E7ECF">
            <w:rPr>
              <w:rFonts w:cs="Times New Roman"/>
              <w:color w:val="000000"/>
            </w:rPr>
            <w:t>[137]</w:t>
          </w:r>
        </w:sdtContent>
      </w:sdt>
      <w:r w:rsidRPr="00322E56">
        <w:rPr>
          <w:rFonts w:cs="Times New Roman"/>
        </w:rPr>
        <w:t xml:space="preserve"> studied the influence of different demand-limiting control strategies on energy consumption and electricity cost of air-conditioned buildings using PCMs in the wall to enhance the envelope of the air-conditioned PCM building. They developed and used two control strategies for load shifting and demand management. The load-shifting strategy reduced energy consumption by using off-peak electricity to store the cooling energy, and the demand management strategy reduced the peak demand by resetting the temperature set point. The PCMs were precooled during the off-peak period and discharged during peak hours.</w:t>
      </w:r>
    </w:p>
    <w:p w14:paraId="07B84EE6" w14:textId="77777777" w:rsidR="00B17E5F" w:rsidRPr="00322E56" w:rsidRDefault="00B17E5F" w:rsidP="0032783F">
      <w:pPr>
        <w:pStyle w:val="Heading3"/>
        <w:rPr>
          <w:rFonts w:cs="Times New Roman"/>
        </w:rPr>
      </w:pPr>
      <w:bookmarkStart w:id="64" w:name="_Toc140399824"/>
      <w:r w:rsidRPr="00322E56">
        <w:rPr>
          <w:rFonts w:cs="Times New Roman"/>
        </w:rPr>
        <w:t>Air Distribution</w:t>
      </w:r>
      <w:bookmarkEnd w:id="64"/>
    </w:p>
    <w:p w14:paraId="44B772A5" w14:textId="77777777" w:rsidR="00B17E5F" w:rsidRPr="00322E56" w:rsidRDefault="00B17E5F" w:rsidP="0032783F">
      <w:pPr>
        <w:rPr>
          <w:rFonts w:cs="Times New Roman"/>
        </w:rPr>
      </w:pPr>
      <w:r w:rsidRPr="00322E56">
        <w:rPr>
          <w:rFonts w:cs="Times New Roman"/>
        </w:rPr>
        <w:t>PCMs can be installed in the supply or return air distribution loop, which is the most used configuration in HP-TES literature. Notable studies are described in this section; others are covered in Tables 6, 7, and 8.</w:t>
      </w:r>
    </w:p>
    <w:p w14:paraId="4CB5FA69" w14:textId="0F28DC4E" w:rsidR="00B17E5F" w:rsidRPr="00322E56" w:rsidRDefault="00B17E5F" w:rsidP="0032783F">
      <w:pPr>
        <w:rPr>
          <w:rFonts w:cs="Times New Roman"/>
        </w:rPr>
      </w:pPr>
      <w:r w:rsidRPr="00322E56">
        <w:rPr>
          <w:rFonts w:cs="Times New Roman"/>
        </w:rPr>
        <w:t xml:space="preserve">Yamaha and Misaki </w:t>
      </w:r>
      <w:sdt>
        <w:sdtPr>
          <w:rPr>
            <w:rFonts w:cs="Times New Roman"/>
            <w:color w:val="000000"/>
            <w:shd w:val="clear" w:color="auto" w:fill="E6E6E6"/>
          </w:rPr>
          <w:tag w:val="MENDELEY_CITATION_v3_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"/>
          <w:id w:val="1437858515"/>
          <w:placeholder>
            <w:docPart w:val="ADEF4C19B9C74D3D93D5507C292072E3"/>
          </w:placeholder>
        </w:sdtPr>
        <w:sdtContent>
          <w:r w:rsidR="001E7ECF" w:rsidRPr="001E7ECF">
            <w:rPr>
              <w:rFonts w:cs="Times New Roman"/>
              <w:color w:val="000000"/>
            </w:rPr>
            <w:t>[138]</w:t>
          </w:r>
        </w:sdtContent>
      </w:sdt>
      <w:r w:rsidRPr="00322E56">
        <w:rPr>
          <w:rFonts w:cs="Times New Roman"/>
        </w:rPr>
        <w:t xml:space="preserve"> evaluated peak shaving using PCM-based storage equipped with an air distribution system for cooling. The A/C was turned off during peak hours, and </w:t>
      </w:r>
      <w:r w:rsidRPr="00322E56">
        <w:rPr>
          <w:rFonts w:cs="Times New Roman"/>
        </w:rPr>
        <w:lastRenderedPageBreak/>
        <w:t>the stored energy was discharged through night-cooled PCMs. The paraffin-based PCMs with a 19°C melting temperature maintained the comfort level during the discharge period.</w:t>
      </w:r>
    </w:p>
    <w:p w14:paraId="7C545925" w14:textId="008A3077" w:rsidR="00B17E5F" w:rsidRPr="00322E56" w:rsidRDefault="00B17E5F" w:rsidP="0032783F">
      <w:pPr>
        <w:rPr>
          <w:rFonts w:cs="Times New Roman"/>
        </w:rPr>
      </w:pPr>
      <w:r w:rsidRPr="00322E56">
        <w:rPr>
          <w:rFonts w:cs="Times New Roman"/>
        </w:rPr>
        <w:t xml:space="preserve">Tyagi et al. </w:t>
      </w:r>
      <w:sdt>
        <w:sdtPr>
          <w:rPr>
            <w:rFonts w:cs="Times New Roman"/>
            <w:color w:val="000000"/>
            <w:shd w:val="clear" w:color="auto" w:fill="E6E6E6"/>
          </w:rPr>
          <w:tag w:val="MENDELEY_CITATION_v3_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"/>
          <w:id w:val="-530730087"/>
          <w:placeholder>
            <w:docPart w:val="3598A33D782849A9B9798C0519D1668F"/>
          </w:placeholder>
        </w:sdtPr>
        <w:sdtContent>
          <w:r w:rsidR="001E7ECF" w:rsidRPr="001E7ECF">
            <w:rPr>
              <w:rFonts w:cs="Times New Roman"/>
              <w:color w:val="000000"/>
            </w:rPr>
            <w:t>[139]</w:t>
          </w:r>
        </w:sdtContent>
      </w:sdt>
      <w:r w:rsidRPr="00322E56">
        <w:rPr>
          <w:rFonts w:cs="Times New Roman"/>
        </w:rPr>
        <w:t xml:space="preserve"> assessed the thermal performance and economic evaluation of PCM encapsulated in thermal management systems equipped with A/C to reduce the cooling peak demand by offsetting the peak period cooling energy. The proposed system was tested in India’s hot climate by discharging at three different heat loads. The study suggests that the system can be economical and efficient in hot and humid areas around the world.</w:t>
      </w:r>
    </w:p>
    <w:p w14:paraId="4AECD9D3" w14:textId="360C27F1" w:rsidR="00B17E5F" w:rsidRPr="00322E56" w:rsidRDefault="00B17E5F" w:rsidP="0032783F">
      <w:pPr>
        <w:rPr>
          <w:rFonts w:cs="Times New Roman"/>
        </w:rPr>
      </w:pPr>
      <w:r w:rsidRPr="00322E56">
        <w:rPr>
          <w:rFonts w:cs="Times New Roman"/>
        </w:rPr>
        <w:t xml:space="preserve">Chaiyat </w:t>
      </w:r>
      <w:sdt>
        <w:sdtPr>
          <w:rPr>
            <w:rFonts w:cs="Times New Roman"/>
            <w:color w:val="000000"/>
            <w:shd w:val="clear" w:color="auto" w:fill="E6E6E6"/>
          </w:rPr>
          <w:tag w:val="MENDELEY_CITATION_v3_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"/>
          <w:id w:val="-1648127706"/>
          <w:placeholder>
            <w:docPart w:val="ADEF4C19B9C74D3D93D5507C292072E3"/>
          </w:placeholder>
        </w:sdtPr>
        <w:sdtContent>
          <w:r w:rsidR="001E7ECF" w:rsidRPr="001E7ECF">
            <w:rPr>
              <w:rFonts w:cs="Times New Roman"/>
              <w:color w:val="000000"/>
            </w:rPr>
            <w:t>[140]</w:t>
          </w:r>
        </w:sdtContent>
      </w:sdt>
      <w:r w:rsidRPr="00322E56">
        <w:rPr>
          <w:rFonts w:cs="Times New Roman"/>
        </w:rPr>
        <w:t xml:space="preserve"> and Chaiyat and Kiatsiriroat </w:t>
      </w:r>
      <w:sdt>
        <w:sdtPr>
          <w:rPr>
            <w:rFonts w:cs="Times New Roman"/>
            <w:color w:val="000000"/>
            <w:shd w:val="clear" w:color="auto" w:fill="E6E6E6"/>
          </w:rPr>
          <w:tag w:val="MENDELEY_CITATION_v3_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"/>
          <w:id w:val="1382593459"/>
          <w:placeholder>
            <w:docPart w:val="ADEF4C19B9C74D3D93D5507C292072E3"/>
          </w:placeholder>
        </w:sdtPr>
        <w:sdtContent>
          <w:r w:rsidR="001E7ECF" w:rsidRPr="001E7ECF">
            <w:rPr>
              <w:rFonts w:cs="Times New Roman"/>
              <w:color w:val="000000"/>
            </w:rPr>
            <w:t>[141]</w:t>
          </w:r>
        </w:sdtContent>
      </w:sdt>
      <w:r w:rsidRPr="00322E56">
        <w:rPr>
          <w:rFonts w:cs="Times New Roman"/>
        </w:rPr>
        <w:t xml:space="preserve"> improved the cooling efficiency of a conventional HVAC system using PCM-TES for the climatic conditions of Thailand. </w:t>
      </w:r>
      <w:bookmarkStart w:id="65" w:name="_Hlk92816364"/>
      <w:r w:rsidRPr="00322E56">
        <w:rPr>
          <w:rFonts w:cs="Times New Roman"/>
        </w:rPr>
        <w:t>The PCM was solidified during the night by the cold air from the HP. During the day, return air from the room was passed through the PCM, liquifying it and reducing the cooling load at the evaporator</w:t>
      </w:r>
      <w:bookmarkEnd w:id="65"/>
      <w:r w:rsidRPr="00322E56">
        <w:rPr>
          <w:rFonts w:cs="Times New Roman"/>
        </w:rPr>
        <w:t>.</w:t>
      </w:r>
    </w:p>
    <w:p w14:paraId="7B6D5761" w14:textId="77777777" w:rsidR="00B17E5F" w:rsidRPr="00322E56" w:rsidRDefault="00B17E5F" w:rsidP="00485053">
      <w:pPr>
        <w:pStyle w:val="Heading3"/>
        <w:rPr>
          <w:rFonts w:cs="Times New Roman"/>
        </w:rPr>
      </w:pPr>
      <w:bookmarkStart w:id="66" w:name="_Toc140399825"/>
      <w:r w:rsidRPr="00322E56">
        <w:rPr>
          <w:rFonts w:cs="Times New Roman"/>
        </w:rPr>
        <w:t>Vapor Compression System</w:t>
      </w:r>
      <w:bookmarkEnd w:id="66"/>
    </w:p>
    <w:p w14:paraId="2CBE1B60" w14:textId="77777777" w:rsidR="00B17E5F" w:rsidRPr="00322E56" w:rsidRDefault="00B17E5F" w:rsidP="00485053">
      <w:pPr>
        <w:rPr>
          <w:rFonts w:cs="Times New Roman"/>
        </w:rPr>
      </w:pPr>
      <w:bookmarkStart w:id="67" w:name="_Hlk92816596"/>
      <w:r w:rsidRPr="00322E56">
        <w:rPr>
          <w:rFonts w:cs="Times New Roman"/>
        </w:rPr>
        <w:t>PCMs can be installed in or coupled with HP components of the VCS (i.e., compressor, evaporator, and condenser). Some studies are described in this section, and others are summarized in Tables 7, 8, and 9.</w:t>
      </w:r>
    </w:p>
    <w:p w14:paraId="142D0486" w14:textId="3BFED170" w:rsidR="00B17E5F" w:rsidRPr="00322E56" w:rsidRDefault="00B17E5F" w:rsidP="00485053">
      <w:pPr>
        <w:rPr>
          <w:rFonts w:cs="Times New Roman"/>
        </w:rPr>
      </w:pPr>
      <w:r w:rsidRPr="00322E56">
        <w:rPr>
          <w:rFonts w:cs="Times New Roman"/>
        </w:rPr>
        <w:t xml:space="preserve">PCMs in a chiller were investigated by Bruno et al. </w:t>
      </w:r>
      <w:sdt>
        <w:sdtPr>
          <w:rPr>
            <w:rFonts w:cs="Times New Roman"/>
            <w:color w:val="000000"/>
            <w:shd w:val="clear" w:color="auto" w:fill="E6E6E6"/>
          </w:rPr>
          <w:tag w:val="MENDELEY_CITATION_v3_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"/>
          <w:id w:val="-2094622808"/>
          <w:placeholder>
            <w:docPart w:val="ADB6224DE09C4F68A208682CCACB9151"/>
          </w:placeholder>
        </w:sdtPr>
        <w:sdtContent>
          <w:r w:rsidR="001E7ECF" w:rsidRPr="001E7ECF">
            <w:rPr>
              <w:rFonts w:cs="Times New Roman"/>
              <w:color w:val="000000"/>
            </w:rPr>
            <w:t>[142]</w:t>
          </w:r>
        </w:sdtContent>
      </w:sdt>
      <w:r w:rsidRPr="00322E56">
        <w:rPr>
          <w:rFonts w:cs="Times New Roman"/>
        </w:rPr>
        <w:t xml:space="preserve">; energy savings were achieved by using PCMs for off-peak cooling. The cooling energy was provided through the chiller to the PCMs for solidification or to the building during off-peak hours. </w:t>
      </w:r>
      <w:bookmarkEnd w:id="67"/>
      <w:r w:rsidRPr="00322E56">
        <w:rPr>
          <w:rFonts w:cs="Times New Roman"/>
        </w:rPr>
        <w:t xml:space="preserve">Although about 85% of the cooling energy could be offset using an ice-based system, the overall energy demand increased by 7.6% because of the exergy loss by using TES. A </w:t>
      </w:r>
      <w:bookmarkStart w:id="68" w:name="_Hlk92816798"/>
      <w:r w:rsidRPr="00322E56">
        <w:rPr>
          <w:rFonts w:cs="Times New Roman"/>
        </w:rPr>
        <w:t>PCM with a 10°C melting temperature could save 13% energy</w:t>
      </w:r>
      <w:bookmarkEnd w:id="68"/>
      <w:r w:rsidRPr="00322E56">
        <w:rPr>
          <w:rFonts w:cs="Times New Roman"/>
        </w:rPr>
        <w:t xml:space="preserve">. The authors suggested optimizing </w:t>
      </w:r>
      <w:bookmarkStart w:id="69" w:name="_Hlk92816769"/>
      <w:r w:rsidRPr="00322E56">
        <w:rPr>
          <w:rFonts w:cs="Times New Roman"/>
        </w:rPr>
        <w:t xml:space="preserve">the charging time and duration depending on the outside temperature to minimize energy </w:t>
      </w:r>
      <w:bookmarkEnd w:id="69"/>
      <w:r w:rsidRPr="00322E56">
        <w:rPr>
          <w:rFonts w:cs="Times New Roman"/>
        </w:rPr>
        <w:t>consumption.</w:t>
      </w:r>
    </w:p>
    <w:p w14:paraId="1E134992" w14:textId="5B94C164" w:rsidR="00B17E5F" w:rsidRPr="00322E56" w:rsidRDefault="00B17E5F" w:rsidP="00485053">
      <w:pPr>
        <w:rPr>
          <w:rFonts w:cs="Times New Roman"/>
        </w:rPr>
      </w:pPr>
      <w:r w:rsidRPr="00322E56">
        <w:rPr>
          <w:rFonts w:cs="Times New Roman"/>
        </w:rPr>
        <w:t xml:space="preserve">Many researchers have used PCMs in one or two storage tanks for heat and cold dissipation </w:t>
      </w:r>
      <w:sdt>
        <w:sdtPr>
          <w:rPr>
            <w:rFonts w:cs="Times New Roman"/>
            <w:color w:val="000000"/>
            <w:shd w:val="clear" w:color="auto" w:fill="E6E6E6"/>
          </w:rPr>
          <w:tag w:val="MENDELEY_CITATION_v3_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"/>
          <w:id w:val="-841168925"/>
          <w:placeholder>
            <w:docPart w:val="ADB6224DE09C4F68A208682CCACB9151"/>
          </w:placeholder>
        </w:sdtPr>
        <w:sdtContent>
          <w:r w:rsidR="001E7ECF" w:rsidRPr="001E7ECF">
            <w:rPr>
              <w:rFonts w:cs="Times New Roman"/>
              <w:color w:val="000000"/>
            </w:rPr>
            <w:t>[143]</w:t>
          </w:r>
        </w:sdtContent>
      </w:sdt>
      <w:r w:rsidRPr="00322E56">
        <w:rPr>
          <w:rFonts w:cs="Times New Roman"/>
        </w:rPr>
        <w:t xml:space="preserve">, </w:t>
      </w:r>
      <w:sdt>
        <w:sdtPr>
          <w:rPr>
            <w:rFonts w:cs="Times New Roman"/>
            <w:color w:val="000000"/>
            <w:shd w:val="clear" w:color="auto" w:fill="E6E6E6"/>
          </w:rPr>
          <w:tag w:val="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"/>
          <w:id w:val="-522791018"/>
          <w:placeholder>
            <w:docPart w:val="ADB6224DE09C4F68A208682CCACB9151"/>
          </w:placeholder>
        </w:sdtPr>
        <w:sdtContent>
          <w:r w:rsidR="001E7ECF" w:rsidRPr="001E7ECF">
            <w:rPr>
              <w:rFonts w:cs="Times New Roman"/>
              <w:color w:val="000000"/>
            </w:rPr>
            <w:t>[44], [144]–[146]</w:t>
          </w:r>
        </w:sdtContent>
      </w:sdt>
      <w:r w:rsidRPr="00322E56">
        <w:rPr>
          <w:rFonts w:cs="Times New Roman"/>
        </w:rPr>
        <w:t xml:space="preserve">. Real et al. </w:t>
      </w:r>
      <w:sdt>
        <w:sdtPr>
          <w:rPr>
            <w:rFonts w:cs="Times New Roman"/>
            <w:color w:val="000000"/>
            <w:shd w:val="clear" w:color="auto" w:fill="E6E6E6"/>
          </w:rPr>
          <w:tag w:val="MENDELEY_CITATION_v3_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"/>
          <w:id w:val="372513475"/>
          <w:placeholder>
            <w:docPart w:val="ADB6224DE09C4F68A208682CCACB9151"/>
          </w:placeholder>
        </w:sdtPr>
        <w:sdtContent>
          <w:r w:rsidR="001E7ECF" w:rsidRPr="001E7ECF">
            <w:rPr>
              <w:rFonts w:cs="Times New Roman"/>
              <w:color w:val="000000"/>
            </w:rPr>
            <w:t>[143]</w:t>
          </w:r>
        </w:sdtContent>
      </w:sdt>
      <w:r w:rsidRPr="00322E56">
        <w:rPr>
          <w:rFonts w:cs="Times New Roman"/>
        </w:rPr>
        <w:t xml:space="preserve"> used PCMs to enhance HP performance using two thermal tanks for cold and hot storage. A cold tank was used to cool </w:t>
      </w:r>
      <w:r w:rsidRPr="00322E56">
        <w:rPr>
          <w:rFonts w:cs="Times New Roman"/>
        </w:rPr>
        <w:lastRenderedPageBreak/>
        <w:t xml:space="preserve">the PCMs at night, and the other tank acted as an alternative hot reservoir to increase system flexibility. This system was efficient because the COP did not depend on the outside temperature. In total, 18.97% energy savings were achieved; however, the system must be verified in real conditions because this was a Solar Decathlon project. Moreno et al. </w:t>
      </w:r>
      <w:sdt>
        <w:sdtPr>
          <w:rPr>
            <w:rFonts w:cs="Times New Roman"/>
            <w:color w:val="000000"/>
            <w:shd w:val="clear" w:color="auto" w:fill="E6E6E6"/>
          </w:rPr>
          <w:tag w:val="MENDELEY_CITATION_v3_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"/>
          <w:id w:val="-804693990"/>
          <w:placeholder>
            <w:docPart w:val="ADB6224DE09C4F68A208682CCACB9151"/>
          </w:placeholder>
        </w:sdtPr>
        <w:sdtContent>
          <w:r w:rsidR="001E7ECF" w:rsidRPr="001E7ECF">
            <w:rPr>
              <w:rFonts w:cs="Times New Roman"/>
              <w:color w:val="000000"/>
            </w:rPr>
            <w:t>[147]</w:t>
          </w:r>
        </w:sdtContent>
      </w:sdt>
      <w:r w:rsidRPr="00322E56">
        <w:rPr>
          <w:rFonts w:cs="Times New Roman"/>
        </w:rPr>
        <w:t xml:space="preserve"> also integrated two storage tanks into the evaporator of an HP. The HP was turned off during the day and was operated at night to charge the PCMs.</w:t>
      </w:r>
    </w:p>
    <w:p w14:paraId="64FA250D" w14:textId="72F994D7" w:rsidR="00B17E5F" w:rsidRPr="00322E56" w:rsidRDefault="00B17E5F" w:rsidP="00485053">
      <w:pPr>
        <w:rPr>
          <w:rFonts w:cs="Times New Roman"/>
        </w:rPr>
      </w:pPr>
      <w:r w:rsidRPr="00322E56">
        <w:rPr>
          <w:rFonts w:cs="Times New Roman"/>
        </w:rPr>
        <w:t xml:space="preserve">Mosaffa et al. </w:t>
      </w:r>
      <w:bookmarkStart w:id="70" w:name="_Hlk77084612"/>
      <w:sdt>
        <w:sdtPr>
          <w:rPr>
            <w:rFonts w:cs="Times New Roman"/>
            <w:color w:val="000000"/>
            <w:shd w:val="clear" w:color="auto" w:fill="E6E6E6"/>
          </w:rPr>
          <w:tag w:val="MENDELEY_CITATION_v3_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"/>
          <w:id w:val="468250965"/>
          <w:placeholder>
            <w:docPart w:val="ADB6224DE09C4F68A208682CCACB9151"/>
          </w:placeholder>
        </w:sdtPr>
        <w:sdtContent>
          <w:bookmarkEnd w:id="70"/>
          <w:r w:rsidR="001E7ECF" w:rsidRPr="001E7ECF">
            <w:rPr>
              <w:rFonts w:cs="Times New Roman"/>
              <w:color w:val="000000"/>
            </w:rPr>
            <w:t>[44]</w:t>
          </w:r>
        </w:sdtContent>
      </w:sdt>
      <w:r w:rsidRPr="00322E56">
        <w:rPr>
          <w:rFonts w:cs="Times New Roman"/>
        </w:rPr>
        <w:t xml:space="preserve"> used a combination of PCM TES coupled with a refrigeration system for A/C and performed experiments for cooling analysis and peak load shifting. Air was cooled by a PCM during the day, and the heat was extracted from the thermal storage through A/C at night. Three different PCMs were used: RT27, S27, and SP25. The system with S27 had the lowest cost, and the one with SP25 reported the highest COP of 3.434. </w:t>
      </w:r>
    </w:p>
    <w:p w14:paraId="6B6C5AB5" w14:textId="3E64EF6C" w:rsidR="00B17E5F" w:rsidRPr="00322E56" w:rsidRDefault="00B17E5F" w:rsidP="00485053">
      <w:pPr>
        <w:rPr>
          <w:rFonts w:cs="Times New Roman"/>
        </w:rPr>
      </w:pPr>
      <w:r w:rsidRPr="00322E56">
        <w:rPr>
          <w:rFonts w:cs="Times New Roman"/>
        </w:rPr>
        <w:t xml:space="preserve">Jaber et al. </w:t>
      </w:r>
      <w:sdt>
        <w:sdtPr>
          <w:rPr>
            <w:rFonts w:cs="Times New Roman"/>
            <w:color w:val="000000"/>
            <w:shd w:val="clear" w:color="auto" w:fill="E6E6E6"/>
          </w:rPr>
          <w:tag w:val="MENDELEY_CITATION_v3_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"/>
          <w:id w:val="-1236086167"/>
          <w:placeholder>
            <w:docPart w:val="ADB6224DE09C4F68A208682CCACB9151"/>
          </w:placeholder>
        </w:sdtPr>
        <w:sdtContent>
          <w:r w:rsidR="001E7ECF" w:rsidRPr="001E7ECF">
            <w:rPr>
              <w:rFonts w:cs="Times New Roman"/>
              <w:color w:val="000000"/>
            </w:rPr>
            <w:t>[144]</w:t>
          </w:r>
        </w:sdtContent>
      </w:sdt>
      <w:r w:rsidRPr="00322E56">
        <w:rPr>
          <w:rFonts w:cs="Times New Roman"/>
        </w:rPr>
        <w:t xml:space="preserve"> coupled PCMs in an HX with the indirect evaporative cooling system. The PCMs only provided for 80% of the cooling demand, but the cost was reduced. </w:t>
      </w:r>
    </w:p>
    <w:p w14:paraId="36E0BCAD" w14:textId="4F422779" w:rsidR="00B17E5F" w:rsidRPr="00322E56" w:rsidRDefault="00B17E5F" w:rsidP="00485053">
      <w:pPr>
        <w:rPr>
          <w:rFonts w:cs="Times New Roman"/>
        </w:rPr>
      </w:pPr>
      <w:r w:rsidRPr="00322E56">
        <w:rPr>
          <w:rFonts w:cs="Times New Roman"/>
        </w:rPr>
        <w:t xml:space="preserve">Long et al. </w:t>
      </w:r>
      <w:sdt>
        <w:sdtPr>
          <w:rPr>
            <w:rFonts w:cs="Times New Roman"/>
            <w:color w:val="000000"/>
            <w:shd w:val="clear" w:color="auto" w:fill="E6E6E6"/>
          </w:rPr>
          <w:tag w:val="MENDELEY_CITATION_v3_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"/>
          <w:id w:val="551274708"/>
          <w:placeholder>
            <w:docPart w:val="ADB6224DE09C4F68A208682CCACB9151"/>
          </w:placeholder>
        </w:sdtPr>
        <w:sdtContent>
          <w:r w:rsidR="001E7ECF" w:rsidRPr="001E7ECF">
            <w:rPr>
              <w:rFonts w:cs="Times New Roman"/>
              <w:color w:val="000000"/>
            </w:rPr>
            <w:t>[145]</w:t>
          </w:r>
        </w:sdtContent>
      </w:sdt>
      <w:r w:rsidRPr="00322E56">
        <w:rPr>
          <w:rFonts w:cs="Times New Roman"/>
        </w:rPr>
        <w:t xml:space="preserve"> and Zou et al. </w:t>
      </w:r>
      <w:sdt>
        <w:sdtPr>
          <w:rPr>
            <w:rFonts w:cs="Times New Roman"/>
            <w:color w:val="000000"/>
            <w:shd w:val="clear" w:color="auto" w:fill="E6E6E6"/>
          </w:rPr>
          <w:tag w:val="MENDELEY_CITATION_v3_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"/>
          <w:id w:val="305746754"/>
          <w:placeholder>
            <w:docPart w:val="ADB6224DE09C4F68A208682CCACB9151"/>
          </w:placeholder>
        </w:sdtPr>
        <w:sdtContent>
          <w:r w:rsidR="001E7ECF" w:rsidRPr="001E7ECF">
            <w:rPr>
              <w:rFonts w:cs="Times New Roman"/>
              <w:color w:val="000000"/>
            </w:rPr>
            <w:t>[146]</w:t>
          </w:r>
        </w:sdtContent>
      </w:sdt>
      <w:r w:rsidRPr="00322E56">
        <w:rPr>
          <w:rFonts w:cs="Times New Roman"/>
        </w:rPr>
        <w:t xml:space="preserve"> used an HX coupled with the compressor. Long et al. </w:t>
      </w:r>
      <w:sdt>
        <w:sdtPr>
          <w:rPr>
            <w:rFonts w:cs="Times New Roman"/>
            <w:color w:val="000000"/>
            <w:shd w:val="clear" w:color="auto" w:fill="E6E6E6"/>
          </w:rPr>
          <w:tag w:val="MENDELEY_CITATION_v3_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"/>
          <w:id w:val="1830092560"/>
          <w:placeholder>
            <w:docPart w:val="ADB6224DE09C4F68A208682CCACB9151"/>
          </w:placeholder>
        </w:sdtPr>
        <w:sdtContent>
          <w:r w:rsidR="001E7ECF" w:rsidRPr="001E7ECF">
            <w:rPr>
              <w:rFonts w:cs="Times New Roman"/>
              <w:color w:val="000000"/>
            </w:rPr>
            <w:t>[145]</w:t>
          </w:r>
        </w:sdtContent>
      </w:sdt>
      <w:r w:rsidRPr="00322E56">
        <w:rPr>
          <w:rFonts w:cs="Times New Roman"/>
        </w:rPr>
        <w:t xml:space="preserve"> developed an ASHP water heater with PCMs and used fin-type HXs to improve the heat transfer because the paraffin PCMs had a slow heat transfer rate. During off-peak hours, the refrigerant absorbed heat through an evaporator at the air side and released the heat to the PCMs through a condenser. The PCMs solidified during peak hours, and the heat from the PCMs was used for water heating. The space requirements for a water tank were eliminated with this system. Zou et al. </w:t>
      </w:r>
      <w:sdt>
        <w:sdtPr>
          <w:rPr>
            <w:rFonts w:cs="Times New Roman"/>
            <w:color w:val="000000"/>
            <w:shd w:val="clear" w:color="auto" w:fill="E6E6E6"/>
          </w:rPr>
          <w:tag w:val="MENDELEY_CITATION_v3_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"/>
          <w:id w:val="-1917928119"/>
          <w:placeholder>
            <w:docPart w:val="ADB6224DE09C4F68A208682CCACB9151"/>
          </w:placeholder>
        </w:sdtPr>
        <w:sdtContent>
          <w:r w:rsidR="001E7ECF" w:rsidRPr="001E7ECF">
            <w:rPr>
              <w:rFonts w:cs="Times New Roman"/>
              <w:color w:val="000000"/>
            </w:rPr>
            <w:t>[146]</w:t>
          </w:r>
        </w:sdtContent>
      </w:sdt>
      <w:r w:rsidRPr="00322E56">
        <w:rPr>
          <w:rFonts w:cs="Times New Roman"/>
        </w:rPr>
        <w:t xml:space="preserve"> improved the heat capacity and COP of an ASHP water heater with a PCM integrated water storage tank. The heat transfer was improved using fin-type HXs for PCM installation, and the condenser was coated with PCMs to increase the heat transfer area.</w:t>
      </w:r>
    </w:p>
    <w:p w14:paraId="66B31A7A" w14:textId="79B926A9" w:rsidR="00B17E5F" w:rsidRDefault="00B17E5F" w:rsidP="00485053">
      <w:pPr>
        <w:rPr>
          <w:rFonts w:cs="Times New Roman"/>
        </w:rPr>
      </w:pPr>
      <w:r w:rsidRPr="00322E56">
        <w:rPr>
          <w:rFonts w:cs="Times New Roman"/>
        </w:rPr>
        <w:t xml:space="preserve">Dong et al. </w:t>
      </w:r>
      <w:sdt>
        <w:sdtPr>
          <w:rPr>
            <w:rFonts w:cs="Times New Roman"/>
            <w:color w:val="000000"/>
            <w:shd w:val="clear" w:color="auto" w:fill="E6E6E6"/>
          </w:rPr>
          <w:tag w:val="MENDELEY_CITATION_v3_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"/>
          <w:id w:val="-1511293267"/>
          <w:placeholder>
            <w:docPart w:val="ADB6224DE09C4F68A208682CCACB9151"/>
          </w:placeholder>
        </w:sdtPr>
        <w:sdtContent>
          <w:r w:rsidR="001E7ECF" w:rsidRPr="001E7ECF">
            <w:rPr>
              <w:rFonts w:cs="Times New Roman"/>
              <w:color w:val="000000"/>
            </w:rPr>
            <w:t>[3]</w:t>
          </w:r>
        </w:sdtContent>
      </w:sdt>
      <w:r w:rsidRPr="00322E56">
        <w:rPr>
          <w:rFonts w:cs="Times New Roman"/>
        </w:rPr>
        <w:t xml:space="preserve"> improved the efficiency of a PCM TES integrated with an electric HP and enabled grid-responsive HP control. They used a novel PCM integration employing indirect use of PCMs mediated by an HP, and TES indirectly provided conditioning </w:t>
      </w:r>
      <w:r w:rsidRPr="00322E56">
        <w:rPr>
          <w:rFonts w:cs="Times New Roman"/>
        </w:rPr>
        <w:lastRenderedPageBreak/>
        <w:t>through an HP during discharge by improving its COP (Figure 6) instead of commonly used configurations in which PCMs directly exchange heat with the building.</w:t>
      </w:r>
    </w:p>
    <w:p w14:paraId="320A9745" w14:textId="77777777" w:rsidR="00297A05" w:rsidRPr="00322E56" w:rsidRDefault="00297A05" w:rsidP="00297A05">
      <w:pPr>
        <w:rPr>
          <w:rFonts w:cs="Times New Roman"/>
        </w:rPr>
      </w:pPr>
      <w:r w:rsidRPr="00322E56">
        <w:rPr>
          <w:rFonts w:cs="Times New Roman"/>
        </w:rPr>
        <w:t>Tables 7, 8, and 9 summarize the configuration and impact analyses of active TES systems coupled with conventional HPs or A/C systems. Tables 7 and 8 summarize systems that address cooling only and heating only, respectively. Table 9 provides information on both heating and cooling cases.</w:t>
      </w:r>
    </w:p>
    <w:p w14:paraId="5B5A0B88" w14:textId="77777777" w:rsidR="00297A05" w:rsidRPr="00322E56" w:rsidRDefault="00297A05" w:rsidP="00297A05">
      <w:pPr>
        <w:rPr>
          <w:rFonts w:cs="Times New Roman"/>
        </w:rPr>
      </w:pPr>
      <w:r w:rsidRPr="00322E56">
        <w:rPr>
          <w:rFonts w:cs="Times New Roman"/>
        </w:rPr>
        <w:t>Figure 7 shows the locations of active HP-TES systems in building as reported in literature. Active HP-TES are coupled to building or HP components via HX or storage tank.</w:t>
      </w:r>
    </w:p>
    <w:p w14:paraId="2879359A" w14:textId="77777777" w:rsidR="00297A05" w:rsidRDefault="00297A05" w:rsidP="00297A05">
      <w:pPr>
        <w:rPr>
          <w:rFonts w:cs="Times New Roman"/>
        </w:rPr>
      </w:pPr>
      <w:r w:rsidRPr="00322E56">
        <w:rPr>
          <w:rFonts w:cs="Times New Roman"/>
        </w:rPr>
        <w:t xml:space="preserve">A notable experimental study by Gohar and Farid </w:t>
      </w:r>
      <w:sdt>
        <w:sdtPr>
          <w:rPr>
            <w:rFonts w:cs="Times New Roman"/>
            <w:color w:val="000000"/>
            <w:shd w:val="clear" w:color="auto" w:fill="E6E6E6"/>
          </w:rPr>
          <w:tag w:val="MENDELEY_CITATION_v3_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"/>
          <w:id w:val="-976065951"/>
          <w:placeholder>
            <w:docPart w:val="C2961DC6C39CA3409C8602289A63BB97"/>
          </w:placeholder>
        </w:sdtPr>
        <w:sdtContent>
          <w:r w:rsidRPr="001E7ECF">
            <w:rPr>
              <w:rFonts w:cs="Times New Roman"/>
              <w:color w:val="000000"/>
            </w:rPr>
            <w:t>[148]</w:t>
          </w:r>
        </w:sdtContent>
      </w:sdt>
      <w:r w:rsidRPr="00322E56">
        <w:rPr>
          <w:rFonts w:cs="Times New Roman"/>
        </w:rPr>
        <w:t xml:space="preserve"> compared the thermal performance of passive and active TES systems and confirmed that PCM in active HP-TES can be easily installed or removed from a standalone storage tank without modifying the construction. Two experimental huts were designed with controls to evaluate energy savings and load shifting potential. An A/C unit, a solar heater, and an electric heater provided necessary heating and cooling for the base case in both huts. The PCMs in wallboards were installed in walls, floor, ceiling, and attic for passive heating through solar or free night cooling. For the active system, the PCM storage unit was installed, and PCMs were charged by circulating indoor return air through the storage unit during off-peak hours. The active system was more feasible for heating application during winters, consuming 22% less energy than the passive system and reducing 32% electricity cost due to load shifting. The authors argued that the passive storage can have environmental problems because detaching the PCMs from the building construction material at the end of the building’s life is difficult. </w:t>
      </w:r>
    </w:p>
    <w:p w14:paraId="292136C9" w14:textId="238EA744" w:rsidR="00297A05" w:rsidRPr="00322E56" w:rsidRDefault="00297A05" w:rsidP="00297A05">
      <w:pPr>
        <w:rPr>
          <w:rFonts w:cs="Times New Roman"/>
        </w:rPr>
      </w:pPr>
      <w:r w:rsidRPr="00322E56">
        <w:rPr>
          <w:rFonts w:cs="Times New Roman"/>
        </w:rPr>
        <w:t xml:space="preserve">In summary, the literature confirms that significant heating and cooling costs can be saved, and grid flexibility can be achieved by using an active HP-TES system. The flexibility to install PCMs in active storage and control the operation provides greater energy and demand savings and cost benefits as compared with passive HP-TES. </w:t>
      </w:r>
    </w:p>
    <w:p w14:paraId="52CA32C5" w14:textId="77777777" w:rsidR="00297A05" w:rsidRPr="00322E56" w:rsidRDefault="00297A05" w:rsidP="00485053">
      <w:pPr>
        <w:rPr>
          <w:rFonts w:cs="Times New Roman"/>
        </w:rPr>
      </w:pPr>
    </w:p>
    <w:p w14:paraId="000BAE2A" w14:textId="32B3A79C" w:rsidR="00B17E5F" w:rsidRPr="00322E56" w:rsidRDefault="00B17E5F" w:rsidP="00297A05">
      <w:pPr>
        <w:spacing w:line="240" w:lineRule="auto"/>
        <w:ind w:firstLine="0"/>
        <w:rPr>
          <w:rFonts w:cs="Times New Roman"/>
        </w:rPr>
      </w:pPr>
    </w:p>
    <w:p w14:paraId="5B252DB0" w14:textId="77777777" w:rsidR="00B17E5F" w:rsidRPr="00322E56" w:rsidRDefault="00B17E5F" w:rsidP="00C4675D">
      <w:pPr>
        <w:keepNext/>
        <w:jc w:val="center"/>
        <w:rPr>
          <w:rFonts w:cs="Times New Roman"/>
        </w:rPr>
      </w:pPr>
      <w:r w:rsidRPr="00322E56">
        <w:rPr>
          <w:rFonts w:cs="Times New Roman"/>
          <w:noProof/>
        </w:rPr>
        <w:drawing>
          <wp:inline distT="0" distB="0" distL="0" distR="0" wp14:anchorId="0425E917" wp14:editId="3D6BC7D6">
            <wp:extent cx="5028864" cy="3390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965"/>
                    <a:stretch/>
                  </pic:blipFill>
                  <pic:spPr bwMode="auto">
                    <a:xfrm>
                      <a:off x="0" y="0"/>
                      <a:ext cx="5029200" cy="3391127"/>
                    </a:xfrm>
                    <a:prstGeom prst="rect">
                      <a:avLst/>
                    </a:prstGeom>
                    <a:noFill/>
                    <a:ln>
                      <a:noFill/>
                    </a:ln>
                    <a:extLst>
                      <a:ext uri="{53640926-AAD7-44D8-BBD7-CCE9431645EC}">
                        <a14:shadowObscured xmlns:a14="http://schemas.microsoft.com/office/drawing/2010/main"/>
                      </a:ext>
                    </a:extLst>
                  </pic:spPr>
                </pic:pic>
              </a:graphicData>
            </a:graphic>
          </wp:inline>
        </w:drawing>
      </w:r>
    </w:p>
    <w:p w14:paraId="3C56AE21" w14:textId="1DA24E8A" w:rsidR="00B17E5F" w:rsidRPr="00322E56" w:rsidRDefault="00B17E5F" w:rsidP="00C4675D">
      <w:pPr>
        <w:pStyle w:val="Caption"/>
        <w:jc w:val="center"/>
        <w:rPr>
          <w:rFonts w:cs="Times New Roman"/>
        </w:rPr>
      </w:pPr>
      <w:bookmarkStart w:id="71" w:name="_Toc140403872"/>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6</w:t>
      </w:r>
      <w:r w:rsidRPr="00322E56">
        <w:rPr>
          <w:rFonts w:cs="Times New Roman"/>
        </w:rPr>
        <w:fldChar w:fldCharType="end"/>
      </w:r>
      <w:r w:rsidRPr="00322E56">
        <w:rPr>
          <w:rFonts w:cs="Times New Roman"/>
        </w:rPr>
        <w:t>: Indirect PCM-integrated HVAC configuration</w:t>
      </w:r>
      <w:bookmarkEnd w:id="71"/>
    </w:p>
    <w:p w14:paraId="6462EC65" w14:textId="77777777" w:rsidR="00B17E5F" w:rsidRPr="00322E56" w:rsidRDefault="00B17E5F" w:rsidP="00557A2B">
      <w:pPr>
        <w:rPr>
          <w:rFonts w:cs="Times New Roman"/>
        </w:rPr>
      </w:pPr>
    </w:p>
    <w:p w14:paraId="0300AE4F" w14:textId="562CB4D7" w:rsidR="00297A05" w:rsidRPr="00297A05" w:rsidRDefault="00B17E5F" w:rsidP="00297A05">
      <w:pPr>
        <w:spacing w:line="240" w:lineRule="auto"/>
        <w:ind w:firstLine="0"/>
        <w:rPr>
          <w:rFonts w:cs="Times New Roman"/>
          <w:b/>
          <w:bCs/>
        </w:rPr>
      </w:pPr>
      <w:r w:rsidRPr="00322E56">
        <w:rPr>
          <w:rFonts w:cs="Times New Roman"/>
        </w:rPr>
        <w:br w:type="page"/>
      </w:r>
    </w:p>
    <w:p w14:paraId="4CEFC9C6" w14:textId="4C2BB250" w:rsidR="00B17E5F" w:rsidRPr="00322E56" w:rsidRDefault="00B17E5F">
      <w:pPr>
        <w:spacing w:line="240" w:lineRule="auto"/>
        <w:rPr>
          <w:rFonts w:cs="Times New Roman"/>
          <w:b/>
          <w:bCs/>
        </w:rPr>
      </w:pPr>
    </w:p>
    <w:p w14:paraId="261C8FCA" w14:textId="3F83D4DA" w:rsidR="00B17E5F" w:rsidRPr="00322E56" w:rsidRDefault="00B17E5F" w:rsidP="00C44DE0">
      <w:pPr>
        <w:pStyle w:val="Caption"/>
        <w:jc w:val="center"/>
        <w:rPr>
          <w:rFonts w:cs="Times New Roman"/>
        </w:rPr>
      </w:pPr>
      <w:bookmarkStart w:id="72" w:name="_Toc140399947"/>
      <w:r w:rsidRPr="00322E56">
        <w:rPr>
          <w:rFonts w:cs="Times New Roman"/>
        </w:rPr>
        <w:t xml:space="preserve">Table </w:t>
      </w:r>
      <w:r w:rsidRPr="00322E56">
        <w:rPr>
          <w:rFonts w:cs="Times New Roman"/>
        </w:rPr>
        <w:fldChar w:fldCharType="begin"/>
      </w:r>
      <w:r w:rsidRPr="00322E56">
        <w:rPr>
          <w:rFonts w:cs="Times New Roman"/>
        </w:rPr>
        <w:instrText xml:space="preserve"> SEQ Table \* ARABIC </w:instrText>
      </w:r>
      <w:r w:rsidRPr="00322E56">
        <w:rPr>
          <w:rFonts w:cs="Times New Roman"/>
        </w:rPr>
        <w:fldChar w:fldCharType="separate"/>
      </w:r>
      <w:r w:rsidR="00FC25C0">
        <w:rPr>
          <w:rFonts w:cs="Times New Roman"/>
          <w:noProof/>
        </w:rPr>
        <w:t>7</w:t>
      </w:r>
      <w:r w:rsidRPr="00322E56">
        <w:rPr>
          <w:rFonts w:cs="Times New Roman"/>
        </w:rPr>
        <w:fldChar w:fldCharType="end"/>
      </w:r>
      <w:r w:rsidRPr="00322E56">
        <w:rPr>
          <w:rFonts w:cs="Times New Roman"/>
        </w:rPr>
        <w:t>: Active PCM configurations with cooling only</w:t>
      </w:r>
      <w:bookmarkEnd w:id="72"/>
    </w:p>
    <w:tbl>
      <w:tblPr>
        <w:tblW w:w="9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801"/>
        <w:gridCol w:w="1354"/>
        <w:gridCol w:w="900"/>
        <w:gridCol w:w="1077"/>
        <w:gridCol w:w="799"/>
        <w:gridCol w:w="1307"/>
        <w:gridCol w:w="1153"/>
        <w:gridCol w:w="1153"/>
        <w:gridCol w:w="958"/>
      </w:tblGrid>
      <w:tr w:rsidR="00B17E5F" w:rsidRPr="006172EB" w14:paraId="28AF3A41" w14:textId="77777777" w:rsidTr="001D3769">
        <w:trPr>
          <w:trHeight w:val="338"/>
          <w:jc w:val="center"/>
        </w:trPr>
        <w:tc>
          <w:tcPr>
            <w:tcW w:w="801" w:type="dxa"/>
          </w:tcPr>
          <w:p w14:paraId="30C51093" w14:textId="77777777" w:rsidR="00B17E5F" w:rsidRPr="006172EB" w:rsidRDefault="00B17E5F" w:rsidP="006172EB">
            <w:pPr>
              <w:pStyle w:val="NoSpacing"/>
              <w:rPr>
                <w:b/>
                <w:bCs/>
                <w:sz w:val="22"/>
                <w:szCs w:val="22"/>
              </w:rPr>
            </w:pPr>
          </w:p>
        </w:tc>
        <w:tc>
          <w:tcPr>
            <w:tcW w:w="5437" w:type="dxa"/>
            <w:gridSpan w:val="5"/>
          </w:tcPr>
          <w:p w14:paraId="1319A93A" w14:textId="77777777" w:rsidR="00B17E5F" w:rsidRPr="006172EB" w:rsidRDefault="00B17E5F" w:rsidP="006172EB">
            <w:pPr>
              <w:pStyle w:val="NoSpacing"/>
              <w:rPr>
                <w:b/>
                <w:bCs/>
                <w:sz w:val="22"/>
                <w:szCs w:val="22"/>
              </w:rPr>
            </w:pPr>
            <w:r w:rsidRPr="006172EB">
              <w:rPr>
                <w:b/>
                <w:bCs/>
                <w:sz w:val="22"/>
                <w:szCs w:val="22"/>
              </w:rPr>
              <w:t>Study parameters</w:t>
            </w:r>
          </w:p>
        </w:tc>
        <w:tc>
          <w:tcPr>
            <w:tcW w:w="3264" w:type="dxa"/>
            <w:gridSpan w:val="3"/>
          </w:tcPr>
          <w:p w14:paraId="5A7DD708" w14:textId="77777777" w:rsidR="00B17E5F" w:rsidRPr="006172EB" w:rsidRDefault="00B17E5F" w:rsidP="006172EB">
            <w:pPr>
              <w:pStyle w:val="NoSpacing"/>
              <w:rPr>
                <w:b/>
                <w:bCs/>
                <w:sz w:val="22"/>
                <w:szCs w:val="22"/>
              </w:rPr>
            </w:pPr>
            <w:r w:rsidRPr="006172EB">
              <w:rPr>
                <w:b/>
                <w:bCs/>
                <w:sz w:val="22"/>
                <w:szCs w:val="22"/>
              </w:rPr>
              <w:t>Study outcomes</w:t>
            </w:r>
          </w:p>
        </w:tc>
      </w:tr>
      <w:tr w:rsidR="00B17E5F" w:rsidRPr="006172EB" w14:paraId="4AC89D10" w14:textId="77777777" w:rsidTr="00966F32">
        <w:trPr>
          <w:trHeight w:val="338"/>
          <w:jc w:val="center"/>
        </w:trPr>
        <w:tc>
          <w:tcPr>
            <w:tcW w:w="801" w:type="dxa"/>
          </w:tcPr>
          <w:p w14:paraId="655A9C1D" w14:textId="77777777" w:rsidR="00B17E5F" w:rsidRPr="006172EB" w:rsidRDefault="00B17E5F" w:rsidP="006172EB">
            <w:pPr>
              <w:pStyle w:val="NoSpacing"/>
              <w:rPr>
                <w:b/>
                <w:bCs/>
                <w:sz w:val="22"/>
                <w:szCs w:val="22"/>
              </w:rPr>
            </w:pPr>
            <w:r w:rsidRPr="006172EB">
              <w:rPr>
                <w:b/>
                <w:bCs/>
                <w:sz w:val="22"/>
                <w:szCs w:val="22"/>
              </w:rPr>
              <w:t>Source</w:t>
            </w:r>
          </w:p>
        </w:tc>
        <w:tc>
          <w:tcPr>
            <w:tcW w:w="1354" w:type="dxa"/>
          </w:tcPr>
          <w:p w14:paraId="6023EFD5" w14:textId="77777777" w:rsidR="00B17E5F" w:rsidRPr="006172EB" w:rsidRDefault="00B17E5F" w:rsidP="006172EB">
            <w:pPr>
              <w:pStyle w:val="NoSpacing"/>
              <w:rPr>
                <w:b/>
                <w:bCs/>
                <w:sz w:val="22"/>
                <w:szCs w:val="22"/>
              </w:rPr>
            </w:pPr>
            <w:r w:rsidRPr="006172EB">
              <w:rPr>
                <w:b/>
                <w:bCs/>
                <w:sz w:val="22"/>
                <w:szCs w:val="22"/>
              </w:rPr>
              <w:t>PCM type &amp; phase change temperature</w:t>
            </w:r>
          </w:p>
        </w:tc>
        <w:tc>
          <w:tcPr>
            <w:tcW w:w="900" w:type="dxa"/>
          </w:tcPr>
          <w:p w14:paraId="5DB49C6A" w14:textId="77777777" w:rsidR="00B17E5F" w:rsidRPr="006172EB" w:rsidRDefault="00B17E5F" w:rsidP="006172EB">
            <w:pPr>
              <w:pStyle w:val="NoSpacing"/>
              <w:rPr>
                <w:b/>
                <w:bCs/>
                <w:sz w:val="22"/>
                <w:szCs w:val="22"/>
              </w:rPr>
            </w:pPr>
            <w:r w:rsidRPr="006172EB">
              <w:rPr>
                <w:b/>
                <w:bCs/>
                <w:sz w:val="22"/>
                <w:szCs w:val="22"/>
              </w:rPr>
              <w:t>PCM location</w:t>
            </w:r>
          </w:p>
        </w:tc>
        <w:tc>
          <w:tcPr>
            <w:tcW w:w="1077" w:type="dxa"/>
          </w:tcPr>
          <w:p w14:paraId="74E166C5" w14:textId="77777777" w:rsidR="00B17E5F" w:rsidRPr="006172EB" w:rsidRDefault="00B17E5F" w:rsidP="006172EB">
            <w:pPr>
              <w:pStyle w:val="NoSpacing"/>
              <w:rPr>
                <w:b/>
                <w:bCs/>
                <w:sz w:val="22"/>
                <w:szCs w:val="22"/>
              </w:rPr>
            </w:pPr>
            <w:r w:rsidRPr="006172EB">
              <w:rPr>
                <w:b/>
                <w:bCs/>
                <w:sz w:val="22"/>
                <w:szCs w:val="22"/>
              </w:rPr>
              <w:t>Climate &amp; study approach</w:t>
            </w:r>
          </w:p>
        </w:tc>
        <w:tc>
          <w:tcPr>
            <w:tcW w:w="799" w:type="dxa"/>
          </w:tcPr>
          <w:p w14:paraId="063092B9" w14:textId="77777777" w:rsidR="00B17E5F" w:rsidRPr="006172EB" w:rsidRDefault="00B17E5F" w:rsidP="006172EB">
            <w:pPr>
              <w:pStyle w:val="NoSpacing"/>
              <w:rPr>
                <w:b/>
                <w:bCs/>
                <w:sz w:val="22"/>
                <w:szCs w:val="22"/>
              </w:rPr>
            </w:pPr>
            <w:r w:rsidRPr="006172EB">
              <w:rPr>
                <w:b/>
                <w:bCs/>
                <w:sz w:val="22"/>
                <w:szCs w:val="22"/>
              </w:rPr>
              <w:t>Notes</w:t>
            </w:r>
          </w:p>
        </w:tc>
        <w:tc>
          <w:tcPr>
            <w:tcW w:w="1307" w:type="dxa"/>
          </w:tcPr>
          <w:p w14:paraId="10798021" w14:textId="77777777" w:rsidR="00B17E5F" w:rsidRPr="006172EB" w:rsidRDefault="00B17E5F" w:rsidP="006172EB">
            <w:pPr>
              <w:pStyle w:val="NoSpacing"/>
              <w:rPr>
                <w:b/>
                <w:bCs/>
                <w:sz w:val="22"/>
                <w:szCs w:val="22"/>
              </w:rPr>
            </w:pPr>
            <w:r w:rsidRPr="006172EB">
              <w:rPr>
                <w:b/>
                <w:bCs/>
                <w:sz w:val="22"/>
                <w:szCs w:val="22"/>
              </w:rPr>
              <w:t>Charging method</w:t>
            </w:r>
          </w:p>
        </w:tc>
        <w:tc>
          <w:tcPr>
            <w:tcW w:w="1153" w:type="dxa"/>
          </w:tcPr>
          <w:p w14:paraId="203518F4" w14:textId="77777777" w:rsidR="00B17E5F" w:rsidRPr="006172EB" w:rsidRDefault="00B17E5F" w:rsidP="006172EB">
            <w:pPr>
              <w:pStyle w:val="NoSpacing"/>
              <w:rPr>
                <w:b/>
                <w:bCs/>
                <w:sz w:val="22"/>
                <w:szCs w:val="22"/>
              </w:rPr>
            </w:pPr>
            <w:r w:rsidRPr="006172EB">
              <w:rPr>
                <w:b/>
                <w:bCs/>
                <w:sz w:val="22"/>
                <w:szCs w:val="22"/>
              </w:rPr>
              <w:t>Energy savings</w:t>
            </w:r>
          </w:p>
        </w:tc>
        <w:tc>
          <w:tcPr>
            <w:tcW w:w="1153" w:type="dxa"/>
          </w:tcPr>
          <w:p w14:paraId="300B0D80" w14:textId="77777777" w:rsidR="00B17E5F" w:rsidRPr="006172EB" w:rsidRDefault="00B17E5F" w:rsidP="006172EB">
            <w:pPr>
              <w:pStyle w:val="NoSpacing"/>
              <w:rPr>
                <w:b/>
                <w:bCs/>
                <w:sz w:val="22"/>
                <w:szCs w:val="22"/>
              </w:rPr>
            </w:pPr>
            <w:r w:rsidRPr="006172EB">
              <w:rPr>
                <w:b/>
                <w:bCs/>
                <w:sz w:val="22"/>
                <w:szCs w:val="22"/>
              </w:rPr>
              <w:t>Demand impact</w:t>
            </w:r>
          </w:p>
        </w:tc>
        <w:tc>
          <w:tcPr>
            <w:tcW w:w="958" w:type="dxa"/>
          </w:tcPr>
          <w:p w14:paraId="3311BE91" w14:textId="77777777" w:rsidR="00B17E5F" w:rsidRPr="006172EB" w:rsidRDefault="00B17E5F" w:rsidP="006172EB">
            <w:pPr>
              <w:pStyle w:val="NoSpacing"/>
              <w:rPr>
                <w:b/>
                <w:bCs/>
                <w:sz w:val="22"/>
                <w:szCs w:val="22"/>
              </w:rPr>
            </w:pPr>
            <w:r w:rsidRPr="006172EB">
              <w:rPr>
                <w:b/>
                <w:bCs/>
                <w:sz w:val="22"/>
                <w:szCs w:val="22"/>
              </w:rPr>
              <w:t>Cost savings</w:t>
            </w:r>
          </w:p>
        </w:tc>
      </w:tr>
      <w:tr w:rsidR="00B17E5F" w:rsidRPr="006172EB" w14:paraId="0B2E0C19" w14:textId="77777777" w:rsidTr="00966F32">
        <w:trPr>
          <w:trHeight w:val="338"/>
          <w:jc w:val="center"/>
        </w:trPr>
        <w:tc>
          <w:tcPr>
            <w:tcW w:w="801" w:type="dxa"/>
          </w:tcPr>
          <w:sdt>
            <w:sdtPr>
              <w:rPr>
                <w:color w:val="000000"/>
                <w:sz w:val="22"/>
                <w:szCs w:val="22"/>
              </w:rPr>
              <w:tag w:val="MENDELEY_CITATION_v3_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"/>
              <w:id w:val="142013201"/>
              <w:placeholder>
                <w:docPart w:val="FAF04EF2D48E4EADBAFBF113F6BA0755"/>
              </w:placeholder>
            </w:sdtPr>
            <w:sdtContent>
              <w:p w14:paraId="0D3E473B" w14:textId="5AAD460A" w:rsidR="00B17E5F" w:rsidRPr="006172EB" w:rsidRDefault="001E7ECF" w:rsidP="006172EB">
                <w:pPr>
                  <w:pStyle w:val="NoSpacing"/>
                  <w:rPr>
                    <w:sz w:val="22"/>
                    <w:szCs w:val="22"/>
                  </w:rPr>
                </w:pPr>
                <w:r w:rsidRPr="001E7ECF">
                  <w:rPr>
                    <w:color w:val="000000"/>
                    <w:sz w:val="22"/>
                    <w:szCs w:val="22"/>
                  </w:rPr>
                  <w:t>[136]</w:t>
                </w:r>
              </w:p>
            </w:sdtContent>
          </w:sdt>
        </w:tc>
        <w:tc>
          <w:tcPr>
            <w:tcW w:w="1354" w:type="dxa"/>
          </w:tcPr>
          <w:p w14:paraId="293F62CC" w14:textId="77777777" w:rsidR="00B17E5F" w:rsidRPr="006172EB" w:rsidRDefault="00B17E5F" w:rsidP="006172EB">
            <w:pPr>
              <w:pStyle w:val="NoSpacing"/>
              <w:rPr>
                <w:sz w:val="22"/>
                <w:szCs w:val="22"/>
              </w:rPr>
            </w:pPr>
            <w:r w:rsidRPr="006172EB">
              <w:rPr>
                <w:sz w:val="22"/>
                <w:szCs w:val="22"/>
              </w:rPr>
              <w:t>Microcapsulate (25°C)</w:t>
            </w:r>
          </w:p>
        </w:tc>
        <w:tc>
          <w:tcPr>
            <w:tcW w:w="900" w:type="dxa"/>
          </w:tcPr>
          <w:p w14:paraId="7FBE0712" w14:textId="77777777" w:rsidR="00B17E5F" w:rsidRPr="006172EB" w:rsidRDefault="00B17E5F" w:rsidP="006172EB">
            <w:pPr>
              <w:pStyle w:val="NoSpacing"/>
              <w:rPr>
                <w:sz w:val="22"/>
                <w:szCs w:val="22"/>
              </w:rPr>
            </w:pPr>
            <w:r w:rsidRPr="006172EB">
              <w:rPr>
                <w:sz w:val="22"/>
                <w:szCs w:val="22"/>
              </w:rPr>
              <w:t>In ceiling board coupled with the AHU</w:t>
            </w:r>
          </w:p>
        </w:tc>
        <w:tc>
          <w:tcPr>
            <w:tcW w:w="1077" w:type="dxa"/>
          </w:tcPr>
          <w:p w14:paraId="38222B03" w14:textId="77777777" w:rsidR="00B17E5F" w:rsidRPr="006172EB" w:rsidRDefault="00B17E5F" w:rsidP="006172EB">
            <w:pPr>
              <w:pStyle w:val="NoSpacing"/>
              <w:rPr>
                <w:sz w:val="22"/>
                <w:szCs w:val="22"/>
              </w:rPr>
            </w:pPr>
            <w:r w:rsidRPr="006172EB">
              <w:rPr>
                <w:sz w:val="22"/>
                <w:szCs w:val="22"/>
              </w:rPr>
              <w:t>Simulation, Tokyo, Japan</w:t>
            </w:r>
          </w:p>
        </w:tc>
        <w:tc>
          <w:tcPr>
            <w:tcW w:w="799" w:type="dxa"/>
          </w:tcPr>
          <w:p w14:paraId="11D8D41B" w14:textId="77777777" w:rsidR="00B17E5F" w:rsidRPr="006172EB" w:rsidRDefault="00B17E5F" w:rsidP="006172EB">
            <w:pPr>
              <w:pStyle w:val="NoSpacing"/>
              <w:rPr>
                <w:sz w:val="22"/>
                <w:szCs w:val="22"/>
              </w:rPr>
            </w:pPr>
            <w:r w:rsidRPr="006172EB">
              <w:rPr>
                <w:sz w:val="22"/>
                <w:szCs w:val="22"/>
              </w:rPr>
              <w:t>Peak shaving</w:t>
            </w:r>
          </w:p>
        </w:tc>
        <w:tc>
          <w:tcPr>
            <w:tcW w:w="1307" w:type="dxa"/>
          </w:tcPr>
          <w:p w14:paraId="464DC442" w14:textId="77777777" w:rsidR="00B17E5F" w:rsidRPr="006172EB" w:rsidRDefault="00B17E5F" w:rsidP="006172EB">
            <w:pPr>
              <w:pStyle w:val="NoSpacing"/>
              <w:rPr>
                <w:sz w:val="22"/>
                <w:szCs w:val="22"/>
              </w:rPr>
            </w:pPr>
            <w:r w:rsidRPr="006172EB">
              <w:rPr>
                <w:sz w:val="22"/>
                <w:szCs w:val="22"/>
              </w:rPr>
              <w:t>PCM charged overnight using AHU</w:t>
            </w:r>
          </w:p>
        </w:tc>
        <w:tc>
          <w:tcPr>
            <w:tcW w:w="1153" w:type="dxa"/>
          </w:tcPr>
          <w:p w14:paraId="306EF783" w14:textId="77777777" w:rsidR="00B17E5F" w:rsidRPr="006172EB" w:rsidRDefault="00B17E5F" w:rsidP="006172EB">
            <w:pPr>
              <w:pStyle w:val="NoSpacing"/>
              <w:rPr>
                <w:sz w:val="22"/>
                <w:szCs w:val="22"/>
              </w:rPr>
            </w:pPr>
            <w:r w:rsidRPr="006172EB">
              <w:rPr>
                <w:sz w:val="22"/>
                <w:szCs w:val="22"/>
              </w:rPr>
              <w:t>9.4% load reduction</w:t>
            </w:r>
          </w:p>
        </w:tc>
        <w:tc>
          <w:tcPr>
            <w:tcW w:w="1153" w:type="dxa"/>
          </w:tcPr>
          <w:p w14:paraId="2C1A26C5" w14:textId="77777777" w:rsidR="00B17E5F" w:rsidRPr="006172EB" w:rsidRDefault="00B17E5F" w:rsidP="006172EB">
            <w:pPr>
              <w:pStyle w:val="NoSpacing"/>
              <w:rPr>
                <w:sz w:val="22"/>
                <w:szCs w:val="22"/>
              </w:rPr>
            </w:pPr>
            <w:r w:rsidRPr="006172EB">
              <w:rPr>
                <w:sz w:val="22"/>
                <w:szCs w:val="22"/>
              </w:rPr>
              <w:t>Not reported</w:t>
            </w:r>
          </w:p>
        </w:tc>
        <w:tc>
          <w:tcPr>
            <w:tcW w:w="958" w:type="dxa"/>
          </w:tcPr>
          <w:p w14:paraId="024E26AA" w14:textId="77777777" w:rsidR="00B17E5F" w:rsidRPr="006172EB" w:rsidRDefault="00B17E5F" w:rsidP="006172EB">
            <w:pPr>
              <w:pStyle w:val="NoSpacing"/>
              <w:rPr>
                <w:sz w:val="22"/>
                <w:szCs w:val="22"/>
              </w:rPr>
            </w:pPr>
            <w:r w:rsidRPr="006172EB">
              <w:rPr>
                <w:sz w:val="22"/>
                <w:szCs w:val="22"/>
              </w:rPr>
              <w:t>Not reported</w:t>
            </w:r>
          </w:p>
        </w:tc>
      </w:tr>
      <w:tr w:rsidR="00B17E5F" w:rsidRPr="006172EB" w14:paraId="5B8B8B00" w14:textId="77777777" w:rsidTr="00966F32">
        <w:trPr>
          <w:trHeight w:val="338"/>
          <w:jc w:val="center"/>
        </w:trPr>
        <w:tc>
          <w:tcPr>
            <w:tcW w:w="801" w:type="dxa"/>
          </w:tcPr>
          <w:sdt>
            <w:sdtPr>
              <w:rPr>
                <w:color w:val="000000"/>
                <w:sz w:val="22"/>
                <w:szCs w:val="22"/>
              </w:rPr>
              <w:tag w:val="MENDELEY_CITATION_v3_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"/>
              <w:id w:val="-1977446273"/>
              <w:placeholder>
                <w:docPart w:val="729B3148D10E4E788CFA6AEF1A113655"/>
              </w:placeholder>
            </w:sdtPr>
            <w:sdtContent>
              <w:p w14:paraId="0092C160" w14:textId="70DCDD51" w:rsidR="00B17E5F" w:rsidRPr="006172EB" w:rsidRDefault="001E7ECF" w:rsidP="006172EB">
                <w:pPr>
                  <w:pStyle w:val="NoSpacing"/>
                  <w:rPr>
                    <w:color w:val="000000"/>
                    <w:sz w:val="22"/>
                    <w:szCs w:val="22"/>
                  </w:rPr>
                </w:pPr>
                <w:r w:rsidRPr="001E7ECF">
                  <w:rPr>
                    <w:color w:val="000000"/>
                    <w:sz w:val="22"/>
                    <w:szCs w:val="22"/>
                  </w:rPr>
                  <w:t>[137]</w:t>
                </w:r>
              </w:p>
            </w:sdtContent>
          </w:sdt>
        </w:tc>
        <w:tc>
          <w:tcPr>
            <w:tcW w:w="1354" w:type="dxa"/>
          </w:tcPr>
          <w:p w14:paraId="19114361" w14:textId="77777777" w:rsidR="00B17E5F" w:rsidRPr="006172EB" w:rsidRDefault="00B17E5F" w:rsidP="006172EB">
            <w:pPr>
              <w:pStyle w:val="NoSpacing"/>
              <w:rPr>
                <w:sz w:val="22"/>
                <w:szCs w:val="22"/>
              </w:rPr>
            </w:pPr>
            <w:r w:rsidRPr="006172EB">
              <w:rPr>
                <w:sz w:val="22"/>
                <w:szCs w:val="22"/>
              </w:rPr>
              <w:t>Paraffin and polyethene (23°C)</w:t>
            </w:r>
          </w:p>
        </w:tc>
        <w:tc>
          <w:tcPr>
            <w:tcW w:w="900" w:type="dxa"/>
          </w:tcPr>
          <w:p w14:paraId="46529DB5" w14:textId="77777777" w:rsidR="00B17E5F" w:rsidRPr="006172EB" w:rsidRDefault="00B17E5F" w:rsidP="006172EB">
            <w:pPr>
              <w:pStyle w:val="NoSpacing"/>
              <w:rPr>
                <w:sz w:val="22"/>
                <w:szCs w:val="22"/>
              </w:rPr>
            </w:pPr>
            <w:r w:rsidRPr="006172EB">
              <w:rPr>
                <w:sz w:val="22"/>
                <w:szCs w:val="22"/>
              </w:rPr>
              <w:t>In walls to enhance envelope of air-conditioned PCM building</w:t>
            </w:r>
          </w:p>
        </w:tc>
        <w:tc>
          <w:tcPr>
            <w:tcW w:w="1077" w:type="dxa"/>
          </w:tcPr>
          <w:p w14:paraId="6A791365" w14:textId="77777777" w:rsidR="00B17E5F" w:rsidRPr="006172EB" w:rsidRDefault="00B17E5F" w:rsidP="006172EB">
            <w:pPr>
              <w:pStyle w:val="NoSpacing"/>
              <w:rPr>
                <w:sz w:val="22"/>
                <w:szCs w:val="22"/>
              </w:rPr>
            </w:pPr>
            <w:r w:rsidRPr="006172EB">
              <w:rPr>
                <w:sz w:val="22"/>
                <w:szCs w:val="22"/>
              </w:rPr>
              <w:t>Simulation, Hong Kong, and Beijing, China</w:t>
            </w:r>
          </w:p>
        </w:tc>
        <w:tc>
          <w:tcPr>
            <w:tcW w:w="799" w:type="dxa"/>
          </w:tcPr>
          <w:p w14:paraId="41E9EDDF" w14:textId="77777777" w:rsidR="00B17E5F" w:rsidRPr="006172EB" w:rsidRDefault="00B17E5F" w:rsidP="006172EB">
            <w:pPr>
              <w:pStyle w:val="NoSpacing"/>
              <w:rPr>
                <w:sz w:val="22"/>
                <w:szCs w:val="22"/>
              </w:rPr>
            </w:pPr>
            <w:r w:rsidRPr="006172EB">
              <w:rPr>
                <w:sz w:val="22"/>
                <w:szCs w:val="22"/>
              </w:rPr>
              <w:t>Demand-based pricing</w:t>
            </w:r>
          </w:p>
        </w:tc>
        <w:tc>
          <w:tcPr>
            <w:tcW w:w="1307" w:type="dxa"/>
          </w:tcPr>
          <w:p w14:paraId="4657583B" w14:textId="77777777" w:rsidR="00B17E5F" w:rsidRPr="006172EB" w:rsidRDefault="00B17E5F" w:rsidP="006172EB">
            <w:pPr>
              <w:pStyle w:val="NoSpacing"/>
              <w:rPr>
                <w:sz w:val="22"/>
                <w:szCs w:val="22"/>
              </w:rPr>
            </w:pPr>
            <w:r w:rsidRPr="006172EB">
              <w:rPr>
                <w:sz w:val="22"/>
                <w:szCs w:val="22"/>
              </w:rPr>
              <w:t>PCM precooled during off-peak hours using A/C system</w:t>
            </w:r>
          </w:p>
        </w:tc>
        <w:tc>
          <w:tcPr>
            <w:tcW w:w="1153" w:type="dxa"/>
          </w:tcPr>
          <w:p w14:paraId="1FE0AF92" w14:textId="77777777" w:rsidR="00B17E5F" w:rsidRPr="006172EB" w:rsidRDefault="00B17E5F" w:rsidP="006172EB">
            <w:pPr>
              <w:pStyle w:val="NoSpacing"/>
              <w:rPr>
                <w:sz w:val="22"/>
                <w:szCs w:val="22"/>
              </w:rPr>
            </w:pPr>
            <w:r w:rsidRPr="006172EB">
              <w:rPr>
                <w:sz w:val="22"/>
                <w:szCs w:val="22"/>
              </w:rPr>
              <w:t>Daily electricity consumption reduced by 10%</w:t>
            </w:r>
          </w:p>
        </w:tc>
        <w:tc>
          <w:tcPr>
            <w:tcW w:w="1153" w:type="dxa"/>
          </w:tcPr>
          <w:p w14:paraId="09BC293E" w14:textId="77777777" w:rsidR="00B17E5F" w:rsidRPr="006172EB" w:rsidRDefault="00B17E5F" w:rsidP="006172EB">
            <w:pPr>
              <w:pStyle w:val="NoSpacing"/>
              <w:rPr>
                <w:sz w:val="22"/>
                <w:szCs w:val="22"/>
              </w:rPr>
            </w:pPr>
            <w:r w:rsidRPr="006172EB">
              <w:rPr>
                <w:sz w:val="22"/>
                <w:szCs w:val="22"/>
              </w:rPr>
              <w:t>17%–20% peak demand reduction</w:t>
            </w:r>
          </w:p>
        </w:tc>
        <w:tc>
          <w:tcPr>
            <w:tcW w:w="958" w:type="dxa"/>
          </w:tcPr>
          <w:p w14:paraId="1286E1A7" w14:textId="77777777" w:rsidR="00B17E5F" w:rsidRPr="006172EB" w:rsidRDefault="00B17E5F" w:rsidP="006172EB">
            <w:pPr>
              <w:pStyle w:val="NoSpacing"/>
              <w:rPr>
                <w:sz w:val="22"/>
                <w:szCs w:val="22"/>
              </w:rPr>
            </w:pPr>
            <w:r w:rsidRPr="006172EB">
              <w:rPr>
                <w:sz w:val="22"/>
                <w:szCs w:val="22"/>
              </w:rPr>
              <w:t>11% cost savings</w:t>
            </w:r>
          </w:p>
        </w:tc>
      </w:tr>
      <w:tr w:rsidR="00B17E5F" w:rsidRPr="006172EB" w14:paraId="53896DB3" w14:textId="77777777" w:rsidTr="00966F32">
        <w:trPr>
          <w:trHeight w:val="338"/>
          <w:jc w:val="center"/>
        </w:trPr>
        <w:sdt>
          <w:sdtPr>
            <w:rPr>
              <w:color w:val="000000"/>
              <w:sz w:val="22"/>
              <w:szCs w:val="22"/>
            </w:rPr>
            <w:tag w:val="MENDELEY_CITATION_v3_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"/>
            <w:id w:val="1290938541"/>
            <w:placeholder>
              <w:docPart w:val="4C6D66621EA74D62BFB90F5EEC4B8B0C"/>
            </w:placeholder>
          </w:sdtPr>
          <w:sdtContent>
            <w:tc>
              <w:tcPr>
                <w:tcW w:w="801" w:type="dxa"/>
              </w:tcPr>
              <w:p w14:paraId="136055D8" w14:textId="7FCC0679" w:rsidR="00B17E5F" w:rsidRPr="006172EB" w:rsidRDefault="001E7ECF" w:rsidP="006172EB">
                <w:pPr>
                  <w:pStyle w:val="NoSpacing"/>
                  <w:rPr>
                    <w:color w:val="000000"/>
                    <w:sz w:val="22"/>
                    <w:szCs w:val="22"/>
                  </w:rPr>
                </w:pPr>
                <w:r w:rsidRPr="001E7ECF">
                  <w:rPr>
                    <w:color w:val="000000"/>
                    <w:sz w:val="22"/>
                    <w:szCs w:val="22"/>
                  </w:rPr>
                  <w:t>[140]</w:t>
                </w:r>
              </w:p>
            </w:tc>
          </w:sdtContent>
        </w:sdt>
        <w:tc>
          <w:tcPr>
            <w:tcW w:w="1354" w:type="dxa"/>
          </w:tcPr>
          <w:p w14:paraId="71CA06F3" w14:textId="77777777" w:rsidR="00B17E5F" w:rsidRPr="006172EB" w:rsidRDefault="00B17E5F" w:rsidP="006172EB">
            <w:pPr>
              <w:pStyle w:val="NoSpacing"/>
              <w:rPr>
                <w:sz w:val="22"/>
                <w:szCs w:val="22"/>
              </w:rPr>
            </w:pPr>
            <w:r w:rsidRPr="006172EB">
              <w:rPr>
                <w:sz w:val="22"/>
                <w:szCs w:val="22"/>
              </w:rPr>
              <w:t>RT20 paraffin (20°C)</w:t>
            </w:r>
          </w:p>
        </w:tc>
        <w:tc>
          <w:tcPr>
            <w:tcW w:w="900" w:type="dxa"/>
          </w:tcPr>
          <w:p w14:paraId="6E797D0E" w14:textId="77777777" w:rsidR="00B17E5F" w:rsidRPr="006172EB" w:rsidRDefault="00B17E5F" w:rsidP="006172EB">
            <w:pPr>
              <w:pStyle w:val="NoSpacing"/>
              <w:rPr>
                <w:sz w:val="22"/>
                <w:szCs w:val="22"/>
              </w:rPr>
            </w:pPr>
            <w:r w:rsidRPr="006172EB">
              <w:rPr>
                <w:sz w:val="22"/>
                <w:szCs w:val="22"/>
              </w:rPr>
              <w:t>In return air duct coupled with the evaporator</w:t>
            </w:r>
          </w:p>
        </w:tc>
        <w:tc>
          <w:tcPr>
            <w:tcW w:w="1077" w:type="dxa"/>
          </w:tcPr>
          <w:p w14:paraId="45BF67C3" w14:textId="77777777" w:rsidR="00B17E5F" w:rsidRPr="006172EB" w:rsidRDefault="00B17E5F" w:rsidP="006172EB">
            <w:pPr>
              <w:pStyle w:val="NoSpacing"/>
              <w:rPr>
                <w:sz w:val="22"/>
                <w:szCs w:val="22"/>
              </w:rPr>
            </w:pPr>
            <w:r w:rsidRPr="006172EB">
              <w:rPr>
                <w:sz w:val="22"/>
                <w:szCs w:val="22"/>
              </w:rPr>
              <w:t>Experiment, Thailand</w:t>
            </w:r>
          </w:p>
        </w:tc>
        <w:tc>
          <w:tcPr>
            <w:tcW w:w="799" w:type="dxa"/>
          </w:tcPr>
          <w:p w14:paraId="5AFC9069" w14:textId="77777777" w:rsidR="00B17E5F" w:rsidRPr="006172EB" w:rsidRDefault="00B17E5F" w:rsidP="006172EB">
            <w:pPr>
              <w:pStyle w:val="NoSpacing"/>
              <w:rPr>
                <w:sz w:val="22"/>
                <w:szCs w:val="22"/>
              </w:rPr>
            </w:pPr>
            <w:r w:rsidRPr="006172EB">
              <w:rPr>
                <w:sz w:val="22"/>
                <w:szCs w:val="22"/>
              </w:rPr>
              <w:t>TOU tariff</w:t>
            </w:r>
          </w:p>
        </w:tc>
        <w:tc>
          <w:tcPr>
            <w:tcW w:w="1307" w:type="dxa"/>
          </w:tcPr>
          <w:p w14:paraId="263CED8E" w14:textId="77777777" w:rsidR="00B17E5F" w:rsidRPr="006172EB" w:rsidRDefault="00B17E5F" w:rsidP="006172EB">
            <w:pPr>
              <w:pStyle w:val="NoSpacing"/>
              <w:rPr>
                <w:sz w:val="22"/>
                <w:szCs w:val="22"/>
              </w:rPr>
            </w:pPr>
            <w:r w:rsidRPr="006172EB">
              <w:rPr>
                <w:sz w:val="22"/>
                <w:szCs w:val="22"/>
              </w:rPr>
              <w:t>Supply air from evaporator used to solidify PCMs during off-peak period</w:t>
            </w:r>
          </w:p>
        </w:tc>
        <w:tc>
          <w:tcPr>
            <w:tcW w:w="1153" w:type="dxa"/>
          </w:tcPr>
          <w:p w14:paraId="0A721929" w14:textId="77777777" w:rsidR="00B17E5F" w:rsidRPr="006172EB" w:rsidRDefault="00B17E5F" w:rsidP="006172EB">
            <w:pPr>
              <w:pStyle w:val="NoSpacing"/>
              <w:rPr>
                <w:sz w:val="22"/>
                <w:szCs w:val="22"/>
              </w:rPr>
            </w:pPr>
            <w:r w:rsidRPr="006172EB">
              <w:rPr>
                <w:sz w:val="22"/>
                <w:szCs w:val="22"/>
              </w:rPr>
              <w:t>Cooling load decreased by 3.09 kWh/day, 9% energy savings</w:t>
            </w:r>
          </w:p>
        </w:tc>
        <w:tc>
          <w:tcPr>
            <w:tcW w:w="1153" w:type="dxa"/>
          </w:tcPr>
          <w:p w14:paraId="563BF2B0" w14:textId="77777777" w:rsidR="00B17E5F" w:rsidRPr="006172EB" w:rsidRDefault="00B17E5F" w:rsidP="006172EB">
            <w:pPr>
              <w:pStyle w:val="NoSpacing"/>
              <w:rPr>
                <w:sz w:val="22"/>
                <w:szCs w:val="22"/>
              </w:rPr>
            </w:pPr>
            <w:r w:rsidRPr="006172EB">
              <w:rPr>
                <w:sz w:val="22"/>
                <w:szCs w:val="22"/>
              </w:rPr>
              <w:t>3 h load shifted to off-peak hours</w:t>
            </w:r>
          </w:p>
        </w:tc>
        <w:tc>
          <w:tcPr>
            <w:tcW w:w="958" w:type="dxa"/>
          </w:tcPr>
          <w:p w14:paraId="54DA3E00" w14:textId="77777777" w:rsidR="00B17E5F" w:rsidRPr="006172EB" w:rsidRDefault="00B17E5F" w:rsidP="006172EB">
            <w:pPr>
              <w:pStyle w:val="NoSpacing"/>
              <w:rPr>
                <w:sz w:val="22"/>
                <w:szCs w:val="22"/>
              </w:rPr>
            </w:pPr>
            <w:r w:rsidRPr="006172EB">
              <w:rPr>
                <w:sz w:val="22"/>
                <w:szCs w:val="22"/>
              </w:rPr>
              <w:t>9.1% cost savings, 4.15 year payback</w:t>
            </w:r>
          </w:p>
        </w:tc>
      </w:tr>
      <w:tr w:rsidR="00B17E5F" w:rsidRPr="006172EB" w14:paraId="7CCB50D2" w14:textId="77777777" w:rsidTr="00966F32">
        <w:trPr>
          <w:trHeight w:val="338"/>
          <w:jc w:val="center"/>
        </w:trPr>
        <w:tc>
          <w:tcPr>
            <w:tcW w:w="801" w:type="dxa"/>
          </w:tcPr>
          <w:sdt>
            <w:sdtPr>
              <w:rPr>
                <w:color w:val="000000"/>
                <w:sz w:val="22"/>
                <w:szCs w:val="22"/>
              </w:rPr>
              <w:tag w:val="MENDELEY_CITATION_v3_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"/>
              <w:id w:val="-591159412"/>
              <w:placeholder>
                <w:docPart w:val="C2A6508E3229487798DFB313B0D6D993"/>
              </w:placeholder>
            </w:sdtPr>
            <w:sdtContent>
              <w:p w14:paraId="5A4254DA" w14:textId="60F6286F" w:rsidR="00B17E5F" w:rsidRPr="006172EB" w:rsidRDefault="001E7ECF" w:rsidP="006172EB">
                <w:pPr>
                  <w:pStyle w:val="NoSpacing"/>
                  <w:rPr>
                    <w:color w:val="000000"/>
                    <w:sz w:val="22"/>
                    <w:szCs w:val="22"/>
                  </w:rPr>
                </w:pPr>
                <w:r w:rsidRPr="001E7ECF">
                  <w:rPr>
                    <w:color w:val="000000"/>
                    <w:sz w:val="22"/>
                    <w:szCs w:val="22"/>
                  </w:rPr>
                  <w:t>[44]</w:t>
                </w:r>
              </w:p>
            </w:sdtContent>
          </w:sdt>
        </w:tc>
        <w:tc>
          <w:tcPr>
            <w:tcW w:w="1354" w:type="dxa"/>
          </w:tcPr>
          <w:p w14:paraId="3DBE0D75" w14:textId="77777777" w:rsidR="00B17E5F" w:rsidRPr="006172EB" w:rsidRDefault="00B17E5F" w:rsidP="006172EB">
            <w:pPr>
              <w:pStyle w:val="NoSpacing"/>
              <w:rPr>
                <w:sz w:val="22"/>
                <w:szCs w:val="22"/>
              </w:rPr>
            </w:pPr>
            <w:r w:rsidRPr="006172EB">
              <w:rPr>
                <w:sz w:val="22"/>
                <w:szCs w:val="22"/>
              </w:rPr>
              <w:t>RT27 (27°C), S27 (27°C), S25 (25°C)</w:t>
            </w:r>
          </w:p>
        </w:tc>
        <w:tc>
          <w:tcPr>
            <w:tcW w:w="900" w:type="dxa"/>
          </w:tcPr>
          <w:p w14:paraId="3F170850" w14:textId="77777777" w:rsidR="00B17E5F" w:rsidRPr="006172EB" w:rsidRDefault="00B17E5F" w:rsidP="006172EB">
            <w:pPr>
              <w:pStyle w:val="NoSpacing"/>
              <w:rPr>
                <w:sz w:val="22"/>
                <w:szCs w:val="22"/>
              </w:rPr>
            </w:pPr>
            <w:r w:rsidRPr="006172EB">
              <w:rPr>
                <w:sz w:val="22"/>
                <w:szCs w:val="22"/>
              </w:rPr>
              <w:t>In storage tank coupled with the vapor type compressor of a HP</w:t>
            </w:r>
          </w:p>
        </w:tc>
        <w:tc>
          <w:tcPr>
            <w:tcW w:w="1077" w:type="dxa"/>
          </w:tcPr>
          <w:p w14:paraId="71A6B17D" w14:textId="77777777" w:rsidR="00B17E5F" w:rsidRPr="006172EB" w:rsidRDefault="00B17E5F" w:rsidP="006172EB">
            <w:pPr>
              <w:pStyle w:val="NoSpacing"/>
              <w:rPr>
                <w:sz w:val="22"/>
                <w:szCs w:val="22"/>
              </w:rPr>
            </w:pPr>
            <w:r w:rsidRPr="006172EB">
              <w:rPr>
                <w:sz w:val="22"/>
                <w:szCs w:val="22"/>
              </w:rPr>
              <w:t>Simulation, Tehran, Iran</w:t>
            </w:r>
          </w:p>
        </w:tc>
        <w:tc>
          <w:tcPr>
            <w:tcW w:w="799" w:type="dxa"/>
          </w:tcPr>
          <w:p w14:paraId="22F3ECBE" w14:textId="77777777" w:rsidR="00B17E5F" w:rsidRPr="006172EB" w:rsidRDefault="00B17E5F" w:rsidP="006172EB">
            <w:pPr>
              <w:pStyle w:val="NoSpacing"/>
              <w:rPr>
                <w:sz w:val="22"/>
                <w:szCs w:val="22"/>
              </w:rPr>
            </w:pPr>
            <w:r w:rsidRPr="006172EB">
              <w:rPr>
                <w:sz w:val="22"/>
                <w:szCs w:val="22"/>
              </w:rPr>
              <w:t>Peak cooling load shifting</w:t>
            </w:r>
          </w:p>
        </w:tc>
        <w:tc>
          <w:tcPr>
            <w:tcW w:w="1307" w:type="dxa"/>
          </w:tcPr>
          <w:p w14:paraId="02CDF0E5" w14:textId="77777777" w:rsidR="00B17E5F" w:rsidRPr="006172EB" w:rsidRDefault="00B17E5F" w:rsidP="006172EB">
            <w:pPr>
              <w:pStyle w:val="NoSpacing"/>
              <w:rPr>
                <w:sz w:val="22"/>
                <w:szCs w:val="22"/>
              </w:rPr>
            </w:pPr>
            <w:r w:rsidRPr="006172EB">
              <w:rPr>
                <w:sz w:val="22"/>
                <w:szCs w:val="22"/>
              </w:rPr>
              <w:t>PCMs solidified using air conditioner during off-peak hours</w:t>
            </w:r>
          </w:p>
        </w:tc>
        <w:tc>
          <w:tcPr>
            <w:tcW w:w="1153" w:type="dxa"/>
          </w:tcPr>
          <w:p w14:paraId="319F39B0" w14:textId="77777777" w:rsidR="00B17E5F" w:rsidRPr="006172EB" w:rsidRDefault="00B17E5F" w:rsidP="006172EB">
            <w:pPr>
              <w:pStyle w:val="NoSpacing"/>
              <w:rPr>
                <w:sz w:val="22"/>
                <w:szCs w:val="22"/>
              </w:rPr>
            </w:pPr>
            <w:r w:rsidRPr="006172EB">
              <w:rPr>
                <w:sz w:val="22"/>
                <w:szCs w:val="22"/>
              </w:rPr>
              <w:t>7%–9% energy savings</w:t>
            </w:r>
          </w:p>
        </w:tc>
        <w:tc>
          <w:tcPr>
            <w:tcW w:w="1153" w:type="dxa"/>
          </w:tcPr>
          <w:p w14:paraId="4474ED21" w14:textId="77777777" w:rsidR="00B17E5F" w:rsidRPr="006172EB" w:rsidRDefault="00B17E5F" w:rsidP="006172EB">
            <w:pPr>
              <w:pStyle w:val="NoSpacing"/>
              <w:rPr>
                <w:sz w:val="22"/>
                <w:szCs w:val="22"/>
              </w:rPr>
            </w:pPr>
            <w:r w:rsidRPr="006172EB">
              <w:rPr>
                <w:sz w:val="22"/>
                <w:szCs w:val="22"/>
              </w:rPr>
              <w:t>Not reported</w:t>
            </w:r>
          </w:p>
        </w:tc>
        <w:tc>
          <w:tcPr>
            <w:tcW w:w="958" w:type="dxa"/>
          </w:tcPr>
          <w:p w14:paraId="54B9F3D0" w14:textId="77777777" w:rsidR="00B17E5F" w:rsidRPr="006172EB" w:rsidRDefault="00B17E5F" w:rsidP="006172EB">
            <w:pPr>
              <w:pStyle w:val="NoSpacing"/>
              <w:rPr>
                <w:sz w:val="22"/>
                <w:szCs w:val="22"/>
              </w:rPr>
            </w:pPr>
            <w:r w:rsidRPr="006172EB">
              <w:rPr>
                <w:sz w:val="22"/>
                <w:szCs w:val="22"/>
              </w:rPr>
              <w:t>Not reported</w:t>
            </w:r>
          </w:p>
        </w:tc>
      </w:tr>
    </w:tbl>
    <w:p w14:paraId="2F39370F" w14:textId="77777777" w:rsidR="00C44DE0" w:rsidRDefault="00B17E5F">
      <w:pPr>
        <w:spacing w:line="240" w:lineRule="auto"/>
        <w:rPr>
          <w:rFonts w:cs="Times New Roman"/>
        </w:rPr>
      </w:pPr>
      <w:r w:rsidRPr="00322E56">
        <w:rPr>
          <w:rFonts w:cs="Times New Roman"/>
        </w:rPr>
        <w:br w:type="page"/>
      </w:r>
    </w:p>
    <w:p w14:paraId="07F195AD" w14:textId="1B4411C8" w:rsidR="00B17E5F" w:rsidRDefault="00C44DE0" w:rsidP="00C44DE0">
      <w:pPr>
        <w:spacing w:line="240" w:lineRule="auto"/>
        <w:jc w:val="center"/>
        <w:rPr>
          <w:rFonts w:cs="Times New Roman"/>
          <w:b/>
          <w:bCs/>
        </w:rPr>
      </w:pPr>
      <w:r w:rsidRPr="00C44DE0">
        <w:rPr>
          <w:rFonts w:cs="Times New Roman"/>
          <w:b/>
          <w:bCs/>
        </w:rPr>
        <w:lastRenderedPageBreak/>
        <w:t>Table 7 Continued</w:t>
      </w:r>
    </w:p>
    <w:p w14:paraId="604E5B36" w14:textId="77777777" w:rsidR="00C44DE0" w:rsidRPr="00C44DE0" w:rsidRDefault="00C44DE0" w:rsidP="00C44DE0">
      <w:pPr>
        <w:spacing w:line="240" w:lineRule="auto"/>
        <w:jc w:val="center"/>
        <w:rPr>
          <w:rFonts w:cs="Times New Roman"/>
          <w:b/>
          <w:bCs/>
        </w:rPr>
      </w:pPr>
    </w:p>
    <w:tbl>
      <w:tblPr>
        <w:tblW w:w="9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801"/>
        <w:gridCol w:w="1354"/>
        <w:gridCol w:w="900"/>
        <w:gridCol w:w="1077"/>
        <w:gridCol w:w="799"/>
        <w:gridCol w:w="1307"/>
        <w:gridCol w:w="1153"/>
        <w:gridCol w:w="1153"/>
        <w:gridCol w:w="958"/>
      </w:tblGrid>
      <w:tr w:rsidR="00C44DE0" w:rsidRPr="006172EB" w14:paraId="15FBBAE9" w14:textId="77777777" w:rsidTr="00C44DE0">
        <w:trPr>
          <w:trHeight w:val="449"/>
          <w:jc w:val="center"/>
        </w:trPr>
        <w:tc>
          <w:tcPr>
            <w:tcW w:w="801" w:type="dxa"/>
            <w:tcBorders>
              <w:top w:val="single" w:sz="4" w:space="0" w:color="auto"/>
              <w:left w:val="single" w:sz="4" w:space="0" w:color="auto"/>
              <w:bottom w:val="single" w:sz="4" w:space="0" w:color="auto"/>
              <w:right w:val="single" w:sz="4" w:space="0" w:color="auto"/>
            </w:tcBorders>
          </w:tcPr>
          <w:sdt>
            <w:sdtPr>
              <w:rPr>
                <w:color w:val="000000"/>
                <w:sz w:val="22"/>
                <w:szCs w:val="22"/>
              </w:rPr>
              <w:tag w:val="MENDELEY_CITATION_v3_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"/>
              <w:id w:val="-2113730331"/>
              <w:placeholder>
                <w:docPart w:val="AA30F55377D5A248A659D8AF8A53644F"/>
              </w:placeholder>
            </w:sdtPr>
            <w:sdtContent>
              <w:p w14:paraId="5CEEFA48" w14:textId="77777777" w:rsidR="00C44DE0" w:rsidRPr="006172EB" w:rsidRDefault="00C44DE0" w:rsidP="00273064">
                <w:pPr>
                  <w:pStyle w:val="NoSpacing"/>
                  <w:rPr>
                    <w:color w:val="000000"/>
                    <w:sz w:val="22"/>
                    <w:szCs w:val="22"/>
                  </w:rPr>
                </w:pPr>
                <w:r w:rsidRPr="001E7ECF">
                  <w:rPr>
                    <w:color w:val="000000"/>
                    <w:sz w:val="22"/>
                    <w:szCs w:val="22"/>
                  </w:rPr>
                  <w:t>[144]</w:t>
                </w:r>
              </w:p>
            </w:sdtContent>
          </w:sdt>
        </w:tc>
        <w:tc>
          <w:tcPr>
            <w:tcW w:w="1354" w:type="dxa"/>
            <w:tcBorders>
              <w:top w:val="single" w:sz="4" w:space="0" w:color="auto"/>
              <w:left w:val="single" w:sz="4" w:space="0" w:color="auto"/>
              <w:bottom w:val="single" w:sz="4" w:space="0" w:color="auto"/>
              <w:right w:val="single" w:sz="4" w:space="0" w:color="auto"/>
            </w:tcBorders>
          </w:tcPr>
          <w:p w14:paraId="57048009" w14:textId="77777777" w:rsidR="00C44DE0" w:rsidRPr="006172EB" w:rsidRDefault="00C44DE0" w:rsidP="00273064">
            <w:pPr>
              <w:pStyle w:val="NoSpacing"/>
              <w:rPr>
                <w:sz w:val="22"/>
                <w:szCs w:val="22"/>
              </w:rPr>
            </w:pPr>
            <w:r w:rsidRPr="006172EB">
              <w:rPr>
                <w:sz w:val="22"/>
                <w:szCs w:val="22"/>
              </w:rPr>
              <w:t>Commercial salt hydrates (14°C–26°C)</w:t>
            </w:r>
          </w:p>
        </w:tc>
        <w:tc>
          <w:tcPr>
            <w:tcW w:w="900" w:type="dxa"/>
            <w:tcBorders>
              <w:top w:val="single" w:sz="4" w:space="0" w:color="auto"/>
              <w:left w:val="single" w:sz="4" w:space="0" w:color="auto"/>
              <w:bottom w:val="single" w:sz="4" w:space="0" w:color="auto"/>
              <w:right w:val="single" w:sz="4" w:space="0" w:color="auto"/>
            </w:tcBorders>
          </w:tcPr>
          <w:p w14:paraId="62B0B7FA" w14:textId="77777777" w:rsidR="00C44DE0" w:rsidRPr="006172EB" w:rsidRDefault="00C44DE0" w:rsidP="00273064">
            <w:pPr>
              <w:pStyle w:val="NoSpacing"/>
              <w:rPr>
                <w:sz w:val="22"/>
                <w:szCs w:val="22"/>
              </w:rPr>
            </w:pPr>
            <w:r w:rsidRPr="006172EB">
              <w:rPr>
                <w:sz w:val="22"/>
                <w:szCs w:val="22"/>
              </w:rPr>
              <w:t>In HX coupled with indirect evaporative cooling</w:t>
            </w:r>
          </w:p>
        </w:tc>
        <w:tc>
          <w:tcPr>
            <w:tcW w:w="1077" w:type="dxa"/>
            <w:tcBorders>
              <w:top w:val="single" w:sz="4" w:space="0" w:color="auto"/>
              <w:left w:val="single" w:sz="4" w:space="0" w:color="auto"/>
              <w:bottom w:val="single" w:sz="4" w:space="0" w:color="auto"/>
              <w:right w:val="single" w:sz="4" w:space="0" w:color="auto"/>
            </w:tcBorders>
          </w:tcPr>
          <w:p w14:paraId="308EE270" w14:textId="77777777" w:rsidR="00C44DE0" w:rsidRPr="006172EB" w:rsidRDefault="00C44DE0" w:rsidP="00273064">
            <w:pPr>
              <w:pStyle w:val="NoSpacing"/>
              <w:rPr>
                <w:sz w:val="22"/>
                <w:szCs w:val="22"/>
              </w:rPr>
            </w:pPr>
            <w:r w:rsidRPr="006172EB">
              <w:rPr>
                <w:sz w:val="22"/>
                <w:szCs w:val="22"/>
              </w:rPr>
              <w:t>Simulation, Jordan</w:t>
            </w:r>
          </w:p>
        </w:tc>
        <w:tc>
          <w:tcPr>
            <w:tcW w:w="799" w:type="dxa"/>
            <w:tcBorders>
              <w:top w:val="single" w:sz="4" w:space="0" w:color="auto"/>
              <w:left w:val="single" w:sz="4" w:space="0" w:color="auto"/>
              <w:bottom w:val="single" w:sz="4" w:space="0" w:color="auto"/>
              <w:right w:val="single" w:sz="4" w:space="0" w:color="auto"/>
            </w:tcBorders>
          </w:tcPr>
          <w:p w14:paraId="7491BCC0" w14:textId="77777777" w:rsidR="00C44DE0" w:rsidRPr="006172EB" w:rsidRDefault="00C44DE0" w:rsidP="00273064">
            <w:pPr>
              <w:pStyle w:val="NoSpacing"/>
              <w:rPr>
                <w:sz w:val="22"/>
                <w:szCs w:val="22"/>
              </w:rPr>
            </w:pPr>
            <w:r w:rsidRPr="006172EB">
              <w:rPr>
                <w:sz w:val="22"/>
                <w:szCs w:val="22"/>
              </w:rPr>
              <w:t>Utility tariff of Jordan</w:t>
            </w:r>
          </w:p>
        </w:tc>
        <w:tc>
          <w:tcPr>
            <w:tcW w:w="1307" w:type="dxa"/>
            <w:tcBorders>
              <w:top w:val="single" w:sz="4" w:space="0" w:color="auto"/>
              <w:left w:val="single" w:sz="4" w:space="0" w:color="auto"/>
              <w:bottom w:val="single" w:sz="4" w:space="0" w:color="auto"/>
              <w:right w:val="single" w:sz="4" w:space="0" w:color="auto"/>
            </w:tcBorders>
          </w:tcPr>
          <w:p w14:paraId="1602F854" w14:textId="77777777" w:rsidR="00C44DE0" w:rsidRPr="006172EB" w:rsidRDefault="00C44DE0" w:rsidP="00273064">
            <w:pPr>
              <w:pStyle w:val="NoSpacing"/>
              <w:rPr>
                <w:sz w:val="22"/>
                <w:szCs w:val="22"/>
              </w:rPr>
            </w:pPr>
            <w:r w:rsidRPr="006172EB">
              <w:rPr>
                <w:sz w:val="22"/>
                <w:szCs w:val="22"/>
              </w:rPr>
              <w:t>Energy stored when there is no cooling demand</w:t>
            </w:r>
          </w:p>
        </w:tc>
        <w:tc>
          <w:tcPr>
            <w:tcW w:w="1153" w:type="dxa"/>
            <w:tcBorders>
              <w:top w:val="single" w:sz="4" w:space="0" w:color="auto"/>
              <w:left w:val="single" w:sz="4" w:space="0" w:color="auto"/>
              <w:bottom w:val="single" w:sz="4" w:space="0" w:color="auto"/>
              <w:right w:val="single" w:sz="4" w:space="0" w:color="auto"/>
            </w:tcBorders>
          </w:tcPr>
          <w:p w14:paraId="0AFD7B9F" w14:textId="77777777" w:rsidR="00C44DE0" w:rsidRPr="006172EB" w:rsidRDefault="00C44DE0" w:rsidP="00273064">
            <w:pPr>
              <w:pStyle w:val="NoSpacing"/>
              <w:rPr>
                <w:sz w:val="22"/>
                <w:szCs w:val="22"/>
              </w:rPr>
            </w:pPr>
            <w:r w:rsidRPr="006172EB">
              <w:rPr>
                <w:sz w:val="22"/>
                <w:szCs w:val="22"/>
              </w:rPr>
              <w:t>Not reported</w:t>
            </w:r>
          </w:p>
        </w:tc>
        <w:tc>
          <w:tcPr>
            <w:tcW w:w="1153" w:type="dxa"/>
            <w:tcBorders>
              <w:top w:val="single" w:sz="4" w:space="0" w:color="auto"/>
              <w:left w:val="single" w:sz="4" w:space="0" w:color="auto"/>
              <w:bottom w:val="single" w:sz="4" w:space="0" w:color="auto"/>
              <w:right w:val="single" w:sz="4" w:space="0" w:color="auto"/>
            </w:tcBorders>
          </w:tcPr>
          <w:p w14:paraId="397C32B7" w14:textId="77777777" w:rsidR="00C44DE0" w:rsidRPr="006172EB" w:rsidRDefault="00C44DE0" w:rsidP="00273064">
            <w:pPr>
              <w:pStyle w:val="NoSpacing"/>
              <w:rPr>
                <w:sz w:val="22"/>
                <w:szCs w:val="22"/>
              </w:rPr>
            </w:pPr>
            <w:r w:rsidRPr="006172EB">
              <w:rPr>
                <w:sz w:val="22"/>
                <w:szCs w:val="22"/>
              </w:rPr>
              <w:t>Not reported</w:t>
            </w:r>
          </w:p>
        </w:tc>
        <w:tc>
          <w:tcPr>
            <w:tcW w:w="958" w:type="dxa"/>
            <w:tcBorders>
              <w:top w:val="single" w:sz="4" w:space="0" w:color="auto"/>
              <w:left w:val="single" w:sz="4" w:space="0" w:color="auto"/>
              <w:bottom w:val="single" w:sz="4" w:space="0" w:color="auto"/>
              <w:right w:val="single" w:sz="4" w:space="0" w:color="auto"/>
            </w:tcBorders>
          </w:tcPr>
          <w:p w14:paraId="6CB279E8" w14:textId="77777777" w:rsidR="00C44DE0" w:rsidRPr="006172EB" w:rsidRDefault="00C44DE0" w:rsidP="00273064">
            <w:pPr>
              <w:pStyle w:val="NoSpacing"/>
              <w:rPr>
                <w:sz w:val="22"/>
                <w:szCs w:val="22"/>
              </w:rPr>
            </w:pPr>
            <w:r w:rsidRPr="006172EB">
              <w:rPr>
                <w:sz w:val="22"/>
                <w:szCs w:val="22"/>
              </w:rPr>
              <w:t>7.8 year payback</w:t>
            </w:r>
          </w:p>
        </w:tc>
      </w:tr>
      <w:tr w:rsidR="00C44DE0" w:rsidRPr="006172EB" w14:paraId="69DC5FC7" w14:textId="77777777" w:rsidTr="00C44DE0">
        <w:trPr>
          <w:trHeight w:val="449"/>
          <w:jc w:val="center"/>
        </w:trPr>
        <w:tc>
          <w:tcPr>
            <w:tcW w:w="801" w:type="dxa"/>
            <w:tcBorders>
              <w:top w:val="single" w:sz="4" w:space="0" w:color="auto"/>
              <w:left w:val="single" w:sz="4" w:space="0" w:color="auto"/>
              <w:bottom w:val="single" w:sz="4" w:space="0" w:color="auto"/>
              <w:right w:val="single" w:sz="4" w:space="0" w:color="auto"/>
            </w:tcBorders>
          </w:tcPr>
          <w:sdt>
            <w:sdtPr>
              <w:rPr>
                <w:color w:val="000000"/>
                <w:sz w:val="22"/>
                <w:szCs w:val="22"/>
              </w:rPr>
              <w:tag w:val="MENDELEY_CITATION_v3_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"/>
              <w:id w:val="-2008736446"/>
              <w:placeholder>
                <w:docPart w:val="1D4BE2F82EA9FB4D994D0E6D12E32DF0"/>
              </w:placeholder>
            </w:sdtPr>
            <w:sdtContent>
              <w:p w14:paraId="753E3969" w14:textId="77777777" w:rsidR="00C44DE0" w:rsidRPr="006172EB" w:rsidRDefault="00C44DE0" w:rsidP="00273064">
                <w:pPr>
                  <w:pStyle w:val="NoSpacing"/>
                  <w:rPr>
                    <w:color w:val="000000"/>
                    <w:sz w:val="22"/>
                    <w:szCs w:val="22"/>
                  </w:rPr>
                </w:pPr>
                <w:r w:rsidRPr="001E7ECF">
                  <w:rPr>
                    <w:color w:val="000000"/>
                    <w:sz w:val="22"/>
                    <w:szCs w:val="22"/>
                  </w:rPr>
                  <w:t>[3]</w:t>
                </w:r>
              </w:p>
            </w:sdtContent>
          </w:sdt>
        </w:tc>
        <w:tc>
          <w:tcPr>
            <w:tcW w:w="1354" w:type="dxa"/>
            <w:tcBorders>
              <w:top w:val="single" w:sz="4" w:space="0" w:color="auto"/>
              <w:left w:val="single" w:sz="4" w:space="0" w:color="auto"/>
              <w:bottom w:val="single" w:sz="4" w:space="0" w:color="auto"/>
              <w:right w:val="single" w:sz="4" w:space="0" w:color="auto"/>
            </w:tcBorders>
          </w:tcPr>
          <w:p w14:paraId="6F2D56E5" w14:textId="77777777" w:rsidR="00C44DE0" w:rsidRPr="006172EB" w:rsidRDefault="00C44DE0" w:rsidP="00273064">
            <w:pPr>
              <w:pStyle w:val="NoSpacing"/>
              <w:rPr>
                <w:sz w:val="22"/>
                <w:szCs w:val="22"/>
              </w:rPr>
            </w:pPr>
            <w:r w:rsidRPr="006172EB">
              <w:rPr>
                <w:sz w:val="22"/>
                <w:szCs w:val="22"/>
              </w:rPr>
              <w:t>Ice/water</w:t>
            </w:r>
          </w:p>
        </w:tc>
        <w:tc>
          <w:tcPr>
            <w:tcW w:w="900" w:type="dxa"/>
            <w:tcBorders>
              <w:top w:val="single" w:sz="4" w:space="0" w:color="auto"/>
              <w:left w:val="single" w:sz="4" w:space="0" w:color="auto"/>
              <w:bottom w:val="single" w:sz="4" w:space="0" w:color="auto"/>
              <w:right w:val="single" w:sz="4" w:space="0" w:color="auto"/>
            </w:tcBorders>
          </w:tcPr>
          <w:p w14:paraId="396B82CE" w14:textId="77777777" w:rsidR="00C44DE0" w:rsidRPr="006172EB" w:rsidRDefault="00C44DE0" w:rsidP="00273064">
            <w:pPr>
              <w:pStyle w:val="NoSpacing"/>
              <w:rPr>
                <w:sz w:val="22"/>
                <w:szCs w:val="22"/>
              </w:rPr>
            </w:pPr>
            <w:r w:rsidRPr="006172EB">
              <w:rPr>
                <w:sz w:val="22"/>
                <w:szCs w:val="22"/>
              </w:rPr>
              <w:t>In HX coupled to VCS of HP</w:t>
            </w:r>
          </w:p>
        </w:tc>
        <w:tc>
          <w:tcPr>
            <w:tcW w:w="1077" w:type="dxa"/>
            <w:tcBorders>
              <w:top w:val="single" w:sz="4" w:space="0" w:color="auto"/>
              <w:left w:val="single" w:sz="4" w:space="0" w:color="auto"/>
              <w:bottom w:val="single" w:sz="4" w:space="0" w:color="auto"/>
              <w:right w:val="single" w:sz="4" w:space="0" w:color="auto"/>
            </w:tcBorders>
          </w:tcPr>
          <w:p w14:paraId="6C85FD2A" w14:textId="77777777" w:rsidR="00C44DE0" w:rsidRPr="006172EB" w:rsidRDefault="00C44DE0" w:rsidP="00273064">
            <w:pPr>
              <w:pStyle w:val="NoSpacing"/>
              <w:rPr>
                <w:sz w:val="22"/>
                <w:szCs w:val="22"/>
              </w:rPr>
            </w:pPr>
            <w:r w:rsidRPr="006172EB">
              <w:rPr>
                <w:sz w:val="22"/>
                <w:szCs w:val="22"/>
              </w:rPr>
              <w:t>Simulation, Knoxville, Tennessee, United States</w:t>
            </w:r>
          </w:p>
        </w:tc>
        <w:tc>
          <w:tcPr>
            <w:tcW w:w="799" w:type="dxa"/>
            <w:tcBorders>
              <w:top w:val="single" w:sz="4" w:space="0" w:color="auto"/>
              <w:left w:val="single" w:sz="4" w:space="0" w:color="auto"/>
              <w:bottom w:val="single" w:sz="4" w:space="0" w:color="auto"/>
              <w:right w:val="single" w:sz="4" w:space="0" w:color="auto"/>
            </w:tcBorders>
          </w:tcPr>
          <w:p w14:paraId="6B4E1669" w14:textId="77777777" w:rsidR="00C44DE0" w:rsidRPr="006172EB" w:rsidRDefault="00C44DE0" w:rsidP="00273064">
            <w:pPr>
              <w:pStyle w:val="NoSpacing"/>
              <w:rPr>
                <w:sz w:val="22"/>
                <w:szCs w:val="22"/>
              </w:rPr>
            </w:pPr>
            <w:r w:rsidRPr="006172EB">
              <w:rPr>
                <w:sz w:val="22"/>
                <w:szCs w:val="22"/>
              </w:rPr>
              <w:t>TOU utility tariff for cooling load shifting</w:t>
            </w:r>
          </w:p>
        </w:tc>
        <w:tc>
          <w:tcPr>
            <w:tcW w:w="1307" w:type="dxa"/>
            <w:tcBorders>
              <w:top w:val="single" w:sz="4" w:space="0" w:color="auto"/>
              <w:left w:val="single" w:sz="4" w:space="0" w:color="auto"/>
              <w:bottom w:val="single" w:sz="4" w:space="0" w:color="auto"/>
              <w:right w:val="single" w:sz="4" w:space="0" w:color="auto"/>
            </w:tcBorders>
          </w:tcPr>
          <w:p w14:paraId="2DBEB88D" w14:textId="77777777" w:rsidR="00C44DE0" w:rsidRPr="006172EB" w:rsidRDefault="00C44DE0" w:rsidP="00273064">
            <w:pPr>
              <w:pStyle w:val="NoSpacing"/>
              <w:rPr>
                <w:sz w:val="22"/>
                <w:szCs w:val="22"/>
              </w:rPr>
            </w:pPr>
            <w:r w:rsidRPr="006172EB">
              <w:rPr>
                <w:sz w:val="22"/>
                <w:szCs w:val="22"/>
              </w:rPr>
              <w:t>Subcooler used to melt ice</w:t>
            </w:r>
          </w:p>
        </w:tc>
        <w:tc>
          <w:tcPr>
            <w:tcW w:w="1153" w:type="dxa"/>
            <w:tcBorders>
              <w:top w:val="single" w:sz="4" w:space="0" w:color="auto"/>
              <w:left w:val="single" w:sz="4" w:space="0" w:color="auto"/>
              <w:bottom w:val="single" w:sz="4" w:space="0" w:color="auto"/>
              <w:right w:val="single" w:sz="4" w:space="0" w:color="auto"/>
            </w:tcBorders>
          </w:tcPr>
          <w:p w14:paraId="08BABD30" w14:textId="77777777" w:rsidR="00C44DE0" w:rsidRPr="006172EB" w:rsidRDefault="00C44DE0" w:rsidP="00273064">
            <w:pPr>
              <w:pStyle w:val="NoSpacing"/>
              <w:rPr>
                <w:sz w:val="22"/>
                <w:szCs w:val="22"/>
              </w:rPr>
            </w:pPr>
            <w:r w:rsidRPr="006172EB">
              <w:rPr>
                <w:sz w:val="22"/>
                <w:szCs w:val="22"/>
              </w:rPr>
              <w:t>13% less power consumed</w:t>
            </w:r>
          </w:p>
        </w:tc>
        <w:tc>
          <w:tcPr>
            <w:tcW w:w="1153" w:type="dxa"/>
            <w:tcBorders>
              <w:top w:val="single" w:sz="4" w:space="0" w:color="auto"/>
              <w:left w:val="single" w:sz="4" w:space="0" w:color="auto"/>
              <w:bottom w:val="single" w:sz="4" w:space="0" w:color="auto"/>
              <w:right w:val="single" w:sz="4" w:space="0" w:color="auto"/>
            </w:tcBorders>
          </w:tcPr>
          <w:p w14:paraId="7EF8843E" w14:textId="77777777" w:rsidR="00C44DE0" w:rsidRPr="006172EB" w:rsidRDefault="00C44DE0" w:rsidP="00273064">
            <w:pPr>
              <w:pStyle w:val="NoSpacing"/>
              <w:rPr>
                <w:sz w:val="22"/>
                <w:szCs w:val="22"/>
              </w:rPr>
            </w:pPr>
            <w:r w:rsidRPr="006172EB">
              <w:rPr>
                <w:sz w:val="22"/>
                <w:szCs w:val="22"/>
              </w:rPr>
              <w:t>12.7% peak load shifted*</w:t>
            </w:r>
          </w:p>
        </w:tc>
        <w:tc>
          <w:tcPr>
            <w:tcW w:w="958" w:type="dxa"/>
            <w:tcBorders>
              <w:top w:val="single" w:sz="4" w:space="0" w:color="auto"/>
              <w:left w:val="single" w:sz="4" w:space="0" w:color="auto"/>
              <w:bottom w:val="single" w:sz="4" w:space="0" w:color="auto"/>
              <w:right w:val="single" w:sz="4" w:space="0" w:color="auto"/>
            </w:tcBorders>
          </w:tcPr>
          <w:p w14:paraId="1EF64C5D" w14:textId="77777777" w:rsidR="00C44DE0" w:rsidRPr="006172EB" w:rsidRDefault="00C44DE0" w:rsidP="00273064">
            <w:pPr>
              <w:pStyle w:val="NoSpacing"/>
              <w:rPr>
                <w:sz w:val="22"/>
                <w:szCs w:val="22"/>
              </w:rPr>
            </w:pPr>
            <w:r w:rsidRPr="006172EB">
              <w:rPr>
                <w:sz w:val="22"/>
                <w:szCs w:val="22"/>
              </w:rPr>
              <w:t>19% electricity cost savings</w:t>
            </w:r>
          </w:p>
        </w:tc>
      </w:tr>
      <w:tr w:rsidR="00C44DE0" w:rsidRPr="006172EB" w14:paraId="41DABAFC" w14:textId="77777777" w:rsidTr="00C44DE0">
        <w:trPr>
          <w:trHeight w:val="449"/>
          <w:jc w:val="center"/>
        </w:trPr>
        <w:tc>
          <w:tcPr>
            <w:tcW w:w="801" w:type="dxa"/>
            <w:tcBorders>
              <w:top w:val="single" w:sz="4" w:space="0" w:color="auto"/>
              <w:left w:val="single" w:sz="4" w:space="0" w:color="auto"/>
              <w:bottom w:val="single" w:sz="4" w:space="0" w:color="auto"/>
              <w:right w:val="single" w:sz="4" w:space="0" w:color="auto"/>
            </w:tcBorders>
          </w:tcPr>
          <w:sdt>
            <w:sdtPr>
              <w:rPr>
                <w:color w:val="000000"/>
                <w:sz w:val="22"/>
                <w:szCs w:val="22"/>
              </w:rPr>
              <w:tag w:val="MENDELEY_CITATION_v3_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"/>
              <w:id w:val="-974676152"/>
              <w:placeholder>
                <w:docPart w:val="545B29B559DC8149AC245388B429B4C5"/>
              </w:placeholder>
            </w:sdtPr>
            <w:sdtContent>
              <w:p w14:paraId="465346E2" w14:textId="77777777" w:rsidR="00C44DE0" w:rsidRPr="00C44DE0" w:rsidRDefault="00C44DE0" w:rsidP="00273064">
                <w:pPr>
                  <w:pStyle w:val="NoSpacing"/>
                  <w:rPr>
                    <w:color w:val="000000"/>
                    <w:sz w:val="22"/>
                    <w:szCs w:val="22"/>
                  </w:rPr>
                </w:pPr>
                <w:r w:rsidRPr="001E7ECF">
                  <w:rPr>
                    <w:color w:val="000000"/>
                    <w:sz w:val="22"/>
                    <w:szCs w:val="22"/>
                  </w:rPr>
                  <w:t>[149]</w:t>
                </w:r>
              </w:p>
            </w:sdtContent>
          </w:sdt>
        </w:tc>
        <w:tc>
          <w:tcPr>
            <w:tcW w:w="1354" w:type="dxa"/>
            <w:tcBorders>
              <w:top w:val="single" w:sz="4" w:space="0" w:color="auto"/>
              <w:left w:val="single" w:sz="4" w:space="0" w:color="auto"/>
              <w:bottom w:val="single" w:sz="4" w:space="0" w:color="auto"/>
              <w:right w:val="single" w:sz="4" w:space="0" w:color="auto"/>
            </w:tcBorders>
          </w:tcPr>
          <w:p w14:paraId="03D33408" w14:textId="77777777" w:rsidR="00C44DE0" w:rsidRPr="006172EB" w:rsidRDefault="00C44DE0" w:rsidP="00273064">
            <w:pPr>
              <w:pStyle w:val="NoSpacing"/>
              <w:rPr>
                <w:sz w:val="22"/>
                <w:szCs w:val="22"/>
              </w:rPr>
            </w:pPr>
            <w:r w:rsidRPr="006172EB">
              <w:rPr>
                <w:sz w:val="22"/>
                <w:szCs w:val="22"/>
              </w:rPr>
              <w:t>35% paraffin GR25 composite</w:t>
            </w:r>
          </w:p>
        </w:tc>
        <w:tc>
          <w:tcPr>
            <w:tcW w:w="900" w:type="dxa"/>
            <w:tcBorders>
              <w:top w:val="single" w:sz="4" w:space="0" w:color="auto"/>
              <w:left w:val="single" w:sz="4" w:space="0" w:color="auto"/>
              <w:bottom w:val="single" w:sz="4" w:space="0" w:color="auto"/>
              <w:right w:val="single" w:sz="4" w:space="0" w:color="auto"/>
            </w:tcBorders>
          </w:tcPr>
          <w:p w14:paraId="587FC7E8" w14:textId="77777777" w:rsidR="00C44DE0" w:rsidRPr="006172EB" w:rsidRDefault="00C44DE0" w:rsidP="00273064">
            <w:pPr>
              <w:pStyle w:val="NoSpacing"/>
              <w:rPr>
                <w:sz w:val="22"/>
                <w:szCs w:val="22"/>
              </w:rPr>
            </w:pPr>
            <w:r w:rsidRPr="006172EB">
              <w:rPr>
                <w:sz w:val="22"/>
                <w:szCs w:val="22"/>
              </w:rPr>
              <w:t>Under floorboard in the supply A/C system</w:t>
            </w:r>
          </w:p>
        </w:tc>
        <w:tc>
          <w:tcPr>
            <w:tcW w:w="1077" w:type="dxa"/>
            <w:tcBorders>
              <w:top w:val="single" w:sz="4" w:space="0" w:color="auto"/>
              <w:left w:val="single" w:sz="4" w:space="0" w:color="auto"/>
              <w:bottom w:val="single" w:sz="4" w:space="0" w:color="auto"/>
              <w:right w:val="single" w:sz="4" w:space="0" w:color="auto"/>
            </w:tcBorders>
          </w:tcPr>
          <w:p w14:paraId="3925078B" w14:textId="77777777" w:rsidR="00C44DE0" w:rsidRPr="006172EB" w:rsidRDefault="00C44DE0" w:rsidP="00273064">
            <w:pPr>
              <w:pStyle w:val="NoSpacing"/>
              <w:rPr>
                <w:sz w:val="22"/>
                <w:szCs w:val="22"/>
              </w:rPr>
            </w:pPr>
            <w:r w:rsidRPr="006172EB">
              <w:rPr>
                <w:sz w:val="22"/>
                <w:szCs w:val="22"/>
              </w:rPr>
              <w:t>Simulation, various climate zones in Japan</w:t>
            </w:r>
          </w:p>
        </w:tc>
        <w:tc>
          <w:tcPr>
            <w:tcW w:w="799" w:type="dxa"/>
            <w:tcBorders>
              <w:top w:val="single" w:sz="4" w:space="0" w:color="auto"/>
              <w:left w:val="single" w:sz="4" w:space="0" w:color="auto"/>
              <w:bottom w:val="single" w:sz="4" w:space="0" w:color="auto"/>
              <w:right w:val="single" w:sz="4" w:space="0" w:color="auto"/>
            </w:tcBorders>
          </w:tcPr>
          <w:p w14:paraId="5C9F276D" w14:textId="77777777" w:rsidR="00C44DE0" w:rsidRPr="006172EB" w:rsidRDefault="00C44DE0" w:rsidP="00273064">
            <w:pPr>
              <w:pStyle w:val="NoSpacing"/>
              <w:rPr>
                <w:sz w:val="22"/>
                <w:szCs w:val="22"/>
              </w:rPr>
            </w:pPr>
            <w:r w:rsidRPr="006172EB">
              <w:rPr>
                <w:sz w:val="22"/>
                <w:szCs w:val="22"/>
              </w:rPr>
              <w:t>Analysis for eight cities in Japan to reduce ventilation load</w:t>
            </w:r>
          </w:p>
        </w:tc>
        <w:tc>
          <w:tcPr>
            <w:tcW w:w="1307" w:type="dxa"/>
            <w:tcBorders>
              <w:top w:val="single" w:sz="4" w:space="0" w:color="auto"/>
              <w:left w:val="single" w:sz="4" w:space="0" w:color="auto"/>
              <w:bottom w:val="single" w:sz="4" w:space="0" w:color="auto"/>
              <w:right w:val="single" w:sz="4" w:space="0" w:color="auto"/>
            </w:tcBorders>
          </w:tcPr>
          <w:p w14:paraId="60B868D2" w14:textId="77777777" w:rsidR="00C44DE0" w:rsidRPr="006172EB" w:rsidRDefault="00C44DE0" w:rsidP="00273064">
            <w:pPr>
              <w:pStyle w:val="NoSpacing"/>
              <w:rPr>
                <w:sz w:val="22"/>
                <w:szCs w:val="22"/>
              </w:rPr>
            </w:pPr>
            <w:r w:rsidRPr="006172EB">
              <w:rPr>
                <w:sz w:val="22"/>
                <w:szCs w:val="22"/>
              </w:rPr>
              <w:t>PCMs solidified during night using the cool air from the AHU supplied through the PCM bed rather than vents</w:t>
            </w:r>
          </w:p>
        </w:tc>
        <w:tc>
          <w:tcPr>
            <w:tcW w:w="1153" w:type="dxa"/>
            <w:tcBorders>
              <w:top w:val="single" w:sz="4" w:space="0" w:color="auto"/>
              <w:left w:val="single" w:sz="4" w:space="0" w:color="auto"/>
              <w:bottom w:val="single" w:sz="4" w:space="0" w:color="auto"/>
              <w:right w:val="single" w:sz="4" w:space="0" w:color="auto"/>
            </w:tcBorders>
          </w:tcPr>
          <w:p w14:paraId="1D9A3388" w14:textId="77777777" w:rsidR="00C44DE0" w:rsidRPr="006172EB" w:rsidRDefault="00C44DE0" w:rsidP="00273064">
            <w:pPr>
              <w:pStyle w:val="NoSpacing"/>
              <w:rPr>
                <w:sz w:val="22"/>
                <w:szCs w:val="22"/>
              </w:rPr>
            </w:pPr>
            <w:r w:rsidRPr="006172EB">
              <w:rPr>
                <w:sz w:val="22"/>
                <w:szCs w:val="22"/>
              </w:rPr>
              <w:t>Not reported</w:t>
            </w:r>
          </w:p>
        </w:tc>
        <w:tc>
          <w:tcPr>
            <w:tcW w:w="1153" w:type="dxa"/>
            <w:tcBorders>
              <w:top w:val="single" w:sz="4" w:space="0" w:color="auto"/>
              <w:left w:val="single" w:sz="4" w:space="0" w:color="auto"/>
              <w:bottom w:val="single" w:sz="4" w:space="0" w:color="auto"/>
              <w:right w:val="single" w:sz="4" w:space="0" w:color="auto"/>
            </w:tcBorders>
          </w:tcPr>
          <w:p w14:paraId="3FB7A9D2" w14:textId="77777777" w:rsidR="00C44DE0" w:rsidRPr="006172EB" w:rsidRDefault="00C44DE0" w:rsidP="00273064">
            <w:pPr>
              <w:pStyle w:val="NoSpacing"/>
              <w:rPr>
                <w:sz w:val="22"/>
                <w:szCs w:val="22"/>
              </w:rPr>
            </w:pPr>
            <w:r w:rsidRPr="006172EB">
              <w:rPr>
                <w:sz w:val="22"/>
                <w:szCs w:val="22"/>
              </w:rPr>
              <w:t>Ventilation load reduced by 62.8%</w:t>
            </w:r>
          </w:p>
        </w:tc>
        <w:tc>
          <w:tcPr>
            <w:tcW w:w="958" w:type="dxa"/>
            <w:tcBorders>
              <w:top w:val="single" w:sz="4" w:space="0" w:color="auto"/>
              <w:left w:val="single" w:sz="4" w:space="0" w:color="auto"/>
              <w:bottom w:val="single" w:sz="4" w:space="0" w:color="auto"/>
              <w:right w:val="single" w:sz="4" w:space="0" w:color="auto"/>
            </w:tcBorders>
          </w:tcPr>
          <w:p w14:paraId="03FAA6B9" w14:textId="77777777" w:rsidR="00C44DE0" w:rsidRPr="006172EB" w:rsidRDefault="00C44DE0" w:rsidP="00273064">
            <w:pPr>
              <w:pStyle w:val="NoSpacing"/>
              <w:rPr>
                <w:sz w:val="22"/>
                <w:szCs w:val="22"/>
              </w:rPr>
            </w:pPr>
            <w:r w:rsidRPr="006172EB">
              <w:rPr>
                <w:sz w:val="22"/>
                <w:szCs w:val="22"/>
              </w:rPr>
              <w:t>Not reported</w:t>
            </w:r>
          </w:p>
        </w:tc>
      </w:tr>
      <w:tr w:rsidR="00C44DE0" w:rsidRPr="006172EB" w14:paraId="5267CAB7" w14:textId="77777777" w:rsidTr="00C44DE0">
        <w:trPr>
          <w:trHeight w:val="449"/>
          <w:jc w:val="center"/>
        </w:trPr>
        <w:tc>
          <w:tcPr>
            <w:tcW w:w="801" w:type="dxa"/>
            <w:tcBorders>
              <w:top w:val="single" w:sz="4" w:space="0" w:color="auto"/>
              <w:left w:val="single" w:sz="4" w:space="0" w:color="auto"/>
              <w:bottom w:val="single" w:sz="4" w:space="0" w:color="auto"/>
              <w:right w:val="single" w:sz="4" w:space="0" w:color="auto"/>
            </w:tcBorders>
          </w:tcPr>
          <w:sdt>
            <w:sdtPr>
              <w:rPr>
                <w:color w:val="000000"/>
                <w:sz w:val="22"/>
                <w:szCs w:val="22"/>
              </w:rPr>
              <w:tag w:val="MENDELEY_CITATION_v3_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"/>
              <w:id w:val="-146360321"/>
              <w:placeholder>
                <w:docPart w:val="3A20CAEECBBEAD48B73F14EC4EA20DF7"/>
              </w:placeholder>
            </w:sdtPr>
            <w:sdtContent>
              <w:p w14:paraId="7F441CBA" w14:textId="77777777" w:rsidR="00C44DE0" w:rsidRPr="00C44DE0" w:rsidRDefault="00C44DE0" w:rsidP="00273064">
                <w:pPr>
                  <w:pStyle w:val="NoSpacing"/>
                  <w:rPr>
                    <w:color w:val="000000"/>
                    <w:sz w:val="22"/>
                    <w:szCs w:val="22"/>
                  </w:rPr>
                </w:pPr>
                <w:r w:rsidRPr="001E7ECF">
                  <w:rPr>
                    <w:color w:val="000000"/>
                    <w:sz w:val="22"/>
                    <w:szCs w:val="22"/>
                  </w:rPr>
                  <w:t>[150]</w:t>
                </w:r>
              </w:p>
            </w:sdtContent>
          </w:sdt>
        </w:tc>
        <w:tc>
          <w:tcPr>
            <w:tcW w:w="1354" w:type="dxa"/>
            <w:tcBorders>
              <w:top w:val="single" w:sz="4" w:space="0" w:color="auto"/>
              <w:left w:val="single" w:sz="4" w:space="0" w:color="auto"/>
              <w:bottom w:val="single" w:sz="4" w:space="0" w:color="auto"/>
              <w:right w:val="single" w:sz="4" w:space="0" w:color="auto"/>
            </w:tcBorders>
          </w:tcPr>
          <w:p w14:paraId="730EFAD6" w14:textId="77777777" w:rsidR="00C44DE0" w:rsidRPr="006172EB" w:rsidRDefault="00C44DE0" w:rsidP="00273064">
            <w:pPr>
              <w:pStyle w:val="NoSpacing"/>
              <w:rPr>
                <w:sz w:val="22"/>
                <w:szCs w:val="22"/>
              </w:rPr>
            </w:pPr>
            <w:r w:rsidRPr="006172EB">
              <w:rPr>
                <w:sz w:val="22"/>
                <w:szCs w:val="22"/>
              </w:rPr>
              <w:t>Paraffin (20°C)</w:t>
            </w:r>
          </w:p>
        </w:tc>
        <w:tc>
          <w:tcPr>
            <w:tcW w:w="900" w:type="dxa"/>
            <w:tcBorders>
              <w:top w:val="single" w:sz="4" w:space="0" w:color="auto"/>
              <w:left w:val="single" w:sz="4" w:space="0" w:color="auto"/>
              <w:bottom w:val="single" w:sz="4" w:space="0" w:color="auto"/>
              <w:right w:val="single" w:sz="4" w:space="0" w:color="auto"/>
            </w:tcBorders>
          </w:tcPr>
          <w:p w14:paraId="20B9D9E8" w14:textId="77777777" w:rsidR="00C44DE0" w:rsidRPr="006172EB" w:rsidRDefault="00C44DE0" w:rsidP="00273064">
            <w:pPr>
              <w:pStyle w:val="NoSpacing"/>
              <w:rPr>
                <w:sz w:val="22"/>
                <w:szCs w:val="22"/>
              </w:rPr>
            </w:pPr>
            <w:r w:rsidRPr="006172EB">
              <w:rPr>
                <w:sz w:val="22"/>
                <w:szCs w:val="22"/>
              </w:rPr>
              <w:t>In supply air duct of the underfloor ventilation system</w:t>
            </w:r>
          </w:p>
        </w:tc>
        <w:tc>
          <w:tcPr>
            <w:tcW w:w="1077" w:type="dxa"/>
            <w:tcBorders>
              <w:top w:val="single" w:sz="4" w:space="0" w:color="auto"/>
              <w:left w:val="single" w:sz="4" w:space="0" w:color="auto"/>
              <w:bottom w:val="single" w:sz="4" w:space="0" w:color="auto"/>
              <w:right w:val="single" w:sz="4" w:space="0" w:color="auto"/>
            </w:tcBorders>
          </w:tcPr>
          <w:p w14:paraId="14E95DFE" w14:textId="77777777" w:rsidR="00C44DE0" w:rsidRPr="006172EB" w:rsidRDefault="00C44DE0" w:rsidP="00273064">
            <w:pPr>
              <w:pStyle w:val="NoSpacing"/>
              <w:rPr>
                <w:sz w:val="22"/>
                <w:szCs w:val="22"/>
              </w:rPr>
            </w:pPr>
            <w:r w:rsidRPr="006172EB">
              <w:rPr>
                <w:sz w:val="22"/>
                <w:szCs w:val="22"/>
              </w:rPr>
              <w:t>Experiment, Sapporo, Japan</w:t>
            </w:r>
          </w:p>
        </w:tc>
        <w:tc>
          <w:tcPr>
            <w:tcW w:w="799" w:type="dxa"/>
            <w:tcBorders>
              <w:top w:val="single" w:sz="4" w:space="0" w:color="auto"/>
              <w:left w:val="single" w:sz="4" w:space="0" w:color="auto"/>
              <w:bottom w:val="single" w:sz="4" w:space="0" w:color="auto"/>
              <w:right w:val="single" w:sz="4" w:space="0" w:color="auto"/>
            </w:tcBorders>
          </w:tcPr>
          <w:p w14:paraId="57C7A267" w14:textId="77777777" w:rsidR="00C44DE0" w:rsidRPr="006172EB" w:rsidRDefault="00C44DE0" w:rsidP="00273064">
            <w:pPr>
              <w:pStyle w:val="NoSpacing"/>
              <w:rPr>
                <w:sz w:val="22"/>
                <w:szCs w:val="22"/>
              </w:rPr>
            </w:pPr>
            <w:r w:rsidRPr="006172EB">
              <w:rPr>
                <w:sz w:val="22"/>
                <w:szCs w:val="22"/>
              </w:rPr>
              <w:t>Night load shift</w:t>
            </w:r>
          </w:p>
        </w:tc>
        <w:tc>
          <w:tcPr>
            <w:tcW w:w="1307" w:type="dxa"/>
            <w:tcBorders>
              <w:top w:val="single" w:sz="4" w:space="0" w:color="auto"/>
              <w:left w:val="single" w:sz="4" w:space="0" w:color="auto"/>
              <w:bottom w:val="single" w:sz="4" w:space="0" w:color="auto"/>
              <w:right w:val="single" w:sz="4" w:space="0" w:color="auto"/>
            </w:tcBorders>
          </w:tcPr>
          <w:p w14:paraId="20AE2E0D" w14:textId="77777777" w:rsidR="00C44DE0" w:rsidRPr="006172EB" w:rsidRDefault="00C44DE0" w:rsidP="00273064">
            <w:pPr>
              <w:pStyle w:val="NoSpacing"/>
              <w:rPr>
                <w:sz w:val="22"/>
                <w:szCs w:val="22"/>
              </w:rPr>
            </w:pPr>
            <w:r w:rsidRPr="006172EB">
              <w:rPr>
                <w:sz w:val="22"/>
                <w:szCs w:val="22"/>
              </w:rPr>
              <w:t>Cool air circulated through the duct to charge PCMs at night</w:t>
            </w:r>
          </w:p>
        </w:tc>
        <w:tc>
          <w:tcPr>
            <w:tcW w:w="1153" w:type="dxa"/>
            <w:tcBorders>
              <w:top w:val="single" w:sz="4" w:space="0" w:color="auto"/>
              <w:left w:val="single" w:sz="4" w:space="0" w:color="auto"/>
              <w:bottom w:val="single" w:sz="4" w:space="0" w:color="auto"/>
              <w:right w:val="single" w:sz="4" w:space="0" w:color="auto"/>
            </w:tcBorders>
          </w:tcPr>
          <w:p w14:paraId="55295A06" w14:textId="77777777" w:rsidR="00C44DE0" w:rsidRPr="006172EB" w:rsidRDefault="00C44DE0" w:rsidP="00273064">
            <w:pPr>
              <w:pStyle w:val="NoSpacing"/>
              <w:rPr>
                <w:sz w:val="22"/>
                <w:szCs w:val="22"/>
              </w:rPr>
            </w:pPr>
            <w:r w:rsidRPr="006172EB">
              <w:rPr>
                <w:sz w:val="22"/>
                <w:szCs w:val="22"/>
              </w:rPr>
              <w:t>Not reported</w:t>
            </w:r>
          </w:p>
        </w:tc>
        <w:tc>
          <w:tcPr>
            <w:tcW w:w="1153" w:type="dxa"/>
            <w:tcBorders>
              <w:top w:val="single" w:sz="4" w:space="0" w:color="auto"/>
              <w:left w:val="single" w:sz="4" w:space="0" w:color="auto"/>
              <w:bottom w:val="single" w:sz="4" w:space="0" w:color="auto"/>
              <w:right w:val="single" w:sz="4" w:space="0" w:color="auto"/>
            </w:tcBorders>
          </w:tcPr>
          <w:p w14:paraId="2E6F85F3" w14:textId="77777777" w:rsidR="00C44DE0" w:rsidRPr="006172EB" w:rsidRDefault="00C44DE0" w:rsidP="00273064">
            <w:pPr>
              <w:pStyle w:val="NoSpacing"/>
              <w:rPr>
                <w:sz w:val="22"/>
                <w:szCs w:val="22"/>
              </w:rPr>
            </w:pPr>
            <w:r w:rsidRPr="006172EB">
              <w:rPr>
                <w:sz w:val="22"/>
                <w:szCs w:val="22"/>
              </w:rPr>
              <w:t>89% cooling load shifted</w:t>
            </w:r>
          </w:p>
        </w:tc>
        <w:tc>
          <w:tcPr>
            <w:tcW w:w="958" w:type="dxa"/>
            <w:tcBorders>
              <w:top w:val="single" w:sz="4" w:space="0" w:color="auto"/>
              <w:left w:val="single" w:sz="4" w:space="0" w:color="auto"/>
              <w:bottom w:val="single" w:sz="4" w:space="0" w:color="auto"/>
              <w:right w:val="single" w:sz="4" w:space="0" w:color="auto"/>
            </w:tcBorders>
          </w:tcPr>
          <w:p w14:paraId="07729917" w14:textId="77777777" w:rsidR="00C44DE0" w:rsidRPr="006172EB" w:rsidRDefault="00C44DE0" w:rsidP="00273064">
            <w:pPr>
              <w:pStyle w:val="NoSpacing"/>
              <w:rPr>
                <w:sz w:val="22"/>
                <w:szCs w:val="22"/>
              </w:rPr>
            </w:pPr>
            <w:r w:rsidRPr="006172EB">
              <w:rPr>
                <w:sz w:val="22"/>
                <w:szCs w:val="22"/>
              </w:rPr>
              <w:t>10 year payback</w:t>
            </w:r>
          </w:p>
        </w:tc>
      </w:tr>
      <w:tr w:rsidR="00C44DE0" w:rsidRPr="006172EB" w14:paraId="0DA93D96" w14:textId="77777777" w:rsidTr="00C44DE0">
        <w:trPr>
          <w:trHeight w:val="449"/>
          <w:jc w:val="center"/>
        </w:trPr>
        <w:tc>
          <w:tcPr>
            <w:tcW w:w="801" w:type="dxa"/>
            <w:tcBorders>
              <w:top w:val="single" w:sz="4" w:space="0" w:color="auto"/>
              <w:left w:val="single" w:sz="4" w:space="0" w:color="auto"/>
              <w:bottom w:val="single" w:sz="4" w:space="0" w:color="auto"/>
              <w:right w:val="single" w:sz="4" w:space="0" w:color="auto"/>
            </w:tcBorders>
          </w:tcPr>
          <w:sdt>
            <w:sdtPr>
              <w:rPr>
                <w:color w:val="000000"/>
                <w:sz w:val="22"/>
                <w:szCs w:val="22"/>
              </w:rPr>
              <w:tag w:val="MENDELEY_CITATION_v3_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"/>
              <w:id w:val="279537296"/>
              <w:placeholder>
                <w:docPart w:val="1C542C5CC9CD914893CDF68DC9870B1F"/>
              </w:placeholder>
            </w:sdtPr>
            <w:sdtContent>
              <w:p w14:paraId="72D8B3A2" w14:textId="77777777" w:rsidR="00C44DE0" w:rsidRPr="00C44DE0" w:rsidRDefault="00C44DE0" w:rsidP="00273064">
                <w:pPr>
                  <w:pStyle w:val="NoSpacing"/>
                  <w:rPr>
                    <w:color w:val="000000"/>
                    <w:sz w:val="22"/>
                    <w:szCs w:val="22"/>
                  </w:rPr>
                </w:pPr>
                <w:r w:rsidRPr="001E7ECF">
                  <w:rPr>
                    <w:color w:val="000000"/>
                    <w:sz w:val="22"/>
                    <w:szCs w:val="22"/>
                  </w:rPr>
                  <w:t>[151]</w:t>
                </w:r>
              </w:p>
            </w:sdtContent>
          </w:sdt>
        </w:tc>
        <w:tc>
          <w:tcPr>
            <w:tcW w:w="1354" w:type="dxa"/>
            <w:tcBorders>
              <w:top w:val="single" w:sz="4" w:space="0" w:color="auto"/>
              <w:left w:val="single" w:sz="4" w:space="0" w:color="auto"/>
              <w:bottom w:val="single" w:sz="4" w:space="0" w:color="auto"/>
              <w:right w:val="single" w:sz="4" w:space="0" w:color="auto"/>
            </w:tcBorders>
          </w:tcPr>
          <w:p w14:paraId="7E702FEE" w14:textId="77777777" w:rsidR="00C44DE0" w:rsidRPr="006172EB" w:rsidRDefault="00C44DE0" w:rsidP="00273064">
            <w:pPr>
              <w:pStyle w:val="NoSpacing"/>
              <w:rPr>
                <w:sz w:val="22"/>
                <w:szCs w:val="22"/>
              </w:rPr>
            </w:pPr>
            <w:r w:rsidRPr="006172EB">
              <w:rPr>
                <w:sz w:val="22"/>
                <w:szCs w:val="22"/>
              </w:rPr>
              <w:t>Ice/water</w:t>
            </w:r>
          </w:p>
        </w:tc>
        <w:tc>
          <w:tcPr>
            <w:tcW w:w="900" w:type="dxa"/>
            <w:tcBorders>
              <w:top w:val="single" w:sz="4" w:space="0" w:color="auto"/>
              <w:left w:val="single" w:sz="4" w:space="0" w:color="auto"/>
              <w:bottom w:val="single" w:sz="4" w:space="0" w:color="auto"/>
              <w:right w:val="single" w:sz="4" w:space="0" w:color="auto"/>
            </w:tcBorders>
          </w:tcPr>
          <w:p w14:paraId="30EBB4D3" w14:textId="77777777" w:rsidR="00C44DE0" w:rsidRPr="006172EB" w:rsidRDefault="00C44DE0" w:rsidP="00273064">
            <w:pPr>
              <w:pStyle w:val="NoSpacing"/>
              <w:rPr>
                <w:sz w:val="22"/>
                <w:szCs w:val="22"/>
              </w:rPr>
            </w:pPr>
            <w:r w:rsidRPr="006172EB">
              <w:rPr>
                <w:sz w:val="22"/>
                <w:szCs w:val="22"/>
              </w:rPr>
              <w:t>In ice storage coupled with the chiller</w:t>
            </w:r>
          </w:p>
        </w:tc>
        <w:tc>
          <w:tcPr>
            <w:tcW w:w="1077" w:type="dxa"/>
            <w:tcBorders>
              <w:top w:val="single" w:sz="4" w:space="0" w:color="auto"/>
              <w:left w:val="single" w:sz="4" w:space="0" w:color="auto"/>
              <w:bottom w:val="single" w:sz="4" w:space="0" w:color="auto"/>
              <w:right w:val="single" w:sz="4" w:space="0" w:color="auto"/>
            </w:tcBorders>
          </w:tcPr>
          <w:p w14:paraId="5D84C3C3" w14:textId="77777777" w:rsidR="00C44DE0" w:rsidRPr="006172EB" w:rsidRDefault="00C44DE0" w:rsidP="00273064">
            <w:pPr>
              <w:pStyle w:val="NoSpacing"/>
              <w:rPr>
                <w:sz w:val="22"/>
                <w:szCs w:val="22"/>
              </w:rPr>
            </w:pPr>
            <w:r w:rsidRPr="006172EB">
              <w:rPr>
                <w:sz w:val="22"/>
                <w:szCs w:val="22"/>
              </w:rPr>
              <w:t xml:space="preserve">Simulation, offices in various US climate zones </w:t>
            </w:r>
          </w:p>
        </w:tc>
        <w:tc>
          <w:tcPr>
            <w:tcW w:w="799" w:type="dxa"/>
            <w:tcBorders>
              <w:top w:val="single" w:sz="4" w:space="0" w:color="auto"/>
              <w:left w:val="single" w:sz="4" w:space="0" w:color="auto"/>
              <w:bottom w:val="single" w:sz="4" w:space="0" w:color="auto"/>
              <w:right w:val="single" w:sz="4" w:space="0" w:color="auto"/>
            </w:tcBorders>
          </w:tcPr>
          <w:p w14:paraId="49570A1F" w14:textId="77777777" w:rsidR="00C44DE0" w:rsidRPr="006172EB" w:rsidRDefault="00C44DE0" w:rsidP="00273064">
            <w:pPr>
              <w:pStyle w:val="NoSpacing"/>
              <w:rPr>
                <w:sz w:val="22"/>
                <w:szCs w:val="22"/>
              </w:rPr>
            </w:pPr>
            <w:r w:rsidRPr="006172EB">
              <w:rPr>
                <w:sz w:val="22"/>
                <w:szCs w:val="22"/>
              </w:rPr>
              <w:t>DR assessment tool and peak load shifted</w:t>
            </w:r>
          </w:p>
        </w:tc>
        <w:tc>
          <w:tcPr>
            <w:tcW w:w="1307" w:type="dxa"/>
            <w:tcBorders>
              <w:top w:val="single" w:sz="4" w:space="0" w:color="auto"/>
              <w:left w:val="single" w:sz="4" w:space="0" w:color="auto"/>
              <w:bottom w:val="single" w:sz="4" w:space="0" w:color="auto"/>
              <w:right w:val="single" w:sz="4" w:space="0" w:color="auto"/>
            </w:tcBorders>
          </w:tcPr>
          <w:p w14:paraId="2B2C31E3" w14:textId="77777777" w:rsidR="00C44DE0" w:rsidRPr="006172EB" w:rsidRDefault="00C44DE0" w:rsidP="00273064">
            <w:pPr>
              <w:pStyle w:val="NoSpacing"/>
              <w:rPr>
                <w:sz w:val="22"/>
                <w:szCs w:val="22"/>
              </w:rPr>
            </w:pPr>
            <w:r w:rsidRPr="006172EB">
              <w:rPr>
                <w:sz w:val="22"/>
                <w:szCs w:val="22"/>
              </w:rPr>
              <w:t>Chiller makes the ice during off-peak hours</w:t>
            </w:r>
          </w:p>
        </w:tc>
        <w:tc>
          <w:tcPr>
            <w:tcW w:w="1153" w:type="dxa"/>
            <w:tcBorders>
              <w:top w:val="single" w:sz="4" w:space="0" w:color="auto"/>
              <w:left w:val="single" w:sz="4" w:space="0" w:color="auto"/>
              <w:bottom w:val="single" w:sz="4" w:space="0" w:color="auto"/>
              <w:right w:val="single" w:sz="4" w:space="0" w:color="auto"/>
            </w:tcBorders>
          </w:tcPr>
          <w:p w14:paraId="59829726" w14:textId="77777777" w:rsidR="00C44DE0" w:rsidRPr="006172EB" w:rsidRDefault="00C44DE0" w:rsidP="00273064">
            <w:pPr>
              <w:pStyle w:val="NoSpacing"/>
              <w:rPr>
                <w:sz w:val="22"/>
                <w:szCs w:val="22"/>
              </w:rPr>
            </w:pPr>
            <w:r w:rsidRPr="006172EB">
              <w:rPr>
                <w:sz w:val="22"/>
                <w:szCs w:val="22"/>
              </w:rPr>
              <w:t>Energy consumption slightly increased for off-peak hours</w:t>
            </w:r>
          </w:p>
        </w:tc>
        <w:tc>
          <w:tcPr>
            <w:tcW w:w="1153" w:type="dxa"/>
            <w:tcBorders>
              <w:top w:val="single" w:sz="4" w:space="0" w:color="auto"/>
              <w:left w:val="single" w:sz="4" w:space="0" w:color="auto"/>
              <w:bottom w:val="single" w:sz="4" w:space="0" w:color="auto"/>
              <w:right w:val="single" w:sz="4" w:space="0" w:color="auto"/>
            </w:tcBorders>
          </w:tcPr>
          <w:p w14:paraId="01ED63CD" w14:textId="77777777" w:rsidR="00C44DE0" w:rsidRPr="006172EB" w:rsidRDefault="00C44DE0" w:rsidP="00273064">
            <w:pPr>
              <w:pStyle w:val="NoSpacing"/>
              <w:rPr>
                <w:sz w:val="22"/>
                <w:szCs w:val="22"/>
              </w:rPr>
            </w:pPr>
            <w:r w:rsidRPr="006172EB">
              <w:rPr>
                <w:sz w:val="22"/>
                <w:szCs w:val="22"/>
              </w:rPr>
              <w:t>39% maximum peak energy savings</w:t>
            </w:r>
          </w:p>
        </w:tc>
        <w:tc>
          <w:tcPr>
            <w:tcW w:w="958" w:type="dxa"/>
            <w:tcBorders>
              <w:top w:val="single" w:sz="4" w:space="0" w:color="auto"/>
              <w:left w:val="single" w:sz="4" w:space="0" w:color="auto"/>
              <w:bottom w:val="single" w:sz="4" w:space="0" w:color="auto"/>
              <w:right w:val="single" w:sz="4" w:space="0" w:color="auto"/>
            </w:tcBorders>
          </w:tcPr>
          <w:p w14:paraId="0B1A5E88" w14:textId="77777777" w:rsidR="00C44DE0" w:rsidRPr="006172EB" w:rsidRDefault="00C44DE0" w:rsidP="00273064">
            <w:pPr>
              <w:pStyle w:val="NoSpacing"/>
              <w:rPr>
                <w:sz w:val="22"/>
                <w:szCs w:val="22"/>
              </w:rPr>
            </w:pPr>
            <w:r w:rsidRPr="006172EB">
              <w:rPr>
                <w:sz w:val="22"/>
                <w:szCs w:val="22"/>
              </w:rPr>
              <w:t>35% annual cost savings</w:t>
            </w:r>
          </w:p>
        </w:tc>
      </w:tr>
    </w:tbl>
    <w:p w14:paraId="30351431" w14:textId="3B33CD7A" w:rsidR="00C44DE0" w:rsidRDefault="00F310FA" w:rsidP="00F310FA">
      <w:pPr>
        <w:spacing w:line="240" w:lineRule="auto"/>
        <w:jc w:val="center"/>
        <w:rPr>
          <w:rFonts w:cs="Times New Roman"/>
          <w:b/>
          <w:bCs/>
        </w:rPr>
      </w:pPr>
      <w:r w:rsidRPr="00C44DE0">
        <w:rPr>
          <w:rFonts w:cs="Times New Roman"/>
          <w:b/>
          <w:bCs/>
        </w:rPr>
        <w:lastRenderedPageBreak/>
        <w:t>Table 7 Continued</w:t>
      </w:r>
    </w:p>
    <w:p w14:paraId="71DFF6D7" w14:textId="7A12C3FA" w:rsidR="00065D33" w:rsidRDefault="00065D33">
      <w:pPr>
        <w:spacing w:before="0" w:line="240" w:lineRule="auto"/>
        <w:ind w:firstLine="0"/>
        <w:jc w:val="left"/>
        <w:rPr>
          <w:rFonts w:cs="Times New Roman"/>
          <w:b/>
          <w:bCs/>
        </w:rPr>
      </w:pPr>
    </w:p>
    <w:p w14:paraId="65884DE1" w14:textId="766DEB12" w:rsidR="00C44DE0" w:rsidRDefault="00C44DE0">
      <w:pPr>
        <w:spacing w:before="0" w:line="240" w:lineRule="auto"/>
        <w:ind w:firstLine="0"/>
        <w:jc w:val="left"/>
        <w:rPr>
          <w:rFonts w:cs="Times New Roman"/>
          <w:b/>
          <w:bCs/>
        </w:rPr>
      </w:pPr>
    </w:p>
    <w:tbl>
      <w:tblPr>
        <w:tblW w:w="9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801"/>
        <w:gridCol w:w="1354"/>
        <w:gridCol w:w="900"/>
        <w:gridCol w:w="1077"/>
        <w:gridCol w:w="799"/>
        <w:gridCol w:w="1307"/>
        <w:gridCol w:w="1153"/>
        <w:gridCol w:w="1153"/>
        <w:gridCol w:w="958"/>
      </w:tblGrid>
      <w:tr w:rsidR="00065D33" w:rsidRPr="006172EB" w14:paraId="5693693A" w14:textId="77777777" w:rsidTr="00273064">
        <w:trPr>
          <w:trHeight w:val="449"/>
          <w:jc w:val="center"/>
        </w:trPr>
        <w:tc>
          <w:tcPr>
            <w:tcW w:w="801" w:type="dxa"/>
          </w:tcPr>
          <w:sdt>
            <w:sdtPr>
              <w:rPr>
                <w:color w:val="000000"/>
                <w:sz w:val="22"/>
                <w:szCs w:val="22"/>
              </w:rPr>
              <w:tag w:val="MENDELEY_CITATION_v3_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"/>
              <w:id w:val="1880816296"/>
              <w:placeholder>
                <w:docPart w:val="0221337F1DC58C4A9710C667EA5BE32A"/>
              </w:placeholder>
            </w:sdtPr>
            <w:sdtContent>
              <w:p w14:paraId="753814A7" w14:textId="77777777" w:rsidR="00065D33" w:rsidRPr="006172EB" w:rsidRDefault="00065D33" w:rsidP="00273064">
                <w:pPr>
                  <w:pStyle w:val="NoSpacing"/>
                  <w:rPr>
                    <w:sz w:val="22"/>
                    <w:szCs w:val="22"/>
                  </w:rPr>
                </w:pPr>
                <w:r w:rsidRPr="001E7ECF">
                  <w:rPr>
                    <w:color w:val="000000"/>
                    <w:sz w:val="22"/>
                    <w:szCs w:val="22"/>
                  </w:rPr>
                  <w:t>[152]</w:t>
                </w:r>
              </w:p>
            </w:sdtContent>
          </w:sdt>
        </w:tc>
        <w:tc>
          <w:tcPr>
            <w:tcW w:w="1354" w:type="dxa"/>
          </w:tcPr>
          <w:p w14:paraId="037D2E40" w14:textId="77777777" w:rsidR="00065D33" w:rsidRPr="006172EB" w:rsidRDefault="00065D33" w:rsidP="00273064">
            <w:pPr>
              <w:pStyle w:val="NoSpacing"/>
              <w:rPr>
                <w:sz w:val="22"/>
                <w:szCs w:val="22"/>
              </w:rPr>
            </w:pPr>
            <w:r w:rsidRPr="006172EB">
              <w:rPr>
                <w:sz w:val="22"/>
                <w:szCs w:val="22"/>
              </w:rPr>
              <w:t>Ice/water</w:t>
            </w:r>
          </w:p>
        </w:tc>
        <w:tc>
          <w:tcPr>
            <w:tcW w:w="900" w:type="dxa"/>
          </w:tcPr>
          <w:p w14:paraId="74641028" w14:textId="77777777" w:rsidR="00065D33" w:rsidRPr="006172EB" w:rsidRDefault="00065D33" w:rsidP="00273064">
            <w:pPr>
              <w:pStyle w:val="NoSpacing"/>
              <w:rPr>
                <w:sz w:val="22"/>
                <w:szCs w:val="22"/>
              </w:rPr>
            </w:pPr>
            <w:r w:rsidRPr="006172EB">
              <w:rPr>
                <w:sz w:val="22"/>
                <w:szCs w:val="22"/>
              </w:rPr>
              <w:t>In storage tank used as an evaporator</w:t>
            </w:r>
          </w:p>
        </w:tc>
        <w:tc>
          <w:tcPr>
            <w:tcW w:w="1077" w:type="dxa"/>
          </w:tcPr>
          <w:p w14:paraId="3DCCD69A" w14:textId="77777777" w:rsidR="00065D33" w:rsidRPr="006172EB" w:rsidRDefault="00065D33" w:rsidP="00273064">
            <w:pPr>
              <w:pStyle w:val="NoSpacing"/>
              <w:rPr>
                <w:sz w:val="22"/>
                <w:szCs w:val="22"/>
              </w:rPr>
            </w:pPr>
            <w:r w:rsidRPr="006172EB">
              <w:rPr>
                <w:sz w:val="22"/>
                <w:szCs w:val="22"/>
              </w:rPr>
              <w:t>Simulation, Ahwaz, Iran</w:t>
            </w:r>
          </w:p>
        </w:tc>
        <w:tc>
          <w:tcPr>
            <w:tcW w:w="799" w:type="dxa"/>
          </w:tcPr>
          <w:p w14:paraId="7651A663" w14:textId="77777777" w:rsidR="00065D33" w:rsidRPr="006172EB" w:rsidRDefault="00065D33" w:rsidP="00273064">
            <w:pPr>
              <w:pStyle w:val="NoSpacing"/>
              <w:rPr>
                <w:sz w:val="22"/>
                <w:szCs w:val="22"/>
              </w:rPr>
            </w:pPr>
            <w:r w:rsidRPr="006172EB">
              <w:rPr>
                <w:sz w:val="22"/>
                <w:szCs w:val="22"/>
              </w:rPr>
              <w:t>Demand analysis not conducted</w:t>
            </w:r>
          </w:p>
        </w:tc>
        <w:tc>
          <w:tcPr>
            <w:tcW w:w="1307" w:type="dxa"/>
          </w:tcPr>
          <w:p w14:paraId="35691901" w14:textId="77777777" w:rsidR="00065D33" w:rsidRPr="006172EB" w:rsidRDefault="00065D33" w:rsidP="00273064">
            <w:pPr>
              <w:pStyle w:val="NoSpacing"/>
              <w:rPr>
                <w:sz w:val="22"/>
                <w:szCs w:val="22"/>
              </w:rPr>
            </w:pPr>
            <w:r w:rsidRPr="006172EB">
              <w:rPr>
                <w:sz w:val="22"/>
                <w:szCs w:val="22"/>
              </w:rPr>
              <w:t>Energy from the evaporator used to make ice during off-peak hours</w:t>
            </w:r>
          </w:p>
        </w:tc>
        <w:tc>
          <w:tcPr>
            <w:tcW w:w="1153" w:type="dxa"/>
          </w:tcPr>
          <w:p w14:paraId="1BF10AB7" w14:textId="77777777" w:rsidR="00065D33" w:rsidRPr="006172EB" w:rsidRDefault="00065D33" w:rsidP="00273064">
            <w:pPr>
              <w:pStyle w:val="NoSpacing"/>
              <w:rPr>
                <w:sz w:val="22"/>
                <w:szCs w:val="22"/>
              </w:rPr>
            </w:pPr>
            <w:r w:rsidRPr="006172EB">
              <w:rPr>
                <w:sz w:val="22"/>
                <w:szCs w:val="22"/>
              </w:rPr>
              <w:t>Energy consumption reduced by 9%</w:t>
            </w:r>
          </w:p>
        </w:tc>
        <w:tc>
          <w:tcPr>
            <w:tcW w:w="1153" w:type="dxa"/>
          </w:tcPr>
          <w:p w14:paraId="0934CFAC" w14:textId="77777777" w:rsidR="00065D33" w:rsidRPr="006172EB" w:rsidRDefault="00065D33" w:rsidP="00273064">
            <w:pPr>
              <w:pStyle w:val="NoSpacing"/>
              <w:rPr>
                <w:sz w:val="22"/>
                <w:szCs w:val="22"/>
              </w:rPr>
            </w:pPr>
            <w:r w:rsidRPr="006172EB">
              <w:rPr>
                <w:sz w:val="22"/>
                <w:szCs w:val="22"/>
              </w:rPr>
              <w:t>Not reported</w:t>
            </w:r>
          </w:p>
        </w:tc>
        <w:tc>
          <w:tcPr>
            <w:tcW w:w="958" w:type="dxa"/>
          </w:tcPr>
          <w:p w14:paraId="4A0FAE02" w14:textId="77777777" w:rsidR="00065D33" w:rsidRPr="006172EB" w:rsidRDefault="00065D33" w:rsidP="00273064">
            <w:pPr>
              <w:pStyle w:val="NoSpacing"/>
              <w:rPr>
                <w:sz w:val="22"/>
                <w:szCs w:val="22"/>
              </w:rPr>
            </w:pPr>
            <w:r w:rsidRPr="006172EB">
              <w:rPr>
                <w:sz w:val="22"/>
                <w:szCs w:val="22"/>
              </w:rPr>
              <w:t>3.4 year payback</w:t>
            </w:r>
          </w:p>
        </w:tc>
      </w:tr>
      <w:tr w:rsidR="00065D33" w:rsidRPr="006172EB" w14:paraId="6B7C5E5F" w14:textId="77777777" w:rsidTr="00273064">
        <w:trPr>
          <w:trHeight w:val="449"/>
          <w:jc w:val="center"/>
        </w:trPr>
        <w:tc>
          <w:tcPr>
            <w:tcW w:w="801" w:type="dxa"/>
          </w:tcPr>
          <w:sdt>
            <w:sdtPr>
              <w:rPr>
                <w:color w:val="000000"/>
                <w:sz w:val="22"/>
                <w:szCs w:val="22"/>
              </w:rPr>
              <w:tag w:val="MENDELEY_CITATION_v3_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"/>
              <w:id w:val="1668514141"/>
              <w:placeholder>
                <w:docPart w:val="65A8552D2FD12D46ACCA033C7D3A33E5"/>
              </w:placeholder>
            </w:sdtPr>
            <w:sdtContent>
              <w:p w14:paraId="7038C27D" w14:textId="77777777" w:rsidR="00065D33" w:rsidRPr="006172EB" w:rsidRDefault="00065D33" w:rsidP="00273064">
                <w:pPr>
                  <w:pStyle w:val="NoSpacing"/>
                  <w:rPr>
                    <w:sz w:val="22"/>
                    <w:szCs w:val="22"/>
                  </w:rPr>
                </w:pPr>
                <w:r w:rsidRPr="001E7ECF">
                  <w:rPr>
                    <w:color w:val="000000"/>
                    <w:sz w:val="22"/>
                    <w:szCs w:val="22"/>
                  </w:rPr>
                  <w:t>[42]</w:t>
                </w:r>
              </w:p>
            </w:sdtContent>
          </w:sdt>
        </w:tc>
        <w:tc>
          <w:tcPr>
            <w:tcW w:w="1354" w:type="dxa"/>
          </w:tcPr>
          <w:p w14:paraId="4C8A2F3E" w14:textId="77777777" w:rsidR="00065D33" w:rsidRPr="006172EB" w:rsidRDefault="00065D33" w:rsidP="00273064">
            <w:pPr>
              <w:pStyle w:val="NoSpacing"/>
              <w:rPr>
                <w:sz w:val="22"/>
                <w:szCs w:val="22"/>
              </w:rPr>
            </w:pPr>
            <w:r w:rsidRPr="006172EB">
              <w:rPr>
                <w:sz w:val="22"/>
                <w:szCs w:val="22"/>
              </w:rPr>
              <w:t>Ice and salt hydrate (0°C), S4 (4°C), S10 (10°C)</w:t>
            </w:r>
          </w:p>
        </w:tc>
        <w:tc>
          <w:tcPr>
            <w:tcW w:w="900" w:type="dxa"/>
          </w:tcPr>
          <w:p w14:paraId="6C4344D9" w14:textId="77777777" w:rsidR="00065D33" w:rsidRPr="006172EB" w:rsidRDefault="00065D33" w:rsidP="00273064">
            <w:pPr>
              <w:pStyle w:val="NoSpacing"/>
              <w:rPr>
                <w:sz w:val="22"/>
                <w:szCs w:val="22"/>
              </w:rPr>
            </w:pPr>
            <w:r w:rsidRPr="006172EB">
              <w:rPr>
                <w:sz w:val="22"/>
                <w:szCs w:val="22"/>
              </w:rPr>
              <w:t>In HX coupled with a chiller</w:t>
            </w:r>
          </w:p>
        </w:tc>
        <w:tc>
          <w:tcPr>
            <w:tcW w:w="1077" w:type="dxa"/>
          </w:tcPr>
          <w:p w14:paraId="6BB5252D" w14:textId="77777777" w:rsidR="00065D33" w:rsidRPr="006172EB" w:rsidRDefault="00065D33" w:rsidP="00273064">
            <w:pPr>
              <w:pStyle w:val="NoSpacing"/>
              <w:rPr>
                <w:sz w:val="22"/>
                <w:szCs w:val="22"/>
              </w:rPr>
            </w:pPr>
            <w:r w:rsidRPr="006172EB">
              <w:rPr>
                <w:sz w:val="22"/>
                <w:szCs w:val="22"/>
              </w:rPr>
              <w:t>Simulation, Adelaide, Australia</w:t>
            </w:r>
          </w:p>
        </w:tc>
        <w:tc>
          <w:tcPr>
            <w:tcW w:w="799" w:type="dxa"/>
          </w:tcPr>
          <w:p w14:paraId="1F60225D" w14:textId="77777777" w:rsidR="00065D33" w:rsidRPr="006172EB" w:rsidRDefault="00065D33" w:rsidP="00273064">
            <w:pPr>
              <w:pStyle w:val="NoSpacing"/>
              <w:rPr>
                <w:sz w:val="22"/>
                <w:szCs w:val="22"/>
              </w:rPr>
            </w:pPr>
            <w:r w:rsidRPr="006172EB">
              <w:rPr>
                <w:sz w:val="22"/>
                <w:szCs w:val="22"/>
              </w:rPr>
              <w:t>Off-peak cooling</w:t>
            </w:r>
          </w:p>
        </w:tc>
        <w:tc>
          <w:tcPr>
            <w:tcW w:w="1307" w:type="dxa"/>
          </w:tcPr>
          <w:p w14:paraId="46131CBB" w14:textId="77777777" w:rsidR="00065D33" w:rsidRPr="006172EB" w:rsidRDefault="00065D33" w:rsidP="00273064">
            <w:pPr>
              <w:pStyle w:val="NoSpacing"/>
              <w:rPr>
                <w:sz w:val="22"/>
                <w:szCs w:val="22"/>
              </w:rPr>
            </w:pPr>
            <w:r w:rsidRPr="006172EB">
              <w:rPr>
                <w:sz w:val="22"/>
                <w:szCs w:val="22"/>
              </w:rPr>
              <w:t>Chiller provides cooling to PCM during off-peak hours</w:t>
            </w:r>
          </w:p>
        </w:tc>
        <w:tc>
          <w:tcPr>
            <w:tcW w:w="1153" w:type="dxa"/>
          </w:tcPr>
          <w:p w14:paraId="66420EB1" w14:textId="77777777" w:rsidR="00065D33" w:rsidRPr="006172EB" w:rsidRDefault="00065D33" w:rsidP="00273064">
            <w:pPr>
              <w:pStyle w:val="NoSpacing"/>
              <w:rPr>
                <w:sz w:val="22"/>
                <w:szCs w:val="22"/>
              </w:rPr>
            </w:pPr>
            <w:r w:rsidRPr="006172EB">
              <w:rPr>
                <w:sz w:val="22"/>
                <w:szCs w:val="22"/>
              </w:rPr>
              <w:t>13% cooling energy savings</w:t>
            </w:r>
          </w:p>
        </w:tc>
        <w:tc>
          <w:tcPr>
            <w:tcW w:w="1153" w:type="dxa"/>
          </w:tcPr>
          <w:p w14:paraId="0F3A9790" w14:textId="77777777" w:rsidR="00065D33" w:rsidRPr="006172EB" w:rsidRDefault="00065D33" w:rsidP="00273064">
            <w:pPr>
              <w:pStyle w:val="NoSpacing"/>
              <w:rPr>
                <w:sz w:val="22"/>
                <w:szCs w:val="22"/>
              </w:rPr>
            </w:pPr>
            <w:r w:rsidRPr="006172EB">
              <w:rPr>
                <w:sz w:val="22"/>
                <w:szCs w:val="22"/>
              </w:rPr>
              <w:t>Peak electricity consumption reduced by 36.6%</w:t>
            </w:r>
          </w:p>
        </w:tc>
        <w:tc>
          <w:tcPr>
            <w:tcW w:w="958" w:type="dxa"/>
          </w:tcPr>
          <w:p w14:paraId="55D51B12" w14:textId="77777777" w:rsidR="00065D33" w:rsidRPr="006172EB" w:rsidRDefault="00065D33" w:rsidP="00273064">
            <w:pPr>
              <w:pStyle w:val="NoSpacing"/>
              <w:rPr>
                <w:sz w:val="22"/>
                <w:szCs w:val="22"/>
              </w:rPr>
            </w:pPr>
            <w:r w:rsidRPr="006172EB">
              <w:rPr>
                <w:sz w:val="22"/>
                <w:szCs w:val="22"/>
              </w:rPr>
              <w:t>Not reported</w:t>
            </w:r>
          </w:p>
        </w:tc>
      </w:tr>
      <w:tr w:rsidR="00065D33" w:rsidRPr="006172EB" w14:paraId="2F258F1D" w14:textId="77777777" w:rsidTr="00273064">
        <w:trPr>
          <w:trHeight w:val="449"/>
          <w:jc w:val="center"/>
        </w:trPr>
        <w:tc>
          <w:tcPr>
            <w:tcW w:w="801" w:type="dxa"/>
          </w:tcPr>
          <w:sdt>
            <w:sdtPr>
              <w:rPr>
                <w:color w:val="000000"/>
                <w:sz w:val="22"/>
                <w:szCs w:val="22"/>
              </w:rPr>
              <w:tag w:val="MENDELEY_CITATION_v3_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"/>
              <w:id w:val="852146658"/>
              <w:placeholder>
                <w:docPart w:val="546E9A71387CB640B37AA59022359D76"/>
              </w:placeholder>
            </w:sdtPr>
            <w:sdtContent>
              <w:p w14:paraId="1D3D64BD" w14:textId="77777777" w:rsidR="00065D33" w:rsidRPr="006172EB" w:rsidRDefault="00065D33" w:rsidP="00273064">
                <w:pPr>
                  <w:pStyle w:val="NoSpacing"/>
                  <w:rPr>
                    <w:sz w:val="22"/>
                    <w:szCs w:val="22"/>
                  </w:rPr>
                </w:pPr>
                <w:r w:rsidRPr="001E7ECF">
                  <w:rPr>
                    <w:color w:val="000000"/>
                    <w:sz w:val="22"/>
                    <w:szCs w:val="22"/>
                  </w:rPr>
                  <w:t>[153]</w:t>
                </w:r>
              </w:p>
            </w:sdtContent>
          </w:sdt>
        </w:tc>
        <w:tc>
          <w:tcPr>
            <w:tcW w:w="1354" w:type="dxa"/>
          </w:tcPr>
          <w:p w14:paraId="574E74CF" w14:textId="77777777" w:rsidR="00065D33" w:rsidRPr="006172EB" w:rsidRDefault="00065D33" w:rsidP="00273064">
            <w:pPr>
              <w:pStyle w:val="NoSpacing"/>
              <w:rPr>
                <w:sz w:val="22"/>
                <w:szCs w:val="22"/>
              </w:rPr>
            </w:pPr>
            <w:r w:rsidRPr="006172EB">
              <w:rPr>
                <w:sz w:val="22"/>
                <w:szCs w:val="22"/>
              </w:rPr>
              <w:t>RT20 (20°C), RT25 (25°C), RT27 (27°C)</w:t>
            </w:r>
          </w:p>
        </w:tc>
        <w:tc>
          <w:tcPr>
            <w:tcW w:w="900" w:type="dxa"/>
          </w:tcPr>
          <w:p w14:paraId="77E41458" w14:textId="77777777" w:rsidR="00065D33" w:rsidRPr="006172EB" w:rsidRDefault="00065D33" w:rsidP="00273064">
            <w:pPr>
              <w:pStyle w:val="NoSpacing"/>
              <w:rPr>
                <w:sz w:val="22"/>
                <w:szCs w:val="22"/>
              </w:rPr>
            </w:pPr>
            <w:r w:rsidRPr="006172EB">
              <w:rPr>
                <w:sz w:val="22"/>
                <w:szCs w:val="22"/>
              </w:rPr>
              <w:t>In fresh air-cooling system with a chiller and coil</w:t>
            </w:r>
          </w:p>
        </w:tc>
        <w:tc>
          <w:tcPr>
            <w:tcW w:w="1077" w:type="dxa"/>
          </w:tcPr>
          <w:p w14:paraId="03ED6A6F" w14:textId="77777777" w:rsidR="00065D33" w:rsidRPr="006172EB" w:rsidRDefault="00065D33" w:rsidP="00273064">
            <w:pPr>
              <w:pStyle w:val="NoSpacing"/>
              <w:rPr>
                <w:sz w:val="22"/>
                <w:szCs w:val="22"/>
              </w:rPr>
            </w:pPr>
            <w:r w:rsidRPr="006172EB">
              <w:rPr>
                <w:sz w:val="22"/>
                <w:szCs w:val="22"/>
              </w:rPr>
              <w:t>Simulation, various climates</w:t>
            </w:r>
          </w:p>
        </w:tc>
        <w:tc>
          <w:tcPr>
            <w:tcW w:w="799" w:type="dxa"/>
          </w:tcPr>
          <w:p w14:paraId="4618DE8B" w14:textId="77777777" w:rsidR="00065D33" w:rsidRPr="006172EB" w:rsidRDefault="00065D33" w:rsidP="00273064">
            <w:pPr>
              <w:pStyle w:val="NoSpacing"/>
              <w:rPr>
                <w:sz w:val="22"/>
                <w:szCs w:val="22"/>
              </w:rPr>
            </w:pPr>
            <w:r w:rsidRPr="006172EB">
              <w:rPr>
                <w:sz w:val="22"/>
                <w:szCs w:val="22"/>
              </w:rPr>
              <w:t>Night precooling</w:t>
            </w:r>
          </w:p>
        </w:tc>
        <w:tc>
          <w:tcPr>
            <w:tcW w:w="1307" w:type="dxa"/>
          </w:tcPr>
          <w:p w14:paraId="431E5981" w14:textId="77777777" w:rsidR="00065D33" w:rsidRPr="006172EB" w:rsidRDefault="00065D33" w:rsidP="00273064">
            <w:pPr>
              <w:pStyle w:val="NoSpacing"/>
              <w:rPr>
                <w:sz w:val="22"/>
                <w:szCs w:val="22"/>
              </w:rPr>
            </w:pPr>
            <w:r w:rsidRPr="006172EB">
              <w:rPr>
                <w:sz w:val="22"/>
                <w:szCs w:val="22"/>
              </w:rPr>
              <w:t>Chiller used to store cold energy during nonworking hours</w:t>
            </w:r>
          </w:p>
        </w:tc>
        <w:tc>
          <w:tcPr>
            <w:tcW w:w="1153" w:type="dxa"/>
          </w:tcPr>
          <w:p w14:paraId="7E5C8FFD" w14:textId="77777777" w:rsidR="00065D33" w:rsidRPr="006172EB" w:rsidRDefault="00065D33" w:rsidP="00273064">
            <w:pPr>
              <w:pStyle w:val="NoSpacing"/>
              <w:rPr>
                <w:sz w:val="22"/>
                <w:szCs w:val="22"/>
              </w:rPr>
            </w:pPr>
            <w:r w:rsidRPr="006172EB">
              <w:rPr>
                <w:sz w:val="22"/>
                <w:szCs w:val="22"/>
              </w:rPr>
              <w:t>7%–41% energy savings</w:t>
            </w:r>
          </w:p>
        </w:tc>
        <w:tc>
          <w:tcPr>
            <w:tcW w:w="1153" w:type="dxa"/>
          </w:tcPr>
          <w:p w14:paraId="400CCCDA" w14:textId="77777777" w:rsidR="00065D33" w:rsidRPr="006172EB" w:rsidRDefault="00065D33" w:rsidP="00273064">
            <w:pPr>
              <w:pStyle w:val="NoSpacing"/>
              <w:rPr>
                <w:sz w:val="22"/>
                <w:szCs w:val="22"/>
              </w:rPr>
            </w:pPr>
            <w:r w:rsidRPr="006172EB">
              <w:rPr>
                <w:sz w:val="22"/>
                <w:szCs w:val="22"/>
              </w:rPr>
              <w:t>Not reported</w:t>
            </w:r>
          </w:p>
        </w:tc>
        <w:tc>
          <w:tcPr>
            <w:tcW w:w="958" w:type="dxa"/>
          </w:tcPr>
          <w:p w14:paraId="461BAF6C" w14:textId="77777777" w:rsidR="00065D33" w:rsidRPr="006172EB" w:rsidRDefault="00065D33" w:rsidP="00273064">
            <w:pPr>
              <w:pStyle w:val="NoSpacing"/>
              <w:rPr>
                <w:sz w:val="22"/>
                <w:szCs w:val="22"/>
              </w:rPr>
            </w:pPr>
            <w:r w:rsidRPr="006172EB">
              <w:rPr>
                <w:sz w:val="22"/>
                <w:szCs w:val="22"/>
              </w:rPr>
              <w:t>Not reported</w:t>
            </w:r>
          </w:p>
        </w:tc>
      </w:tr>
      <w:tr w:rsidR="00065D33" w:rsidRPr="006172EB" w14:paraId="3997B775" w14:textId="77777777" w:rsidTr="00273064">
        <w:trPr>
          <w:trHeight w:val="449"/>
          <w:jc w:val="center"/>
        </w:trPr>
        <w:tc>
          <w:tcPr>
            <w:tcW w:w="801" w:type="dxa"/>
          </w:tcPr>
          <w:sdt>
            <w:sdtPr>
              <w:rPr>
                <w:color w:val="000000"/>
                <w:sz w:val="22"/>
                <w:szCs w:val="22"/>
              </w:rPr>
              <w:tag w:val="MENDELEY_CITATION_v3_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"/>
              <w:id w:val="-1987319344"/>
              <w:placeholder>
                <w:docPart w:val="DD3ABE08E7AC4940AB40301799491F2D"/>
              </w:placeholder>
            </w:sdtPr>
            <w:sdtContent>
              <w:p w14:paraId="4EF00CF2" w14:textId="77777777" w:rsidR="00065D33" w:rsidRPr="006172EB" w:rsidRDefault="00065D33" w:rsidP="00273064">
                <w:pPr>
                  <w:pStyle w:val="NoSpacing"/>
                  <w:rPr>
                    <w:sz w:val="22"/>
                    <w:szCs w:val="22"/>
                  </w:rPr>
                </w:pPr>
                <w:r w:rsidRPr="001E7ECF">
                  <w:rPr>
                    <w:color w:val="000000"/>
                    <w:sz w:val="22"/>
                    <w:szCs w:val="22"/>
                  </w:rPr>
                  <w:t>[40]</w:t>
                </w:r>
              </w:p>
            </w:sdtContent>
          </w:sdt>
        </w:tc>
        <w:tc>
          <w:tcPr>
            <w:tcW w:w="1354" w:type="dxa"/>
          </w:tcPr>
          <w:p w14:paraId="6A2D8FB4" w14:textId="77777777" w:rsidR="00065D33" w:rsidRPr="006172EB" w:rsidRDefault="00065D33" w:rsidP="00273064">
            <w:pPr>
              <w:pStyle w:val="NoSpacing"/>
              <w:rPr>
                <w:sz w:val="22"/>
                <w:szCs w:val="22"/>
              </w:rPr>
            </w:pPr>
            <w:r w:rsidRPr="006172EB">
              <w:rPr>
                <w:sz w:val="22"/>
                <w:szCs w:val="22"/>
              </w:rPr>
              <w:t>Salt hydrate PCM 18T (18°C)</w:t>
            </w:r>
          </w:p>
        </w:tc>
        <w:tc>
          <w:tcPr>
            <w:tcW w:w="900" w:type="dxa"/>
          </w:tcPr>
          <w:p w14:paraId="70EEECE4" w14:textId="77777777" w:rsidR="00065D33" w:rsidRPr="006172EB" w:rsidRDefault="00065D33" w:rsidP="00273064">
            <w:pPr>
              <w:pStyle w:val="NoSpacing"/>
              <w:rPr>
                <w:sz w:val="22"/>
                <w:szCs w:val="22"/>
              </w:rPr>
            </w:pPr>
            <w:r w:rsidRPr="006172EB">
              <w:rPr>
                <w:sz w:val="22"/>
                <w:szCs w:val="22"/>
              </w:rPr>
              <w:t>In storage tank coupled with an ASHP</w:t>
            </w:r>
          </w:p>
        </w:tc>
        <w:tc>
          <w:tcPr>
            <w:tcW w:w="1077" w:type="dxa"/>
          </w:tcPr>
          <w:p w14:paraId="1902D460" w14:textId="77777777" w:rsidR="00065D33" w:rsidRPr="006172EB" w:rsidRDefault="00065D33" w:rsidP="00273064">
            <w:pPr>
              <w:pStyle w:val="NoSpacing"/>
              <w:rPr>
                <w:sz w:val="22"/>
                <w:szCs w:val="22"/>
              </w:rPr>
            </w:pPr>
            <w:r w:rsidRPr="006172EB">
              <w:rPr>
                <w:sz w:val="22"/>
                <w:szCs w:val="22"/>
              </w:rPr>
              <w:t>Simulation and experiment, Australia</w:t>
            </w:r>
          </w:p>
        </w:tc>
        <w:tc>
          <w:tcPr>
            <w:tcW w:w="799" w:type="dxa"/>
          </w:tcPr>
          <w:p w14:paraId="1C9A2FEF" w14:textId="77777777" w:rsidR="00065D33" w:rsidRPr="006172EB" w:rsidRDefault="00065D33" w:rsidP="00273064">
            <w:pPr>
              <w:pStyle w:val="NoSpacing"/>
              <w:rPr>
                <w:sz w:val="22"/>
                <w:szCs w:val="22"/>
              </w:rPr>
            </w:pPr>
            <w:r w:rsidRPr="006172EB">
              <w:rPr>
                <w:sz w:val="22"/>
                <w:szCs w:val="22"/>
              </w:rPr>
              <w:t>Demand tariff and usage</w:t>
            </w:r>
          </w:p>
        </w:tc>
        <w:tc>
          <w:tcPr>
            <w:tcW w:w="1307" w:type="dxa"/>
          </w:tcPr>
          <w:p w14:paraId="622D9B1F" w14:textId="77777777" w:rsidR="00065D33" w:rsidRPr="006172EB" w:rsidRDefault="00065D33" w:rsidP="00273064">
            <w:pPr>
              <w:pStyle w:val="NoSpacing"/>
              <w:rPr>
                <w:sz w:val="22"/>
                <w:szCs w:val="22"/>
              </w:rPr>
            </w:pPr>
            <w:r w:rsidRPr="006172EB">
              <w:rPr>
                <w:sz w:val="22"/>
                <w:szCs w:val="22"/>
              </w:rPr>
              <w:t>Return air from room passes through PCMs before entering the evaporator; COP increased</w:t>
            </w:r>
          </w:p>
        </w:tc>
        <w:tc>
          <w:tcPr>
            <w:tcW w:w="1153" w:type="dxa"/>
          </w:tcPr>
          <w:p w14:paraId="0AA4D00D" w14:textId="77777777" w:rsidR="00065D33" w:rsidRPr="006172EB" w:rsidRDefault="00065D33" w:rsidP="00273064">
            <w:pPr>
              <w:pStyle w:val="NoSpacing"/>
              <w:rPr>
                <w:sz w:val="22"/>
                <w:szCs w:val="22"/>
              </w:rPr>
            </w:pPr>
            <w:r w:rsidRPr="006172EB">
              <w:rPr>
                <w:sz w:val="22"/>
                <w:szCs w:val="22"/>
              </w:rPr>
              <w:t>Energy consumption reduced by 7%–14%</w:t>
            </w:r>
          </w:p>
        </w:tc>
        <w:tc>
          <w:tcPr>
            <w:tcW w:w="1153" w:type="dxa"/>
          </w:tcPr>
          <w:p w14:paraId="6FCE49C1" w14:textId="77777777" w:rsidR="00065D33" w:rsidRPr="006172EB" w:rsidRDefault="00065D33" w:rsidP="00273064">
            <w:pPr>
              <w:pStyle w:val="NoSpacing"/>
              <w:rPr>
                <w:sz w:val="22"/>
                <w:szCs w:val="22"/>
              </w:rPr>
            </w:pPr>
            <w:r w:rsidRPr="006172EB">
              <w:rPr>
                <w:sz w:val="22"/>
                <w:szCs w:val="22"/>
              </w:rPr>
              <w:t>Half-hourly peak demand reduced by 10%–32%</w:t>
            </w:r>
          </w:p>
        </w:tc>
        <w:tc>
          <w:tcPr>
            <w:tcW w:w="958" w:type="dxa"/>
          </w:tcPr>
          <w:p w14:paraId="57F05272" w14:textId="77777777" w:rsidR="00065D33" w:rsidRPr="006172EB" w:rsidRDefault="00065D33" w:rsidP="00273064">
            <w:pPr>
              <w:pStyle w:val="NoSpacing"/>
              <w:rPr>
                <w:sz w:val="22"/>
                <w:szCs w:val="22"/>
              </w:rPr>
            </w:pPr>
            <w:r w:rsidRPr="006172EB">
              <w:rPr>
                <w:sz w:val="22"/>
                <w:szCs w:val="22"/>
              </w:rPr>
              <w:t>7%–14% with usage tariff, 13%–14% with demand tariff; 10 –year payback</w:t>
            </w:r>
          </w:p>
        </w:tc>
      </w:tr>
      <w:tr w:rsidR="00065D33" w:rsidRPr="006172EB" w14:paraId="1885BBA1" w14:textId="77777777" w:rsidTr="00273064">
        <w:trPr>
          <w:trHeight w:val="449"/>
          <w:jc w:val="center"/>
        </w:trPr>
        <w:tc>
          <w:tcPr>
            <w:tcW w:w="801" w:type="dxa"/>
          </w:tcPr>
          <w:sdt>
            <w:sdtPr>
              <w:rPr>
                <w:color w:val="000000"/>
                <w:sz w:val="22"/>
                <w:szCs w:val="22"/>
              </w:rPr>
              <w:tag w:val="MENDELEY_CITATION_v3_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"/>
              <w:id w:val="708685392"/>
              <w:placeholder>
                <w:docPart w:val="7977B7CC4F81474191FB8734EEC7751A"/>
              </w:placeholder>
            </w:sdtPr>
            <w:sdtContent>
              <w:p w14:paraId="0C65C764" w14:textId="77777777" w:rsidR="00065D33" w:rsidRPr="006172EB" w:rsidRDefault="00065D33" w:rsidP="00273064">
                <w:pPr>
                  <w:pStyle w:val="NoSpacing"/>
                  <w:rPr>
                    <w:sz w:val="22"/>
                    <w:szCs w:val="22"/>
                  </w:rPr>
                </w:pPr>
                <w:r w:rsidRPr="001E7ECF">
                  <w:rPr>
                    <w:color w:val="000000"/>
                    <w:sz w:val="22"/>
                    <w:szCs w:val="22"/>
                  </w:rPr>
                  <w:t>[41]</w:t>
                </w:r>
              </w:p>
            </w:sdtContent>
          </w:sdt>
        </w:tc>
        <w:tc>
          <w:tcPr>
            <w:tcW w:w="1354" w:type="dxa"/>
          </w:tcPr>
          <w:p w14:paraId="379F1089" w14:textId="77777777" w:rsidR="00065D33" w:rsidRPr="006172EB" w:rsidRDefault="00065D33" w:rsidP="00273064">
            <w:pPr>
              <w:pStyle w:val="NoSpacing"/>
              <w:rPr>
                <w:sz w:val="22"/>
                <w:szCs w:val="22"/>
              </w:rPr>
            </w:pPr>
            <w:r w:rsidRPr="006172EB">
              <w:rPr>
                <w:sz w:val="22"/>
                <w:szCs w:val="22"/>
              </w:rPr>
              <w:t>RT11HC organic PCM (10°C–12°C)</w:t>
            </w:r>
          </w:p>
        </w:tc>
        <w:tc>
          <w:tcPr>
            <w:tcW w:w="900" w:type="dxa"/>
          </w:tcPr>
          <w:p w14:paraId="6C4A1D00" w14:textId="77777777" w:rsidR="00065D33" w:rsidRPr="006172EB" w:rsidRDefault="00065D33" w:rsidP="00273064">
            <w:pPr>
              <w:pStyle w:val="NoSpacing"/>
              <w:rPr>
                <w:sz w:val="22"/>
                <w:szCs w:val="22"/>
              </w:rPr>
            </w:pPr>
            <w:r w:rsidRPr="006172EB">
              <w:rPr>
                <w:sz w:val="22"/>
                <w:szCs w:val="22"/>
              </w:rPr>
              <w:t>In storage tanks coupled with HPs and water pumps</w:t>
            </w:r>
          </w:p>
        </w:tc>
        <w:tc>
          <w:tcPr>
            <w:tcW w:w="1077" w:type="dxa"/>
          </w:tcPr>
          <w:p w14:paraId="724782E8" w14:textId="77777777" w:rsidR="00065D33" w:rsidRPr="006172EB" w:rsidRDefault="00065D33" w:rsidP="00273064">
            <w:pPr>
              <w:pStyle w:val="NoSpacing"/>
              <w:rPr>
                <w:sz w:val="22"/>
                <w:szCs w:val="22"/>
              </w:rPr>
            </w:pPr>
            <w:r w:rsidRPr="006172EB">
              <w:rPr>
                <w:sz w:val="22"/>
                <w:szCs w:val="22"/>
              </w:rPr>
              <w:t>Simulation, Fuzhou, China</w:t>
            </w:r>
          </w:p>
        </w:tc>
        <w:tc>
          <w:tcPr>
            <w:tcW w:w="799" w:type="dxa"/>
          </w:tcPr>
          <w:p w14:paraId="3C75EC80" w14:textId="77777777" w:rsidR="00065D33" w:rsidRPr="006172EB" w:rsidRDefault="00065D33" w:rsidP="00273064">
            <w:pPr>
              <w:pStyle w:val="NoSpacing"/>
              <w:rPr>
                <w:sz w:val="22"/>
                <w:szCs w:val="22"/>
              </w:rPr>
            </w:pPr>
            <w:r w:rsidRPr="006172EB">
              <w:rPr>
                <w:sz w:val="22"/>
                <w:szCs w:val="22"/>
              </w:rPr>
              <w:t>Demand tariff</w:t>
            </w:r>
          </w:p>
        </w:tc>
        <w:tc>
          <w:tcPr>
            <w:tcW w:w="1307" w:type="dxa"/>
          </w:tcPr>
          <w:p w14:paraId="12FECBD6" w14:textId="77777777" w:rsidR="00065D33" w:rsidRPr="006172EB" w:rsidRDefault="00065D33" w:rsidP="00273064">
            <w:pPr>
              <w:pStyle w:val="NoSpacing"/>
              <w:rPr>
                <w:sz w:val="22"/>
                <w:szCs w:val="22"/>
              </w:rPr>
            </w:pPr>
            <w:r w:rsidRPr="006172EB">
              <w:rPr>
                <w:sz w:val="22"/>
                <w:szCs w:val="22"/>
              </w:rPr>
              <w:t>HP cools water and directs it to storage tank to solidify PCM</w:t>
            </w:r>
          </w:p>
        </w:tc>
        <w:tc>
          <w:tcPr>
            <w:tcW w:w="1153" w:type="dxa"/>
          </w:tcPr>
          <w:p w14:paraId="53DE8258" w14:textId="77777777" w:rsidR="00065D33" w:rsidRPr="006172EB" w:rsidRDefault="00065D33" w:rsidP="00273064">
            <w:pPr>
              <w:pStyle w:val="NoSpacing"/>
              <w:rPr>
                <w:sz w:val="22"/>
                <w:szCs w:val="22"/>
              </w:rPr>
            </w:pPr>
            <w:r w:rsidRPr="006172EB">
              <w:rPr>
                <w:sz w:val="22"/>
                <w:szCs w:val="22"/>
              </w:rPr>
              <w:t>Electricity consumption reduced by 1.17%–2.47%</w:t>
            </w:r>
          </w:p>
        </w:tc>
        <w:tc>
          <w:tcPr>
            <w:tcW w:w="1153" w:type="dxa"/>
          </w:tcPr>
          <w:p w14:paraId="1A3B4D40" w14:textId="77777777" w:rsidR="00065D33" w:rsidRPr="006172EB" w:rsidRDefault="00065D33" w:rsidP="00273064">
            <w:pPr>
              <w:pStyle w:val="NoSpacing"/>
              <w:rPr>
                <w:sz w:val="22"/>
                <w:szCs w:val="22"/>
              </w:rPr>
            </w:pPr>
            <w:r w:rsidRPr="006172EB">
              <w:rPr>
                <w:sz w:val="22"/>
                <w:szCs w:val="22"/>
              </w:rPr>
              <w:t>9.07%–11.28% peak demand charges reduced</w:t>
            </w:r>
          </w:p>
        </w:tc>
        <w:tc>
          <w:tcPr>
            <w:tcW w:w="958" w:type="dxa"/>
          </w:tcPr>
          <w:p w14:paraId="700F5D93" w14:textId="77777777" w:rsidR="00065D33" w:rsidRPr="006172EB" w:rsidRDefault="00065D33" w:rsidP="00273064">
            <w:pPr>
              <w:pStyle w:val="NoSpacing"/>
              <w:rPr>
                <w:sz w:val="22"/>
                <w:szCs w:val="22"/>
              </w:rPr>
            </w:pPr>
            <w:r w:rsidRPr="006172EB">
              <w:rPr>
                <w:sz w:val="22"/>
                <w:szCs w:val="22"/>
              </w:rPr>
              <w:t>Not reported</w:t>
            </w:r>
          </w:p>
        </w:tc>
      </w:tr>
    </w:tbl>
    <w:p w14:paraId="6EF2D73C" w14:textId="77777777" w:rsidR="00065D33" w:rsidRDefault="00065D33">
      <w:pPr>
        <w:spacing w:before="0" w:line="240" w:lineRule="auto"/>
        <w:ind w:firstLine="0"/>
        <w:jc w:val="left"/>
        <w:rPr>
          <w:rFonts w:cs="Times New Roman"/>
          <w:b/>
          <w:bCs/>
        </w:rPr>
      </w:pPr>
    </w:p>
    <w:p w14:paraId="25DDBF9E" w14:textId="77777777" w:rsidR="00065D33" w:rsidRDefault="00065D33">
      <w:pPr>
        <w:spacing w:before="0" w:line="240" w:lineRule="auto"/>
        <w:ind w:firstLine="0"/>
        <w:jc w:val="left"/>
        <w:rPr>
          <w:rFonts w:cs="Times New Roman"/>
          <w:b/>
          <w:bCs/>
        </w:rPr>
      </w:pPr>
      <w:r>
        <w:rPr>
          <w:rFonts w:cs="Times New Roman"/>
          <w:b/>
          <w:bCs/>
        </w:rPr>
        <w:br w:type="page"/>
      </w:r>
    </w:p>
    <w:p w14:paraId="6BC3BCB0" w14:textId="45C15B70" w:rsidR="00C44DE0" w:rsidRDefault="00C44DE0" w:rsidP="00C44DE0">
      <w:pPr>
        <w:spacing w:line="240" w:lineRule="auto"/>
        <w:jc w:val="center"/>
        <w:rPr>
          <w:rFonts w:cs="Times New Roman"/>
          <w:b/>
          <w:bCs/>
        </w:rPr>
      </w:pPr>
      <w:r w:rsidRPr="00C44DE0">
        <w:rPr>
          <w:rFonts w:cs="Times New Roman"/>
          <w:b/>
          <w:bCs/>
        </w:rPr>
        <w:lastRenderedPageBreak/>
        <w:t>Table 7 Continued</w:t>
      </w:r>
    </w:p>
    <w:p w14:paraId="5ACCC69F" w14:textId="77777777" w:rsidR="00C44DE0" w:rsidRDefault="00C44DE0">
      <w:pPr>
        <w:spacing w:line="240" w:lineRule="auto"/>
        <w:rPr>
          <w:rFonts w:cs="Times New Roman"/>
        </w:rPr>
      </w:pPr>
    </w:p>
    <w:tbl>
      <w:tblPr>
        <w:tblW w:w="9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801"/>
        <w:gridCol w:w="1354"/>
        <w:gridCol w:w="900"/>
        <w:gridCol w:w="1077"/>
        <w:gridCol w:w="799"/>
        <w:gridCol w:w="1307"/>
        <w:gridCol w:w="1153"/>
        <w:gridCol w:w="1153"/>
        <w:gridCol w:w="958"/>
      </w:tblGrid>
      <w:tr w:rsidR="00C44DE0" w:rsidRPr="006172EB" w14:paraId="4503E18E" w14:textId="77777777" w:rsidTr="00273064">
        <w:trPr>
          <w:trHeight w:val="449"/>
          <w:jc w:val="center"/>
        </w:trPr>
        <w:tc>
          <w:tcPr>
            <w:tcW w:w="801" w:type="dxa"/>
          </w:tcPr>
          <w:sdt>
            <w:sdtPr>
              <w:rPr>
                <w:color w:val="000000"/>
                <w:sz w:val="22"/>
                <w:szCs w:val="22"/>
              </w:rPr>
              <w:tag w:val="MENDELEY_CITATION_v3_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"/>
              <w:id w:val="862248685"/>
              <w:placeholder>
                <w:docPart w:val="2B68A6BD5522D94B8AD8B2E8DE72C633"/>
              </w:placeholder>
            </w:sdtPr>
            <w:sdtContent>
              <w:p w14:paraId="18A95A8D" w14:textId="77777777" w:rsidR="00C44DE0" w:rsidRPr="006172EB" w:rsidRDefault="00C44DE0" w:rsidP="00273064">
                <w:pPr>
                  <w:pStyle w:val="NoSpacing"/>
                  <w:rPr>
                    <w:sz w:val="22"/>
                    <w:szCs w:val="22"/>
                  </w:rPr>
                </w:pPr>
                <w:r w:rsidRPr="001E7ECF">
                  <w:rPr>
                    <w:color w:val="000000"/>
                    <w:sz w:val="22"/>
                    <w:szCs w:val="22"/>
                  </w:rPr>
                  <w:t>[39]</w:t>
                </w:r>
              </w:p>
            </w:sdtContent>
          </w:sdt>
        </w:tc>
        <w:tc>
          <w:tcPr>
            <w:tcW w:w="1354" w:type="dxa"/>
          </w:tcPr>
          <w:p w14:paraId="3403814E" w14:textId="77777777" w:rsidR="00C44DE0" w:rsidRPr="006172EB" w:rsidRDefault="00C44DE0" w:rsidP="00273064">
            <w:pPr>
              <w:pStyle w:val="NoSpacing"/>
              <w:rPr>
                <w:sz w:val="22"/>
                <w:szCs w:val="22"/>
              </w:rPr>
            </w:pPr>
            <w:r w:rsidRPr="006172EB">
              <w:rPr>
                <w:sz w:val="22"/>
                <w:szCs w:val="22"/>
              </w:rPr>
              <w:t>Slurry ice</w:t>
            </w:r>
          </w:p>
        </w:tc>
        <w:tc>
          <w:tcPr>
            <w:tcW w:w="900" w:type="dxa"/>
          </w:tcPr>
          <w:p w14:paraId="05845C04" w14:textId="77777777" w:rsidR="00C44DE0" w:rsidRPr="006172EB" w:rsidRDefault="00C44DE0" w:rsidP="00273064">
            <w:pPr>
              <w:pStyle w:val="NoSpacing"/>
              <w:rPr>
                <w:sz w:val="22"/>
                <w:szCs w:val="22"/>
              </w:rPr>
            </w:pPr>
            <w:r w:rsidRPr="006172EB">
              <w:rPr>
                <w:sz w:val="22"/>
                <w:szCs w:val="22"/>
              </w:rPr>
              <w:t>Embedded in the condenser of a personal A/C device</w:t>
            </w:r>
          </w:p>
        </w:tc>
        <w:tc>
          <w:tcPr>
            <w:tcW w:w="1077" w:type="dxa"/>
          </w:tcPr>
          <w:p w14:paraId="41CAAE4A" w14:textId="77777777" w:rsidR="00C44DE0" w:rsidRPr="006172EB" w:rsidRDefault="00C44DE0" w:rsidP="00273064">
            <w:pPr>
              <w:pStyle w:val="NoSpacing"/>
              <w:rPr>
                <w:sz w:val="22"/>
                <w:szCs w:val="22"/>
              </w:rPr>
            </w:pPr>
            <w:r w:rsidRPr="006172EB">
              <w:rPr>
                <w:sz w:val="22"/>
                <w:szCs w:val="22"/>
              </w:rPr>
              <w:t>Simulation, various US climate zones</w:t>
            </w:r>
          </w:p>
        </w:tc>
        <w:tc>
          <w:tcPr>
            <w:tcW w:w="799" w:type="dxa"/>
          </w:tcPr>
          <w:p w14:paraId="178D2680" w14:textId="77777777" w:rsidR="00C44DE0" w:rsidRPr="006172EB" w:rsidRDefault="00C44DE0" w:rsidP="00273064">
            <w:pPr>
              <w:pStyle w:val="NoSpacing"/>
              <w:rPr>
                <w:sz w:val="22"/>
                <w:szCs w:val="22"/>
              </w:rPr>
            </w:pPr>
            <w:r w:rsidRPr="006172EB">
              <w:rPr>
                <w:sz w:val="22"/>
                <w:szCs w:val="22"/>
              </w:rPr>
              <w:t>Various building types, old (pre-1980) and new (post-2004)</w:t>
            </w:r>
          </w:p>
        </w:tc>
        <w:tc>
          <w:tcPr>
            <w:tcW w:w="1307" w:type="dxa"/>
          </w:tcPr>
          <w:p w14:paraId="1D0AB945" w14:textId="77777777" w:rsidR="00C44DE0" w:rsidRPr="006172EB" w:rsidRDefault="00C44DE0" w:rsidP="00273064">
            <w:pPr>
              <w:pStyle w:val="NoSpacing"/>
              <w:rPr>
                <w:sz w:val="22"/>
                <w:szCs w:val="22"/>
              </w:rPr>
            </w:pPr>
            <w:r w:rsidRPr="006172EB">
              <w:rPr>
                <w:sz w:val="22"/>
                <w:szCs w:val="22"/>
              </w:rPr>
              <w:t>Refrigerant from compressor used to solidify PCMs in air-to-refrigerant HX</w:t>
            </w:r>
          </w:p>
        </w:tc>
        <w:tc>
          <w:tcPr>
            <w:tcW w:w="1153" w:type="dxa"/>
          </w:tcPr>
          <w:p w14:paraId="3F724B75" w14:textId="77777777" w:rsidR="00C44DE0" w:rsidRPr="006172EB" w:rsidRDefault="00C44DE0" w:rsidP="00273064">
            <w:pPr>
              <w:pStyle w:val="NoSpacing"/>
              <w:rPr>
                <w:sz w:val="22"/>
                <w:szCs w:val="22"/>
              </w:rPr>
            </w:pPr>
            <w:r w:rsidRPr="006172EB">
              <w:rPr>
                <w:sz w:val="22"/>
                <w:szCs w:val="22"/>
              </w:rPr>
              <w:t>Cooling energy savings of 7%–11% for new office buildings, 6%–15% for new apartments</w:t>
            </w:r>
          </w:p>
        </w:tc>
        <w:tc>
          <w:tcPr>
            <w:tcW w:w="1153" w:type="dxa"/>
          </w:tcPr>
          <w:p w14:paraId="1EC5949C" w14:textId="77777777" w:rsidR="00C44DE0" w:rsidRPr="006172EB" w:rsidRDefault="00C44DE0" w:rsidP="00273064">
            <w:pPr>
              <w:pStyle w:val="NoSpacing"/>
              <w:rPr>
                <w:sz w:val="22"/>
                <w:szCs w:val="22"/>
              </w:rPr>
            </w:pPr>
            <w:r w:rsidRPr="006172EB">
              <w:rPr>
                <w:sz w:val="22"/>
                <w:szCs w:val="22"/>
              </w:rPr>
              <w:t>10%–70% energy savings during peak hours with adjusted thermostat settings</w:t>
            </w:r>
          </w:p>
        </w:tc>
        <w:tc>
          <w:tcPr>
            <w:tcW w:w="958" w:type="dxa"/>
          </w:tcPr>
          <w:p w14:paraId="1CE2D4A1" w14:textId="77777777" w:rsidR="00C44DE0" w:rsidRPr="006172EB" w:rsidRDefault="00C44DE0" w:rsidP="00273064">
            <w:pPr>
              <w:pStyle w:val="NoSpacing"/>
              <w:rPr>
                <w:sz w:val="22"/>
                <w:szCs w:val="22"/>
              </w:rPr>
            </w:pPr>
            <w:r w:rsidRPr="006172EB">
              <w:rPr>
                <w:sz w:val="22"/>
                <w:szCs w:val="22"/>
              </w:rPr>
              <w:t>Up to $3,000 cash savings depending on location</w:t>
            </w:r>
          </w:p>
        </w:tc>
      </w:tr>
      <w:tr w:rsidR="00C44DE0" w:rsidRPr="006172EB" w14:paraId="43CC83AB" w14:textId="77777777" w:rsidTr="00273064">
        <w:trPr>
          <w:trHeight w:val="449"/>
          <w:jc w:val="center"/>
        </w:trPr>
        <w:tc>
          <w:tcPr>
            <w:tcW w:w="801" w:type="dxa"/>
          </w:tcPr>
          <w:sdt>
            <w:sdtPr>
              <w:rPr>
                <w:color w:val="000000"/>
                <w:sz w:val="22"/>
                <w:szCs w:val="22"/>
              </w:rPr>
              <w:tag w:val="MENDELEY_CITATION_v3_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"/>
              <w:id w:val="-1533718307"/>
              <w:placeholder>
                <w:docPart w:val="5EB3EDB96234B441921EBE305BC3E3C1"/>
              </w:placeholder>
            </w:sdtPr>
            <w:sdtContent>
              <w:p w14:paraId="40F0DFD9" w14:textId="77777777" w:rsidR="00C44DE0" w:rsidRPr="006172EB" w:rsidRDefault="00C44DE0" w:rsidP="00273064">
                <w:pPr>
                  <w:pStyle w:val="NoSpacing"/>
                  <w:rPr>
                    <w:sz w:val="22"/>
                    <w:szCs w:val="22"/>
                  </w:rPr>
                </w:pPr>
                <w:r w:rsidRPr="001E7ECF">
                  <w:rPr>
                    <w:color w:val="000000"/>
                    <w:sz w:val="22"/>
                    <w:szCs w:val="22"/>
                  </w:rPr>
                  <w:t>[154]</w:t>
                </w:r>
              </w:p>
            </w:sdtContent>
          </w:sdt>
        </w:tc>
        <w:tc>
          <w:tcPr>
            <w:tcW w:w="1354" w:type="dxa"/>
          </w:tcPr>
          <w:p w14:paraId="73C86ACF" w14:textId="77777777" w:rsidR="00C44DE0" w:rsidRPr="006172EB" w:rsidRDefault="00C44DE0" w:rsidP="00273064">
            <w:pPr>
              <w:pStyle w:val="NoSpacing"/>
              <w:rPr>
                <w:sz w:val="22"/>
                <w:szCs w:val="22"/>
              </w:rPr>
            </w:pPr>
            <w:r w:rsidRPr="006172EB">
              <w:rPr>
                <w:sz w:val="22"/>
                <w:szCs w:val="22"/>
              </w:rPr>
              <w:t>Ice</w:t>
            </w:r>
          </w:p>
        </w:tc>
        <w:tc>
          <w:tcPr>
            <w:tcW w:w="900" w:type="dxa"/>
          </w:tcPr>
          <w:p w14:paraId="6AB68560" w14:textId="77777777" w:rsidR="00C44DE0" w:rsidRPr="006172EB" w:rsidRDefault="00C44DE0" w:rsidP="00273064">
            <w:pPr>
              <w:pStyle w:val="NoSpacing"/>
              <w:rPr>
                <w:sz w:val="22"/>
                <w:szCs w:val="22"/>
              </w:rPr>
            </w:pPr>
            <w:r w:rsidRPr="006172EB">
              <w:rPr>
                <w:sz w:val="22"/>
                <w:szCs w:val="22"/>
              </w:rPr>
              <w:t>In storage tank as a condenser or evaporator</w:t>
            </w:r>
          </w:p>
        </w:tc>
        <w:tc>
          <w:tcPr>
            <w:tcW w:w="1077" w:type="dxa"/>
          </w:tcPr>
          <w:p w14:paraId="7727AF94" w14:textId="77777777" w:rsidR="00C44DE0" w:rsidRPr="006172EB" w:rsidRDefault="00C44DE0" w:rsidP="00273064">
            <w:pPr>
              <w:pStyle w:val="NoSpacing"/>
              <w:rPr>
                <w:sz w:val="22"/>
                <w:szCs w:val="22"/>
              </w:rPr>
            </w:pPr>
            <w:r w:rsidRPr="006172EB">
              <w:rPr>
                <w:sz w:val="22"/>
                <w:szCs w:val="22"/>
              </w:rPr>
              <w:t>Simulation, California, United States</w:t>
            </w:r>
          </w:p>
        </w:tc>
        <w:tc>
          <w:tcPr>
            <w:tcW w:w="799" w:type="dxa"/>
          </w:tcPr>
          <w:p w14:paraId="4887BCB2" w14:textId="77777777" w:rsidR="00C44DE0" w:rsidRPr="006172EB" w:rsidRDefault="00C44DE0" w:rsidP="00273064">
            <w:pPr>
              <w:pStyle w:val="NoSpacing"/>
              <w:rPr>
                <w:sz w:val="22"/>
                <w:szCs w:val="22"/>
              </w:rPr>
            </w:pPr>
            <w:r w:rsidRPr="006172EB">
              <w:rPr>
                <w:sz w:val="22"/>
                <w:szCs w:val="22"/>
              </w:rPr>
              <w:t>TOU tariff (1 week analysis)</w:t>
            </w:r>
          </w:p>
        </w:tc>
        <w:tc>
          <w:tcPr>
            <w:tcW w:w="1307" w:type="dxa"/>
          </w:tcPr>
          <w:p w14:paraId="1A5EE34A" w14:textId="77777777" w:rsidR="00C44DE0" w:rsidRPr="006172EB" w:rsidRDefault="00C44DE0" w:rsidP="00273064">
            <w:pPr>
              <w:pStyle w:val="NoSpacing"/>
              <w:rPr>
                <w:sz w:val="22"/>
                <w:szCs w:val="22"/>
              </w:rPr>
            </w:pPr>
            <w:r w:rsidRPr="006172EB">
              <w:rPr>
                <w:sz w:val="22"/>
                <w:szCs w:val="22"/>
              </w:rPr>
              <w:t>PCMs used as evaporator for charging; COP improved</w:t>
            </w:r>
          </w:p>
        </w:tc>
        <w:tc>
          <w:tcPr>
            <w:tcW w:w="1153" w:type="dxa"/>
          </w:tcPr>
          <w:p w14:paraId="45425391" w14:textId="77777777" w:rsidR="00C44DE0" w:rsidRPr="006172EB" w:rsidRDefault="00C44DE0" w:rsidP="00273064">
            <w:pPr>
              <w:pStyle w:val="NoSpacing"/>
              <w:rPr>
                <w:sz w:val="22"/>
                <w:szCs w:val="22"/>
              </w:rPr>
            </w:pPr>
            <w:r w:rsidRPr="006172EB">
              <w:rPr>
                <w:sz w:val="22"/>
                <w:szCs w:val="22"/>
              </w:rPr>
              <w:t>14.5% electricity consumption reduced</w:t>
            </w:r>
          </w:p>
        </w:tc>
        <w:tc>
          <w:tcPr>
            <w:tcW w:w="1153" w:type="dxa"/>
          </w:tcPr>
          <w:p w14:paraId="1C8CB8AC" w14:textId="77777777" w:rsidR="00C44DE0" w:rsidRPr="006172EB" w:rsidRDefault="00C44DE0" w:rsidP="00273064">
            <w:pPr>
              <w:pStyle w:val="NoSpacing"/>
              <w:rPr>
                <w:sz w:val="22"/>
                <w:szCs w:val="22"/>
              </w:rPr>
            </w:pPr>
            <w:r w:rsidRPr="006172EB">
              <w:rPr>
                <w:sz w:val="22"/>
                <w:szCs w:val="22"/>
              </w:rPr>
              <w:t>Peak energy consumption reduced by 87.5%</w:t>
            </w:r>
          </w:p>
        </w:tc>
        <w:tc>
          <w:tcPr>
            <w:tcW w:w="958" w:type="dxa"/>
          </w:tcPr>
          <w:p w14:paraId="5D954D8A" w14:textId="77777777" w:rsidR="00C44DE0" w:rsidRPr="006172EB" w:rsidRDefault="00C44DE0" w:rsidP="00273064">
            <w:pPr>
              <w:pStyle w:val="NoSpacing"/>
              <w:rPr>
                <w:sz w:val="22"/>
                <w:szCs w:val="22"/>
              </w:rPr>
            </w:pPr>
            <w:r w:rsidRPr="006172EB">
              <w:rPr>
                <w:sz w:val="22"/>
                <w:szCs w:val="22"/>
              </w:rPr>
              <w:t>20% cost savings per week</w:t>
            </w:r>
          </w:p>
        </w:tc>
      </w:tr>
      <w:tr w:rsidR="00C44DE0" w:rsidRPr="006172EB" w14:paraId="6003F00E" w14:textId="77777777" w:rsidTr="00273064">
        <w:trPr>
          <w:trHeight w:val="449"/>
          <w:jc w:val="center"/>
        </w:trPr>
        <w:tc>
          <w:tcPr>
            <w:tcW w:w="801" w:type="dxa"/>
          </w:tcPr>
          <w:sdt>
            <w:sdtPr>
              <w:rPr>
                <w:color w:val="000000"/>
                <w:sz w:val="22"/>
                <w:szCs w:val="22"/>
              </w:rPr>
              <w:tag w:val="MENDELEY_CITATION_v3_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"/>
              <w:id w:val="-2015598064"/>
              <w:placeholder>
                <w:docPart w:val="C00753EE3FDCB14B97A379B65FDB9FD9"/>
              </w:placeholder>
            </w:sdtPr>
            <w:sdtContent>
              <w:p w14:paraId="17E41D7A" w14:textId="77777777" w:rsidR="00C44DE0" w:rsidRPr="006172EB" w:rsidRDefault="00C44DE0" w:rsidP="00273064">
                <w:pPr>
                  <w:pStyle w:val="NoSpacing"/>
                  <w:rPr>
                    <w:sz w:val="22"/>
                    <w:szCs w:val="22"/>
                  </w:rPr>
                </w:pPr>
                <w:r w:rsidRPr="001E7ECF">
                  <w:rPr>
                    <w:color w:val="000000"/>
                    <w:sz w:val="22"/>
                    <w:szCs w:val="22"/>
                  </w:rPr>
                  <w:t>[38]</w:t>
                </w:r>
              </w:p>
            </w:sdtContent>
          </w:sdt>
        </w:tc>
        <w:tc>
          <w:tcPr>
            <w:tcW w:w="1354" w:type="dxa"/>
          </w:tcPr>
          <w:p w14:paraId="254B8972" w14:textId="77777777" w:rsidR="00C44DE0" w:rsidRPr="006172EB" w:rsidRDefault="00C44DE0" w:rsidP="00273064">
            <w:pPr>
              <w:pStyle w:val="NoSpacing"/>
              <w:rPr>
                <w:sz w:val="22"/>
                <w:szCs w:val="22"/>
              </w:rPr>
            </w:pPr>
            <w:r w:rsidRPr="006172EB">
              <w:rPr>
                <w:sz w:val="22"/>
                <w:szCs w:val="22"/>
              </w:rPr>
              <w:t>PureTemp (15°C)</w:t>
            </w:r>
          </w:p>
        </w:tc>
        <w:tc>
          <w:tcPr>
            <w:tcW w:w="900" w:type="dxa"/>
          </w:tcPr>
          <w:p w14:paraId="5DE48FC3" w14:textId="77777777" w:rsidR="00C44DE0" w:rsidRPr="006172EB" w:rsidRDefault="00C44DE0" w:rsidP="00273064">
            <w:pPr>
              <w:pStyle w:val="NoSpacing"/>
              <w:rPr>
                <w:sz w:val="22"/>
                <w:szCs w:val="22"/>
              </w:rPr>
            </w:pPr>
            <w:r w:rsidRPr="006172EB">
              <w:rPr>
                <w:sz w:val="22"/>
                <w:szCs w:val="22"/>
              </w:rPr>
              <w:t>In supply air duct of an A/C system</w:t>
            </w:r>
          </w:p>
        </w:tc>
        <w:tc>
          <w:tcPr>
            <w:tcW w:w="1077" w:type="dxa"/>
          </w:tcPr>
          <w:p w14:paraId="246C1245" w14:textId="77777777" w:rsidR="00C44DE0" w:rsidRPr="006172EB" w:rsidRDefault="00C44DE0" w:rsidP="00273064">
            <w:pPr>
              <w:pStyle w:val="NoSpacing"/>
              <w:rPr>
                <w:sz w:val="22"/>
                <w:szCs w:val="22"/>
              </w:rPr>
            </w:pPr>
            <w:r w:rsidRPr="006172EB">
              <w:rPr>
                <w:sz w:val="22"/>
                <w:szCs w:val="22"/>
              </w:rPr>
              <w:t>Experiment, El Paso, Tempe, and Houston, United States</w:t>
            </w:r>
          </w:p>
        </w:tc>
        <w:tc>
          <w:tcPr>
            <w:tcW w:w="799" w:type="dxa"/>
          </w:tcPr>
          <w:p w14:paraId="6105A028" w14:textId="77777777" w:rsidR="00C44DE0" w:rsidRPr="006172EB" w:rsidRDefault="00C44DE0" w:rsidP="00273064">
            <w:pPr>
              <w:pStyle w:val="NoSpacing"/>
              <w:rPr>
                <w:sz w:val="22"/>
                <w:szCs w:val="22"/>
              </w:rPr>
            </w:pPr>
            <w:r w:rsidRPr="006172EB">
              <w:rPr>
                <w:sz w:val="22"/>
                <w:szCs w:val="22"/>
              </w:rPr>
              <w:t>TOU tariff</w:t>
            </w:r>
          </w:p>
        </w:tc>
        <w:tc>
          <w:tcPr>
            <w:tcW w:w="1307" w:type="dxa"/>
          </w:tcPr>
          <w:p w14:paraId="2FDDF620" w14:textId="77777777" w:rsidR="00C44DE0" w:rsidRPr="006172EB" w:rsidRDefault="00C44DE0" w:rsidP="00273064">
            <w:pPr>
              <w:pStyle w:val="NoSpacing"/>
              <w:rPr>
                <w:sz w:val="22"/>
                <w:szCs w:val="22"/>
              </w:rPr>
            </w:pPr>
            <w:r w:rsidRPr="006172EB">
              <w:rPr>
                <w:sz w:val="22"/>
                <w:szCs w:val="22"/>
              </w:rPr>
              <w:t>Cold supply air solidifies PCM during off-peak hours</w:t>
            </w:r>
          </w:p>
        </w:tc>
        <w:tc>
          <w:tcPr>
            <w:tcW w:w="1153" w:type="dxa"/>
          </w:tcPr>
          <w:p w14:paraId="7137EA10" w14:textId="77777777" w:rsidR="00C44DE0" w:rsidRPr="006172EB" w:rsidRDefault="00C44DE0" w:rsidP="00273064">
            <w:pPr>
              <w:pStyle w:val="NoSpacing"/>
              <w:rPr>
                <w:sz w:val="22"/>
                <w:szCs w:val="22"/>
              </w:rPr>
            </w:pPr>
            <w:r w:rsidRPr="006172EB">
              <w:rPr>
                <w:sz w:val="22"/>
                <w:szCs w:val="22"/>
              </w:rPr>
              <w:t>Slightly more energy consumed for charging</w:t>
            </w:r>
          </w:p>
        </w:tc>
        <w:tc>
          <w:tcPr>
            <w:tcW w:w="1153" w:type="dxa"/>
          </w:tcPr>
          <w:p w14:paraId="091B49BF" w14:textId="77777777" w:rsidR="00C44DE0" w:rsidRPr="006172EB" w:rsidRDefault="00C44DE0" w:rsidP="00273064">
            <w:pPr>
              <w:pStyle w:val="NoSpacing"/>
              <w:rPr>
                <w:sz w:val="22"/>
                <w:szCs w:val="22"/>
              </w:rPr>
            </w:pPr>
            <w:r w:rsidRPr="006172EB">
              <w:rPr>
                <w:sz w:val="22"/>
                <w:szCs w:val="22"/>
              </w:rPr>
              <w:t>Peak energy consumption reduced by 20%–25%</w:t>
            </w:r>
          </w:p>
        </w:tc>
        <w:tc>
          <w:tcPr>
            <w:tcW w:w="958" w:type="dxa"/>
          </w:tcPr>
          <w:p w14:paraId="76E8E772" w14:textId="77777777" w:rsidR="00C44DE0" w:rsidRPr="006172EB" w:rsidRDefault="00C44DE0" w:rsidP="00273064">
            <w:pPr>
              <w:pStyle w:val="NoSpacing"/>
              <w:rPr>
                <w:sz w:val="22"/>
                <w:szCs w:val="22"/>
              </w:rPr>
            </w:pPr>
            <w:r w:rsidRPr="006172EB">
              <w:rPr>
                <w:sz w:val="22"/>
                <w:szCs w:val="22"/>
              </w:rPr>
              <w:t>9.6%–14.5% cost savings, 4.3-year payback</w:t>
            </w:r>
          </w:p>
        </w:tc>
      </w:tr>
    </w:tbl>
    <w:p w14:paraId="4E7EB7E0" w14:textId="77777777" w:rsidR="00C44DE0" w:rsidRPr="00322E56" w:rsidRDefault="00C44DE0" w:rsidP="00C44DE0">
      <w:pPr>
        <w:spacing w:line="240" w:lineRule="auto"/>
        <w:rPr>
          <w:rFonts w:cs="Times New Roman"/>
        </w:rPr>
      </w:pPr>
      <w:r w:rsidRPr="00322E56">
        <w:rPr>
          <w:rFonts w:cs="Times New Roman"/>
        </w:rPr>
        <w:t>*Calculated from the data available in paper</w:t>
      </w:r>
    </w:p>
    <w:p w14:paraId="1EAF56E0" w14:textId="77777777" w:rsidR="00C44DE0" w:rsidRPr="00322E56" w:rsidRDefault="00C44DE0">
      <w:pPr>
        <w:spacing w:line="240" w:lineRule="auto"/>
        <w:rPr>
          <w:rFonts w:cs="Times New Roman"/>
        </w:rPr>
      </w:pPr>
    </w:p>
    <w:p w14:paraId="19499CAD" w14:textId="77777777" w:rsidR="00C44DE0" w:rsidRDefault="00C44DE0">
      <w:pPr>
        <w:spacing w:before="0" w:line="240" w:lineRule="auto"/>
        <w:ind w:firstLine="0"/>
        <w:jc w:val="left"/>
        <w:rPr>
          <w:rFonts w:cs="Times New Roman"/>
          <w:b/>
          <w:bCs/>
        </w:rPr>
      </w:pPr>
      <w:r>
        <w:rPr>
          <w:rFonts w:cs="Times New Roman"/>
        </w:rPr>
        <w:br w:type="page"/>
      </w:r>
    </w:p>
    <w:p w14:paraId="5A07C06C" w14:textId="6E60F951" w:rsidR="00B17E5F" w:rsidRPr="00322E56" w:rsidRDefault="00B17E5F" w:rsidP="00F310FA">
      <w:pPr>
        <w:pStyle w:val="Caption"/>
        <w:jc w:val="center"/>
        <w:rPr>
          <w:rFonts w:cs="Times New Roman"/>
        </w:rPr>
      </w:pPr>
      <w:bookmarkStart w:id="73" w:name="_Toc140399948"/>
      <w:r w:rsidRPr="00322E56">
        <w:rPr>
          <w:rFonts w:cs="Times New Roman"/>
        </w:rPr>
        <w:lastRenderedPageBreak/>
        <w:t xml:space="preserve">Table </w:t>
      </w:r>
      <w:r w:rsidRPr="00322E56">
        <w:rPr>
          <w:rFonts w:cs="Times New Roman"/>
        </w:rPr>
        <w:fldChar w:fldCharType="begin"/>
      </w:r>
      <w:r w:rsidRPr="00322E56">
        <w:rPr>
          <w:rFonts w:cs="Times New Roman"/>
        </w:rPr>
        <w:instrText xml:space="preserve"> SEQ Table \* ARABIC </w:instrText>
      </w:r>
      <w:r w:rsidRPr="00322E56">
        <w:rPr>
          <w:rFonts w:cs="Times New Roman"/>
        </w:rPr>
        <w:fldChar w:fldCharType="separate"/>
      </w:r>
      <w:r w:rsidR="00FC25C0">
        <w:rPr>
          <w:rFonts w:cs="Times New Roman"/>
          <w:noProof/>
        </w:rPr>
        <w:t>8</w:t>
      </w:r>
      <w:r w:rsidRPr="00322E56">
        <w:rPr>
          <w:rFonts w:cs="Times New Roman"/>
        </w:rPr>
        <w:fldChar w:fldCharType="end"/>
      </w:r>
      <w:r w:rsidRPr="00322E56">
        <w:rPr>
          <w:rFonts w:cs="Times New Roman"/>
        </w:rPr>
        <w:t>: Active PCM configurations with heating only</w:t>
      </w:r>
      <w:bookmarkEnd w:id="73"/>
    </w:p>
    <w:tbl>
      <w:tblPr>
        <w:tblW w:w="9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91"/>
        <w:gridCol w:w="1364"/>
        <w:gridCol w:w="976"/>
        <w:gridCol w:w="1094"/>
        <w:gridCol w:w="900"/>
        <w:gridCol w:w="1167"/>
        <w:gridCol w:w="1170"/>
        <w:gridCol w:w="1069"/>
        <w:gridCol w:w="971"/>
      </w:tblGrid>
      <w:tr w:rsidR="00B17E5F" w:rsidRPr="00722D9B" w14:paraId="0BCA4FFB" w14:textId="77777777" w:rsidTr="001D3769">
        <w:trPr>
          <w:trHeight w:val="338"/>
          <w:jc w:val="center"/>
        </w:trPr>
        <w:tc>
          <w:tcPr>
            <w:tcW w:w="791" w:type="dxa"/>
          </w:tcPr>
          <w:p w14:paraId="766DE060" w14:textId="77777777" w:rsidR="00B17E5F" w:rsidRPr="00722D9B" w:rsidRDefault="00B17E5F" w:rsidP="00722D9B">
            <w:pPr>
              <w:pStyle w:val="NoSpacing"/>
              <w:rPr>
                <w:b/>
                <w:bCs/>
                <w:sz w:val="22"/>
                <w:szCs w:val="22"/>
              </w:rPr>
            </w:pPr>
          </w:p>
        </w:tc>
        <w:tc>
          <w:tcPr>
            <w:tcW w:w="5501" w:type="dxa"/>
            <w:gridSpan w:val="5"/>
          </w:tcPr>
          <w:p w14:paraId="7045A75A" w14:textId="77777777" w:rsidR="00B17E5F" w:rsidRPr="00722D9B" w:rsidRDefault="00B17E5F" w:rsidP="00722D9B">
            <w:pPr>
              <w:pStyle w:val="NoSpacing"/>
              <w:rPr>
                <w:b/>
                <w:bCs/>
                <w:sz w:val="22"/>
                <w:szCs w:val="22"/>
              </w:rPr>
            </w:pPr>
            <w:r w:rsidRPr="00722D9B">
              <w:rPr>
                <w:b/>
                <w:bCs/>
                <w:sz w:val="22"/>
                <w:szCs w:val="22"/>
              </w:rPr>
              <w:t>Study parameters</w:t>
            </w:r>
          </w:p>
        </w:tc>
        <w:tc>
          <w:tcPr>
            <w:tcW w:w="3210" w:type="dxa"/>
            <w:gridSpan w:val="3"/>
          </w:tcPr>
          <w:p w14:paraId="3B3217DD" w14:textId="77777777" w:rsidR="00B17E5F" w:rsidRPr="00722D9B" w:rsidRDefault="00B17E5F" w:rsidP="00722D9B">
            <w:pPr>
              <w:pStyle w:val="NoSpacing"/>
              <w:rPr>
                <w:b/>
                <w:bCs/>
                <w:sz w:val="22"/>
                <w:szCs w:val="22"/>
              </w:rPr>
            </w:pPr>
            <w:r w:rsidRPr="00722D9B">
              <w:rPr>
                <w:b/>
                <w:bCs/>
                <w:sz w:val="22"/>
                <w:szCs w:val="22"/>
              </w:rPr>
              <w:t>Study outcomes</w:t>
            </w:r>
          </w:p>
        </w:tc>
      </w:tr>
      <w:tr w:rsidR="00B17E5F" w:rsidRPr="00722D9B" w14:paraId="5729D5A0" w14:textId="77777777" w:rsidTr="00966F32">
        <w:trPr>
          <w:trHeight w:val="338"/>
          <w:jc w:val="center"/>
        </w:trPr>
        <w:tc>
          <w:tcPr>
            <w:tcW w:w="791" w:type="dxa"/>
          </w:tcPr>
          <w:p w14:paraId="6B6B09BA" w14:textId="77777777" w:rsidR="00B17E5F" w:rsidRPr="00722D9B" w:rsidRDefault="00B17E5F" w:rsidP="00722D9B">
            <w:pPr>
              <w:pStyle w:val="NoSpacing"/>
              <w:rPr>
                <w:b/>
                <w:bCs/>
                <w:sz w:val="22"/>
                <w:szCs w:val="22"/>
              </w:rPr>
            </w:pPr>
            <w:r w:rsidRPr="00722D9B">
              <w:rPr>
                <w:b/>
                <w:bCs/>
                <w:sz w:val="22"/>
                <w:szCs w:val="22"/>
              </w:rPr>
              <w:t>Source</w:t>
            </w:r>
          </w:p>
        </w:tc>
        <w:tc>
          <w:tcPr>
            <w:tcW w:w="1364" w:type="dxa"/>
          </w:tcPr>
          <w:p w14:paraId="04611198" w14:textId="77777777" w:rsidR="00B17E5F" w:rsidRPr="00722D9B" w:rsidRDefault="00B17E5F" w:rsidP="00722D9B">
            <w:pPr>
              <w:pStyle w:val="NoSpacing"/>
              <w:rPr>
                <w:b/>
                <w:bCs/>
                <w:sz w:val="22"/>
                <w:szCs w:val="22"/>
              </w:rPr>
            </w:pPr>
            <w:r w:rsidRPr="00722D9B">
              <w:rPr>
                <w:b/>
                <w:bCs/>
                <w:sz w:val="22"/>
                <w:szCs w:val="22"/>
              </w:rPr>
              <w:t>PCM type &amp; phase change temperature</w:t>
            </w:r>
          </w:p>
        </w:tc>
        <w:tc>
          <w:tcPr>
            <w:tcW w:w="976" w:type="dxa"/>
          </w:tcPr>
          <w:p w14:paraId="1AECB2C9" w14:textId="77777777" w:rsidR="00B17E5F" w:rsidRPr="00722D9B" w:rsidRDefault="00B17E5F" w:rsidP="00722D9B">
            <w:pPr>
              <w:pStyle w:val="NoSpacing"/>
              <w:rPr>
                <w:b/>
                <w:bCs/>
                <w:sz w:val="22"/>
                <w:szCs w:val="22"/>
              </w:rPr>
            </w:pPr>
            <w:r w:rsidRPr="00722D9B">
              <w:rPr>
                <w:b/>
                <w:bCs/>
                <w:sz w:val="22"/>
                <w:szCs w:val="22"/>
              </w:rPr>
              <w:t>PCM location</w:t>
            </w:r>
          </w:p>
        </w:tc>
        <w:tc>
          <w:tcPr>
            <w:tcW w:w="1094" w:type="dxa"/>
          </w:tcPr>
          <w:p w14:paraId="05939633" w14:textId="77777777" w:rsidR="00B17E5F" w:rsidRPr="00722D9B" w:rsidRDefault="00B17E5F" w:rsidP="00722D9B">
            <w:pPr>
              <w:pStyle w:val="NoSpacing"/>
              <w:rPr>
                <w:b/>
                <w:bCs/>
                <w:sz w:val="22"/>
                <w:szCs w:val="22"/>
              </w:rPr>
            </w:pPr>
            <w:r w:rsidRPr="00722D9B">
              <w:rPr>
                <w:b/>
                <w:bCs/>
                <w:sz w:val="22"/>
                <w:szCs w:val="22"/>
              </w:rPr>
              <w:t>Climate &amp; study approach</w:t>
            </w:r>
          </w:p>
        </w:tc>
        <w:tc>
          <w:tcPr>
            <w:tcW w:w="900" w:type="dxa"/>
          </w:tcPr>
          <w:p w14:paraId="09F5D974" w14:textId="77777777" w:rsidR="00B17E5F" w:rsidRPr="00722D9B" w:rsidRDefault="00B17E5F" w:rsidP="00722D9B">
            <w:pPr>
              <w:pStyle w:val="NoSpacing"/>
              <w:rPr>
                <w:b/>
                <w:bCs/>
                <w:sz w:val="22"/>
                <w:szCs w:val="22"/>
              </w:rPr>
            </w:pPr>
            <w:r w:rsidRPr="00722D9B">
              <w:rPr>
                <w:b/>
                <w:bCs/>
                <w:sz w:val="22"/>
                <w:szCs w:val="22"/>
              </w:rPr>
              <w:t>Notes</w:t>
            </w:r>
          </w:p>
        </w:tc>
        <w:tc>
          <w:tcPr>
            <w:tcW w:w="1167" w:type="dxa"/>
          </w:tcPr>
          <w:p w14:paraId="37A3F016" w14:textId="77777777" w:rsidR="00B17E5F" w:rsidRPr="00722D9B" w:rsidRDefault="00B17E5F" w:rsidP="00722D9B">
            <w:pPr>
              <w:pStyle w:val="NoSpacing"/>
              <w:rPr>
                <w:b/>
                <w:bCs/>
                <w:sz w:val="22"/>
                <w:szCs w:val="22"/>
              </w:rPr>
            </w:pPr>
            <w:r w:rsidRPr="00722D9B">
              <w:rPr>
                <w:b/>
                <w:bCs/>
                <w:sz w:val="22"/>
                <w:szCs w:val="22"/>
              </w:rPr>
              <w:t>Charging method</w:t>
            </w:r>
          </w:p>
        </w:tc>
        <w:tc>
          <w:tcPr>
            <w:tcW w:w="1170" w:type="dxa"/>
          </w:tcPr>
          <w:p w14:paraId="273E57A2" w14:textId="77777777" w:rsidR="00B17E5F" w:rsidRPr="00722D9B" w:rsidRDefault="00B17E5F" w:rsidP="00722D9B">
            <w:pPr>
              <w:pStyle w:val="NoSpacing"/>
              <w:rPr>
                <w:b/>
                <w:bCs/>
                <w:sz w:val="22"/>
                <w:szCs w:val="22"/>
              </w:rPr>
            </w:pPr>
            <w:r w:rsidRPr="00722D9B">
              <w:rPr>
                <w:b/>
                <w:bCs/>
                <w:sz w:val="22"/>
                <w:szCs w:val="22"/>
              </w:rPr>
              <w:t>Energy savings</w:t>
            </w:r>
          </w:p>
        </w:tc>
        <w:tc>
          <w:tcPr>
            <w:tcW w:w="1069" w:type="dxa"/>
          </w:tcPr>
          <w:p w14:paraId="1DB49AF3" w14:textId="77777777" w:rsidR="00B17E5F" w:rsidRPr="00722D9B" w:rsidRDefault="00B17E5F" w:rsidP="00722D9B">
            <w:pPr>
              <w:pStyle w:val="NoSpacing"/>
              <w:rPr>
                <w:b/>
                <w:bCs/>
                <w:sz w:val="22"/>
                <w:szCs w:val="22"/>
              </w:rPr>
            </w:pPr>
            <w:r w:rsidRPr="00722D9B">
              <w:rPr>
                <w:b/>
                <w:bCs/>
                <w:sz w:val="22"/>
                <w:szCs w:val="22"/>
              </w:rPr>
              <w:t>Demand impact</w:t>
            </w:r>
          </w:p>
        </w:tc>
        <w:tc>
          <w:tcPr>
            <w:tcW w:w="971" w:type="dxa"/>
          </w:tcPr>
          <w:p w14:paraId="34A91F7D" w14:textId="77777777" w:rsidR="00B17E5F" w:rsidRPr="00722D9B" w:rsidRDefault="00B17E5F" w:rsidP="00722D9B">
            <w:pPr>
              <w:pStyle w:val="NoSpacing"/>
              <w:rPr>
                <w:b/>
                <w:bCs/>
                <w:sz w:val="22"/>
                <w:szCs w:val="22"/>
              </w:rPr>
            </w:pPr>
            <w:r w:rsidRPr="00722D9B">
              <w:rPr>
                <w:b/>
                <w:bCs/>
                <w:sz w:val="22"/>
                <w:szCs w:val="22"/>
              </w:rPr>
              <w:t>Cost savings</w:t>
            </w:r>
          </w:p>
        </w:tc>
      </w:tr>
      <w:tr w:rsidR="00B17E5F" w:rsidRPr="00722D9B" w14:paraId="352BEBB8" w14:textId="77777777" w:rsidTr="00966F32">
        <w:trPr>
          <w:trHeight w:val="449"/>
          <w:jc w:val="center"/>
        </w:trPr>
        <w:tc>
          <w:tcPr>
            <w:tcW w:w="791" w:type="dxa"/>
          </w:tcPr>
          <w:bookmarkStart w:id="74" w:name="_Hlk125474433" w:displacedByCustomXml="next"/>
          <w:sdt>
            <w:sdtPr>
              <w:rPr>
                <w:color w:val="000000"/>
                <w:sz w:val="22"/>
                <w:szCs w:val="22"/>
              </w:rPr>
              <w:tag w:val="MENDELEY_CITATION_v3_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"/>
              <w:id w:val="-57009473"/>
              <w:placeholder>
                <w:docPart w:val="93A89838AC614A70A067E1E5C83C1A76"/>
              </w:placeholder>
            </w:sdtPr>
            <w:sdtContent>
              <w:p w14:paraId="7AF54572" w14:textId="4F121580" w:rsidR="00B17E5F" w:rsidRPr="00722D9B" w:rsidRDefault="001E7ECF" w:rsidP="00722D9B">
                <w:pPr>
                  <w:pStyle w:val="NoSpacing"/>
                  <w:rPr>
                    <w:sz w:val="22"/>
                    <w:szCs w:val="22"/>
                  </w:rPr>
                </w:pPr>
                <w:r w:rsidRPr="001E7ECF">
                  <w:rPr>
                    <w:color w:val="000000"/>
                    <w:sz w:val="22"/>
                    <w:szCs w:val="22"/>
                  </w:rPr>
                  <w:t>[46]</w:t>
                </w:r>
              </w:p>
            </w:sdtContent>
          </w:sdt>
        </w:tc>
        <w:tc>
          <w:tcPr>
            <w:tcW w:w="1364" w:type="dxa"/>
          </w:tcPr>
          <w:p w14:paraId="2E761CF4" w14:textId="77777777" w:rsidR="00B17E5F" w:rsidRPr="00722D9B" w:rsidRDefault="00B17E5F" w:rsidP="00722D9B">
            <w:pPr>
              <w:pStyle w:val="NoSpacing"/>
              <w:rPr>
                <w:sz w:val="22"/>
                <w:szCs w:val="22"/>
              </w:rPr>
            </w:pPr>
            <w:r w:rsidRPr="00722D9B">
              <w:rPr>
                <w:sz w:val="22"/>
                <w:szCs w:val="22"/>
              </w:rPr>
              <w:t xml:space="preserve">Composite PCM (27°C) </w:t>
            </w:r>
          </w:p>
        </w:tc>
        <w:tc>
          <w:tcPr>
            <w:tcW w:w="976" w:type="dxa"/>
          </w:tcPr>
          <w:p w14:paraId="04417DE8" w14:textId="77777777" w:rsidR="00B17E5F" w:rsidRPr="00722D9B" w:rsidRDefault="00B17E5F" w:rsidP="00722D9B">
            <w:pPr>
              <w:pStyle w:val="NoSpacing"/>
              <w:rPr>
                <w:sz w:val="22"/>
                <w:szCs w:val="22"/>
              </w:rPr>
            </w:pPr>
            <w:r w:rsidRPr="00722D9B">
              <w:rPr>
                <w:sz w:val="22"/>
                <w:szCs w:val="22"/>
              </w:rPr>
              <w:t>In radiant floor system coupled with an HP</w:t>
            </w:r>
          </w:p>
        </w:tc>
        <w:tc>
          <w:tcPr>
            <w:tcW w:w="1094" w:type="dxa"/>
          </w:tcPr>
          <w:p w14:paraId="5F87E8C6" w14:textId="77777777" w:rsidR="00B17E5F" w:rsidRPr="00722D9B" w:rsidRDefault="00B17E5F" w:rsidP="00722D9B">
            <w:pPr>
              <w:pStyle w:val="NoSpacing"/>
              <w:rPr>
                <w:sz w:val="22"/>
                <w:szCs w:val="22"/>
              </w:rPr>
            </w:pPr>
            <w:r w:rsidRPr="00722D9B">
              <w:rPr>
                <w:sz w:val="22"/>
                <w:szCs w:val="22"/>
              </w:rPr>
              <w:t>Simulation, Córdoba, Spain</w:t>
            </w:r>
          </w:p>
        </w:tc>
        <w:tc>
          <w:tcPr>
            <w:tcW w:w="900" w:type="dxa"/>
          </w:tcPr>
          <w:p w14:paraId="7BF9D64F" w14:textId="77777777" w:rsidR="00B17E5F" w:rsidRPr="00722D9B" w:rsidRDefault="00B17E5F" w:rsidP="00722D9B">
            <w:pPr>
              <w:pStyle w:val="NoSpacing"/>
              <w:rPr>
                <w:sz w:val="22"/>
                <w:szCs w:val="22"/>
              </w:rPr>
            </w:pPr>
            <w:r w:rsidRPr="00722D9B">
              <w:rPr>
                <w:sz w:val="22"/>
                <w:szCs w:val="22"/>
              </w:rPr>
              <w:t>Spanish legislation for peak utility pricing</w:t>
            </w:r>
          </w:p>
        </w:tc>
        <w:tc>
          <w:tcPr>
            <w:tcW w:w="1167" w:type="dxa"/>
          </w:tcPr>
          <w:p w14:paraId="3A9F817F" w14:textId="77777777" w:rsidR="00B17E5F" w:rsidRPr="00722D9B" w:rsidRDefault="00B17E5F" w:rsidP="00722D9B">
            <w:pPr>
              <w:pStyle w:val="NoSpacing"/>
              <w:rPr>
                <w:sz w:val="22"/>
                <w:szCs w:val="22"/>
              </w:rPr>
            </w:pPr>
            <w:r w:rsidRPr="00722D9B">
              <w:rPr>
                <w:sz w:val="22"/>
                <w:szCs w:val="22"/>
              </w:rPr>
              <w:t>PCM floor system stores heat from HP during night</w:t>
            </w:r>
          </w:p>
        </w:tc>
        <w:tc>
          <w:tcPr>
            <w:tcW w:w="1170" w:type="dxa"/>
          </w:tcPr>
          <w:p w14:paraId="1437B517" w14:textId="77777777" w:rsidR="00B17E5F" w:rsidRPr="00722D9B" w:rsidRDefault="00B17E5F" w:rsidP="00722D9B">
            <w:pPr>
              <w:pStyle w:val="NoSpacing"/>
              <w:rPr>
                <w:sz w:val="22"/>
                <w:szCs w:val="22"/>
              </w:rPr>
            </w:pPr>
            <w:r w:rsidRPr="00722D9B">
              <w:rPr>
                <w:sz w:val="22"/>
                <w:szCs w:val="22"/>
              </w:rPr>
              <w:t>No significant energy savings using PCMs (0.76%)</w:t>
            </w:r>
          </w:p>
        </w:tc>
        <w:tc>
          <w:tcPr>
            <w:tcW w:w="1069" w:type="dxa"/>
          </w:tcPr>
          <w:p w14:paraId="382ADF90" w14:textId="77777777" w:rsidR="00B17E5F" w:rsidRPr="00722D9B" w:rsidRDefault="00B17E5F" w:rsidP="00722D9B">
            <w:pPr>
              <w:pStyle w:val="NoSpacing"/>
              <w:rPr>
                <w:sz w:val="22"/>
                <w:szCs w:val="22"/>
              </w:rPr>
            </w:pPr>
            <w:r w:rsidRPr="00722D9B">
              <w:rPr>
                <w:sz w:val="22"/>
                <w:szCs w:val="22"/>
              </w:rPr>
              <w:t>1 h load shifted per day</w:t>
            </w:r>
          </w:p>
        </w:tc>
        <w:tc>
          <w:tcPr>
            <w:tcW w:w="971" w:type="dxa"/>
          </w:tcPr>
          <w:p w14:paraId="5FCF7798" w14:textId="77777777" w:rsidR="00B17E5F" w:rsidRPr="00722D9B" w:rsidRDefault="00B17E5F" w:rsidP="00722D9B">
            <w:pPr>
              <w:pStyle w:val="NoSpacing"/>
              <w:rPr>
                <w:sz w:val="22"/>
                <w:szCs w:val="22"/>
              </w:rPr>
            </w:pPr>
            <w:r w:rsidRPr="00722D9B">
              <w:rPr>
                <w:sz w:val="22"/>
                <w:szCs w:val="22"/>
              </w:rPr>
              <w:t>17.9% cost savings</w:t>
            </w:r>
          </w:p>
        </w:tc>
      </w:tr>
      <w:tr w:rsidR="00B17E5F" w:rsidRPr="00722D9B" w14:paraId="418A8E46" w14:textId="77777777" w:rsidTr="00966F32">
        <w:trPr>
          <w:trHeight w:val="449"/>
          <w:jc w:val="center"/>
        </w:trPr>
        <w:tc>
          <w:tcPr>
            <w:tcW w:w="791" w:type="dxa"/>
          </w:tcPr>
          <w:bookmarkEnd w:id="74" w:displacedByCustomXml="next"/>
          <w:sdt>
            <w:sdtPr>
              <w:rPr>
                <w:color w:val="000000"/>
                <w:sz w:val="22"/>
                <w:szCs w:val="22"/>
              </w:rPr>
              <w:tag w:val="MENDELEY_CITATION_v3_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"/>
              <w:id w:val="924153841"/>
              <w:placeholder>
                <w:docPart w:val="2D120502738644A68B0154077CEAB320"/>
              </w:placeholder>
            </w:sdtPr>
            <w:sdtContent>
              <w:p w14:paraId="70FEC217" w14:textId="3BF0B64E" w:rsidR="00B17E5F" w:rsidRPr="00722D9B" w:rsidRDefault="001E7ECF" w:rsidP="00722D9B">
                <w:pPr>
                  <w:pStyle w:val="NoSpacing"/>
                  <w:rPr>
                    <w:color w:val="000000"/>
                    <w:sz w:val="22"/>
                    <w:szCs w:val="22"/>
                  </w:rPr>
                </w:pPr>
                <w:r w:rsidRPr="001E7ECF">
                  <w:rPr>
                    <w:color w:val="000000"/>
                    <w:sz w:val="22"/>
                    <w:szCs w:val="22"/>
                  </w:rPr>
                  <w:t>[155]</w:t>
                </w:r>
              </w:p>
            </w:sdtContent>
          </w:sdt>
        </w:tc>
        <w:tc>
          <w:tcPr>
            <w:tcW w:w="1364" w:type="dxa"/>
          </w:tcPr>
          <w:p w14:paraId="7868DACC" w14:textId="77777777" w:rsidR="00B17E5F" w:rsidRPr="00722D9B" w:rsidRDefault="00B17E5F" w:rsidP="00722D9B">
            <w:pPr>
              <w:pStyle w:val="NoSpacing"/>
              <w:rPr>
                <w:sz w:val="22"/>
                <w:szCs w:val="22"/>
              </w:rPr>
            </w:pPr>
            <w:r w:rsidRPr="00722D9B">
              <w:rPr>
                <w:sz w:val="22"/>
                <w:szCs w:val="22"/>
              </w:rPr>
              <w:t>CaCl</w:t>
            </w:r>
            <w:r w:rsidRPr="00722D9B">
              <w:rPr>
                <w:sz w:val="22"/>
                <w:szCs w:val="22"/>
                <w:vertAlign w:val="subscript"/>
              </w:rPr>
              <w:t>2</w:t>
            </w:r>
            <w:r w:rsidRPr="00722D9B">
              <w:rPr>
                <w:sz w:val="22"/>
                <w:szCs w:val="22"/>
              </w:rPr>
              <w:t>.6H</w:t>
            </w:r>
            <w:r w:rsidRPr="00722D9B">
              <w:rPr>
                <w:sz w:val="22"/>
                <w:szCs w:val="22"/>
                <w:vertAlign w:val="subscript"/>
              </w:rPr>
              <w:t>2</w:t>
            </w:r>
            <w:r w:rsidRPr="00722D9B">
              <w:rPr>
                <w:sz w:val="22"/>
                <w:szCs w:val="22"/>
              </w:rPr>
              <w:t>O (28°C)</w:t>
            </w:r>
          </w:p>
        </w:tc>
        <w:tc>
          <w:tcPr>
            <w:tcW w:w="976" w:type="dxa"/>
          </w:tcPr>
          <w:p w14:paraId="699EBA6B" w14:textId="77777777" w:rsidR="00B17E5F" w:rsidRPr="00722D9B" w:rsidRDefault="00B17E5F" w:rsidP="00722D9B">
            <w:pPr>
              <w:pStyle w:val="NoSpacing"/>
              <w:rPr>
                <w:sz w:val="22"/>
                <w:szCs w:val="22"/>
              </w:rPr>
            </w:pPr>
            <w:r w:rsidRPr="00722D9B">
              <w:rPr>
                <w:sz w:val="22"/>
                <w:szCs w:val="22"/>
              </w:rPr>
              <w:t>Coupled with solar-assisted HP</w:t>
            </w:r>
          </w:p>
        </w:tc>
        <w:tc>
          <w:tcPr>
            <w:tcW w:w="1094" w:type="dxa"/>
          </w:tcPr>
          <w:p w14:paraId="096293E2" w14:textId="77777777" w:rsidR="00B17E5F" w:rsidRPr="00722D9B" w:rsidRDefault="00B17E5F" w:rsidP="00722D9B">
            <w:pPr>
              <w:pStyle w:val="NoSpacing"/>
              <w:rPr>
                <w:sz w:val="22"/>
                <w:szCs w:val="22"/>
              </w:rPr>
            </w:pPr>
            <w:r w:rsidRPr="00722D9B">
              <w:rPr>
                <w:sz w:val="22"/>
                <w:szCs w:val="22"/>
              </w:rPr>
              <w:t>Experiment, Trabzon, Turkey</w:t>
            </w:r>
          </w:p>
        </w:tc>
        <w:tc>
          <w:tcPr>
            <w:tcW w:w="900" w:type="dxa"/>
          </w:tcPr>
          <w:p w14:paraId="25D005FE" w14:textId="77777777" w:rsidR="00B17E5F" w:rsidRPr="00722D9B" w:rsidRDefault="00B17E5F" w:rsidP="00722D9B">
            <w:pPr>
              <w:pStyle w:val="NoSpacing"/>
              <w:rPr>
                <w:sz w:val="22"/>
                <w:szCs w:val="22"/>
              </w:rPr>
            </w:pPr>
            <w:r w:rsidRPr="00722D9B">
              <w:rPr>
                <w:sz w:val="22"/>
                <w:szCs w:val="22"/>
              </w:rPr>
              <w:t>Building heat load and HP COP calculated</w:t>
            </w:r>
          </w:p>
        </w:tc>
        <w:tc>
          <w:tcPr>
            <w:tcW w:w="1167" w:type="dxa"/>
          </w:tcPr>
          <w:p w14:paraId="3882A04A" w14:textId="77777777" w:rsidR="00B17E5F" w:rsidRPr="00722D9B" w:rsidRDefault="00B17E5F" w:rsidP="00722D9B">
            <w:pPr>
              <w:pStyle w:val="NoSpacing"/>
              <w:rPr>
                <w:sz w:val="22"/>
                <w:szCs w:val="22"/>
              </w:rPr>
            </w:pPr>
            <w:r w:rsidRPr="00722D9B">
              <w:rPr>
                <w:sz w:val="22"/>
                <w:szCs w:val="22"/>
              </w:rPr>
              <w:t>Hot water from solar collectors used to melt PCMs</w:t>
            </w:r>
          </w:p>
        </w:tc>
        <w:tc>
          <w:tcPr>
            <w:tcW w:w="1170" w:type="dxa"/>
          </w:tcPr>
          <w:p w14:paraId="064C0782" w14:textId="77777777" w:rsidR="00B17E5F" w:rsidRPr="00722D9B" w:rsidRDefault="00B17E5F" w:rsidP="00722D9B">
            <w:pPr>
              <w:pStyle w:val="NoSpacing"/>
              <w:rPr>
                <w:sz w:val="22"/>
                <w:szCs w:val="22"/>
              </w:rPr>
            </w:pPr>
            <w:r w:rsidRPr="00722D9B">
              <w:rPr>
                <w:sz w:val="22"/>
                <w:szCs w:val="22"/>
              </w:rPr>
              <w:t>12,056 kW energy saved each season</w:t>
            </w:r>
          </w:p>
        </w:tc>
        <w:tc>
          <w:tcPr>
            <w:tcW w:w="1069" w:type="dxa"/>
          </w:tcPr>
          <w:p w14:paraId="2DC8CACA" w14:textId="77777777" w:rsidR="00B17E5F" w:rsidRPr="00722D9B" w:rsidRDefault="00B17E5F" w:rsidP="00722D9B">
            <w:pPr>
              <w:pStyle w:val="NoSpacing"/>
              <w:rPr>
                <w:sz w:val="22"/>
                <w:szCs w:val="22"/>
              </w:rPr>
            </w:pPr>
            <w:r w:rsidRPr="00722D9B">
              <w:rPr>
                <w:sz w:val="22"/>
                <w:szCs w:val="22"/>
              </w:rPr>
              <w:t>Not reported</w:t>
            </w:r>
          </w:p>
        </w:tc>
        <w:tc>
          <w:tcPr>
            <w:tcW w:w="971" w:type="dxa"/>
          </w:tcPr>
          <w:p w14:paraId="0B186294" w14:textId="77777777" w:rsidR="00B17E5F" w:rsidRPr="00722D9B" w:rsidRDefault="00B17E5F" w:rsidP="00722D9B">
            <w:pPr>
              <w:pStyle w:val="NoSpacing"/>
              <w:rPr>
                <w:sz w:val="22"/>
                <w:szCs w:val="22"/>
              </w:rPr>
            </w:pPr>
            <w:r w:rsidRPr="00722D9B">
              <w:rPr>
                <w:sz w:val="22"/>
                <w:szCs w:val="22"/>
              </w:rPr>
              <w:t>Not reported</w:t>
            </w:r>
          </w:p>
        </w:tc>
      </w:tr>
      <w:tr w:rsidR="00B17E5F" w:rsidRPr="00722D9B" w14:paraId="1EAEAA2F" w14:textId="77777777" w:rsidTr="00966F32">
        <w:trPr>
          <w:trHeight w:val="449"/>
          <w:jc w:val="center"/>
        </w:trPr>
        <w:tc>
          <w:tcPr>
            <w:tcW w:w="791" w:type="dxa"/>
          </w:tcPr>
          <w:sdt>
            <w:sdtPr>
              <w:rPr>
                <w:color w:val="000000"/>
                <w:sz w:val="22"/>
                <w:szCs w:val="22"/>
              </w:rPr>
              <w:tag w:val="MENDELEY_CITATION_v3_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"/>
              <w:id w:val="-1197306935"/>
              <w:placeholder>
                <w:docPart w:val="06BE0304B224451B904E96360E980757"/>
              </w:placeholder>
            </w:sdtPr>
            <w:sdtContent>
              <w:p w14:paraId="7B80EA58" w14:textId="4EDA1647" w:rsidR="00B17E5F" w:rsidRPr="00722D9B" w:rsidRDefault="001E7ECF" w:rsidP="00722D9B">
                <w:pPr>
                  <w:pStyle w:val="NoSpacing"/>
                  <w:rPr>
                    <w:sz w:val="22"/>
                    <w:szCs w:val="22"/>
                  </w:rPr>
                </w:pPr>
                <w:r w:rsidRPr="001E7ECF">
                  <w:rPr>
                    <w:color w:val="000000"/>
                    <w:sz w:val="22"/>
                    <w:szCs w:val="22"/>
                  </w:rPr>
                  <w:t>[47]</w:t>
                </w:r>
              </w:p>
            </w:sdtContent>
          </w:sdt>
        </w:tc>
        <w:tc>
          <w:tcPr>
            <w:tcW w:w="1364" w:type="dxa"/>
          </w:tcPr>
          <w:p w14:paraId="1BAB26C9" w14:textId="77777777" w:rsidR="00B17E5F" w:rsidRPr="00722D9B" w:rsidRDefault="00B17E5F" w:rsidP="00722D9B">
            <w:pPr>
              <w:pStyle w:val="NoSpacing"/>
              <w:rPr>
                <w:sz w:val="22"/>
                <w:szCs w:val="22"/>
              </w:rPr>
            </w:pPr>
            <w:r w:rsidRPr="00722D9B">
              <w:rPr>
                <w:sz w:val="22"/>
                <w:szCs w:val="22"/>
              </w:rPr>
              <w:t>Composite PCM</w:t>
            </w:r>
          </w:p>
        </w:tc>
        <w:tc>
          <w:tcPr>
            <w:tcW w:w="976" w:type="dxa"/>
          </w:tcPr>
          <w:p w14:paraId="0FFBA764" w14:textId="77777777" w:rsidR="00B17E5F" w:rsidRPr="00722D9B" w:rsidRDefault="00B17E5F" w:rsidP="00722D9B">
            <w:pPr>
              <w:pStyle w:val="NoSpacing"/>
              <w:rPr>
                <w:sz w:val="22"/>
                <w:szCs w:val="22"/>
              </w:rPr>
            </w:pPr>
            <w:r w:rsidRPr="00722D9B">
              <w:rPr>
                <w:sz w:val="22"/>
                <w:szCs w:val="22"/>
              </w:rPr>
              <w:t>Integrated with an HP via a condenser storage tank</w:t>
            </w:r>
          </w:p>
        </w:tc>
        <w:tc>
          <w:tcPr>
            <w:tcW w:w="1094" w:type="dxa"/>
          </w:tcPr>
          <w:p w14:paraId="44516DE9" w14:textId="77777777" w:rsidR="00B17E5F" w:rsidRPr="00722D9B" w:rsidRDefault="00B17E5F" w:rsidP="00722D9B">
            <w:pPr>
              <w:pStyle w:val="NoSpacing"/>
              <w:rPr>
                <w:sz w:val="22"/>
                <w:szCs w:val="22"/>
              </w:rPr>
            </w:pPr>
            <w:r w:rsidRPr="00722D9B">
              <w:rPr>
                <w:sz w:val="22"/>
                <w:szCs w:val="22"/>
              </w:rPr>
              <w:t>Simulation, United Kingdom</w:t>
            </w:r>
          </w:p>
        </w:tc>
        <w:tc>
          <w:tcPr>
            <w:tcW w:w="900" w:type="dxa"/>
          </w:tcPr>
          <w:p w14:paraId="02F26189" w14:textId="77777777" w:rsidR="00B17E5F" w:rsidRPr="00722D9B" w:rsidRDefault="00B17E5F" w:rsidP="00722D9B">
            <w:pPr>
              <w:pStyle w:val="NoSpacing"/>
              <w:rPr>
                <w:sz w:val="22"/>
                <w:szCs w:val="22"/>
              </w:rPr>
            </w:pPr>
            <w:r w:rsidRPr="00722D9B">
              <w:rPr>
                <w:sz w:val="22"/>
                <w:szCs w:val="22"/>
              </w:rPr>
              <w:t>Peak clipping, condenser energy transfer to PCM</w:t>
            </w:r>
          </w:p>
        </w:tc>
        <w:tc>
          <w:tcPr>
            <w:tcW w:w="1167" w:type="dxa"/>
          </w:tcPr>
          <w:p w14:paraId="279468BD" w14:textId="77777777" w:rsidR="00B17E5F" w:rsidRPr="00722D9B" w:rsidRDefault="00B17E5F" w:rsidP="00722D9B">
            <w:pPr>
              <w:pStyle w:val="NoSpacing"/>
              <w:rPr>
                <w:sz w:val="22"/>
                <w:szCs w:val="22"/>
              </w:rPr>
            </w:pPr>
            <w:r w:rsidRPr="00722D9B">
              <w:rPr>
                <w:sz w:val="22"/>
                <w:szCs w:val="22"/>
              </w:rPr>
              <w:t>Ground source heat pump used to charge PCMs during off-peak hours</w:t>
            </w:r>
          </w:p>
        </w:tc>
        <w:tc>
          <w:tcPr>
            <w:tcW w:w="1170" w:type="dxa"/>
          </w:tcPr>
          <w:p w14:paraId="0382D556" w14:textId="77777777" w:rsidR="00B17E5F" w:rsidRPr="00722D9B" w:rsidRDefault="00B17E5F" w:rsidP="00722D9B">
            <w:pPr>
              <w:pStyle w:val="NoSpacing"/>
              <w:rPr>
                <w:sz w:val="22"/>
                <w:szCs w:val="22"/>
              </w:rPr>
            </w:pPr>
            <w:r w:rsidRPr="00722D9B">
              <w:rPr>
                <w:sz w:val="22"/>
                <w:szCs w:val="22"/>
              </w:rPr>
              <w:t>Not reported</w:t>
            </w:r>
          </w:p>
        </w:tc>
        <w:tc>
          <w:tcPr>
            <w:tcW w:w="1069" w:type="dxa"/>
          </w:tcPr>
          <w:p w14:paraId="4D3EF0F9" w14:textId="77777777" w:rsidR="00B17E5F" w:rsidRPr="00722D9B" w:rsidRDefault="00B17E5F" w:rsidP="00722D9B">
            <w:pPr>
              <w:pStyle w:val="NoSpacing"/>
              <w:rPr>
                <w:sz w:val="22"/>
                <w:szCs w:val="22"/>
              </w:rPr>
            </w:pPr>
            <w:r w:rsidRPr="00722D9B">
              <w:rPr>
                <w:sz w:val="22"/>
                <w:szCs w:val="22"/>
              </w:rPr>
              <w:t>6 h load shift</w:t>
            </w:r>
          </w:p>
        </w:tc>
        <w:tc>
          <w:tcPr>
            <w:tcW w:w="971" w:type="dxa"/>
          </w:tcPr>
          <w:p w14:paraId="02AF6B29" w14:textId="77777777" w:rsidR="00B17E5F" w:rsidRPr="00722D9B" w:rsidRDefault="00B17E5F" w:rsidP="00722D9B">
            <w:pPr>
              <w:pStyle w:val="NoSpacing"/>
              <w:rPr>
                <w:sz w:val="22"/>
                <w:szCs w:val="22"/>
              </w:rPr>
            </w:pPr>
            <w:r w:rsidRPr="00722D9B">
              <w:rPr>
                <w:sz w:val="22"/>
                <w:szCs w:val="22"/>
              </w:rPr>
              <w:t>Not reported</w:t>
            </w:r>
          </w:p>
        </w:tc>
      </w:tr>
      <w:tr w:rsidR="00B17E5F" w:rsidRPr="00722D9B" w14:paraId="46247A8B" w14:textId="77777777" w:rsidTr="00966F32">
        <w:trPr>
          <w:trHeight w:val="449"/>
          <w:jc w:val="center"/>
        </w:trPr>
        <w:tc>
          <w:tcPr>
            <w:tcW w:w="791" w:type="dxa"/>
          </w:tcPr>
          <w:sdt>
            <w:sdtPr>
              <w:rPr>
                <w:color w:val="000000"/>
                <w:sz w:val="22"/>
                <w:szCs w:val="22"/>
              </w:rPr>
              <w:tag w:val="MENDELEY_CITATION_v3_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"/>
              <w:id w:val="-688834670"/>
              <w:placeholder>
                <w:docPart w:val="06BE0304B224451B904E96360E980757"/>
              </w:placeholder>
            </w:sdtPr>
            <w:sdtContent>
              <w:p w14:paraId="2DC39FF3" w14:textId="4159013A" w:rsidR="00B17E5F" w:rsidRPr="00722D9B" w:rsidRDefault="001E7ECF" w:rsidP="00722D9B">
                <w:pPr>
                  <w:pStyle w:val="NoSpacing"/>
                  <w:rPr>
                    <w:sz w:val="22"/>
                    <w:szCs w:val="22"/>
                  </w:rPr>
                </w:pPr>
                <w:r w:rsidRPr="001E7ECF">
                  <w:rPr>
                    <w:color w:val="000000"/>
                    <w:sz w:val="22"/>
                    <w:szCs w:val="22"/>
                  </w:rPr>
                  <w:t>[48]</w:t>
                </w:r>
              </w:p>
            </w:sdtContent>
          </w:sdt>
        </w:tc>
        <w:tc>
          <w:tcPr>
            <w:tcW w:w="1364" w:type="dxa"/>
          </w:tcPr>
          <w:p w14:paraId="44DBF3B6" w14:textId="77777777" w:rsidR="00B17E5F" w:rsidRPr="00722D9B" w:rsidRDefault="00B17E5F" w:rsidP="00722D9B">
            <w:pPr>
              <w:pStyle w:val="NoSpacing"/>
              <w:rPr>
                <w:sz w:val="22"/>
                <w:szCs w:val="22"/>
              </w:rPr>
            </w:pPr>
            <w:r w:rsidRPr="00722D9B">
              <w:rPr>
                <w:sz w:val="22"/>
                <w:szCs w:val="22"/>
              </w:rPr>
              <w:t>Sodium acetate trihydrate (58°C)</w:t>
            </w:r>
          </w:p>
        </w:tc>
        <w:tc>
          <w:tcPr>
            <w:tcW w:w="976" w:type="dxa"/>
          </w:tcPr>
          <w:p w14:paraId="45215D11" w14:textId="77777777" w:rsidR="00B17E5F" w:rsidRPr="00722D9B" w:rsidRDefault="00B17E5F" w:rsidP="00722D9B">
            <w:pPr>
              <w:pStyle w:val="NoSpacing"/>
              <w:rPr>
                <w:sz w:val="22"/>
                <w:szCs w:val="22"/>
              </w:rPr>
            </w:pPr>
            <w:r w:rsidRPr="00722D9B">
              <w:rPr>
                <w:sz w:val="22"/>
                <w:szCs w:val="22"/>
              </w:rPr>
              <w:t>In storage tank coupled with a condenser and electric heater</w:t>
            </w:r>
          </w:p>
        </w:tc>
        <w:tc>
          <w:tcPr>
            <w:tcW w:w="1094" w:type="dxa"/>
          </w:tcPr>
          <w:p w14:paraId="2BFC27C0" w14:textId="77777777" w:rsidR="00B17E5F" w:rsidRPr="00722D9B" w:rsidRDefault="00B17E5F" w:rsidP="00722D9B">
            <w:pPr>
              <w:pStyle w:val="NoSpacing"/>
              <w:rPr>
                <w:sz w:val="22"/>
                <w:szCs w:val="22"/>
              </w:rPr>
            </w:pPr>
            <w:r w:rsidRPr="00722D9B">
              <w:rPr>
                <w:sz w:val="22"/>
                <w:szCs w:val="22"/>
              </w:rPr>
              <w:t>Simulation, Stockholm, Sweden</w:t>
            </w:r>
          </w:p>
        </w:tc>
        <w:tc>
          <w:tcPr>
            <w:tcW w:w="900" w:type="dxa"/>
          </w:tcPr>
          <w:p w14:paraId="038DAAAC" w14:textId="77777777" w:rsidR="00B17E5F" w:rsidRPr="00722D9B" w:rsidRDefault="00B17E5F" w:rsidP="00722D9B">
            <w:pPr>
              <w:pStyle w:val="NoSpacing"/>
              <w:rPr>
                <w:sz w:val="22"/>
                <w:szCs w:val="22"/>
              </w:rPr>
            </w:pPr>
            <w:r w:rsidRPr="00722D9B">
              <w:rPr>
                <w:sz w:val="22"/>
                <w:szCs w:val="22"/>
              </w:rPr>
              <w:t>Off-peak charging and various configurations</w:t>
            </w:r>
          </w:p>
        </w:tc>
        <w:tc>
          <w:tcPr>
            <w:tcW w:w="1167" w:type="dxa"/>
          </w:tcPr>
          <w:p w14:paraId="6CD94B9E" w14:textId="77777777" w:rsidR="00B17E5F" w:rsidRPr="00722D9B" w:rsidRDefault="00B17E5F" w:rsidP="00722D9B">
            <w:pPr>
              <w:pStyle w:val="NoSpacing"/>
              <w:rPr>
                <w:sz w:val="22"/>
                <w:szCs w:val="22"/>
              </w:rPr>
            </w:pPr>
            <w:r w:rsidRPr="00722D9B">
              <w:rPr>
                <w:sz w:val="22"/>
                <w:szCs w:val="22"/>
              </w:rPr>
              <w:t>HP condenser used to charge PCMs during off-peak hours</w:t>
            </w:r>
          </w:p>
        </w:tc>
        <w:tc>
          <w:tcPr>
            <w:tcW w:w="1170" w:type="dxa"/>
          </w:tcPr>
          <w:p w14:paraId="6736E302" w14:textId="77777777" w:rsidR="00B17E5F" w:rsidRPr="00722D9B" w:rsidRDefault="00B17E5F" w:rsidP="00722D9B">
            <w:pPr>
              <w:pStyle w:val="NoSpacing"/>
              <w:rPr>
                <w:sz w:val="22"/>
                <w:szCs w:val="22"/>
              </w:rPr>
            </w:pPr>
            <w:r w:rsidRPr="00722D9B">
              <w:rPr>
                <w:sz w:val="22"/>
                <w:szCs w:val="22"/>
              </w:rPr>
              <w:t>Heating load increased with off-peak charging</w:t>
            </w:r>
          </w:p>
        </w:tc>
        <w:tc>
          <w:tcPr>
            <w:tcW w:w="1069" w:type="dxa"/>
          </w:tcPr>
          <w:p w14:paraId="3FAFB23F" w14:textId="77777777" w:rsidR="00B17E5F" w:rsidRPr="00722D9B" w:rsidRDefault="00B17E5F" w:rsidP="00722D9B">
            <w:pPr>
              <w:pStyle w:val="NoSpacing"/>
              <w:rPr>
                <w:sz w:val="22"/>
                <w:szCs w:val="22"/>
              </w:rPr>
            </w:pPr>
            <w:r w:rsidRPr="00722D9B">
              <w:rPr>
                <w:sz w:val="22"/>
                <w:szCs w:val="22"/>
              </w:rPr>
              <w:t>3–6 h of peak load shifted</w:t>
            </w:r>
          </w:p>
        </w:tc>
        <w:tc>
          <w:tcPr>
            <w:tcW w:w="971" w:type="dxa"/>
          </w:tcPr>
          <w:p w14:paraId="5255F1A7" w14:textId="77777777" w:rsidR="00B17E5F" w:rsidRPr="00722D9B" w:rsidRDefault="00B17E5F" w:rsidP="00722D9B">
            <w:pPr>
              <w:pStyle w:val="NoSpacing"/>
              <w:rPr>
                <w:sz w:val="22"/>
                <w:szCs w:val="22"/>
              </w:rPr>
            </w:pPr>
            <w:r w:rsidRPr="00722D9B">
              <w:rPr>
                <w:sz w:val="22"/>
                <w:szCs w:val="22"/>
              </w:rPr>
              <w:t>15 –year payback period</w:t>
            </w:r>
          </w:p>
        </w:tc>
      </w:tr>
      <w:tr w:rsidR="00B17E5F" w:rsidRPr="00722D9B" w14:paraId="581B91E2" w14:textId="77777777" w:rsidTr="00966F32">
        <w:trPr>
          <w:trHeight w:val="449"/>
          <w:jc w:val="center"/>
        </w:trPr>
        <w:tc>
          <w:tcPr>
            <w:tcW w:w="791" w:type="dxa"/>
          </w:tcPr>
          <w:bookmarkStart w:id="75" w:name="_Hlk129859553" w:displacedByCustomXml="next"/>
          <w:sdt>
            <w:sdtPr>
              <w:rPr>
                <w:color w:val="000000"/>
                <w:sz w:val="22"/>
                <w:szCs w:val="22"/>
              </w:rPr>
              <w:tag w:val="MENDELEY_CITATION_v3_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"/>
              <w:id w:val="2053028392"/>
              <w:placeholder>
                <w:docPart w:val="06BE0304B224451B904E96360E980757"/>
              </w:placeholder>
            </w:sdtPr>
            <w:sdtContent>
              <w:p w14:paraId="007E0F66" w14:textId="17920CF0" w:rsidR="00B17E5F" w:rsidRPr="00722D9B" w:rsidRDefault="001E7ECF" w:rsidP="00722D9B">
                <w:pPr>
                  <w:pStyle w:val="NoSpacing"/>
                  <w:rPr>
                    <w:sz w:val="22"/>
                    <w:szCs w:val="22"/>
                  </w:rPr>
                </w:pPr>
                <w:r w:rsidRPr="001E7ECF">
                  <w:rPr>
                    <w:color w:val="000000"/>
                    <w:sz w:val="22"/>
                    <w:szCs w:val="22"/>
                  </w:rPr>
                  <w:t>[156]</w:t>
                </w:r>
              </w:p>
            </w:sdtContent>
          </w:sdt>
          <w:bookmarkEnd w:id="75" w:displacedByCustomXml="prev"/>
        </w:tc>
        <w:tc>
          <w:tcPr>
            <w:tcW w:w="1364" w:type="dxa"/>
          </w:tcPr>
          <w:p w14:paraId="7F217AEA" w14:textId="77777777" w:rsidR="00B17E5F" w:rsidRPr="00722D9B" w:rsidRDefault="00B17E5F" w:rsidP="00722D9B">
            <w:pPr>
              <w:pStyle w:val="NoSpacing"/>
              <w:rPr>
                <w:sz w:val="22"/>
                <w:szCs w:val="22"/>
              </w:rPr>
            </w:pPr>
            <w:r w:rsidRPr="00722D9B">
              <w:rPr>
                <w:sz w:val="22"/>
                <w:szCs w:val="22"/>
              </w:rPr>
              <w:t>ATS 30 (28°C–33°C)</w:t>
            </w:r>
          </w:p>
        </w:tc>
        <w:tc>
          <w:tcPr>
            <w:tcW w:w="976" w:type="dxa"/>
          </w:tcPr>
          <w:p w14:paraId="4275726C" w14:textId="77777777" w:rsidR="00B17E5F" w:rsidRPr="00722D9B" w:rsidRDefault="00B17E5F" w:rsidP="00722D9B">
            <w:pPr>
              <w:pStyle w:val="NoSpacing"/>
              <w:rPr>
                <w:sz w:val="22"/>
                <w:szCs w:val="22"/>
              </w:rPr>
            </w:pPr>
            <w:r w:rsidRPr="00722D9B">
              <w:rPr>
                <w:sz w:val="22"/>
                <w:szCs w:val="22"/>
              </w:rPr>
              <w:t>In supply air system of an HP</w:t>
            </w:r>
          </w:p>
        </w:tc>
        <w:tc>
          <w:tcPr>
            <w:tcW w:w="1094" w:type="dxa"/>
          </w:tcPr>
          <w:p w14:paraId="2EB37194" w14:textId="77777777" w:rsidR="00B17E5F" w:rsidRPr="00722D9B" w:rsidRDefault="00B17E5F" w:rsidP="00722D9B">
            <w:pPr>
              <w:pStyle w:val="NoSpacing"/>
              <w:rPr>
                <w:sz w:val="22"/>
                <w:szCs w:val="22"/>
              </w:rPr>
            </w:pPr>
            <w:r w:rsidRPr="00722D9B">
              <w:rPr>
                <w:sz w:val="22"/>
                <w:szCs w:val="22"/>
              </w:rPr>
              <w:t>Simulation and experiment, Denmark</w:t>
            </w:r>
          </w:p>
        </w:tc>
        <w:tc>
          <w:tcPr>
            <w:tcW w:w="900" w:type="dxa"/>
          </w:tcPr>
          <w:p w14:paraId="3518F429" w14:textId="77777777" w:rsidR="00B17E5F" w:rsidRPr="00722D9B" w:rsidRDefault="00B17E5F" w:rsidP="00722D9B">
            <w:pPr>
              <w:pStyle w:val="NoSpacing"/>
              <w:rPr>
                <w:sz w:val="22"/>
                <w:szCs w:val="22"/>
              </w:rPr>
            </w:pPr>
            <w:r w:rsidRPr="00722D9B">
              <w:rPr>
                <w:sz w:val="22"/>
                <w:szCs w:val="22"/>
              </w:rPr>
              <w:t xml:space="preserve">Three cases with varying heating set points </w:t>
            </w:r>
          </w:p>
        </w:tc>
        <w:tc>
          <w:tcPr>
            <w:tcW w:w="1167" w:type="dxa"/>
          </w:tcPr>
          <w:p w14:paraId="195BA7FB" w14:textId="77777777" w:rsidR="00B17E5F" w:rsidRPr="00722D9B" w:rsidRDefault="00B17E5F" w:rsidP="00722D9B">
            <w:pPr>
              <w:pStyle w:val="NoSpacing"/>
              <w:rPr>
                <w:sz w:val="22"/>
                <w:szCs w:val="22"/>
              </w:rPr>
            </w:pPr>
            <w:r w:rsidRPr="00722D9B">
              <w:rPr>
                <w:sz w:val="22"/>
                <w:szCs w:val="22"/>
              </w:rPr>
              <w:t>PCMs charged by warm air of HP at lower rates of electricity</w:t>
            </w:r>
          </w:p>
        </w:tc>
        <w:tc>
          <w:tcPr>
            <w:tcW w:w="1170" w:type="dxa"/>
          </w:tcPr>
          <w:p w14:paraId="6C480EEA" w14:textId="77777777" w:rsidR="00B17E5F" w:rsidRPr="00722D9B" w:rsidDel="008614F0" w:rsidRDefault="00B17E5F" w:rsidP="00722D9B">
            <w:pPr>
              <w:pStyle w:val="NoSpacing"/>
              <w:rPr>
                <w:sz w:val="22"/>
                <w:szCs w:val="22"/>
              </w:rPr>
            </w:pPr>
            <w:r w:rsidRPr="00722D9B">
              <w:rPr>
                <w:sz w:val="22"/>
                <w:szCs w:val="22"/>
              </w:rPr>
              <w:t>6.7% energy consumption reduced compared with no-PCM case</w:t>
            </w:r>
          </w:p>
        </w:tc>
        <w:tc>
          <w:tcPr>
            <w:tcW w:w="1069" w:type="dxa"/>
          </w:tcPr>
          <w:p w14:paraId="237112D5" w14:textId="77777777" w:rsidR="00B17E5F" w:rsidRPr="00722D9B" w:rsidRDefault="00B17E5F" w:rsidP="00722D9B">
            <w:pPr>
              <w:pStyle w:val="NoSpacing"/>
              <w:rPr>
                <w:sz w:val="22"/>
                <w:szCs w:val="22"/>
              </w:rPr>
            </w:pPr>
            <w:r w:rsidRPr="00722D9B">
              <w:rPr>
                <w:sz w:val="22"/>
                <w:szCs w:val="22"/>
              </w:rPr>
              <w:t>Not reported</w:t>
            </w:r>
          </w:p>
        </w:tc>
        <w:tc>
          <w:tcPr>
            <w:tcW w:w="971" w:type="dxa"/>
          </w:tcPr>
          <w:p w14:paraId="43EC378A" w14:textId="77777777" w:rsidR="00B17E5F" w:rsidRPr="00722D9B" w:rsidDel="00F0141E" w:rsidRDefault="00B17E5F" w:rsidP="00722D9B">
            <w:pPr>
              <w:pStyle w:val="NoSpacing"/>
              <w:rPr>
                <w:sz w:val="22"/>
                <w:szCs w:val="22"/>
              </w:rPr>
            </w:pPr>
            <w:r w:rsidRPr="00722D9B">
              <w:rPr>
                <w:sz w:val="22"/>
                <w:szCs w:val="22"/>
              </w:rPr>
              <w:t>7% utility cost savings, 7 –year payback</w:t>
            </w:r>
          </w:p>
        </w:tc>
      </w:tr>
    </w:tbl>
    <w:p w14:paraId="3C96AAD1" w14:textId="3DF86E2C" w:rsidR="00B17E5F" w:rsidRPr="00322E56" w:rsidRDefault="00B17E5F" w:rsidP="008D7159">
      <w:pPr>
        <w:spacing w:line="240" w:lineRule="auto"/>
        <w:ind w:firstLine="0"/>
        <w:rPr>
          <w:rFonts w:cs="Times New Roman"/>
          <w:b/>
          <w:bCs/>
        </w:rPr>
      </w:pPr>
    </w:p>
    <w:p w14:paraId="7B23D569" w14:textId="26C25F85" w:rsidR="00B17E5F" w:rsidRPr="00322E56" w:rsidRDefault="00B17E5F" w:rsidP="00F310FA">
      <w:pPr>
        <w:pStyle w:val="Caption"/>
        <w:jc w:val="center"/>
        <w:rPr>
          <w:rFonts w:cs="Times New Roman"/>
        </w:rPr>
      </w:pPr>
      <w:bookmarkStart w:id="76" w:name="_Toc140399949"/>
      <w:r w:rsidRPr="00322E56">
        <w:rPr>
          <w:rFonts w:cs="Times New Roman"/>
        </w:rPr>
        <w:lastRenderedPageBreak/>
        <w:t xml:space="preserve">Table </w:t>
      </w:r>
      <w:r w:rsidRPr="00322E56">
        <w:rPr>
          <w:rFonts w:cs="Times New Roman"/>
        </w:rPr>
        <w:fldChar w:fldCharType="begin"/>
      </w:r>
      <w:r w:rsidRPr="00322E56">
        <w:rPr>
          <w:rFonts w:cs="Times New Roman"/>
        </w:rPr>
        <w:instrText xml:space="preserve"> SEQ Table \* ARABIC </w:instrText>
      </w:r>
      <w:r w:rsidRPr="00322E56">
        <w:rPr>
          <w:rFonts w:cs="Times New Roman"/>
        </w:rPr>
        <w:fldChar w:fldCharType="separate"/>
      </w:r>
      <w:r w:rsidR="00FC25C0">
        <w:rPr>
          <w:rFonts w:cs="Times New Roman"/>
          <w:noProof/>
        </w:rPr>
        <w:t>9</w:t>
      </w:r>
      <w:r w:rsidRPr="00322E56">
        <w:rPr>
          <w:rFonts w:cs="Times New Roman"/>
        </w:rPr>
        <w:fldChar w:fldCharType="end"/>
      </w:r>
      <w:r w:rsidRPr="00322E56">
        <w:rPr>
          <w:rFonts w:cs="Times New Roman"/>
        </w:rPr>
        <w:t>: Active PCM configurations with both heating and cooling</w:t>
      </w:r>
      <w:bookmarkEnd w:id="76"/>
    </w:p>
    <w:tbl>
      <w:tblPr>
        <w:tblW w:w="9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91"/>
        <w:gridCol w:w="1364"/>
        <w:gridCol w:w="976"/>
        <w:gridCol w:w="1091"/>
        <w:gridCol w:w="900"/>
        <w:gridCol w:w="1260"/>
        <w:gridCol w:w="1069"/>
        <w:gridCol w:w="1093"/>
        <w:gridCol w:w="958"/>
      </w:tblGrid>
      <w:tr w:rsidR="00B17E5F" w:rsidRPr="00722D9B" w14:paraId="1BE846AF" w14:textId="77777777" w:rsidTr="001D3769">
        <w:trPr>
          <w:trHeight w:val="338"/>
          <w:jc w:val="center"/>
        </w:trPr>
        <w:tc>
          <w:tcPr>
            <w:tcW w:w="791" w:type="dxa"/>
          </w:tcPr>
          <w:p w14:paraId="28BF13E8" w14:textId="77777777" w:rsidR="00B17E5F" w:rsidRPr="00722D9B" w:rsidRDefault="00B17E5F" w:rsidP="00722D9B">
            <w:pPr>
              <w:pStyle w:val="NoSpacing"/>
              <w:rPr>
                <w:b/>
                <w:bCs/>
                <w:sz w:val="22"/>
                <w:szCs w:val="22"/>
              </w:rPr>
            </w:pPr>
          </w:p>
        </w:tc>
        <w:tc>
          <w:tcPr>
            <w:tcW w:w="5591" w:type="dxa"/>
            <w:gridSpan w:val="5"/>
          </w:tcPr>
          <w:p w14:paraId="456B8160" w14:textId="77777777" w:rsidR="00B17E5F" w:rsidRPr="00722D9B" w:rsidRDefault="00B17E5F" w:rsidP="00722D9B">
            <w:pPr>
              <w:pStyle w:val="NoSpacing"/>
              <w:rPr>
                <w:b/>
                <w:bCs/>
                <w:sz w:val="22"/>
                <w:szCs w:val="22"/>
              </w:rPr>
            </w:pPr>
            <w:r w:rsidRPr="00722D9B">
              <w:rPr>
                <w:b/>
                <w:bCs/>
                <w:sz w:val="22"/>
                <w:szCs w:val="22"/>
              </w:rPr>
              <w:t>Study parameters</w:t>
            </w:r>
          </w:p>
        </w:tc>
        <w:tc>
          <w:tcPr>
            <w:tcW w:w="3120" w:type="dxa"/>
            <w:gridSpan w:val="3"/>
          </w:tcPr>
          <w:p w14:paraId="484F0E66" w14:textId="77777777" w:rsidR="00B17E5F" w:rsidRPr="00722D9B" w:rsidRDefault="00B17E5F" w:rsidP="00722D9B">
            <w:pPr>
              <w:pStyle w:val="NoSpacing"/>
              <w:rPr>
                <w:b/>
                <w:bCs/>
                <w:sz w:val="22"/>
                <w:szCs w:val="22"/>
              </w:rPr>
            </w:pPr>
            <w:r w:rsidRPr="00722D9B">
              <w:rPr>
                <w:b/>
                <w:bCs/>
                <w:sz w:val="22"/>
                <w:szCs w:val="22"/>
              </w:rPr>
              <w:t>Study outcomes</w:t>
            </w:r>
          </w:p>
        </w:tc>
      </w:tr>
      <w:tr w:rsidR="00B17E5F" w:rsidRPr="00722D9B" w14:paraId="64C3F90A" w14:textId="77777777" w:rsidTr="00966F32">
        <w:trPr>
          <w:trHeight w:val="338"/>
          <w:jc w:val="center"/>
        </w:trPr>
        <w:tc>
          <w:tcPr>
            <w:tcW w:w="791" w:type="dxa"/>
          </w:tcPr>
          <w:p w14:paraId="38EC6311" w14:textId="77777777" w:rsidR="00B17E5F" w:rsidRPr="00722D9B" w:rsidRDefault="00B17E5F" w:rsidP="00722D9B">
            <w:pPr>
              <w:pStyle w:val="NoSpacing"/>
              <w:rPr>
                <w:b/>
                <w:bCs/>
                <w:sz w:val="22"/>
                <w:szCs w:val="22"/>
              </w:rPr>
            </w:pPr>
            <w:bookmarkStart w:id="77" w:name="_Hlk43293367"/>
            <w:bookmarkStart w:id="78" w:name="_Hlk39434896"/>
            <w:r w:rsidRPr="00722D9B">
              <w:rPr>
                <w:b/>
                <w:bCs/>
                <w:sz w:val="22"/>
                <w:szCs w:val="22"/>
              </w:rPr>
              <w:t>Source</w:t>
            </w:r>
          </w:p>
        </w:tc>
        <w:tc>
          <w:tcPr>
            <w:tcW w:w="1364" w:type="dxa"/>
          </w:tcPr>
          <w:p w14:paraId="5FA1658E" w14:textId="77777777" w:rsidR="00B17E5F" w:rsidRPr="00722D9B" w:rsidRDefault="00B17E5F" w:rsidP="00722D9B">
            <w:pPr>
              <w:pStyle w:val="NoSpacing"/>
              <w:rPr>
                <w:b/>
                <w:bCs/>
                <w:sz w:val="22"/>
                <w:szCs w:val="22"/>
              </w:rPr>
            </w:pPr>
            <w:r w:rsidRPr="00722D9B">
              <w:rPr>
                <w:b/>
                <w:bCs/>
                <w:sz w:val="22"/>
                <w:szCs w:val="22"/>
              </w:rPr>
              <w:t>PCM type &amp; phase change temperature</w:t>
            </w:r>
          </w:p>
        </w:tc>
        <w:tc>
          <w:tcPr>
            <w:tcW w:w="976" w:type="dxa"/>
          </w:tcPr>
          <w:p w14:paraId="4DC1E562" w14:textId="77777777" w:rsidR="00B17E5F" w:rsidRPr="00722D9B" w:rsidRDefault="00B17E5F" w:rsidP="00722D9B">
            <w:pPr>
              <w:pStyle w:val="NoSpacing"/>
              <w:rPr>
                <w:b/>
                <w:bCs/>
                <w:sz w:val="22"/>
                <w:szCs w:val="22"/>
              </w:rPr>
            </w:pPr>
            <w:r w:rsidRPr="00722D9B">
              <w:rPr>
                <w:b/>
                <w:bCs/>
                <w:sz w:val="22"/>
                <w:szCs w:val="22"/>
              </w:rPr>
              <w:t>PCM location</w:t>
            </w:r>
          </w:p>
        </w:tc>
        <w:tc>
          <w:tcPr>
            <w:tcW w:w="1091" w:type="dxa"/>
          </w:tcPr>
          <w:p w14:paraId="2289B08D" w14:textId="77777777" w:rsidR="00B17E5F" w:rsidRPr="00722D9B" w:rsidRDefault="00B17E5F" w:rsidP="00722D9B">
            <w:pPr>
              <w:pStyle w:val="NoSpacing"/>
              <w:rPr>
                <w:b/>
                <w:bCs/>
                <w:sz w:val="22"/>
                <w:szCs w:val="22"/>
              </w:rPr>
            </w:pPr>
            <w:r w:rsidRPr="00722D9B">
              <w:rPr>
                <w:b/>
                <w:bCs/>
                <w:sz w:val="22"/>
                <w:szCs w:val="22"/>
              </w:rPr>
              <w:t>Climate &amp; study approach</w:t>
            </w:r>
          </w:p>
        </w:tc>
        <w:tc>
          <w:tcPr>
            <w:tcW w:w="900" w:type="dxa"/>
          </w:tcPr>
          <w:p w14:paraId="1746E3CC" w14:textId="77777777" w:rsidR="00B17E5F" w:rsidRPr="00722D9B" w:rsidRDefault="00B17E5F" w:rsidP="00722D9B">
            <w:pPr>
              <w:pStyle w:val="NoSpacing"/>
              <w:rPr>
                <w:b/>
                <w:bCs/>
                <w:sz w:val="22"/>
                <w:szCs w:val="22"/>
              </w:rPr>
            </w:pPr>
            <w:r w:rsidRPr="00722D9B">
              <w:rPr>
                <w:b/>
                <w:bCs/>
                <w:sz w:val="22"/>
                <w:szCs w:val="22"/>
              </w:rPr>
              <w:t>Notes</w:t>
            </w:r>
          </w:p>
        </w:tc>
        <w:tc>
          <w:tcPr>
            <w:tcW w:w="1260" w:type="dxa"/>
          </w:tcPr>
          <w:p w14:paraId="159DC308" w14:textId="77777777" w:rsidR="00B17E5F" w:rsidRPr="00722D9B" w:rsidRDefault="00B17E5F" w:rsidP="00722D9B">
            <w:pPr>
              <w:pStyle w:val="NoSpacing"/>
              <w:rPr>
                <w:b/>
                <w:bCs/>
                <w:sz w:val="22"/>
                <w:szCs w:val="22"/>
              </w:rPr>
            </w:pPr>
            <w:r w:rsidRPr="00722D9B">
              <w:rPr>
                <w:b/>
                <w:bCs/>
                <w:sz w:val="22"/>
                <w:szCs w:val="22"/>
              </w:rPr>
              <w:t>Study approach</w:t>
            </w:r>
          </w:p>
        </w:tc>
        <w:tc>
          <w:tcPr>
            <w:tcW w:w="1069" w:type="dxa"/>
          </w:tcPr>
          <w:p w14:paraId="604FCD0A" w14:textId="77777777" w:rsidR="00B17E5F" w:rsidRPr="00722D9B" w:rsidRDefault="00B17E5F" w:rsidP="00722D9B">
            <w:pPr>
              <w:pStyle w:val="NoSpacing"/>
              <w:rPr>
                <w:b/>
                <w:bCs/>
                <w:sz w:val="22"/>
                <w:szCs w:val="22"/>
              </w:rPr>
            </w:pPr>
            <w:r w:rsidRPr="00722D9B">
              <w:rPr>
                <w:b/>
                <w:bCs/>
                <w:sz w:val="22"/>
                <w:szCs w:val="22"/>
              </w:rPr>
              <w:t>Energy savings</w:t>
            </w:r>
          </w:p>
        </w:tc>
        <w:tc>
          <w:tcPr>
            <w:tcW w:w="1093" w:type="dxa"/>
          </w:tcPr>
          <w:p w14:paraId="7079EF3E" w14:textId="77777777" w:rsidR="00B17E5F" w:rsidRPr="00722D9B" w:rsidRDefault="00B17E5F" w:rsidP="00722D9B">
            <w:pPr>
              <w:pStyle w:val="NoSpacing"/>
              <w:rPr>
                <w:b/>
                <w:bCs/>
                <w:sz w:val="22"/>
                <w:szCs w:val="22"/>
              </w:rPr>
            </w:pPr>
            <w:r w:rsidRPr="00722D9B">
              <w:rPr>
                <w:b/>
                <w:bCs/>
                <w:sz w:val="22"/>
                <w:szCs w:val="22"/>
              </w:rPr>
              <w:t>Demand impact</w:t>
            </w:r>
          </w:p>
        </w:tc>
        <w:tc>
          <w:tcPr>
            <w:tcW w:w="958" w:type="dxa"/>
          </w:tcPr>
          <w:p w14:paraId="10DC0BF9" w14:textId="77777777" w:rsidR="00B17E5F" w:rsidRPr="00722D9B" w:rsidRDefault="00B17E5F" w:rsidP="00722D9B">
            <w:pPr>
              <w:pStyle w:val="NoSpacing"/>
              <w:rPr>
                <w:b/>
                <w:bCs/>
                <w:sz w:val="22"/>
                <w:szCs w:val="22"/>
              </w:rPr>
            </w:pPr>
            <w:r w:rsidRPr="00722D9B">
              <w:rPr>
                <w:b/>
                <w:bCs/>
                <w:sz w:val="22"/>
                <w:szCs w:val="22"/>
              </w:rPr>
              <w:t>Cost savings</w:t>
            </w:r>
          </w:p>
        </w:tc>
      </w:tr>
      <w:tr w:rsidR="00B17E5F" w:rsidRPr="00722D9B" w14:paraId="238BC742" w14:textId="77777777" w:rsidTr="00966F32">
        <w:trPr>
          <w:trHeight w:val="449"/>
          <w:jc w:val="center"/>
        </w:trPr>
        <w:tc>
          <w:tcPr>
            <w:tcW w:w="791" w:type="dxa"/>
          </w:tcPr>
          <w:bookmarkEnd w:id="78" w:displacedByCustomXml="next"/>
          <w:sdt>
            <w:sdtPr>
              <w:rPr>
                <w:color w:val="000000"/>
                <w:sz w:val="22"/>
                <w:szCs w:val="22"/>
              </w:rPr>
              <w:tag w:val="MENDELEY_CITATION_v3_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"/>
              <w:id w:val="1293788521"/>
              <w:placeholder>
                <w:docPart w:val="90E22020AC4542B4B77D475D4AEF508C"/>
              </w:placeholder>
            </w:sdtPr>
            <w:sdtContent>
              <w:p w14:paraId="4D35ED91" w14:textId="0DC4BE0A" w:rsidR="00B17E5F" w:rsidRPr="00722D9B" w:rsidRDefault="001E7ECF" w:rsidP="00722D9B">
                <w:pPr>
                  <w:pStyle w:val="NoSpacing"/>
                  <w:rPr>
                    <w:sz w:val="22"/>
                    <w:szCs w:val="22"/>
                  </w:rPr>
                </w:pPr>
                <w:r w:rsidRPr="001E7ECF">
                  <w:rPr>
                    <w:color w:val="000000"/>
                    <w:sz w:val="22"/>
                    <w:szCs w:val="22"/>
                  </w:rPr>
                  <w:t>[143]</w:t>
                </w:r>
              </w:p>
            </w:sdtContent>
          </w:sdt>
        </w:tc>
        <w:tc>
          <w:tcPr>
            <w:tcW w:w="1364" w:type="dxa"/>
          </w:tcPr>
          <w:p w14:paraId="28E7B3F6" w14:textId="77777777" w:rsidR="00B17E5F" w:rsidRPr="00722D9B" w:rsidRDefault="00B17E5F" w:rsidP="00722D9B">
            <w:pPr>
              <w:pStyle w:val="NoSpacing"/>
              <w:rPr>
                <w:sz w:val="22"/>
                <w:szCs w:val="22"/>
              </w:rPr>
            </w:pPr>
            <w:r w:rsidRPr="00722D9B">
              <w:rPr>
                <w:sz w:val="22"/>
                <w:szCs w:val="22"/>
              </w:rPr>
              <w:t>S10 (10°C), S27 (27°C)</w:t>
            </w:r>
          </w:p>
        </w:tc>
        <w:tc>
          <w:tcPr>
            <w:tcW w:w="976" w:type="dxa"/>
          </w:tcPr>
          <w:p w14:paraId="5BEFA780" w14:textId="77777777" w:rsidR="00B17E5F" w:rsidRPr="00722D9B" w:rsidRDefault="00B17E5F" w:rsidP="00722D9B">
            <w:pPr>
              <w:pStyle w:val="NoSpacing"/>
              <w:rPr>
                <w:sz w:val="22"/>
                <w:szCs w:val="22"/>
              </w:rPr>
            </w:pPr>
            <w:r w:rsidRPr="00722D9B">
              <w:rPr>
                <w:sz w:val="22"/>
                <w:szCs w:val="22"/>
              </w:rPr>
              <w:t>In two storage tanks (hot and cold) coupled with HVAC</w:t>
            </w:r>
          </w:p>
        </w:tc>
        <w:tc>
          <w:tcPr>
            <w:tcW w:w="1091" w:type="dxa"/>
          </w:tcPr>
          <w:p w14:paraId="13F9D01D" w14:textId="77777777" w:rsidR="00B17E5F" w:rsidRPr="00722D9B" w:rsidRDefault="00B17E5F" w:rsidP="00722D9B">
            <w:pPr>
              <w:pStyle w:val="NoSpacing"/>
              <w:rPr>
                <w:sz w:val="22"/>
                <w:szCs w:val="22"/>
              </w:rPr>
            </w:pPr>
            <w:r w:rsidRPr="00722D9B">
              <w:rPr>
                <w:sz w:val="22"/>
                <w:szCs w:val="22"/>
              </w:rPr>
              <w:t>Simulation, Madrid, Spain</w:t>
            </w:r>
          </w:p>
        </w:tc>
        <w:tc>
          <w:tcPr>
            <w:tcW w:w="900" w:type="dxa"/>
          </w:tcPr>
          <w:p w14:paraId="71B1B09D" w14:textId="77777777" w:rsidR="00B17E5F" w:rsidRPr="00722D9B" w:rsidRDefault="00B17E5F" w:rsidP="00722D9B">
            <w:pPr>
              <w:pStyle w:val="NoSpacing"/>
              <w:rPr>
                <w:sz w:val="22"/>
                <w:szCs w:val="22"/>
              </w:rPr>
            </w:pPr>
            <w:r w:rsidRPr="00722D9B">
              <w:rPr>
                <w:sz w:val="22"/>
                <w:szCs w:val="22"/>
              </w:rPr>
              <w:t>Solar Decathlon project, additional storage tank</w:t>
            </w:r>
          </w:p>
        </w:tc>
        <w:tc>
          <w:tcPr>
            <w:tcW w:w="1260" w:type="dxa"/>
          </w:tcPr>
          <w:p w14:paraId="48D16D32" w14:textId="77777777" w:rsidR="00B17E5F" w:rsidRPr="00722D9B" w:rsidRDefault="00B17E5F" w:rsidP="00722D9B">
            <w:pPr>
              <w:pStyle w:val="NoSpacing"/>
              <w:rPr>
                <w:sz w:val="22"/>
                <w:szCs w:val="22"/>
              </w:rPr>
            </w:pPr>
            <w:r w:rsidRPr="00722D9B">
              <w:rPr>
                <w:sz w:val="22"/>
                <w:szCs w:val="22"/>
              </w:rPr>
              <w:t>Cooling energy stored in cold tank at night using HVAC system; waste heat stored in hot tank at high ambient temperature</w:t>
            </w:r>
          </w:p>
        </w:tc>
        <w:tc>
          <w:tcPr>
            <w:tcW w:w="1069" w:type="dxa"/>
          </w:tcPr>
          <w:p w14:paraId="2557023D" w14:textId="77777777" w:rsidR="00B17E5F" w:rsidRPr="00722D9B" w:rsidRDefault="00B17E5F" w:rsidP="00722D9B">
            <w:pPr>
              <w:pStyle w:val="NoSpacing"/>
              <w:rPr>
                <w:sz w:val="22"/>
                <w:szCs w:val="22"/>
              </w:rPr>
            </w:pPr>
            <w:r w:rsidRPr="00722D9B">
              <w:rPr>
                <w:sz w:val="22"/>
                <w:szCs w:val="22"/>
              </w:rPr>
              <w:t>18.97% energy savings</w:t>
            </w:r>
          </w:p>
        </w:tc>
        <w:tc>
          <w:tcPr>
            <w:tcW w:w="1093" w:type="dxa"/>
          </w:tcPr>
          <w:p w14:paraId="15FDA74B" w14:textId="77777777" w:rsidR="00B17E5F" w:rsidRPr="00722D9B" w:rsidRDefault="00B17E5F" w:rsidP="00722D9B">
            <w:pPr>
              <w:pStyle w:val="NoSpacing"/>
              <w:rPr>
                <w:sz w:val="22"/>
                <w:szCs w:val="22"/>
              </w:rPr>
            </w:pPr>
            <w:r w:rsidRPr="00722D9B">
              <w:rPr>
                <w:sz w:val="22"/>
                <w:szCs w:val="22"/>
              </w:rPr>
              <w:t>Not reported</w:t>
            </w:r>
          </w:p>
        </w:tc>
        <w:tc>
          <w:tcPr>
            <w:tcW w:w="958" w:type="dxa"/>
          </w:tcPr>
          <w:p w14:paraId="3F07A683" w14:textId="77777777" w:rsidR="00B17E5F" w:rsidRPr="00722D9B" w:rsidRDefault="00B17E5F" w:rsidP="00722D9B">
            <w:pPr>
              <w:pStyle w:val="NoSpacing"/>
              <w:rPr>
                <w:sz w:val="22"/>
                <w:szCs w:val="22"/>
              </w:rPr>
            </w:pPr>
            <w:r w:rsidRPr="00722D9B">
              <w:rPr>
                <w:sz w:val="22"/>
                <w:szCs w:val="22"/>
              </w:rPr>
              <w:t>Not reported</w:t>
            </w:r>
          </w:p>
        </w:tc>
      </w:tr>
      <w:tr w:rsidR="00B17E5F" w:rsidRPr="00722D9B" w14:paraId="6BAB3DC6" w14:textId="77777777" w:rsidTr="00966F32">
        <w:trPr>
          <w:trHeight w:val="1065"/>
          <w:jc w:val="center"/>
        </w:trPr>
        <w:tc>
          <w:tcPr>
            <w:tcW w:w="791" w:type="dxa"/>
          </w:tcPr>
          <w:bookmarkStart w:id="79" w:name="_Hlk125474347" w:displacedByCustomXml="next"/>
          <w:sdt>
            <w:sdtPr>
              <w:rPr>
                <w:color w:val="000000"/>
                <w:sz w:val="22"/>
                <w:szCs w:val="22"/>
              </w:rPr>
              <w:tag w:val="MENDELEY_CITATION_v3_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"/>
              <w:id w:val="1699199689"/>
              <w:placeholder>
                <w:docPart w:val="90E22020AC4542B4B77D475D4AEF508C"/>
              </w:placeholder>
            </w:sdtPr>
            <w:sdtContent>
              <w:p w14:paraId="4467F662" w14:textId="2504D186" w:rsidR="00B17E5F" w:rsidRPr="00722D9B" w:rsidRDefault="001E7ECF" w:rsidP="00722D9B">
                <w:pPr>
                  <w:pStyle w:val="NoSpacing"/>
                  <w:rPr>
                    <w:sz w:val="22"/>
                    <w:szCs w:val="22"/>
                  </w:rPr>
                </w:pPr>
                <w:r w:rsidRPr="001E7ECF">
                  <w:rPr>
                    <w:color w:val="000000"/>
                    <w:sz w:val="22"/>
                    <w:szCs w:val="22"/>
                  </w:rPr>
                  <w:t>[45]</w:t>
                </w:r>
              </w:p>
            </w:sdtContent>
          </w:sdt>
        </w:tc>
        <w:tc>
          <w:tcPr>
            <w:tcW w:w="1364" w:type="dxa"/>
          </w:tcPr>
          <w:p w14:paraId="6363EB69" w14:textId="77777777" w:rsidR="00B17E5F" w:rsidRPr="00722D9B" w:rsidRDefault="00B17E5F" w:rsidP="00722D9B">
            <w:pPr>
              <w:pStyle w:val="NoSpacing"/>
              <w:rPr>
                <w:sz w:val="22"/>
                <w:szCs w:val="22"/>
              </w:rPr>
            </w:pPr>
            <w:r w:rsidRPr="00722D9B">
              <w:rPr>
                <w:sz w:val="22"/>
                <w:szCs w:val="22"/>
              </w:rPr>
              <w:t>PureTemp 18 (18°C) hybrid system</w:t>
            </w:r>
          </w:p>
        </w:tc>
        <w:tc>
          <w:tcPr>
            <w:tcW w:w="976" w:type="dxa"/>
          </w:tcPr>
          <w:p w14:paraId="0B4B04DF" w14:textId="77777777" w:rsidR="00B17E5F" w:rsidRPr="00722D9B" w:rsidRDefault="00B17E5F" w:rsidP="00722D9B">
            <w:pPr>
              <w:pStyle w:val="NoSpacing"/>
              <w:rPr>
                <w:sz w:val="22"/>
                <w:szCs w:val="22"/>
              </w:rPr>
            </w:pPr>
            <w:r w:rsidRPr="00722D9B">
              <w:rPr>
                <w:sz w:val="22"/>
                <w:szCs w:val="22"/>
              </w:rPr>
              <w:t>In HX coupled with the return water loop of an air-water HP</w:t>
            </w:r>
          </w:p>
        </w:tc>
        <w:tc>
          <w:tcPr>
            <w:tcW w:w="1091" w:type="dxa"/>
          </w:tcPr>
          <w:p w14:paraId="58069DCD" w14:textId="77777777" w:rsidR="00B17E5F" w:rsidRPr="00722D9B" w:rsidRDefault="00B17E5F" w:rsidP="00722D9B">
            <w:pPr>
              <w:pStyle w:val="NoSpacing"/>
              <w:rPr>
                <w:sz w:val="22"/>
                <w:szCs w:val="22"/>
              </w:rPr>
            </w:pPr>
            <w:r w:rsidRPr="00722D9B">
              <w:rPr>
                <w:sz w:val="22"/>
                <w:szCs w:val="22"/>
              </w:rPr>
              <w:t>Simulation, Copenhagen, Denmark</w:t>
            </w:r>
          </w:p>
        </w:tc>
        <w:tc>
          <w:tcPr>
            <w:tcW w:w="900" w:type="dxa"/>
          </w:tcPr>
          <w:p w14:paraId="10E0A38F" w14:textId="77777777" w:rsidR="00B17E5F" w:rsidRPr="00722D9B" w:rsidDel="00613F9A" w:rsidRDefault="00B17E5F" w:rsidP="00722D9B">
            <w:pPr>
              <w:pStyle w:val="NoSpacing"/>
              <w:rPr>
                <w:sz w:val="22"/>
                <w:szCs w:val="22"/>
              </w:rPr>
            </w:pPr>
            <w:r w:rsidRPr="00722D9B">
              <w:rPr>
                <w:sz w:val="22"/>
                <w:szCs w:val="22"/>
              </w:rPr>
              <w:t>Demand analysis not conducted</w:t>
            </w:r>
          </w:p>
        </w:tc>
        <w:tc>
          <w:tcPr>
            <w:tcW w:w="1260" w:type="dxa"/>
          </w:tcPr>
          <w:p w14:paraId="14EF4F83" w14:textId="77777777" w:rsidR="00B17E5F" w:rsidRPr="00722D9B" w:rsidRDefault="00B17E5F" w:rsidP="00722D9B">
            <w:pPr>
              <w:pStyle w:val="NoSpacing"/>
              <w:rPr>
                <w:sz w:val="22"/>
                <w:szCs w:val="22"/>
              </w:rPr>
            </w:pPr>
            <w:r w:rsidRPr="00722D9B">
              <w:rPr>
                <w:sz w:val="22"/>
                <w:szCs w:val="22"/>
              </w:rPr>
              <w:t>PCMs charged during the night using forced air convection with ambient cold air</w:t>
            </w:r>
          </w:p>
        </w:tc>
        <w:tc>
          <w:tcPr>
            <w:tcW w:w="1069" w:type="dxa"/>
          </w:tcPr>
          <w:p w14:paraId="3BCA0EA9" w14:textId="77777777" w:rsidR="00B17E5F" w:rsidRPr="00722D9B" w:rsidRDefault="00B17E5F" w:rsidP="00722D9B">
            <w:pPr>
              <w:pStyle w:val="NoSpacing"/>
              <w:rPr>
                <w:sz w:val="22"/>
                <w:szCs w:val="22"/>
              </w:rPr>
            </w:pPr>
            <w:r w:rsidRPr="00722D9B">
              <w:rPr>
                <w:sz w:val="22"/>
                <w:szCs w:val="22"/>
              </w:rPr>
              <w:t>67% energy savings</w:t>
            </w:r>
          </w:p>
        </w:tc>
        <w:tc>
          <w:tcPr>
            <w:tcW w:w="1093" w:type="dxa"/>
          </w:tcPr>
          <w:p w14:paraId="51A13A77" w14:textId="77777777" w:rsidR="00B17E5F" w:rsidRPr="00722D9B" w:rsidRDefault="00B17E5F" w:rsidP="00722D9B">
            <w:pPr>
              <w:pStyle w:val="NoSpacing"/>
              <w:rPr>
                <w:sz w:val="22"/>
                <w:szCs w:val="22"/>
              </w:rPr>
            </w:pPr>
            <w:r w:rsidRPr="00722D9B">
              <w:rPr>
                <w:sz w:val="22"/>
                <w:szCs w:val="22"/>
              </w:rPr>
              <w:t>Not reported</w:t>
            </w:r>
          </w:p>
        </w:tc>
        <w:tc>
          <w:tcPr>
            <w:tcW w:w="958" w:type="dxa"/>
          </w:tcPr>
          <w:p w14:paraId="314CD59A" w14:textId="77777777" w:rsidR="00B17E5F" w:rsidRPr="00722D9B" w:rsidRDefault="00B17E5F" w:rsidP="00722D9B">
            <w:pPr>
              <w:pStyle w:val="NoSpacing"/>
              <w:rPr>
                <w:sz w:val="22"/>
                <w:szCs w:val="22"/>
              </w:rPr>
            </w:pPr>
            <w:r w:rsidRPr="00722D9B">
              <w:rPr>
                <w:sz w:val="22"/>
                <w:szCs w:val="22"/>
              </w:rPr>
              <w:t>Not reported</w:t>
            </w:r>
          </w:p>
        </w:tc>
      </w:tr>
      <w:tr w:rsidR="00B17E5F" w:rsidRPr="00722D9B" w14:paraId="6DDC5FAE" w14:textId="77777777" w:rsidTr="00966F32">
        <w:trPr>
          <w:trHeight w:val="471"/>
          <w:jc w:val="center"/>
        </w:trPr>
        <w:tc>
          <w:tcPr>
            <w:tcW w:w="791" w:type="dxa"/>
          </w:tcPr>
          <w:bookmarkEnd w:id="79" w:displacedByCustomXml="next"/>
          <w:sdt>
            <w:sdtPr>
              <w:rPr>
                <w:color w:val="000000"/>
                <w:sz w:val="22"/>
                <w:szCs w:val="22"/>
              </w:rPr>
              <w:tag w:val="MENDELEY_CITATION_v3_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"/>
              <w:id w:val="641004621"/>
              <w:placeholder>
                <w:docPart w:val="90E22020AC4542B4B77D475D4AEF508C"/>
              </w:placeholder>
            </w:sdtPr>
            <w:sdtContent>
              <w:p w14:paraId="236DC40D" w14:textId="696E257E" w:rsidR="00B17E5F" w:rsidRPr="00722D9B" w:rsidRDefault="001E7ECF" w:rsidP="00722D9B">
                <w:pPr>
                  <w:pStyle w:val="NoSpacing"/>
                  <w:rPr>
                    <w:sz w:val="22"/>
                    <w:szCs w:val="22"/>
                  </w:rPr>
                </w:pPr>
                <w:r w:rsidRPr="001E7ECF">
                  <w:rPr>
                    <w:color w:val="000000"/>
                    <w:sz w:val="22"/>
                    <w:szCs w:val="22"/>
                  </w:rPr>
                  <w:t>[157]</w:t>
                </w:r>
              </w:p>
            </w:sdtContent>
          </w:sdt>
        </w:tc>
        <w:tc>
          <w:tcPr>
            <w:tcW w:w="1364" w:type="dxa"/>
          </w:tcPr>
          <w:p w14:paraId="4506E896" w14:textId="77777777" w:rsidR="00B17E5F" w:rsidRPr="00722D9B" w:rsidRDefault="00B17E5F" w:rsidP="00722D9B">
            <w:pPr>
              <w:pStyle w:val="NoSpacing"/>
              <w:rPr>
                <w:sz w:val="22"/>
                <w:szCs w:val="22"/>
              </w:rPr>
            </w:pPr>
            <w:r w:rsidRPr="00722D9B">
              <w:rPr>
                <w:sz w:val="22"/>
                <w:szCs w:val="22"/>
              </w:rPr>
              <w:t>RT25HC (22°C–26°C)</w:t>
            </w:r>
          </w:p>
        </w:tc>
        <w:tc>
          <w:tcPr>
            <w:tcW w:w="976" w:type="dxa"/>
          </w:tcPr>
          <w:p w14:paraId="35158F5F" w14:textId="77777777" w:rsidR="00B17E5F" w:rsidRPr="00722D9B" w:rsidRDefault="00B17E5F" w:rsidP="00722D9B">
            <w:pPr>
              <w:pStyle w:val="NoSpacing"/>
              <w:rPr>
                <w:sz w:val="22"/>
                <w:szCs w:val="22"/>
              </w:rPr>
            </w:pPr>
            <w:r w:rsidRPr="00722D9B">
              <w:rPr>
                <w:sz w:val="22"/>
                <w:szCs w:val="22"/>
              </w:rPr>
              <w:t>Air-PCM storage coupled with A/C and solar heater</w:t>
            </w:r>
          </w:p>
        </w:tc>
        <w:tc>
          <w:tcPr>
            <w:tcW w:w="1091" w:type="dxa"/>
          </w:tcPr>
          <w:p w14:paraId="1729F0ED" w14:textId="77777777" w:rsidR="00B17E5F" w:rsidRPr="00722D9B" w:rsidRDefault="00B17E5F" w:rsidP="00722D9B">
            <w:pPr>
              <w:pStyle w:val="NoSpacing"/>
              <w:rPr>
                <w:sz w:val="22"/>
                <w:szCs w:val="22"/>
              </w:rPr>
            </w:pPr>
            <w:r w:rsidRPr="00722D9B">
              <w:rPr>
                <w:sz w:val="22"/>
                <w:szCs w:val="22"/>
              </w:rPr>
              <w:t>Experiment, Auckland, New Zealand</w:t>
            </w:r>
          </w:p>
        </w:tc>
        <w:tc>
          <w:tcPr>
            <w:tcW w:w="900" w:type="dxa"/>
          </w:tcPr>
          <w:p w14:paraId="3F0C7D87" w14:textId="77777777" w:rsidR="00B17E5F" w:rsidRPr="00722D9B" w:rsidRDefault="00B17E5F" w:rsidP="00722D9B">
            <w:pPr>
              <w:pStyle w:val="NoSpacing"/>
              <w:rPr>
                <w:sz w:val="22"/>
                <w:szCs w:val="22"/>
              </w:rPr>
            </w:pPr>
            <w:r w:rsidRPr="00722D9B">
              <w:rPr>
                <w:sz w:val="22"/>
                <w:szCs w:val="22"/>
              </w:rPr>
              <w:t>Solar and electric heaters</w:t>
            </w:r>
          </w:p>
        </w:tc>
        <w:tc>
          <w:tcPr>
            <w:tcW w:w="1260" w:type="dxa"/>
          </w:tcPr>
          <w:p w14:paraId="5D387E2E" w14:textId="77777777" w:rsidR="00B17E5F" w:rsidRPr="00722D9B" w:rsidRDefault="00B17E5F" w:rsidP="00722D9B">
            <w:pPr>
              <w:pStyle w:val="NoSpacing"/>
              <w:rPr>
                <w:sz w:val="22"/>
                <w:szCs w:val="22"/>
              </w:rPr>
            </w:pPr>
            <w:r w:rsidRPr="00722D9B">
              <w:rPr>
                <w:sz w:val="22"/>
                <w:szCs w:val="22"/>
              </w:rPr>
              <w:t>Cooled or heated indoor air passed through PCM storage for charging</w:t>
            </w:r>
          </w:p>
        </w:tc>
        <w:tc>
          <w:tcPr>
            <w:tcW w:w="1069" w:type="dxa"/>
          </w:tcPr>
          <w:p w14:paraId="5B4D9841" w14:textId="77777777" w:rsidR="00B17E5F" w:rsidRPr="00722D9B" w:rsidRDefault="00B17E5F" w:rsidP="00722D9B">
            <w:pPr>
              <w:pStyle w:val="NoSpacing"/>
              <w:rPr>
                <w:sz w:val="22"/>
                <w:szCs w:val="22"/>
              </w:rPr>
            </w:pPr>
            <w:r w:rsidRPr="00722D9B">
              <w:rPr>
                <w:sz w:val="22"/>
                <w:szCs w:val="22"/>
              </w:rPr>
              <w:t>Energy savings of 10.3%–40% for heating, 10%–30% for cooling</w:t>
            </w:r>
          </w:p>
        </w:tc>
        <w:tc>
          <w:tcPr>
            <w:tcW w:w="1093" w:type="dxa"/>
          </w:tcPr>
          <w:p w14:paraId="4AD6E4E2" w14:textId="77777777" w:rsidR="00B17E5F" w:rsidRPr="00722D9B" w:rsidRDefault="00B17E5F" w:rsidP="00722D9B">
            <w:pPr>
              <w:pStyle w:val="NoSpacing"/>
              <w:rPr>
                <w:sz w:val="22"/>
                <w:szCs w:val="22"/>
              </w:rPr>
            </w:pPr>
            <w:r w:rsidRPr="00722D9B">
              <w:rPr>
                <w:sz w:val="22"/>
                <w:szCs w:val="22"/>
              </w:rPr>
              <w:t>Not reported</w:t>
            </w:r>
          </w:p>
        </w:tc>
        <w:tc>
          <w:tcPr>
            <w:tcW w:w="958" w:type="dxa"/>
          </w:tcPr>
          <w:p w14:paraId="311781D4" w14:textId="77777777" w:rsidR="00B17E5F" w:rsidRPr="00722D9B" w:rsidRDefault="00B17E5F" w:rsidP="00722D9B">
            <w:pPr>
              <w:pStyle w:val="NoSpacing"/>
              <w:rPr>
                <w:sz w:val="22"/>
                <w:szCs w:val="22"/>
              </w:rPr>
            </w:pPr>
            <w:r w:rsidRPr="00722D9B">
              <w:rPr>
                <w:sz w:val="22"/>
                <w:szCs w:val="22"/>
              </w:rPr>
              <w:t>Not reported</w:t>
            </w:r>
          </w:p>
        </w:tc>
      </w:tr>
      <w:bookmarkEnd w:id="77"/>
    </w:tbl>
    <w:p w14:paraId="3EFD4C08" w14:textId="77777777" w:rsidR="00B17E5F" w:rsidRPr="00322E56" w:rsidRDefault="00B17E5F">
      <w:pPr>
        <w:spacing w:line="240" w:lineRule="auto"/>
        <w:rPr>
          <w:rFonts w:cs="Times New Roman"/>
        </w:rPr>
      </w:pPr>
    </w:p>
    <w:p w14:paraId="165A9BDC" w14:textId="4D5E99F6" w:rsidR="00F310FA" w:rsidRDefault="00F310FA">
      <w:pPr>
        <w:spacing w:before="0" w:line="240" w:lineRule="auto"/>
        <w:ind w:firstLine="0"/>
        <w:jc w:val="left"/>
        <w:rPr>
          <w:rFonts w:cs="Times New Roman"/>
        </w:rPr>
      </w:pPr>
      <w:r>
        <w:rPr>
          <w:rFonts w:cs="Times New Roman"/>
        </w:rPr>
        <w:br w:type="page"/>
      </w:r>
    </w:p>
    <w:p w14:paraId="11D90D4F" w14:textId="4E7C64D7" w:rsidR="00F310FA" w:rsidRDefault="00F310FA" w:rsidP="00F310FA">
      <w:pPr>
        <w:spacing w:before="0" w:line="240" w:lineRule="auto"/>
        <w:ind w:firstLine="0"/>
        <w:jc w:val="center"/>
        <w:rPr>
          <w:rFonts w:cs="Times New Roman"/>
          <w:b/>
          <w:bCs/>
        </w:rPr>
      </w:pPr>
      <w:r w:rsidRPr="00F310FA">
        <w:rPr>
          <w:rFonts w:cs="Times New Roman"/>
          <w:b/>
          <w:bCs/>
        </w:rPr>
        <w:lastRenderedPageBreak/>
        <w:t>Table 9 Continued</w:t>
      </w:r>
    </w:p>
    <w:p w14:paraId="3C2D4B3E" w14:textId="77777777" w:rsidR="00F310FA" w:rsidRPr="00F310FA" w:rsidRDefault="00F310FA" w:rsidP="00F310FA">
      <w:pPr>
        <w:spacing w:before="0" w:line="240" w:lineRule="auto"/>
        <w:ind w:firstLine="0"/>
        <w:jc w:val="center"/>
        <w:rPr>
          <w:rFonts w:cs="Times New Roman"/>
          <w:b/>
          <w:bCs/>
        </w:rPr>
      </w:pPr>
    </w:p>
    <w:tbl>
      <w:tblPr>
        <w:tblW w:w="9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91"/>
        <w:gridCol w:w="1364"/>
        <w:gridCol w:w="976"/>
        <w:gridCol w:w="1091"/>
        <w:gridCol w:w="900"/>
        <w:gridCol w:w="1260"/>
        <w:gridCol w:w="1069"/>
        <w:gridCol w:w="1093"/>
        <w:gridCol w:w="958"/>
      </w:tblGrid>
      <w:tr w:rsidR="00F310FA" w:rsidRPr="00722D9B" w14:paraId="16DD62D5" w14:textId="77777777" w:rsidTr="00273064">
        <w:trPr>
          <w:trHeight w:val="449"/>
          <w:jc w:val="center"/>
        </w:trPr>
        <w:tc>
          <w:tcPr>
            <w:tcW w:w="791" w:type="dxa"/>
          </w:tcPr>
          <w:sdt>
            <w:sdtPr>
              <w:rPr>
                <w:color w:val="000000"/>
                <w:sz w:val="22"/>
                <w:szCs w:val="22"/>
              </w:rPr>
              <w:tag w:val="MENDELEY_CITATION_v3_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"/>
              <w:id w:val="547802264"/>
              <w:placeholder>
                <w:docPart w:val="C21FF244103E9D48B2AC7240CE960CC2"/>
              </w:placeholder>
            </w:sdtPr>
            <w:sdtContent>
              <w:p w14:paraId="20068A3B" w14:textId="77777777" w:rsidR="00F310FA" w:rsidRPr="00722D9B" w:rsidRDefault="00F310FA" w:rsidP="00273064">
                <w:pPr>
                  <w:pStyle w:val="NoSpacing"/>
                  <w:rPr>
                    <w:sz w:val="22"/>
                    <w:szCs w:val="22"/>
                  </w:rPr>
                </w:pPr>
                <w:r w:rsidRPr="001E7ECF">
                  <w:rPr>
                    <w:color w:val="000000"/>
                    <w:sz w:val="22"/>
                    <w:szCs w:val="22"/>
                  </w:rPr>
                  <w:t>[37]</w:t>
                </w:r>
              </w:p>
            </w:sdtContent>
          </w:sdt>
        </w:tc>
        <w:tc>
          <w:tcPr>
            <w:tcW w:w="1364" w:type="dxa"/>
          </w:tcPr>
          <w:p w14:paraId="35F1AC16" w14:textId="77777777" w:rsidR="00F310FA" w:rsidRPr="00722D9B" w:rsidRDefault="00F310FA" w:rsidP="00273064">
            <w:pPr>
              <w:pStyle w:val="NoSpacing"/>
              <w:rPr>
                <w:sz w:val="22"/>
                <w:szCs w:val="22"/>
              </w:rPr>
            </w:pPr>
            <w:r w:rsidRPr="00722D9B">
              <w:rPr>
                <w:sz w:val="22"/>
                <w:szCs w:val="22"/>
              </w:rPr>
              <w:t>RT25HC (22°C–26°C)</w:t>
            </w:r>
          </w:p>
        </w:tc>
        <w:tc>
          <w:tcPr>
            <w:tcW w:w="976" w:type="dxa"/>
          </w:tcPr>
          <w:p w14:paraId="136399BE" w14:textId="77777777" w:rsidR="00F310FA" w:rsidRPr="00722D9B" w:rsidRDefault="00F310FA" w:rsidP="00273064">
            <w:pPr>
              <w:pStyle w:val="NoSpacing"/>
              <w:rPr>
                <w:sz w:val="22"/>
                <w:szCs w:val="22"/>
              </w:rPr>
            </w:pPr>
            <w:r w:rsidRPr="00722D9B">
              <w:rPr>
                <w:sz w:val="22"/>
                <w:szCs w:val="22"/>
              </w:rPr>
              <w:t>Air-PCM storage coupled with an HP and solar heater</w:t>
            </w:r>
          </w:p>
        </w:tc>
        <w:tc>
          <w:tcPr>
            <w:tcW w:w="1091" w:type="dxa"/>
          </w:tcPr>
          <w:p w14:paraId="6F0DC804" w14:textId="77777777" w:rsidR="00F310FA" w:rsidRPr="00722D9B" w:rsidRDefault="00F310FA" w:rsidP="00273064">
            <w:pPr>
              <w:pStyle w:val="NoSpacing"/>
              <w:rPr>
                <w:sz w:val="22"/>
                <w:szCs w:val="22"/>
              </w:rPr>
            </w:pPr>
            <w:r w:rsidRPr="00722D9B">
              <w:rPr>
                <w:sz w:val="22"/>
                <w:szCs w:val="22"/>
              </w:rPr>
              <w:t>Experiment, Auckland, New Zealand</w:t>
            </w:r>
          </w:p>
        </w:tc>
        <w:tc>
          <w:tcPr>
            <w:tcW w:w="900" w:type="dxa"/>
          </w:tcPr>
          <w:p w14:paraId="7EBF31EB" w14:textId="77777777" w:rsidR="00F310FA" w:rsidRPr="00722D9B" w:rsidRDefault="00F310FA" w:rsidP="00273064">
            <w:pPr>
              <w:pStyle w:val="NoSpacing"/>
              <w:rPr>
                <w:sz w:val="22"/>
                <w:szCs w:val="22"/>
              </w:rPr>
            </w:pPr>
            <w:r w:rsidRPr="00722D9B">
              <w:rPr>
                <w:sz w:val="22"/>
                <w:szCs w:val="22"/>
              </w:rPr>
              <w:t>Price-based control</w:t>
            </w:r>
          </w:p>
        </w:tc>
        <w:tc>
          <w:tcPr>
            <w:tcW w:w="1260" w:type="dxa"/>
          </w:tcPr>
          <w:p w14:paraId="07EAF6F1" w14:textId="77777777" w:rsidR="00F310FA" w:rsidRPr="00722D9B" w:rsidRDefault="00F310FA" w:rsidP="00273064">
            <w:pPr>
              <w:pStyle w:val="NoSpacing"/>
              <w:rPr>
                <w:sz w:val="22"/>
                <w:szCs w:val="22"/>
              </w:rPr>
            </w:pPr>
            <w:r w:rsidRPr="00722D9B">
              <w:rPr>
                <w:sz w:val="22"/>
                <w:szCs w:val="22"/>
              </w:rPr>
              <w:t>PCMs stored energy during peak hours from an HP and/or solar (heating) or ambient (night cooling)</w:t>
            </w:r>
          </w:p>
        </w:tc>
        <w:tc>
          <w:tcPr>
            <w:tcW w:w="1069" w:type="dxa"/>
          </w:tcPr>
          <w:p w14:paraId="5C1024AF" w14:textId="77777777" w:rsidR="00F310FA" w:rsidRPr="00722D9B" w:rsidRDefault="00F310FA" w:rsidP="00273064">
            <w:pPr>
              <w:pStyle w:val="NoSpacing"/>
              <w:rPr>
                <w:sz w:val="22"/>
                <w:szCs w:val="22"/>
              </w:rPr>
            </w:pPr>
            <w:r w:rsidRPr="00722D9B">
              <w:rPr>
                <w:sz w:val="22"/>
                <w:szCs w:val="22"/>
              </w:rPr>
              <w:t>47% daily savings in winter, 23% daily savings in summer</w:t>
            </w:r>
          </w:p>
        </w:tc>
        <w:tc>
          <w:tcPr>
            <w:tcW w:w="1093" w:type="dxa"/>
          </w:tcPr>
          <w:p w14:paraId="725C430F" w14:textId="77777777" w:rsidR="00F310FA" w:rsidRPr="00722D9B" w:rsidRDefault="00F310FA" w:rsidP="00273064">
            <w:pPr>
              <w:pStyle w:val="NoSpacing"/>
              <w:rPr>
                <w:sz w:val="22"/>
                <w:szCs w:val="22"/>
              </w:rPr>
            </w:pPr>
            <w:r w:rsidRPr="00722D9B">
              <w:rPr>
                <w:sz w:val="22"/>
                <w:szCs w:val="22"/>
              </w:rPr>
              <w:t>Heating and cooling peak loads shifted</w:t>
            </w:r>
          </w:p>
        </w:tc>
        <w:tc>
          <w:tcPr>
            <w:tcW w:w="958" w:type="dxa"/>
          </w:tcPr>
          <w:p w14:paraId="58858F75" w14:textId="77777777" w:rsidR="00F310FA" w:rsidRPr="00722D9B" w:rsidRDefault="00F310FA" w:rsidP="00273064">
            <w:pPr>
              <w:pStyle w:val="NoSpacing"/>
              <w:rPr>
                <w:sz w:val="22"/>
                <w:szCs w:val="22"/>
              </w:rPr>
            </w:pPr>
            <w:r w:rsidRPr="00722D9B">
              <w:rPr>
                <w:sz w:val="22"/>
                <w:szCs w:val="22"/>
              </w:rPr>
              <w:t>65% in winter, 42% in summer</w:t>
            </w:r>
          </w:p>
        </w:tc>
      </w:tr>
    </w:tbl>
    <w:p w14:paraId="0B7B32AA" w14:textId="77777777" w:rsidR="00F310FA" w:rsidRDefault="00F310FA">
      <w:pPr>
        <w:spacing w:before="0" w:line="240" w:lineRule="auto"/>
        <w:ind w:firstLine="0"/>
        <w:jc w:val="left"/>
        <w:rPr>
          <w:rFonts w:cs="Times New Roman"/>
        </w:rPr>
      </w:pPr>
    </w:p>
    <w:p w14:paraId="6F7FF5FA" w14:textId="1915490A" w:rsidR="00B17E5F" w:rsidRPr="00322E56" w:rsidRDefault="00F310FA" w:rsidP="00F310FA">
      <w:pPr>
        <w:spacing w:before="0" w:line="240" w:lineRule="auto"/>
        <w:ind w:firstLine="0"/>
        <w:jc w:val="left"/>
        <w:rPr>
          <w:rFonts w:cs="Times New Roman"/>
        </w:rPr>
      </w:pPr>
      <w:r>
        <w:rPr>
          <w:rFonts w:cs="Times New Roman"/>
        </w:rPr>
        <w:br w:type="page"/>
      </w:r>
    </w:p>
    <w:p w14:paraId="2D1A0F4E" w14:textId="77777777" w:rsidR="00B17E5F" w:rsidRPr="00322E56" w:rsidRDefault="00B17E5F" w:rsidP="00966F32">
      <w:pPr>
        <w:keepNext/>
        <w:spacing w:line="240" w:lineRule="auto"/>
        <w:jc w:val="center"/>
        <w:rPr>
          <w:rFonts w:cs="Times New Roman"/>
        </w:rPr>
      </w:pPr>
      <w:r w:rsidRPr="00322E56">
        <w:rPr>
          <w:rFonts w:cs="Times New Roman"/>
          <w:noProof/>
        </w:rPr>
        <w:lastRenderedPageBreak/>
        <w:drawing>
          <wp:inline distT="0" distB="0" distL="0" distR="0" wp14:anchorId="6ADE2439" wp14:editId="6720837C">
            <wp:extent cx="5303520" cy="31019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03520" cy="3101940"/>
                    </a:xfrm>
                    <a:prstGeom prst="rect">
                      <a:avLst/>
                    </a:prstGeom>
                    <a:noFill/>
                  </pic:spPr>
                </pic:pic>
              </a:graphicData>
            </a:graphic>
          </wp:inline>
        </w:drawing>
      </w:r>
    </w:p>
    <w:p w14:paraId="5BC9E8A5" w14:textId="016E40E0" w:rsidR="00B17E5F" w:rsidRPr="00322E56" w:rsidRDefault="00B17E5F" w:rsidP="00966F32">
      <w:pPr>
        <w:pStyle w:val="Caption"/>
        <w:jc w:val="center"/>
        <w:rPr>
          <w:rFonts w:cs="Times New Roman"/>
        </w:rPr>
      </w:pPr>
      <w:bookmarkStart w:id="80" w:name="_Toc140403873"/>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7</w:t>
      </w:r>
      <w:r w:rsidRPr="00322E56">
        <w:rPr>
          <w:rFonts w:cs="Times New Roman"/>
        </w:rPr>
        <w:fldChar w:fldCharType="end"/>
      </w:r>
      <w:r w:rsidRPr="00322E56">
        <w:rPr>
          <w:rFonts w:cs="Times New Roman"/>
        </w:rPr>
        <w:t>: Active storage locations in the building and HP components</w:t>
      </w:r>
      <w:bookmarkEnd w:id="80"/>
    </w:p>
    <w:p w14:paraId="6BEEDC74" w14:textId="77777777" w:rsidR="00B17E5F" w:rsidRPr="00322E56" w:rsidRDefault="00B17E5F">
      <w:pPr>
        <w:spacing w:line="240" w:lineRule="auto"/>
        <w:rPr>
          <w:rFonts w:cs="Times New Roman"/>
        </w:rPr>
      </w:pPr>
      <w:r w:rsidRPr="00322E56">
        <w:rPr>
          <w:rFonts w:cs="Times New Roman"/>
        </w:rPr>
        <w:br w:type="page"/>
      </w:r>
    </w:p>
    <w:p w14:paraId="1FF42385" w14:textId="6BC37F98" w:rsidR="00C44DE0" w:rsidRDefault="00C44DE0" w:rsidP="00C44DE0">
      <w:pPr>
        <w:rPr>
          <w:rFonts w:cs="Times New Roman"/>
        </w:rPr>
      </w:pPr>
      <w:r w:rsidRPr="00322E56">
        <w:rPr>
          <w:rFonts w:cs="Times New Roman"/>
        </w:rPr>
        <w:lastRenderedPageBreak/>
        <w:t>Active HP-TES is more financially viable in regions that have higher electricity prices during peak hours and where cooling systems dominate the demand.</w:t>
      </w:r>
    </w:p>
    <w:p w14:paraId="458C382A" w14:textId="0C226E75" w:rsidR="00B17E5F" w:rsidRPr="00322E56" w:rsidRDefault="00B17E5F" w:rsidP="00EB6578">
      <w:pPr>
        <w:pStyle w:val="Heading2"/>
        <w:rPr>
          <w:rFonts w:cs="Times New Roman"/>
        </w:rPr>
      </w:pPr>
      <w:bookmarkStart w:id="81" w:name="_Toc140399826"/>
      <w:r w:rsidRPr="00322E56">
        <w:rPr>
          <w:rFonts w:cs="Times New Roman"/>
        </w:rPr>
        <w:t>Comparative Research Trends</w:t>
      </w:r>
      <w:bookmarkEnd w:id="81"/>
    </w:p>
    <w:p w14:paraId="2F537DFF" w14:textId="77777777" w:rsidR="00B17E5F" w:rsidRPr="00322E56" w:rsidRDefault="00B17E5F" w:rsidP="00EB6578">
      <w:pPr>
        <w:rPr>
          <w:rFonts w:cs="Times New Roman"/>
        </w:rPr>
      </w:pPr>
      <w:r w:rsidRPr="00322E56">
        <w:rPr>
          <w:rFonts w:cs="Times New Roman"/>
        </w:rPr>
        <w:t>This section presents an overview of results from literature to compare PCM type and temperature, TES applications, HP-TES configuration, and climate zone for different studies. A historical trend and bibliographic analysis are presented for PCMs and configurations of HP-TES in various climate zones.</w:t>
      </w:r>
    </w:p>
    <w:p w14:paraId="31157834" w14:textId="77777777" w:rsidR="00B17E5F" w:rsidRPr="00322E56" w:rsidRDefault="00B17E5F" w:rsidP="00EB6578">
      <w:pPr>
        <w:pStyle w:val="Heading3"/>
        <w:rPr>
          <w:rFonts w:cs="Times New Roman"/>
        </w:rPr>
      </w:pPr>
      <w:bookmarkStart w:id="82" w:name="_Toc140399827"/>
      <w:r w:rsidRPr="00322E56">
        <w:rPr>
          <w:rFonts w:cs="Times New Roman"/>
        </w:rPr>
        <w:t>HP-TES Research</w:t>
      </w:r>
      <w:bookmarkEnd w:id="82"/>
    </w:p>
    <w:p w14:paraId="1FB13131" w14:textId="77777777" w:rsidR="00B17E5F" w:rsidRPr="00322E56" w:rsidRDefault="00B17E5F" w:rsidP="00EB6578">
      <w:pPr>
        <w:rPr>
          <w:rFonts w:cs="Times New Roman"/>
        </w:rPr>
      </w:pPr>
      <w:r w:rsidRPr="00322E56">
        <w:rPr>
          <w:rFonts w:cs="Times New Roman"/>
        </w:rPr>
        <w:t>Figure 8 shows a historical trend of research conducted on ice or PCM based HP-TES in the past 30 years. The technology has garnered more attention since the past decade.</w:t>
      </w:r>
    </w:p>
    <w:p w14:paraId="6BB8F785" w14:textId="0792AA90" w:rsidR="00B17E5F" w:rsidRDefault="00B17E5F" w:rsidP="00D83906">
      <w:pPr>
        <w:rPr>
          <w:rFonts w:cs="Times New Roman"/>
        </w:rPr>
      </w:pPr>
      <w:r w:rsidRPr="00322E56">
        <w:rPr>
          <w:rFonts w:cs="Times New Roman"/>
          <w:color w:val="0D0D0D" w:themeColor="text1" w:themeTint="F2"/>
        </w:rPr>
        <w:t xml:space="preserve">HP-TES can be installed in the building envelope, air distribution loops, or VCS itself. For active HP-TES installed in the building envelope, an HX is used and coupled with an AHU </w:t>
      </w:r>
      <w:sdt>
        <w:sdtPr>
          <w:rPr>
            <w:rFonts w:cs="Times New Roman"/>
            <w:color w:val="000000"/>
            <w:shd w:val="clear" w:color="auto" w:fill="E6E6E6"/>
          </w:rPr>
          <w:tag w:val="MENDELEY_CITATION_v3_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"/>
          <w:id w:val="1681543240"/>
          <w:placeholder>
            <w:docPart w:val="4ADB3018433A4A86872F9C417157071C"/>
          </w:placeholder>
        </w:sdtPr>
        <w:sdtContent>
          <w:r w:rsidR="001E7ECF" w:rsidRPr="001E7ECF">
            <w:rPr>
              <w:rFonts w:cs="Times New Roman"/>
              <w:color w:val="000000"/>
            </w:rPr>
            <w:t>[136]</w:t>
          </w:r>
        </w:sdtContent>
      </w:sdt>
      <w:r w:rsidRPr="00322E56">
        <w:rPr>
          <w:rFonts w:cs="Times New Roman"/>
          <w:color w:val="000000"/>
        </w:rPr>
        <w:t>.</w:t>
      </w:r>
      <w:r w:rsidRPr="00322E56">
        <w:rPr>
          <w:rFonts w:cs="Times New Roman"/>
          <w:color w:val="0D0D0D" w:themeColor="text1" w:themeTint="F2"/>
        </w:rPr>
        <w:t xml:space="preserve"> In the VCS, the TES is directly installed in the condenser, evaporator, or both, or the TES is coupled via a standalone storage tank </w:t>
      </w:r>
      <w:sdt>
        <w:sdtPr>
          <w:rPr>
            <w:rFonts w:cs="Times New Roman"/>
            <w:color w:val="000000"/>
            <w:shd w:val="clear" w:color="auto" w:fill="E6E6E6"/>
          </w:rPr>
          <w:tag w:val="MENDELEY_CITATION_v3_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"/>
          <w:id w:val="-1518158881"/>
          <w:placeholder>
            <w:docPart w:val="E6A065F7E6A6402E860164E1DF1271C1"/>
          </w:placeholder>
        </w:sdtPr>
        <w:sdtContent>
          <w:r w:rsidR="001E7ECF" w:rsidRPr="001E7ECF">
            <w:rPr>
              <w:rFonts w:cs="Times New Roman"/>
              <w:color w:val="000000"/>
            </w:rPr>
            <w:t>[42]</w:t>
          </w:r>
        </w:sdtContent>
      </w:sdt>
      <w:r w:rsidRPr="00322E56">
        <w:rPr>
          <w:rFonts w:cs="Times New Roman"/>
          <w:color w:val="000000"/>
        </w:rPr>
        <w:t xml:space="preserve">, </w:t>
      </w:r>
      <w:sdt>
        <w:sdtPr>
          <w:rPr>
            <w:rFonts w:cs="Times New Roman"/>
            <w:color w:val="000000"/>
            <w:shd w:val="clear" w:color="auto" w:fill="E6E6E6"/>
          </w:rPr>
          <w:tag w:val="MENDELEY_CITATION_v3_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"/>
          <w:id w:val="971179262"/>
          <w:placeholder>
            <w:docPart w:val="E6A065F7E6A6402E860164E1DF1271C1"/>
          </w:placeholder>
        </w:sdtPr>
        <w:sdtContent>
          <w:r w:rsidR="001E7ECF" w:rsidRPr="001E7ECF">
            <w:rPr>
              <w:rFonts w:cs="Times New Roman"/>
              <w:color w:val="000000"/>
            </w:rPr>
            <w:t>[158]</w:t>
          </w:r>
        </w:sdtContent>
      </w:sdt>
      <w:r w:rsidRPr="00322E56">
        <w:rPr>
          <w:rFonts w:cs="Times New Roman"/>
          <w:color w:val="0D0D0D" w:themeColor="text1" w:themeTint="F2"/>
        </w:rPr>
        <w:t xml:space="preserve">. Besides the building envelope for passive TES systems, air distribution has been the most used configuration in active TES in which PCMs are installed in the supply or return air ducts or the water loop </w:t>
      </w:r>
      <w:sdt>
        <w:sdtPr>
          <w:rPr>
            <w:rFonts w:cs="Times New Roman"/>
            <w:color w:val="000000"/>
            <w:shd w:val="clear" w:color="auto" w:fill="E6E6E6"/>
          </w:rPr>
          <w:tag w:val="MENDELEY_CITATION_v3_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"/>
          <w:id w:val="-1293973727"/>
          <w:placeholder>
            <w:docPart w:val="E6A065F7E6A6402E860164E1DF1271C1"/>
          </w:placeholder>
        </w:sdtPr>
        <w:sdtContent>
          <w:r w:rsidR="001E7ECF" w:rsidRPr="001E7ECF">
            <w:rPr>
              <w:rFonts w:cs="Times New Roman"/>
              <w:color w:val="000000"/>
            </w:rPr>
            <w:t>[141]</w:t>
          </w:r>
        </w:sdtContent>
      </w:sdt>
      <w:r w:rsidRPr="00322E56">
        <w:rPr>
          <w:rFonts w:cs="Times New Roman"/>
          <w:color w:val="000000"/>
        </w:rPr>
        <w:t>,</w:t>
      </w:r>
      <w:r w:rsidRPr="00322E56">
        <w:rPr>
          <w:rFonts w:cs="Times New Roman"/>
        </w:rPr>
        <w:t xml:space="preserve"> </w:t>
      </w:r>
      <w:sdt>
        <w:sdtPr>
          <w:rPr>
            <w:rFonts w:cs="Times New Roman"/>
            <w:color w:val="000000"/>
            <w:shd w:val="clear" w:color="auto" w:fill="E6E6E6"/>
          </w:rPr>
          <w:tag w:val="MENDELEY_CITATION_v3_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"/>
          <w:id w:val="-875006327"/>
          <w:placeholder>
            <w:docPart w:val="E6A065F7E6A6402E860164E1DF1271C1"/>
          </w:placeholder>
        </w:sdtPr>
        <w:sdtContent>
          <w:r w:rsidR="001E7ECF" w:rsidRPr="001E7ECF">
            <w:rPr>
              <w:rFonts w:cs="Times New Roman"/>
              <w:color w:val="000000"/>
            </w:rPr>
            <w:t>[38]</w:t>
          </w:r>
        </w:sdtContent>
      </w:sdt>
      <w:r w:rsidRPr="00322E56">
        <w:rPr>
          <w:rFonts w:cs="Times New Roman"/>
        </w:rPr>
        <w:t xml:space="preserve">. </w:t>
      </w:r>
    </w:p>
    <w:p w14:paraId="22414F9C" w14:textId="77777777" w:rsidR="00A23FAB" w:rsidRPr="00322E56" w:rsidRDefault="00A23FAB" w:rsidP="00A23FAB">
      <w:pPr>
        <w:pStyle w:val="Heading3"/>
        <w:rPr>
          <w:rFonts w:cs="Times New Roman"/>
        </w:rPr>
      </w:pPr>
      <w:bookmarkStart w:id="83" w:name="_Toc140399828"/>
      <w:r w:rsidRPr="00322E56">
        <w:rPr>
          <w:rFonts w:cs="Times New Roman"/>
        </w:rPr>
        <w:t>PCMs for HP-TES</w:t>
      </w:r>
      <w:bookmarkEnd w:id="83"/>
    </w:p>
    <w:p w14:paraId="3E97C9EC" w14:textId="77777777" w:rsidR="00A23FAB" w:rsidRDefault="00A23FAB" w:rsidP="00A23FAB">
      <w:pPr>
        <w:rPr>
          <w:rFonts w:cs="Times New Roman"/>
        </w:rPr>
      </w:pPr>
      <w:r w:rsidRPr="00322E56">
        <w:rPr>
          <w:rFonts w:cs="Times New Roman"/>
        </w:rPr>
        <w:t xml:space="preserve">Figure 9 compares the different PCMs used in simulation and experimental studies. Paraffins are the most commonly investigated PCMs by far. Salt hydrates are gaining more attention recently because they are inexpensive, are easily available, and offer wide range of temperatures. A detailed analysis of PCMs for HP-TES is provided in another review </w:t>
      </w:r>
      <w:sdt>
        <w:sdtPr>
          <w:rPr>
            <w:rFonts w:cs="Times New Roman"/>
            <w:color w:val="000000"/>
            <w:shd w:val="clear" w:color="auto" w:fill="E6E6E6"/>
          </w:rPr>
          <w:tag w:val="MENDELEY_CITATION_v3_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"/>
          <w:id w:val="1627819051"/>
          <w:placeholder>
            <w:docPart w:val="C4BF2BD8AA6CBD41944B6E1DE9F48D9E"/>
          </w:placeholder>
        </w:sdtPr>
        <w:sdtContent>
          <w:r w:rsidRPr="001E7ECF">
            <w:rPr>
              <w:rFonts w:cs="Times New Roman"/>
              <w:color w:val="000000"/>
            </w:rPr>
            <w:t>[20]</w:t>
          </w:r>
        </w:sdtContent>
      </w:sdt>
      <w:r w:rsidRPr="00322E56">
        <w:rPr>
          <w:rFonts w:cs="Times New Roman"/>
        </w:rPr>
        <w:t>.</w:t>
      </w:r>
    </w:p>
    <w:p w14:paraId="7FE6AC6C" w14:textId="36C7EEA5" w:rsidR="00B17E5F" w:rsidRDefault="00B17E5F" w:rsidP="00A23FAB">
      <w:pPr>
        <w:keepNext/>
        <w:spacing w:line="240" w:lineRule="auto"/>
        <w:ind w:firstLine="0"/>
        <w:jc w:val="center"/>
        <w:rPr>
          <w:rFonts w:cs="Times New Roman"/>
        </w:rPr>
      </w:pPr>
    </w:p>
    <w:p w14:paraId="1D59CEFE" w14:textId="77777777" w:rsidR="00A5526B" w:rsidRDefault="00A5526B" w:rsidP="00A5526B">
      <w:pPr>
        <w:ind w:firstLine="0"/>
      </w:pPr>
    </w:p>
    <w:p w14:paraId="5A36C284" w14:textId="77777777" w:rsidR="00A5526B" w:rsidRDefault="00A5526B" w:rsidP="00A5526B">
      <w:pPr>
        <w:keepNext/>
        <w:jc w:val="left"/>
      </w:pPr>
      <w:r w:rsidRPr="00A23FAB">
        <w:rPr>
          <w:rFonts w:cs="Times New Roman"/>
          <w:b/>
          <w:bCs/>
          <w:noProof/>
        </w:rPr>
        <w:lastRenderedPageBreak/>
        <w:drawing>
          <wp:inline distT="0" distB="0" distL="0" distR="0" wp14:anchorId="4F57DCD4" wp14:editId="7CE437D9">
            <wp:extent cx="5486400" cy="2225040"/>
            <wp:effectExtent l="0" t="0" r="0" b="0"/>
            <wp:docPr id="36" name="Graphic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5486400" cy="2225040"/>
                    </a:xfrm>
                    <a:prstGeom prst="rect">
                      <a:avLst/>
                    </a:prstGeom>
                  </pic:spPr>
                </pic:pic>
              </a:graphicData>
            </a:graphic>
          </wp:inline>
        </w:drawing>
      </w:r>
    </w:p>
    <w:p w14:paraId="13B7434D" w14:textId="69891D74" w:rsidR="00A5526B" w:rsidRDefault="00A5526B" w:rsidP="00A5526B">
      <w:pPr>
        <w:pStyle w:val="Caption"/>
        <w:jc w:val="center"/>
      </w:pPr>
      <w:bookmarkStart w:id="84" w:name="_Toc140403874"/>
      <w:r>
        <w:t xml:space="preserve">Figure </w:t>
      </w:r>
      <w:fldSimple w:instr=" SEQ Figure \* ARABIC ">
        <w:r>
          <w:rPr>
            <w:noProof/>
          </w:rPr>
          <w:t>8</w:t>
        </w:r>
      </w:fldSimple>
      <w:r>
        <w:t>: Historical trend of HP-TES research</w:t>
      </w:r>
      <w:bookmarkEnd w:id="84"/>
    </w:p>
    <w:p w14:paraId="2FFFF4D1" w14:textId="77777777" w:rsidR="00A5526B" w:rsidRDefault="00A5526B" w:rsidP="00A5526B"/>
    <w:p w14:paraId="3A3CB4B0" w14:textId="77777777" w:rsidR="00A5526B" w:rsidRDefault="00A5526B" w:rsidP="00A5526B"/>
    <w:p w14:paraId="2128B012" w14:textId="77777777" w:rsidR="00A5526B" w:rsidRPr="00A5526B" w:rsidRDefault="00A5526B" w:rsidP="00A5526B"/>
    <w:p w14:paraId="1EE84652" w14:textId="3EEE4D04" w:rsidR="00B17E5F" w:rsidRPr="00322E56" w:rsidRDefault="00B17E5F" w:rsidP="00A5526B">
      <w:pPr>
        <w:spacing w:line="240" w:lineRule="auto"/>
        <w:ind w:firstLine="0"/>
        <w:jc w:val="left"/>
        <w:rPr>
          <w:rFonts w:cs="Times New Roman"/>
        </w:rPr>
      </w:pPr>
      <w:r w:rsidRPr="00322E56">
        <w:rPr>
          <w:rFonts w:cs="Times New Roman"/>
          <w:noProof/>
        </w:rPr>
        <w:drawing>
          <wp:inline distT="0" distB="0" distL="0" distR="0" wp14:anchorId="732D1DD4" wp14:editId="24DE3113">
            <wp:extent cx="5486400" cy="2287270"/>
            <wp:effectExtent l="0" t="0" r="0" b="0"/>
            <wp:docPr id="38" name="Graphic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5486400" cy="2287270"/>
                    </a:xfrm>
                    <a:prstGeom prst="rect">
                      <a:avLst/>
                    </a:prstGeom>
                  </pic:spPr>
                </pic:pic>
              </a:graphicData>
            </a:graphic>
          </wp:inline>
        </w:drawing>
      </w:r>
    </w:p>
    <w:p w14:paraId="4FDE6C63" w14:textId="6C82D714" w:rsidR="00B17E5F" w:rsidRPr="00322E56" w:rsidRDefault="00B17E5F" w:rsidP="0090626C">
      <w:pPr>
        <w:pStyle w:val="Caption"/>
        <w:jc w:val="center"/>
        <w:rPr>
          <w:rFonts w:cs="Times New Roman"/>
        </w:rPr>
      </w:pPr>
      <w:bookmarkStart w:id="85" w:name="_Toc140403875"/>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9</w:t>
      </w:r>
      <w:r w:rsidRPr="00322E56">
        <w:rPr>
          <w:rFonts w:cs="Times New Roman"/>
        </w:rPr>
        <w:fldChar w:fldCharType="end"/>
      </w:r>
      <w:r w:rsidRPr="00322E56">
        <w:rPr>
          <w:rFonts w:cs="Times New Roman"/>
        </w:rPr>
        <w:t>: Historical trend of PCMs used for HP-TES.</w:t>
      </w:r>
      <w:bookmarkEnd w:id="85"/>
    </w:p>
    <w:p w14:paraId="22F0FF70" w14:textId="77777777" w:rsidR="00B17E5F" w:rsidRPr="00322E56" w:rsidRDefault="00B17E5F">
      <w:pPr>
        <w:spacing w:line="240" w:lineRule="auto"/>
        <w:rPr>
          <w:rFonts w:cs="Times New Roman"/>
        </w:rPr>
      </w:pPr>
      <w:r w:rsidRPr="00322E56">
        <w:rPr>
          <w:rFonts w:cs="Times New Roman"/>
        </w:rPr>
        <w:br w:type="page"/>
      </w:r>
    </w:p>
    <w:p w14:paraId="17B32B9D" w14:textId="4ECFEE15" w:rsidR="00D408AD" w:rsidRDefault="00D408AD" w:rsidP="00D408AD">
      <w:pPr>
        <w:rPr>
          <w:rFonts w:cs="Times New Roman"/>
        </w:rPr>
      </w:pPr>
      <w:r w:rsidRPr="00322E56">
        <w:rPr>
          <w:rFonts w:cs="Times New Roman"/>
        </w:rPr>
        <w:lastRenderedPageBreak/>
        <w:t xml:space="preserve">The research conducted on HP-TES is mostly based on simulations, and very few works present an experimental analysis of both heating and cooling systems. Figure 7 shows an increase in experimental systems during the past decade. </w:t>
      </w:r>
    </w:p>
    <w:p w14:paraId="27DDD899" w14:textId="67648E47" w:rsidR="00A23FAB" w:rsidRDefault="00A23FAB" w:rsidP="00A23FAB">
      <w:pPr>
        <w:rPr>
          <w:rFonts w:cs="Times New Roman"/>
        </w:rPr>
      </w:pPr>
      <w:r w:rsidRPr="00322E56">
        <w:rPr>
          <w:rFonts w:cs="Times New Roman"/>
        </w:rPr>
        <w:t xml:space="preserve">Most active TES experimental systems are integrated via an air distribution system with the PCMs in the supply or return air duct </w:t>
      </w:r>
      <w:sdt>
        <w:sdtPr>
          <w:rPr>
            <w:rFonts w:cs="Times New Roman"/>
            <w:color w:val="000000"/>
            <w:shd w:val="clear" w:color="auto" w:fill="E6E6E6"/>
          </w:rPr>
          <w:tag w:val="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"/>
          <w:id w:val="-1850401818"/>
          <w:placeholder>
            <w:docPart w:val="007B819853C2EC40B863A95A73D7844F"/>
          </w:placeholder>
        </w:sdtPr>
        <w:sdtContent>
          <w:r w:rsidRPr="001E7ECF">
            <w:rPr>
              <w:rFonts w:cs="Times New Roman"/>
              <w:color w:val="000000"/>
            </w:rPr>
            <w:t>[37], [38], [141], [156], [157]</w:t>
          </w:r>
        </w:sdtContent>
      </w:sdt>
      <w:r w:rsidRPr="00322E56">
        <w:rPr>
          <w:rFonts w:cs="Times New Roman"/>
        </w:rPr>
        <w:t xml:space="preserve">. </w:t>
      </w:r>
    </w:p>
    <w:p w14:paraId="12842DA1" w14:textId="33F70DEC" w:rsidR="00B17E5F" w:rsidRPr="00322E56" w:rsidRDefault="00B17E5F" w:rsidP="00DD00C5">
      <w:pPr>
        <w:pStyle w:val="Heading3"/>
        <w:rPr>
          <w:rFonts w:cs="Times New Roman"/>
        </w:rPr>
      </w:pPr>
      <w:bookmarkStart w:id="86" w:name="_Toc140399829"/>
      <w:r w:rsidRPr="00322E56">
        <w:rPr>
          <w:rFonts w:cs="Times New Roman"/>
        </w:rPr>
        <w:t>Climate Zones and TES Application</w:t>
      </w:r>
      <w:bookmarkEnd w:id="86"/>
    </w:p>
    <w:p w14:paraId="73D726F8" w14:textId="77777777" w:rsidR="00B17E5F" w:rsidRPr="00322E56" w:rsidRDefault="00B17E5F" w:rsidP="00DD00C5">
      <w:pPr>
        <w:rPr>
          <w:rFonts w:cs="Times New Roman"/>
          <w:color w:val="0D0D0D" w:themeColor="text1" w:themeTint="F2"/>
        </w:rPr>
      </w:pPr>
      <w:r w:rsidRPr="00322E56">
        <w:rPr>
          <w:rFonts w:cs="Times New Roman"/>
          <w:color w:val="0D0D0D" w:themeColor="text1" w:themeTint="F2"/>
        </w:rPr>
        <w:t xml:space="preserve">Figure 10 shows PCM </w:t>
      </w:r>
      <w:r w:rsidRPr="00322E56">
        <w:rPr>
          <w:rFonts w:cs="Times New Roman"/>
        </w:rPr>
        <w:t xml:space="preserve">phase change </w:t>
      </w:r>
      <w:r w:rsidRPr="00322E56">
        <w:rPr>
          <w:rFonts w:cs="Times New Roman"/>
          <w:color w:val="0D0D0D" w:themeColor="text1" w:themeTint="F2"/>
        </w:rPr>
        <w:t>temperatures for space heating and cooling via active and passive TES in various climate zones. Humid continental and oceanic climates are suitable for all kinds of systems, especially active heating, but only active cooling has been investigated for humid subtropical climates. A hot arid climate is suitable for both active and passive cooling, but hot subtropical climates have only been investigated for passive cooling.</w:t>
      </w:r>
    </w:p>
    <w:p w14:paraId="1FFEDBC0" w14:textId="77A45232" w:rsidR="00B17E5F" w:rsidRDefault="00B17E5F" w:rsidP="00206B7C">
      <w:pPr>
        <w:rPr>
          <w:rFonts w:cs="Times New Roman"/>
          <w:color w:val="0D0D0D" w:themeColor="text1" w:themeTint="F2"/>
        </w:rPr>
      </w:pPr>
      <w:r w:rsidRPr="00322E56">
        <w:rPr>
          <w:rFonts w:cs="Times New Roman"/>
          <w:color w:val="0D0D0D" w:themeColor="text1" w:themeTint="F2"/>
        </w:rPr>
        <w:t xml:space="preserve">HP-TES performance measured by reported cost savings, electricity consumption, and peak load reduction greatly depends on the climate and the TES type. Passive heating TES systems in oceanic and dry climates demonstrated more than 40% energy and cost savings with phase change temperatures close to room temperatures (between 20°C and 29°C) and an organic PCM embedded in the building’s interior envelope </w:t>
      </w:r>
      <w:sdt>
        <w:sdtPr>
          <w:rPr>
            <w:rFonts w:cs="Times New Roman"/>
            <w:color w:val="000000"/>
            <w:shd w:val="clear" w:color="auto" w:fill="E6E6E6"/>
          </w:rPr>
          <w:tag w:val="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"/>
          <w:id w:val="183558994"/>
          <w:placeholder>
            <w:docPart w:val="870EAFFAAE2B4500A56E0D4BA41747E2"/>
          </w:placeholder>
        </w:sdtPr>
        <w:sdtContent>
          <w:r w:rsidR="001E7ECF" w:rsidRPr="001E7ECF">
            <w:rPr>
              <w:rFonts w:cs="Times New Roman"/>
              <w:color w:val="000000"/>
            </w:rPr>
            <w:t>[126], [127], [131], [134]</w:t>
          </w:r>
        </w:sdtContent>
      </w:sdt>
      <w:r w:rsidRPr="00322E56">
        <w:rPr>
          <w:rFonts w:cs="Times New Roman"/>
          <w:color w:val="0D0D0D" w:themeColor="text1" w:themeTint="F2"/>
        </w:rPr>
        <w:t xml:space="preserve">. Active TES is mostly investigated for cooling in humid climates in which PCMs are mostly installed in an air distribution system </w:t>
      </w:r>
      <w:sdt>
        <w:sdtPr>
          <w:rPr>
            <w:rFonts w:cs="Times New Roman"/>
            <w:color w:val="000000"/>
            <w:shd w:val="clear" w:color="auto" w:fill="E6E6E6"/>
          </w:rPr>
          <w:tag w:val="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"/>
          <w:id w:val="-1631934897"/>
          <w:placeholder>
            <w:docPart w:val="870EAFFAAE2B4500A56E0D4BA41747E2"/>
          </w:placeholder>
        </w:sdtPr>
        <w:sdtContent>
          <w:r w:rsidR="001E7ECF" w:rsidRPr="001E7ECF">
            <w:rPr>
              <w:rFonts w:cs="Times New Roman"/>
              <w:color w:val="000000"/>
            </w:rPr>
            <w:t>[41], [45], [137], [149], [150], [156]</w:t>
          </w:r>
        </w:sdtContent>
      </w:sdt>
      <w:r w:rsidRPr="00322E56">
        <w:rPr>
          <w:rFonts w:cs="Times New Roman"/>
          <w:color w:val="0D0D0D" w:themeColor="text1" w:themeTint="F2"/>
        </w:rPr>
        <w:t>.</w:t>
      </w:r>
    </w:p>
    <w:p w14:paraId="2DEA4CB1" w14:textId="77777777" w:rsidR="00A23FAB" w:rsidRPr="00322E56" w:rsidRDefault="00A23FAB" w:rsidP="00A23FAB">
      <w:pPr>
        <w:pStyle w:val="Heading2"/>
        <w:rPr>
          <w:rFonts w:cs="Times New Roman"/>
        </w:rPr>
      </w:pPr>
      <w:bookmarkStart w:id="87" w:name="_Toc140399830"/>
      <w:r w:rsidRPr="00322E56">
        <w:rPr>
          <w:rFonts w:cs="Times New Roman"/>
        </w:rPr>
        <w:t>Impact Analysis</w:t>
      </w:r>
      <w:bookmarkEnd w:id="87"/>
    </w:p>
    <w:p w14:paraId="108CE8A9" w14:textId="44BABA09" w:rsidR="00A23FAB" w:rsidRPr="00322E56" w:rsidRDefault="00A23FAB" w:rsidP="00A23FAB">
      <w:pPr>
        <w:rPr>
          <w:rFonts w:cs="Times New Roman"/>
        </w:rPr>
      </w:pPr>
      <w:r w:rsidRPr="00322E56">
        <w:rPr>
          <w:rFonts w:cs="Times New Roman"/>
        </w:rPr>
        <w:t xml:space="preserve">This section presents an impact analysis of HP-TES performance with various configurations and controls. It first provides a technoeconomic analysis of active HP-TES configurations, comparing energy savings, utility cost savings, and demand reduction. Then a comparative analysis of active and passive HP-TES is provided by focusing on the load-shifting potential and payback period. </w:t>
      </w:r>
    </w:p>
    <w:p w14:paraId="356BEADC" w14:textId="77777777" w:rsidR="00A23FAB" w:rsidRPr="00322E56" w:rsidRDefault="00A23FAB" w:rsidP="00206B7C">
      <w:pPr>
        <w:rPr>
          <w:rFonts w:cs="Times New Roman"/>
          <w:color w:val="0D0D0D" w:themeColor="text1" w:themeTint="F2"/>
        </w:rPr>
      </w:pPr>
    </w:p>
    <w:p w14:paraId="52C0EB9C" w14:textId="77777777" w:rsidR="00B17E5F" w:rsidRPr="00322E56" w:rsidRDefault="00B17E5F" w:rsidP="00A23FAB">
      <w:pPr>
        <w:ind w:firstLine="0"/>
        <w:rPr>
          <w:rFonts w:cs="Times New Roman"/>
        </w:rPr>
      </w:pPr>
    </w:p>
    <w:p w14:paraId="4E1BB190" w14:textId="77777777" w:rsidR="00B17E5F" w:rsidRPr="00322E56" w:rsidRDefault="00B17E5F" w:rsidP="0090626C">
      <w:pPr>
        <w:keepNext/>
        <w:jc w:val="center"/>
        <w:rPr>
          <w:rFonts w:cs="Times New Roman"/>
        </w:rPr>
      </w:pPr>
      <w:r w:rsidRPr="00322E56">
        <w:rPr>
          <w:rFonts w:cs="Times New Roman"/>
          <w:noProof/>
        </w:rPr>
        <w:drawing>
          <wp:inline distT="0" distB="0" distL="0" distR="0" wp14:anchorId="7B0D5E78" wp14:editId="4AEE271E">
            <wp:extent cx="5486400" cy="2687955"/>
            <wp:effectExtent l="0" t="0" r="0" b="0"/>
            <wp:docPr id="37" name="Graphic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5486400" cy="2687955"/>
                    </a:xfrm>
                    <a:prstGeom prst="rect">
                      <a:avLst/>
                    </a:prstGeom>
                  </pic:spPr>
                </pic:pic>
              </a:graphicData>
            </a:graphic>
          </wp:inline>
        </w:drawing>
      </w:r>
    </w:p>
    <w:p w14:paraId="1777BEC0" w14:textId="437E5203" w:rsidR="00B17E5F" w:rsidRPr="00322E56" w:rsidRDefault="00B17E5F" w:rsidP="0090626C">
      <w:pPr>
        <w:pStyle w:val="Caption"/>
        <w:jc w:val="center"/>
        <w:rPr>
          <w:rFonts w:cs="Times New Roman"/>
        </w:rPr>
      </w:pPr>
      <w:bookmarkStart w:id="88" w:name="_Toc140403876"/>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10</w:t>
      </w:r>
      <w:r w:rsidRPr="00322E56">
        <w:rPr>
          <w:rFonts w:cs="Times New Roman"/>
        </w:rPr>
        <w:fldChar w:fldCharType="end"/>
      </w:r>
      <w:r w:rsidRPr="00322E56">
        <w:rPr>
          <w:rFonts w:cs="Times New Roman"/>
        </w:rPr>
        <w:t>: Phase change temperatures in various climate zones.</w:t>
      </w:r>
      <w:bookmarkEnd w:id="88"/>
    </w:p>
    <w:p w14:paraId="67DD92A1" w14:textId="77777777" w:rsidR="00B17E5F" w:rsidRPr="00322E56" w:rsidRDefault="00B17E5F">
      <w:pPr>
        <w:spacing w:line="240" w:lineRule="auto"/>
        <w:rPr>
          <w:rFonts w:cs="Times New Roman"/>
        </w:rPr>
      </w:pPr>
      <w:r w:rsidRPr="00322E56">
        <w:rPr>
          <w:rFonts w:cs="Times New Roman"/>
        </w:rPr>
        <w:br w:type="page"/>
      </w:r>
    </w:p>
    <w:p w14:paraId="215DC47F" w14:textId="2547EF17" w:rsidR="00D408AD" w:rsidRDefault="00D408AD" w:rsidP="00D408AD">
      <w:pPr>
        <w:ind w:firstLine="0"/>
        <w:rPr>
          <w:rFonts w:cs="Times New Roman"/>
        </w:rPr>
      </w:pPr>
      <w:bookmarkStart w:id="89" w:name="_Toc140399831"/>
      <w:r w:rsidRPr="00322E56">
        <w:rPr>
          <w:rFonts w:cs="Times New Roman"/>
        </w:rPr>
        <w:lastRenderedPageBreak/>
        <w:t>Finally, the comparison is performed for cases with and without TES to provide an overall performance analysis on cost savings and load shifting.</w:t>
      </w:r>
    </w:p>
    <w:p w14:paraId="53E92C40" w14:textId="4A7FBC0B" w:rsidR="00B17E5F" w:rsidRPr="00322E56" w:rsidRDefault="00B17E5F" w:rsidP="009659D3">
      <w:pPr>
        <w:pStyle w:val="Heading3"/>
        <w:rPr>
          <w:rFonts w:cs="Times New Roman"/>
        </w:rPr>
      </w:pPr>
      <w:r w:rsidRPr="00322E56">
        <w:rPr>
          <w:rFonts w:cs="Times New Roman"/>
        </w:rPr>
        <w:t>Comparison of Active HP-TES Configurations</w:t>
      </w:r>
      <w:bookmarkEnd w:id="89"/>
    </w:p>
    <w:p w14:paraId="3353679F" w14:textId="77777777" w:rsidR="00B17E5F" w:rsidRPr="00322E56" w:rsidRDefault="00B17E5F" w:rsidP="009659D3">
      <w:pPr>
        <w:rPr>
          <w:rFonts w:cs="Times New Roman"/>
        </w:rPr>
      </w:pPr>
      <w:r w:rsidRPr="00322E56">
        <w:rPr>
          <w:rFonts w:cs="Times New Roman"/>
        </w:rPr>
        <w:t>This section focuses on active HP-TES configurations and their impact on utility cost savings, energy savings, and peak electric demand. These performance metrics are discussed further, in which plumbing configurations, refrigerant integration, and hydronic HX are evaluated. Energy savings are calculated from power consumption and HP heating and cooling loads. Utility cost is calculated from daily or annual energy consumption for space heating or cooling. Demand is the instantaneous power during peak hours. These metrics were compared against the TES type, utility tariff, study approach, TES integration, and charging method.</w:t>
      </w:r>
    </w:p>
    <w:p w14:paraId="21BB0678" w14:textId="77777777" w:rsidR="00B17E5F" w:rsidRPr="00322E56" w:rsidRDefault="00B17E5F" w:rsidP="0088738E">
      <w:pPr>
        <w:pStyle w:val="Heading3"/>
        <w:rPr>
          <w:rFonts w:cs="Times New Roman"/>
        </w:rPr>
      </w:pPr>
      <w:bookmarkStart w:id="90" w:name="_Toc140399832"/>
      <w:r w:rsidRPr="00322E56">
        <w:rPr>
          <w:rFonts w:cs="Times New Roman"/>
        </w:rPr>
        <w:t>Utility Cost Savings</w:t>
      </w:r>
      <w:bookmarkEnd w:id="90"/>
    </w:p>
    <w:p w14:paraId="1EF3FCEB" w14:textId="77777777" w:rsidR="00B17E5F" w:rsidRPr="00322E56" w:rsidRDefault="00B17E5F" w:rsidP="0088738E">
      <w:pPr>
        <w:rPr>
          <w:rFonts w:cs="Times New Roman"/>
        </w:rPr>
      </w:pPr>
      <w:r w:rsidRPr="00322E56">
        <w:rPr>
          <w:rFonts w:cs="Times New Roman"/>
        </w:rPr>
        <w:t xml:space="preserve">Figure 11 shows no clear trend or correlation when phase change temperature is plotted against cost savings for active HP-TES configurations. The results demonstrate that savings depend on the climate location, type and size of TES, TES location within the HP, and the utility tariff. </w:t>
      </w:r>
    </w:p>
    <w:p w14:paraId="113A7640" w14:textId="138BAB8E" w:rsidR="00B17E5F" w:rsidRPr="00322E56" w:rsidRDefault="00B17E5F" w:rsidP="00427289">
      <w:pPr>
        <w:rPr>
          <w:rFonts w:cs="Times New Roman"/>
        </w:rPr>
      </w:pPr>
      <w:r w:rsidRPr="00322E56">
        <w:rPr>
          <w:rFonts w:cs="Times New Roman"/>
        </w:rPr>
        <w:t xml:space="preserve">Ice storage is implemented where strong economic incentives exist and the difference between the utility tariff for peak and off-peak hours is large. Dong et al. </w:t>
      </w:r>
      <w:r w:rsidRPr="00322E56">
        <w:rPr>
          <w:rFonts w:cs="Times New Roman"/>
          <w:color w:val="000000"/>
        </w:rPr>
        <w:t>[125]</w:t>
      </w:r>
      <w:r w:rsidRPr="00322E56">
        <w:rPr>
          <w:rFonts w:cs="Times New Roman"/>
        </w:rPr>
        <w:t xml:space="preserve"> and Sultan et al. </w:t>
      </w:r>
      <w:sdt>
        <w:sdtPr>
          <w:rPr>
            <w:rFonts w:cs="Times New Roman"/>
            <w:color w:val="000000"/>
            <w:shd w:val="clear" w:color="auto" w:fill="E6E6E6"/>
          </w:rPr>
          <w:tag w:val="MENDELEY_CITATION_v3_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"/>
          <w:id w:val="-181515458"/>
          <w:placeholder>
            <w:docPart w:val="F89FA3EAEA32497F8EA1AF46E3960F1B"/>
          </w:placeholder>
        </w:sdtPr>
        <w:sdtContent>
          <w:r w:rsidR="001E7ECF" w:rsidRPr="001E7ECF">
            <w:rPr>
              <w:rFonts w:cs="Times New Roman"/>
              <w:color w:val="000000"/>
            </w:rPr>
            <w:t>[154]</w:t>
          </w:r>
        </w:sdtContent>
      </w:sdt>
      <w:r w:rsidRPr="00322E56">
        <w:rPr>
          <w:rFonts w:cs="Times New Roman"/>
        </w:rPr>
        <w:t xml:space="preserve"> reported similar cost savings of about 20% using ice storage for residential buildings. Both used an indirect configuration in which TES was used as a heat sink or heat source, and space cooling was provided through an HP directly without TES exchanging heat directly with the building. Sehar et al. </w:t>
      </w:r>
      <w:sdt>
        <w:sdtPr>
          <w:rPr>
            <w:rFonts w:cs="Times New Roman"/>
            <w:color w:val="000000"/>
            <w:shd w:val="clear" w:color="auto" w:fill="E6E6E6"/>
          </w:rPr>
          <w:tag w:val="MENDELEY_CITATION_v3_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"/>
          <w:id w:val="-1384238978"/>
          <w:placeholder>
            <w:docPart w:val="7D6BD838B09140DB95C76C4C62C5025F"/>
          </w:placeholder>
        </w:sdtPr>
        <w:sdtContent>
          <w:r w:rsidR="001E7ECF" w:rsidRPr="001E7ECF">
            <w:rPr>
              <w:rFonts w:cs="Times New Roman"/>
              <w:color w:val="000000"/>
            </w:rPr>
            <w:t>[151]</w:t>
          </w:r>
        </w:sdtContent>
      </w:sdt>
      <w:r w:rsidRPr="00322E56">
        <w:rPr>
          <w:rFonts w:cs="Times New Roman"/>
        </w:rPr>
        <w:t xml:space="preserve"> reported cost savings of 35% using ice storage coupled with a chiller for commercial office buildings in the United States. The simulation-based study used EnergyPlus, and a demand tariff was used to shift the peak load. </w:t>
      </w:r>
    </w:p>
    <w:p w14:paraId="5FA39437" w14:textId="2D8ED59E" w:rsidR="00B17E5F" w:rsidRPr="00322E56" w:rsidRDefault="00B17E5F" w:rsidP="00427289">
      <w:pPr>
        <w:rPr>
          <w:rFonts w:cs="Times New Roman"/>
        </w:rPr>
      </w:pPr>
      <w:r w:rsidRPr="00322E56">
        <w:rPr>
          <w:rFonts w:cs="Times New Roman"/>
        </w:rPr>
        <w:br w:type="page"/>
      </w:r>
    </w:p>
    <w:p w14:paraId="2179E9E8" w14:textId="77777777" w:rsidR="00B17E5F" w:rsidRPr="00322E56" w:rsidRDefault="00B17E5F" w:rsidP="00DF64D1">
      <w:pPr>
        <w:keepNext/>
        <w:jc w:val="center"/>
        <w:rPr>
          <w:rFonts w:cs="Times New Roman"/>
        </w:rPr>
      </w:pPr>
      <w:r w:rsidRPr="00322E56">
        <w:rPr>
          <w:rFonts w:cs="Times New Roman"/>
          <w:noProof/>
        </w:rPr>
        <w:lastRenderedPageBreak/>
        <w:drawing>
          <wp:inline distT="0" distB="0" distL="0" distR="0" wp14:anchorId="2D5F77C0" wp14:editId="4281D006">
            <wp:extent cx="5029200" cy="2845582"/>
            <wp:effectExtent l="0" t="0" r="0" b="0"/>
            <wp:docPr id="35" name="Graphic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5029200" cy="2845582"/>
                    </a:xfrm>
                    <a:prstGeom prst="rect">
                      <a:avLst/>
                    </a:prstGeom>
                  </pic:spPr>
                </pic:pic>
              </a:graphicData>
            </a:graphic>
          </wp:inline>
        </w:drawing>
      </w:r>
    </w:p>
    <w:p w14:paraId="5D0F40A5" w14:textId="7BB186B5" w:rsidR="00B17E5F" w:rsidRPr="00322E56" w:rsidRDefault="00B17E5F" w:rsidP="00DF64D1">
      <w:pPr>
        <w:pStyle w:val="Caption"/>
        <w:jc w:val="center"/>
        <w:rPr>
          <w:rFonts w:cs="Times New Roman"/>
        </w:rPr>
      </w:pPr>
      <w:bookmarkStart w:id="91" w:name="_Toc140403877"/>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11</w:t>
      </w:r>
      <w:r w:rsidRPr="00322E56">
        <w:rPr>
          <w:rFonts w:cs="Times New Roman"/>
        </w:rPr>
        <w:fldChar w:fldCharType="end"/>
      </w:r>
      <w:r w:rsidRPr="00322E56">
        <w:rPr>
          <w:rFonts w:cs="Times New Roman"/>
        </w:rPr>
        <w:t>: Active HP-TES and utility cost savings in literature.</w:t>
      </w:r>
      <w:bookmarkEnd w:id="91"/>
    </w:p>
    <w:p w14:paraId="2D2FF234" w14:textId="77777777" w:rsidR="00B17E5F" w:rsidRPr="00322E56" w:rsidRDefault="00B17E5F">
      <w:pPr>
        <w:spacing w:line="240" w:lineRule="auto"/>
        <w:rPr>
          <w:rFonts w:cs="Times New Roman"/>
        </w:rPr>
      </w:pPr>
      <w:r w:rsidRPr="00322E56">
        <w:rPr>
          <w:rFonts w:cs="Times New Roman"/>
        </w:rPr>
        <w:br w:type="page"/>
      </w:r>
    </w:p>
    <w:p w14:paraId="4E7531C9" w14:textId="082961D7" w:rsidR="00D408AD" w:rsidRDefault="00D408AD" w:rsidP="00D408AD">
      <w:pPr>
        <w:rPr>
          <w:rFonts w:cs="Times New Roman"/>
        </w:rPr>
      </w:pPr>
      <w:r w:rsidRPr="00322E56">
        <w:rPr>
          <w:rFonts w:cs="Times New Roman"/>
        </w:rPr>
        <w:lastRenderedPageBreak/>
        <w:t>All other HP-TES systems that have been studied are residential systems coupled with an HP via a return or supply air duct. Cost savings are 10%–15% for a phase change temperature range within 5</w:t>
      </w:r>
      <w:r w:rsidRPr="00322E56">
        <w:rPr>
          <w:rFonts w:cs="Times New Roman"/>
          <w:color w:val="0D0D0D" w:themeColor="text1" w:themeTint="F2"/>
        </w:rPr>
        <w:t>°C</w:t>
      </w:r>
      <w:r w:rsidRPr="00322E56">
        <w:rPr>
          <w:rFonts w:cs="Times New Roman"/>
        </w:rPr>
        <w:t>–10</w:t>
      </w:r>
      <w:r w:rsidRPr="00322E56">
        <w:rPr>
          <w:rFonts w:cs="Times New Roman"/>
          <w:color w:val="0D0D0D" w:themeColor="text1" w:themeTint="F2"/>
        </w:rPr>
        <w:t>°C</w:t>
      </w:r>
      <w:r w:rsidRPr="00322E56">
        <w:rPr>
          <w:rFonts w:cs="Times New Roman"/>
        </w:rPr>
        <w:t xml:space="preserve"> of room temperature. </w:t>
      </w:r>
    </w:p>
    <w:p w14:paraId="45E9B83D" w14:textId="5028F614" w:rsidR="00A23FAB" w:rsidRPr="00322E56" w:rsidRDefault="00A23FAB" w:rsidP="00A23FAB">
      <w:pPr>
        <w:rPr>
          <w:rFonts w:cs="Times New Roman"/>
        </w:rPr>
      </w:pPr>
      <w:r w:rsidRPr="00322E56">
        <w:rPr>
          <w:rFonts w:cs="Times New Roman"/>
        </w:rPr>
        <w:t xml:space="preserve">Most of the investigated active TES systems that reported cost savings were for cooling only. Hlanze et al. </w:t>
      </w:r>
      <w:sdt>
        <w:sdtPr>
          <w:rPr>
            <w:rFonts w:cs="Times New Roman"/>
            <w:color w:val="000000"/>
            <w:shd w:val="clear" w:color="auto" w:fill="E6E6E6"/>
          </w:rPr>
          <w:tag w:val="MENDELEY_CITATION_v3_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"/>
          <w:id w:val="-1051853729"/>
          <w:placeholder>
            <w:docPart w:val="0891849A4790B340B8760E3A70F753EA"/>
          </w:placeholder>
        </w:sdtPr>
        <w:sdtContent>
          <w:r w:rsidRPr="001E7ECF">
            <w:rPr>
              <w:rFonts w:cs="Times New Roman"/>
              <w:color w:val="000000"/>
            </w:rPr>
            <w:t>[38]</w:t>
          </w:r>
        </w:sdtContent>
      </w:sdt>
      <w:r w:rsidRPr="00322E56">
        <w:rPr>
          <w:rFonts w:cs="Times New Roman"/>
        </w:rPr>
        <w:t xml:space="preserve"> investigated different US climates and reported 12.3% cost savings for El Paso, Texas, and 9.6% for Miami, Florida. Mazo et al. </w:t>
      </w:r>
      <w:sdt>
        <w:sdtPr>
          <w:rPr>
            <w:rFonts w:cs="Times New Roman"/>
            <w:color w:val="000000"/>
            <w:shd w:val="clear" w:color="auto" w:fill="E6E6E6"/>
          </w:rPr>
          <w:tag w:val="MENDELEY_CITATION_v3_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"/>
          <w:id w:val="623890863"/>
          <w:placeholder>
            <w:docPart w:val="BED181A93196A64E928139BE88A08185"/>
          </w:placeholder>
        </w:sdtPr>
        <w:sdtContent>
          <w:r w:rsidRPr="001E7ECF">
            <w:rPr>
              <w:rFonts w:cs="Times New Roman"/>
              <w:color w:val="000000"/>
            </w:rPr>
            <w:t>[46]</w:t>
          </w:r>
        </w:sdtContent>
      </w:sdt>
      <w:r w:rsidRPr="00322E56">
        <w:rPr>
          <w:rFonts w:cs="Times New Roman"/>
        </w:rPr>
        <w:t xml:space="preserve"> and Hu et al. </w:t>
      </w:r>
      <w:sdt>
        <w:sdtPr>
          <w:rPr>
            <w:rFonts w:cs="Times New Roman"/>
            <w:color w:val="000000"/>
            <w:shd w:val="clear" w:color="auto" w:fill="E6E6E6"/>
          </w:rPr>
          <w:tag w:val="MENDELEY_CITATION_v3_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"/>
          <w:id w:val="-1464738112"/>
          <w:placeholder>
            <w:docPart w:val="BED181A93196A64E928139BE88A08185"/>
          </w:placeholder>
        </w:sdtPr>
        <w:sdtContent>
          <w:r w:rsidRPr="001E7ECF">
            <w:rPr>
              <w:rFonts w:cs="Times New Roman"/>
              <w:color w:val="000000"/>
            </w:rPr>
            <w:t>[156]</w:t>
          </w:r>
        </w:sdtContent>
      </w:sdt>
      <w:r w:rsidRPr="00322E56">
        <w:rPr>
          <w:rFonts w:cs="Times New Roman"/>
        </w:rPr>
        <w:t xml:space="preserve"> used heating-only systems and were the only two studies that used a salt hydrate PCM.</w:t>
      </w:r>
    </w:p>
    <w:p w14:paraId="06F37C06" w14:textId="324DCFA2" w:rsidR="00A23FAB" w:rsidRDefault="00A23FAB" w:rsidP="00A23FAB">
      <w:pPr>
        <w:rPr>
          <w:rFonts w:cs="Times New Roman"/>
        </w:rPr>
      </w:pPr>
      <w:r w:rsidRPr="00322E56">
        <w:rPr>
          <w:rFonts w:cs="Times New Roman"/>
        </w:rPr>
        <w:t xml:space="preserve">Maximum savings were reported by </w:t>
      </w:r>
      <w:bookmarkStart w:id="92" w:name="_Hlk125474916"/>
      <w:r w:rsidRPr="00322E56">
        <w:rPr>
          <w:rFonts w:cs="Times New Roman"/>
        </w:rPr>
        <w:t>Gholamibozanjani et al.</w:t>
      </w:r>
      <w:bookmarkEnd w:id="92"/>
      <w:r w:rsidRPr="00322E56">
        <w:rPr>
          <w:rFonts w:cs="Times New Roman"/>
        </w:rPr>
        <w:t xml:space="preserve"> </w:t>
      </w:r>
      <w:sdt>
        <w:sdtPr>
          <w:rPr>
            <w:rFonts w:cs="Times New Roman"/>
          </w:rPr>
          <w:tag w:val="MENDELEY_CITATION_v3_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"/>
          <w:id w:val="-870680784"/>
          <w:placeholder>
            <w:docPart w:val="BED181A93196A64E928139BE88A08185"/>
          </w:placeholder>
        </w:sdtPr>
        <w:sdtContent>
          <w:r w:rsidRPr="00A23FAB">
            <w:rPr>
              <w:rFonts w:cs="Times New Roman"/>
            </w:rPr>
            <w:t>[37]</w:t>
          </w:r>
        </w:sdtContent>
      </w:sdt>
      <w:r w:rsidRPr="00322E56">
        <w:rPr>
          <w:rFonts w:cs="Times New Roman"/>
        </w:rPr>
        <w:t xml:space="preserve"> for a hybrid system designed for office buildings in Auckland, New Zealand. Both heating and cooling systems were experimentally investigated, and price-based controls were used for peak load shifting. A solar heater was coupled with an active PCM storage unit for charging, TES was used to provide heating, and a split A/C unit was used to cool the PCMs installed in the supply air loop. In total, 65% cost savings were achieved during winter and 42% during summer.</w:t>
      </w:r>
    </w:p>
    <w:p w14:paraId="236B7CD3" w14:textId="5BA5E949" w:rsidR="00B17E5F" w:rsidRPr="00322E56" w:rsidRDefault="00B17E5F" w:rsidP="00A34A90">
      <w:pPr>
        <w:pStyle w:val="Heading3"/>
        <w:rPr>
          <w:rFonts w:cs="Times New Roman"/>
        </w:rPr>
      </w:pPr>
      <w:bookmarkStart w:id="93" w:name="_Toc140399833"/>
      <w:r w:rsidRPr="00322E56">
        <w:rPr>
          <w:rFonts w:cs="Times New Roman"/>
        </w:rPr>
        <w:t>Energy Savings</w:t>
      </w:r>
      <w:bookmarkEnd w:id="93"/>
    </w:p>
    <w:p w14:paraId="6DA06C83" w14:textId="77777777" w:rsidR="00B17E5F" w:rsidRPr="00322E56" w:rsidRDefault="00B17E5F" w:rsidP="00A34A90">
      <w:pPr>
        <w:rPr>
          <w:rFonts w:cs="Times New Roman"/>
        </w:rPr>
      </w:pPr>
      <w:r w:rsidRPr="00322E56">
        <w:rPr>
          <w:rFonts w:cs="Times New Roman"/>
        </w:rPr>
        <w:t>Figure 12 shows the percent energy savings and phase change temperatures for HP-TES configurations. No correlation was found between savings and phase change temperature, but besides depending on TES type, configuration, and size, energy savings highly depend on climate and on space heating or cooling application. Most systems reported low energy savings compared with cost and demand savings because energy consumption is not a function of the utility tariff or demand charges. PCMs can sometimes use more energy during off-peak hours.</w:t>
      </w:r>
    </w:p>
    <w:p w14:paraId="3E6FD0D4" w14:textId="7976790A" w:rsidR="00B17E5F" w:rsidRPr="00322E56" w:rsidRDefault="00B17E5F" w:rsidP="00A34A90">
      <w:pPr>
        <w:rPr>
          <w:rFonts w:cs="Times New Roman"/>
        </w:rPr>
      </w:pPr>
      <w:r w:rsidRPr="00322E56">
        <w:rPr>
          <w:rFonts w:cs="Times New Roman"/>
        </w:rPr>
        <w:t xml:space="preserve">Maximum savings were reported by Maccarini et al. </w:t>
      </w:r>
      <w:sdt>
        <w:sdtPr>
          <w:rPr>
            <w:rFonts w:cs="Times New Roman"/>
            <w:color w:val="000000"/>
            <w:shd w:val="clear" w:color="auto" w:fill="E6E6E6"/>
          </w:rPr>
          <w:tag w:val="MENDELEY_CITATION_v3_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"/>
          <w:id w:val="1659269860"/>
          <w:placeholder>
            <w:docPart w:val="B1AD3CA9559B4D20A1D2C0B67E4DE5D0"/>
          </w:placeholder>
        </w:sdtPr>
        <w:sdtContent>
          <w:r w:rsidR="001E7ECF" w:rsidRPr="001E7ECF">
            <w:rPr>
              <w:rFonts w:cs="Times New Roman"/>
              <w:color w:val="000000"/>
            </w:rPr>
            <w:t>[45]</w:t>
          </w:r>
        </w:sdtContent>
      </w:sdt>
      <w:r w:rsidRPr="00322E56">
        <w:rPr>
          <w:rFonts w:cs="Times New Roman"/>
        </w:rPr>
        <w:t xml:space="preserve"> for a multizone hybrid system in a large office building in Copenhagen, Denmark. District heating and cooling through a thermal plant was considered the baseline compared against three systems: an air-to-water HP, an HP with a dry cooler, and an HP with a PCM HX. </w:t>
      </w:r>
    </w:p>
    <w:p w14:paraId="3CEDD5DD" w14:textId="309B80A4" w:rsidR="00B17E5F" w:rsidRPr="00322E56" w:rsidRDefault="00B17E5F" w:rsidP="00AF10A4">
      <w:pPr>
        <w:spacing w:line="240" w:lineRule="auto"/>
        <w:ind w:firstLine="0"/>
        <w:rPr>
          <w:rFonts w:cs="Times New Roman"/>
        </w:rPr>
      </w:pPr>
    </w:p>
    <w:p w14:paraId="0B324C2A" w14:textId="77777777" w:rsidR="00B17E5F" w:rsidRPr="00322E56" w:rsidRDefault="00B17E5F" w:rsidP="00DF64D1">
      <w:pPr>
        <w:keepNext/>
        <w:jc w:val="center"/>
        <w:rPr>
          <w:rFonts w:cs="Times New Roman"/>
        </w:rPr>
      </w:pPr>
      <w:r w:rsidRPr="00322E56">
        <w:rPr>
          <w:rFonts w:cs="Times New Roman"/>
          <w:noProof/>
        </w:rPr>
        <w:drawing>
          <wp:inline distT="0" distB="0" distL="0" distR="0" wp14:anchorId="091656C4" wp14:editId="390B55DA">
            <wp:extent cx="5029200" cy="2783254"/>
            <wp:effectExtent l="0" t="0" r="0" b="0"/>
            <wp:docPr id="34" name="Graphic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5029200" cy="2783254"/>
                    </a:xfrm>
                    <a:prstGeom prst="rect">
                      <a:avLst/>
                    </a:prstGeom>
                  </pic:spPr>
                </pic:pic>
              </a:graphicData>
            </a:graphic>
          </wp:inline>
        </w:drawing>
      </w:r>
    </w:p>
    <w:p w14:paraId="23A0A8AC" w14:textId="1E75C8ED" w:rsidR="00B17E5F" w:rsidRPr="00322E56" w:rsidRDefault="00B17E5F" w:rsidP="00DF64D1">
      <w:pPr>
        <w:pStyle w:val="Caption"/>
        <w:jc w:val="center"/>
        <w:rPr>
          <w:rFonts w:cs="Times New Roman"/>
        </w:rPr>
      </w:pPr>
      <w:bookmarkStart w:id="94" w:name="_Toc140403878"/>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12</w:t>
      </w:r>
      <w:r w:rsidRPr="00322E56">
        <w:rPr>
          <w:rFonts w:cs="Times New Roman"/>
        </w:rPr>
        <w:fldChar w:fldCharType="end"/>
      </w:r>
      <w:r w:rsidRPr="00322E56">
        <w:rPr>
          <w:rFonts w:cs="Times New Roman"/>
        </w:rPr>
        <w:t>: Active HP-TES and energy savings in literature.</w:t>
      </w:r>
      <w:bookmarkEnd w:id="94"/>
    </w:p>
    <w:p w14:paraId="657397EA" w14:textId="77777777" w:rsidR="00B17E5F" w:rsidRPr="00322E56" w:rsidRDefault="00B17E5F">
      <w:pPr>
        <w:spacing w:line="240" w:lineRule="auto"/>
        <w:rPr>
          <w:rFonts w:cs="Times New Roman"/>
        </w:rPr>
      </w:pPr>
      <w:r w:rsidRPr="00322E56">
        <w:rPr>
          <w:rFonts w:cs="Times New Roman"/>
        </w:rPr>
        <w:br w:type="page"/>
      </w:r>
    </w:p>
    <w:p w14:paraId="33881D59" w14:textId="07DAB401" w:rsidR="00D408AD" w:rsidRDefault="00D408AD" w:rsidP="00D408AD">
      <w:pPr>
        <w:ind w:firstLine="0"/>
        <w:rPr>
          <w:rFonts w:cs="Times New Roman"/>
        </w:rPr>
      </w:pPr>
      <w:r w:rsidRPr="00322E56">
        <w:rPr>
          <w:rFonts w:cs="Times New Roman"/>
        </w:rPr>
        <w:lastRenderedPageBreak/>
        <w:t>PCMs were installed in a return water loop and charged during the night using forced air convection with ambient cold air. In total, 67% energy savings were reported using PCMs.</w:t>
      </w:r>
    </w:p>
    <w:p w14:paraId="504CA441" w14:textId="510E7AC1" w:rsidR="00AF10A4" w:rsidRPr="00322E56" w:rsidRDefault="00AF10A4" w:rsidP="00AF10A4">
      <w:pPr>
        <w:rPr>
          <w:rFonts w:cs="Times New Roman"/>
        </w:rPr>
      </w:pPr>
      <w:r w:rsidRPr="00322E56">
        <w:rPr>
          <w:rFonts w:cs="Times New Roman"/>
        </w:rPr>
        <w:t xml:space="preserve">Gholamibozanjani et al. </w:t>
      </w:r>
      <w:sdt>
        <w:sdtPr>
          <w:rPr>
            <w:rFonts w:cs="Times New Roman"/>
            <w:color w:val="000000"/>
            <w:shd w:val="clear" w:color="auto" w:fill="E6E6E6"/>
          </w:rPr>
          <w:tag w:val="MENDELEY_CITATION_v3_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"/>
          <w:id w:val="1232888236"/>
          <w:placeholder>
            <w:docPart w:val="CC92B3F1F42A9F4B9EC75BFEC94F0939"/>
          </w:placeholder>
        </w:sdtPr>
        <w:sdtContent>
          <w:r w:rsidRPr="001E7ECF">
            <w:rPr>
              <w:rFonts w:cs="Times New Roman"/>
              <w:color w:val="000000"/>
            </w:rPr>
            <w:t>[157]</w:t>
          </w:r>
        </w:sdtContent>
      </w:sdt>
      <w:r w:rsidRPr="00322E56">
        <w:rPr>
          <w:rFonts w:cs="Times New Roman"/>
        </w:rPr>
        <w:t xml:space="preserve"> and Gholamibozanjani et al. </w:t>
      </w:r>
      <w:sdt>
        <w:sdtPr>
          <w:rPr>
            <w:rFonts w:cs="Times New Roman"/>
            <w:color w:val="000000"/>
            <w:shd w:val="clear" w:color="auto" w:fill="E6E6E6"/>
          </w:rPr>
          <w:tag w:val="MENDELEY_CITATION_v3_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"/>
          <w:id w:val="-431278976"/>
          <w:placeholder>
            <w:docPart w:val="9610EFE1C76DEE4C8164C03D6F7E3110"/>
          </w:placeholder>
        </w:sdtPr>
        <w:sdtContent>
          <w:r w:rsidRPr="001E7ECF">
            <w:rPr>
              <w:rFonts w:cs="Times New Roman"/>
              <w:color w:val="000000"/>
            </w:rPr>
            <w:t>[37]</w:t>
          </w:r>
        </w:sdtContent>
      </w:sdt>
      <w:r w:rsidRPr="00322E56">
        <w:rPr>
          <w:rFonts w:cs="Times New Roman"/>
        </w:rPr>
        <w:t xml:space="preserve"> performed experiments for a commercial building in Auckland, New Zealand, using a paraffin PCM with a phase change temperature between 22</w:t>
      </w:r>
      <w:r w:rsidRPr="00322E56">
        <w:rPr>
          <w:rFonts w:cs="Times New Roman"/>
          <w:color w:val="0D0D0D" w:themeColor="text1" w:themeTint="F2"/>
        </w:rPr>
        <w:t>°C</w:t>
      </w:r>
      <w:r w:rsidRPr="00322E56">
        <w:rPr>
          <w:rFonts w:cs="Times New Roman"/>
        </w:rPr>
        <w:t xml:space="preserve"> and 26</w:t>
      </w:r>
      <w:r w:rsidRPr="00322E56">
        <w:rPr>
          <w:rFonts w:cs="Times New Roman"/>
          <w:color w:val="0D0D0D" w:themeColor="text1" w:themeTint="F2"/>
        </w:rPr>
        <w:t>°C</w:t>
      </w:r>
      <w:r w:rsidRPr="00322E56">
        <w:rPr>
          <w:rFonts w:cs="Times New Roman"/>
        </w:rPr>
        <w:t xml:space="preserve"> for both heating and cooling. It was a hybrid system with PCMs in a return air loop coupled with a solar heater in the heating mode and a split A/C unit in the cooling mode. The authors reported 23%–30% energy savings during summer and 40%–47% during winter.</w:t>
      </w:r>
    </w:p>
    <w:p w14:paraId="274635CB" w14:textId="77777777" w:rsidR="00AF10A4" w:rsidRPr="00322E56" w:rsidRDefault="00AF10A4" w:rsidP="00AF10A4">
      <w:pPr>
        <w:rPr>
          <w:rFonts w:cs="Times New Roman"/>
        </w:rPr>
      </w:pPr>
      <w:r w:rsidRPr="00322E56">
        <w:rPr>
          <w:rFonts w:cs="Times New Roman"/>
        </w:rPr>
        <w:t xml:space="preserve">Mazo et al. </w:t>
      </w:r>
      <w:sdt>
        <w:sdtPr>
          <w:rPr>
            <w:rFonts w:cs="Times New Roman"/>
            <w:color w:val="000000"/>
            <w:shd w:val="clear" w:color="auto" w:fill="E6E6E6"/>
          </w:rPr>
          <w:tag w:val="MENDELEY_CITATION_v3_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"/>
          <w:id w:val="233437048"/>
          <w:placeholder>
            <w:docPart w:val="D116837E37487E408433BA5B0B91A233"/>
          </w:placeholder>
        </w:sdtPr>
        <w:sdtContent>
          <w:r w:rsidRPr="001E7ECF">
            <w:rPr>
              <w:rFonts w:cs="Times New Roman"/>
              <w:color w:val="000000"/>
            </w:rPr>
            <w:t>[46]</w:t>
          </w:r>
        </w:sdtContent>
      </w:sdt>
      <w:r w:rsidRPr="00322E56">
        <w:rPr>
          <w:rFonts w:cs="Times New Roman"/>
        </w:rPr>
        <w:t xml:space="preserve"> reported minimal savings for a radiant floor heating system in Spain. PCMs stored heat at night from the HP. Although they reduced cost using a utility tariff and shifted 1 h of peak load, only 0.76% energy savings were reported. </w:t>
      </w:r>
    </w:p>
    <w:p w14:paraId="3A6BB006" w14:textId="1F343329" w:rsidR="00AF10A4" w:rsidRDefault="00AF10A4" w:rsidP="00AF10A4">
      <w:pPr>
        <w:rPr>
          <w:rFonts w:cs="Times New Roman"/>
        </w:rPr>
      </w:pPr>
      <w:r w:rsidRPr="00322E56">
        <w:rPr>
          <w:rFonts w:cs="Times New Roman"/>
        </w:rPr>
        <w:t>Other PCMs (shown in Figure 10) with a phase change temperature of 18</w:t>
      </w:r>
      <w:r w:rsidRPr="00322E56">
        <w:rPr>
          <w:rFonts w:cs="Times New Roman"/>
          <w:color w:val="0D0D0D" w:themeColor="text1" w:themeTint="F2"/>
        </w:rPr>
        <w:t>°C</w:t>
      </w:r>
      <w:r w:rsidRPr="00322E56">
        <w:rPr>
          <w:rFonts w:cs="Times New Roman"/>
        </w:rPr>
        <w:t>–26</w:t>
      </w:r>
      <w:r w:rsidRPr="00322E56">
        <w:rPr>
          <w:rFonts w:cs="Times New Roman"/>
          <w:color w:val="0D0D0D" w:themeColor="text1" w:themeTint="F2"/>
        </w:rPr>
        <w:t>°C</w:t>
      </w:r>
      <w:r w:rsidRPr="00322E56">
        <w:rPr>
          <w:rFonts w:cs="Times New Roman"/>
        </w:rPr>
        <w:t xml:space="preserve"> had energy savings of 10%–30% and were integrated via an air distribution configuration.</w:t>
      </w:r>
    </w:p>
    <w:p w14:paraId="1E97C626" w14:textId="491B612C" w:rsidR="00B17E5F" w:rsidRPr="00322E56" w:rsidRDefault="00B17E5F" w:rsidP="00F7053F">
      <w:pPr>
        <w:rPr>
          <w:rFonts w:cs="Times New Roman"/>
        </w:rPr>
      </w:pPr>
      <w:r w:rsidRPr="00322E56">
        <w:rPr>
          <w:rFonts w:cs="Times New Roman"/>
        </w:rPr>
        <w:t xml:space="preserve">Ice storage systems had energy savings of 7%–15% and were coupled with a vapor compression cycle </w:t>
      </w:r>
      <w:sdt>
        <w:sdtPr>
          <w:rPr>
            <w:rFonts w:cs="Times New Roman"/>
            <w:color w:val="000000"/>
          </w:rPr>
          <w:tag w:val="MENDELEY_CITATION_v3_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"/>
          <w:id w:val="785007798"/>
          <w:placeholder>
            <w:docPart w:val="88454713319F4DE4B02AC5767196E743"/>
          </w:placeholder>
        </w:sdtPr>
        <w:sdtContent>
          <w:r w:rsidR="001E7ECF" w:rsidRPr="001E7ECF">
            <w:rPr>
              <w:rFonts w:cs="Times New Roman"/>
              <w:color w:val="000000"/>
            </w:rPr>
            <w:t>[39], [154]</w:t>
          </w:r>
        </w:sdtContent>
      </w:sdt>
      <w:r w:rsidRPr="00322E56">
        <w:rPr>
          <w:rFonts w:cs="Times New Roman"/>
        </w:rPr>
        <w:t xml:space="preserve">. Ling et al. </w:t>
      </w:r>
      <w:sdt>
        <w:sdtPr>
          <w:rPr>
            <w:rFonts w:cs="Times New Roman"/>
            <w:color w:val="000000"/>
            <w:shd w:val="clear" w:color="auto" w:fill="E6E6E6"/>
          </w:rPr>
          <w:tag w:val="MENDELEY_CITATION_v3_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"/>
          <w:id w:val="-1410467900"/>
          <w:placeholder>
            <w:docPart w:val="7F61A051B20C47B9A7F4730977DAF6DB"/>
          </w:placeholder>
        </w:sdtPr>
        <w:sdtContent>
          <w:r w:rsidR="001E7ECF" w:rsidRPr="001E7ECF">
            <w:rPr>
              <w:rFonts w:cs="Times New Roman"/>
              <w:color w:val="000000"/>
            </w:rPr>
            <w:t>[39]</w:t>
          </w:r>
        </w:sdtContent>
      </w:sdt>
      <w:r w:rsidRPr="00322E56">
        <w:rPr>
          <w:rFonts w:cs="Times New Roman"/>
        </w:rPr>
        <w:t xml:space="preserve"> investigated office and mid-rise apartment buildings and reported 7% energy savings for Chicago and 11% for San Francisco. Sultan et al. </w:t>
      </w:r>
      <w:sdt>
        <w:sdtPr>
          <w:rPr>
            <w:rFonts w:cs="Times New Roman"/>
            <w:color w:val="000000"/>
            <w:shd w:val="clear" w:color="auto" w:fill="E6E6E6"/>
          </w:rPr>
          <w:tag w:val="MENDELEY_CITATION_v3_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"/>
          <w:id w:val="19672962"/>
          <w:placeholder>
            <w:docPart w:val="EDDA52105C3B40059962DDFD2B2A0533"/>
          </w:placeholder>
        </w:sdtPr>
        <w:sdtContent>
          <w:r w:rsidR="001E7ECF" w:rsidRPr="001E7ECF">
            <w:rPr>
              <w:rFonts w:cs="Times New Roman"/>
              <w:color w:val="000000"/>
            </w:rPr>
            <w:t>[154]</w:t>
          </w:r>
        </w:sdtContent>
      </w:sdt>
      <w:r w:rsidRPr="00322E56">
        <w:rPr>
          <w:rFonts w:cs="Times New Roman"/>
        </w:rPr>
        <w:t xml:space="preserve"> reported 14.5% savings for residential ice storage in California. The savings were driven by diurnal temperature change.</w:t>
      </w:r>
    </w:p>
    <w:p w14:paraId="3F9966FD" w14:textId="77777777" w:rsidR="00B17E5F" w:rsidRPr="00322E56" w:rsidRDefault="00B17E5F" w:rsidP="00F7053F">
      <w:pPr>
        <w:pStyle w:val="Heading3"/>
        <w:rPr>
          <w:rFonts w:cs="Times New Roman"/>
        </w:rPr>
      </w:pPr>
      <w:bookmarkStart w:id="95" w:name="_Toc140399834"/>
      <w:r w:rsidRPr="00322E56">
        <w:rPr>
          <w:rFonts w:cs="Times New Roman"/>
        </w:rPr>
        <w:t>Demand Impact</w:t>
      </w:r>
      <w:bookmarkEnd w:id="95"/>
    </w:p>
    <w:p w14:paraId="7B10C0D0" w14:textId="77777777" w:rsidR="00B17E5F" w:rsidRPr="00322E56" w:rsidRDefault="00B17E5F" w:rsidP="00F7053F">
      <w:pPr>
        <w:rPr>
          <w:rFonts w:cs="Times New Roman"/>
        </w:rPr>
      </w:pPr>
      <w:r w:rsidRPr="00322E56">
        <w:rPr>
          <w:rFonts w:cs="Times New Roman"/>
        </w:rPr>
        <w:t>Figure 13 shows the demand impact of various active HP-TES configurations. Demand impact is the percentage of heating or cooling demand reduced or percentage of peak load shifted.</w:t>
      </w:r>
    </w:p>
    <w:p w14:paraId="4CC1E1A6" w14:textId="77777777" w:rsidR="00B17E5F" w:rsidRPr="00322E56" w:rsidRDefault="00B17E5F" w:rsidP="00811B7C">
      <w:pPr>
        <w:rPr>
          <w:rFonts w:cs="Times New Roman"/>
        </w:rPr>
      </w:pPr>
      <w:r w:rsidRPr="00322E56">
        <w:rPr>
          <w:rFonts w:cs="Times New Roman"/>
        </w:rPr>
        <w:t xml:space="preserve">Most studies of the active HP-TES systems that reported demand impact investigated a cooling system, which shows that cooling demand dominates in centrally air-conditioned residential homes. Other factors that influence the demand impact are system size and configuration, demand charges and utility tariff, and climate conditions. </w:t>
      </w:r>
    </w:p>
    <w:p w14:paraId="0C3012E7" w14:textId="6C384794" w:rsidR="00B17E5F" w:rsidRPr="00322E56" w:rsidRDefault="00B17E5F" w:rsidP="00D408AD">
      <w:pPr>
        <w:spacing w:line="240" w:lineRule="auto"/>
        <w:ind w:firstLine="0"/>
        <w:rPr>
          <w:rFonts w:cs="Times New Roman"/>
        </w:rPr>
      </w:pPr>
    </w:p>
    <w:p w14:paraId="2B51E117" w14:textId="77777777" w:rsidR="00B17E5F" w:rsidRPr="00322E56" w:rsidRDefault="00B17E5F" w:rsidP="00DF64D1">
      <w:pPr>
        <w:keepNext/>
        <w:jc w:val="center"/>
        <w:rPr>
          <w:rFonts w:cs="Times New Roman"/>
        </w:rPr>
      </w:pPr>
      <w:r w:rsidRPr="00322E56">
        <w:rPr>
          <w:rFonts w:cs="Times New Roman"/>
          <w:noProof/>
        </w:rPr>
        <w:drawing>
          <wp:inline distT="0" distB="0" distL="0" distR="0" wp14:anchorId="02E94BF7" wp14:editId="4B13E5F2">
            <wp:extent cx="5029200" cy="2795073"/>
            <wp:effectExtent l="0" t="0" r="0" b="0"/>
            <wp:docPr id="33" name="Graphic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5029200" cy="2795073"/>
                    </a:xfrm>
                    <a:prstGeom prst="rect">
                      <a:avLst/>
                    </a:prstGeom>
                  </pic:spPr>
                </pic:pic>
              </a:graphicData>
            </a:graphic>
          </wp:inline>
        </w:drawing>
      </w:r>
    </w:p>
    <w:p w14:paraId="7F34F988" w14:textId="021B3952" w:rsidR="00B17E5F" w:rsidRPr="00322E56" w:rsidRDefault="00B17E5F" w:rsidP="00DF64D1">
      <w:pPr>
        <w:pStyle w:val="Caption"/>
        <w:jc w:val="center"/>
        <w:rPr>
          <w:rFonts w:cs="Times New Roman"/>
        </w:rPr>
      </w:pPr>
      <w:bookmarkStart w:id="96" w:name="_Toc140403879"/>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13</w:t>
      </w:r>
      <w:r w:rsidRPr="00322E56">
        <w:rPr>
          <w:rFonts w:cs="Times New Roman"/>
        </w:rPr>
        <w:fldChar w:fldCharType="end"/>
      </w:r>
      <w:r w:rsidRPr="00322E56">
        <w:rPr>
          <w:rFonts w:cs="Times New Roman"/>
        </w:rPr>
        <w:t>: Active HP-TES and demand impact in literature.</w:t>
      </w:r>
      <w:bookmarkEnd w:id="96"/>
    </w:p>
    <w:p w14:paraId="2E55CFDE" w14:textId="77777777" w:rsidR="00B17E5F" w:rsidRPr="00322E56" w:rsidRDefault="00B17E5F">
      <w:pPr>
        <w:spacing w:line="240" w:lineRule="auto"/>
        <w:rPr>
          <w:rFonts w:cs="Times New Roman"/>
        </w:rPr>
      </w:pPr>
      <w:r w:rsidRPr="00322E56">
        <w:rPr>
          <w:rFonts w:cs="Times New Roman"/>
        </w:rPr>
        <w:br w:type="page"/>
      </w:r>
    </w:p>
    <w:p w14:paraId="764429F0" w14:textId="77777777" w:rsidR="00AF10A4" w:rsidRPr="00322E56" w:rsidRDefault="00AF10A4" w:rsidP="00AF10A4">
      <w:pPr>
        <w:rPr>
          <w:rFonts w:cs="Times New Roman"/>
        </w:rPr>
      </w:pPr>
      <w:r w:rsidRPr="00322E56">
        <w:rPr>
          <w:rFonts w:cs="Times New Roman"/>
        </w:rPr>
        <w:lastRenderedPageBreak/>
        <w:t xml:space="preserve">Ice storage was beneficial for commercial systems and savings depending on climate, tariff, and configuration. Sehar et al. </w:t>
      </w:r>
      <w:sdt>
        <w:sdtPr>
          <w:rPr>
            <w:rFonts w:cs="Times New Roman"/>
            <w:color w:val="000000"/>
            <w:shd w:val="clear" w:color="auto" w:fill="E6E6E6"/>
          </w:rPr>
          <w:tag w:val="MENDELEY_CITATION_v3_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"/>
          <w:id w:val="1445659356"/>
          <w:placeholder>
            <w:docPart w:val="F04D110658D46A42B3F29FEED74EE13D"/>
          </w:placeholder>
        </w:sdtPr>
        <w:sdtContent>
          <w:r w:rsidRPr="001E7ECF">
            <w:rPr>
              <w:rFonts w:cs="Times New Roman"/>
              <w:color w:val="000000"/>
            </w:rPr>
            <w:t>[151]</w:t>
          </w:r>
        </w:sdtContent>
      </w:sdt>
      <w:r w:rsidRPr="00322E56">
        <w:rPr>
          <w:rFonts w:cs="Times New Roman"/>
        </w:rPr>
        <w:t xml:space="preserve"> investigated a commercial ice storage system coupled with a chiller. The chiller made ice during off-peak hours for cooling. In total, 39% peak energy was saved for Seattle, Washington, and 27% for Las Vegas, Nevada. Ling et al. </w:t>
      </w:r>
      <w:sdt>
        <w:sdtPr>
          <w:rPr>
            <w:rFonts w:cs="Times New Roman"/>
            <w:color w:val="000000"/>
            <w:shd w:val="clear" w:color="auto" w:fill="E6E6E6"/>
          </w:rPr>
          <w:tag w:val="MENDELEY_CITATION_v3_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"/>
          <w:id w:val="-409475154"/>
          <w:placeholder>
            <w:docPart w:val="F04D110658D46A42B3F29FEED74EE13D"/>
          </w:placeholder>
        </w:sdtPr>
        <w:sdtContent>
          <w:r w:rsidRPr="001E7ECF">
            <w:rPr>
              <w:rFonts w:cs="Times New Roman"/>
              <w:color w:val="000000"/>
            </w:rPr>
            <w:t>[39]</w:t>
          </w:r>
        </w:sdtContent>
      </w:sdt>
      <w:r w:rsidRPr="00322E56">
        <w:rPr>
          <w:rFonts w:cs="Times New Roman"/>
        </w:rPr>
        <w:t xml:space="preserve"> experimentally investigated slurry ice in the condenser of a personal conditioning device for office buildings and mid-rise apartments. They reported 10%–70% peak savings depending on climate zone and building type.</w:t>
      </w:r>
    </w:p>
    <w:p w14:paraId="7A56FD66" w14:textId="4030FF1A" w:rsidR="00AF10A4" w:rsidRDefault="00AF10A4" w:rsidP="00AF10A4">
      <w:pPr>
        <w:rPr>
          <w:rFonts w:cs="Times New Roman"/>
        </w:rPr>
      </w:pPr>
      <w:r w:rsidRPr="00322E56">
        <w:rPr>
          <w:rFonts w:cs="Times New Roman"/>
        </w:rPr>
        <w:t xml:space="preserve">All ice systems were integrated with a vapor compression cycle. In total, 87% of peak cooling load shifting was reported for a residential ice storage system using a TOU tariff in Fresno, California </w:t>
      </w:r>
      <w:sdt>
        <w:sdtPr>
          <w:rPr>
            <w:rFonts w:cs="Times New Roman"/>
            <w:color w:val="000000"/>
            <w:shd w:val="clear" w:color="auto" w:fill="E6E6E6"/>
          </w:rPr>
          <w:tag w:val="MENDELEY_CITATION_v3_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"/>
          <w:id w:val="744456580"/>
          <w:placeholder>
            <w:docPart w:val="F04D110658D46A42B3F29FEED74EE13D"/>
          </w:placeholder>
        </w:sdtPr>
        <w:sdtContent>
          <w:r w:rsidRPr="001E7ECF">
            <w:rPr>
              <w:rFonts w:cs="Times New Roman"/>
              <w:color w:val="000000"/>
            </w:rPr>
            <w:t>[154]</w:t>
          </w:r>
        </w:sdtContent>
      </w:sdt>
      <w:r w:rsidRPr="00322E56">
        <w:rPr>
          <w:rFonts w:cs="Times New Roman"/>
        </w:rPr>
        <w:t xml:space="preserve">. TES was used as an evaporator and condenser in charging and discharging modes, respectively. </w:t>
      </w:r>
    </w:p>
    <w:p w14:paraId="2D143C0F" w14:textId="5DE376F2" w:rsidR="00B17E5F" w:rsidRPr="00322E56" w:rsidRDefault="00B17E5F" w:rsidP="00811B7C">
      <w:pPr>
        <w:rPr>
          <w:rFonts w:cs="Times New Roman"/>
        </w:rPr>
      </w:pPr>
      <w:r w:rsidRPr="00322E56">
        <w:rPr>
          <w:rFonts w:cs="Times New Roman"/>
        </w:rPr>
        <w:t xml:space="preserve">For systems with PCM phase change temperatures between 12°C and 25°C, air distribution was a common configuration with PCMs in the supply or return air duct. Hlanze et al. </w:t>
      </w:r>
      <w:sdt>
        <w:sdtPr>
          <w:rPr>
            <w:rFonts w:cs="Times New Roman"/>
            <w:color w:val="000000"/>
            <w:shd w:val="clear" w:color="auto" w:fill="E6E6E6"/>
          </w:rPr>
          <w:tag w:val="MENDELEY_CITATION_v3_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"/>
          <w:id w:val="-1793745756"/>
          <w:placeholder>
            <w:docPart w:val="A73A6768760A4D6FAC064F875CEF1C6D"/>
          </w:placeholder>
        </w:sdtPr>
        <w:sdtContent>
          <w:r w:rsidR="001E7ECF" w:rsidRPr="001E7ECF">
            <w:rPr>
              <w:rFonts w:cs="Times New Roman"/>
              <w:color w:val="000000"/>
            </w:rPr>
            <w:t>[38]</w:t>
          </w:r>
        </w:sdtContent>
      </w:sdt>
      <w:r w:rsidRPr="00322E56">
        <w:rPr>
          <w:rFonts w:cs="Times New Roman"/>
        </w:rPr>
        <w:t xml:space="preserve"> investigated organic PCMs in a supply air duct for different climate zones in the United States. In total, a 20% peak energy savings were reported for El Paso, Texas, and 25% for Miami, Florida.</w:t>
      </w:r>
    </w:p>
    <w:p w14:paraId="7C50DF11" w14:textId="1202B3D3" w:rsidR="00B17E5F" w:rsidRPr="00322E56" w:rsidRDefault="00B17E5F" w:rsidP="00811B7C">
      <w:pPr>
        <w:rPr>
          <w:rFonts w:cs="Times New Roman"/>
        </w:rPr>
      </w:pPr>
      <w:r w:rsidRPr="00322E56">
        <w:rPr>
          <w:rFonts w:cs="Times New Roman"/>
        </w:rPr>
        <w:t xml:space="preserve">Only a few studies were experimental. Bruno et al. </w:t>
      </w:r>
      <w:sdt>
        <w:sdtPr>
          <w:rPr>
            <w:rFonts w:cs="Times New Roman"/>
            <w:color w:val="000000"/>
            <w:shd w:val="clear" w:color="auto" w:fill="E6E6E6"/>
          </w:rPr>
          <w:tag w:val="MENDELEY_CITATION_v3_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"/>
          <w:id w:val="6259085"/>
          <w:placeholder>
            <w:docPart w:val="A73A6768760A4D6FAC064F875CEF1C6D"/>
          </w:placeholder>
        </w:sdtPr>
        <w:sdtContent>
          <w:r w:rsidR="001E7ECF" w:rsidRPr="001E7ECF">
            <w:rPr>
              <w:rFonts w:cs="Times New Roman"/>
              <w:color w:val="000000"/>
            </w:rPr>
            <w:t>[42]</w:t>
          </w:r>
        </w:sdtContent>
      </w:sdt>
      <w:r w:rsidRPr="00322E56">
        <w:rPr>
          <w:rFonts w:cs="Times New Roman"/>
        </w:rPr>
        <w:t xml:space="preserve"> experimentally investigated an evaporative cooling system coupled with a chiller with salt hydrate PCMs. PCMs were cooled using a chiller during off-peak hours, and peak electricity consumption was reduced by 36.6%. Nagano et al. </w:t>
      </w:r>
      <w:sdt>
        <w:sdtPr>
          <w:rPr>
            <w:rFonts w:cs="Times New Roman"/>
            <w:color w:val="000000"/>
            <w:shd w:val="clear" w:color="auto" w:fill="E6E6E6"/>
          </w:rPr>
          <w:tag w:val="MENDELEY_CITATION_v3_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"/>
          <w:id w:val="-861283615"/>
          <w:placeholder>
            <w:docPart w:val="A73A6768760A4D6FAC064F875CEF1C6D"/>
          </w:placeholder>
        </w:sdtPr>
        <w:sdtContent>
          <w:r w:rsidR="001E7ECF" w:rsidRPr="001E7ECF">
            <w:rPr>
              <w:rFonts w:cs="Times New Roman"/>
              <w:color w:val="000000"/>
            </w:rPr>
            <w:t>[150]</w:t>
          </w:r>
        </w:sdtContent>
      </w:sdt>
      <w:r w:rsidRPr="00322E56">
        <w:rPr>
          <w:rFonts w:cs="Times New Roman"/>
        </w:rPr>
        <w:t xml:space="preserve"> reported 89% of cooling load shift for an experimental setup in Japan. Paraffin was installed in a supply air duct of an underfloor ventilation system for night cooling.</w:t>
      </w:r>
    </w:p>
    <w:p w14:paraId="458A844A" w14:textId="77777777" w:rsidR="00B17E5F" w:rsidRPr="00322E56" w:rsidRDefault="00B17E5F" w:rsidP="00811B7C">
      <w:pPr>
        <w:pStyle w:val="Heading3"/>
        <w:rPr>
          <w:rFonts w:cs="Times New Roman"/>
        </w:rPr>
      </w:pPr>
      <w:bookmarkStart w:id="97" w:name="_Toc140399835"/>
      <w:r w:rsidRPr="00322E56">
        <w:rPr>
          <w:rFonts w:cs="Times New Roman"/>
        </w:rPr>
        <w:t>Comparison of Active and Passive HP-TES</w:t>
      </w:r>
      <w:bookmarkEnd w:id="97"/>
    </w:p>
    <w:p w14:paraId="6E01E11F" w14:textId="77777777" w:rsidR="00B17E5F" w:rsidRPr="00322E56" w:rsidRDefault="00B17E5F" w:rsidP="00811B7C">
      <w:pPr>
        <w:rPr>
          <w:rFonts w:cs="Times New Roman"/>
        </w:rPr>
      </w:pPr>
      <w:r w:rsidRPr="00322E56">
        <w:rPr>
          <w:rFonts w:cs="Times New Roman"/>
        </w:rPr>
        <w:t>This section provides a comparative analysis of the payback period and peak load shifting of active and passive HP-TES in literature.</w:t>
      </w:r>
    </w:p>
    <w:p w14:paraId="59266516" w14:textId="77777777" w:rsidR="00B17E5F" w:rsidRPr="00322E56" w:rsidRDefault="00B17E5F" w:rsidP="00811B7C">
      <w:pPr>
        <w:pStyle w:val="Heading3"/>
        <w:rPr>
          <w:rFonts w:cs="Times New Roman"/>
        </w:rPr>
      </w:pPr>
      <w:bookmarkStart w:id="98" w:name="_Toc140399836"/>
      <w:r w:rsidRPr="00322E56">
        <w:rPr>
          <w:rFonts w:cs="Times New Roman"/>
        </w:rPr>
        <w:lastRenderedPageBreak/>
        <w:t>Load Shifting</w:t>
      </w:r>
      <w:bookmarkEnd w:id="98"/>
    </w:p>
    <w:p w14:paraId="3100DC87" w14:textId="77777777" w:rsidR="00B17E5F" w:rsidRPr="00322E56" w:rsidRDefault="00B17E5F" w:rsidP="00C7436A">
      <w:pPr>
        <w:rPr>
          <w:rFonts w:cs="Times New Roman"/>
        </w:rPr>
      </w:pPr>
      <w:r w:rsidRPr="00322E56">
        <w:rPr>
          <w:rFonts w:cs="Times New Roman"/>
        </w:rPr>
        <w:t>Figure 14 shows hours of peak load shifted for active and passive HP-TES. No clear trend or correlation was found between TES and load shifting, but active HP-TES systems demonstrated the highest load shifting.</w:t>
      </w:r>
    </w:p>
    <w:p w14:paraId="0918F13A" w14:textId="591E9EDF" w:rsidR="00B17E5F" w:rsidRPr="00322E56" w:rsidRDefault="00B17E5F" w:rsidP="00C7436A">
      <w:pPr>
        <w:rPr>
          <w:rFonts w:cs="Times New Roman"/>
        </w:rPr>
      </w:pPr>
      <w:r w:rsidRPr="00322E56">
        <w:rPr>
          <w:rFonts w:cs="Times New Roman"/>
        </w:rPr>
        <w:t xml:space="preserve">Barzin et al. </w:t>
      </w:r>
      <w:sdt>
        <w:sdtPr>
          <w:rPr>
            <w:rFonts w:cs="Times New Roman"/>
            <w:color w:val="000000"/>
          </w:rPr>
          <w:tag w:val="MENDELEY_CITATION_v3_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"/>
          <w:id w:val="-1586375522"/>
          <w:placeholder>
            <w:docPart w:val="A0162F104AFD4099B02A6DB84C2D64BD"/>
          </w:placeholder>
        </w:sdtPr>
        <w:sdtContent>
          <w:r w:rsidR="001E7ECF" w:rsidRPr="001E7ECF">
            <w:rPr>
              <w:rFonts w:cs="Times New Roman"/>
              <w:color w:val="000000"/>
            </w:rPr>
            <w:t>[126], [131]</w:t>
          </w:r>
        </w:sdtContent>
      </w:sdt>
      <w:r w:rsidRPr="00322E56">
        <w:rPr>
          <w:rFonts w:cs="Times New Roman"/>
        </w:rPr>
        <w:t xml:space="preserve"> reported 3–5 h of peak load shift. PCMs were installed in a wallboard and were passively charged using solar heat gains in Auckland, New Zealand. However, indoor comfort was often compromised by overheating.</w:t>
      </w:r>
    </w:p>
    <w:p w14:paraId="1CEAEACE" w14:textId="45EAFDA0" w:rsidR="00B17E5F" w:rsidRDefault="00B17E5F" w:rsidP="00C7436A">
      <w:pPr>
        <w:rPr>
          <w:rFonts w:cs="Times New Roman"/>
        </w:rPr>
      </w:pPr>
      <w:r w:rsidRPr="00322E56">
        <w:rPr>
          <w:rFonts w:cs="Times New Roman"/>
        </w:rPr>
        <w:t xml:space="preserve">Muruganantham et al. </w:t>
      </w:r>
      <w:sdt>
        <w:sdtPr>
          <w:rPr>
            <w:rFonts w:cs="Times New Roman"/>
            <w:color w:val="000000"/>
          </w:rPr>
          <w:tag w:val="MENDELEY_CITATION_v3_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"/>
          <w:id w:val="1878046524"/>
          <w:placeholder>
            <w:docPart w:val="A0162F104AFD4099B02A6DB84C2D64BD"/>
          </w:placeholder>
        </w:sdtPr>
        <w:sdtContent>
          <w:r w:rsidR="001E7ECF" w:rsidRPr="001E7ECF">
            <w:rPr>
              <w:rFonts w:cs="Times New Roman"/>
              <w:color w:val="000000"/>
            </w:rPr>
            <w:t>[128]</w:t>
          </w:r>
        </w:sdtContent>
      </w:sdt>
      <w:r w:rsidRPr="00322E56">
        <w:rPr>
          <w:rFonts w:cs="Times New Roman"/>
        </w:rPr>
        <w:t xml:space="preserve"> and Mazo et al. </w:t>
      </w:r>
      <w:sdt>
        <w:sdtPr>
          <w:rPr>
            <w:rFonts w:cs="Times New Roman"/>
            <w:color w:val="000000"/>
          </w:rPr>
          <w:tag w:val="MENDELEY_CITATION_v3_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"/>
          <w:id w:val="1958295644"/>
          <w:placeholder>
            <w:docPart w:val="A0162F104AFD4099B02A6DB84C2D64BD"/>
          </w:placeholder>
        </w:sdtPr>
        <w:sdtContent>
          <w:r w:rsidR="001E7ECF" w:rsidRPr="001E7ECF">
            <w:rPr>
              <w:rFonts w:cs="Times New Roman"/>
              <w:color w:val="000000"/>
            </w:rPr>
            <w:t>[46]</w:t>
          </w:r>
        </w:sdtContent>
      </w:sdt>
      <w:r w:rsidRPr="00322E56">
        <w:rPr>
          <w:rFonts w:cs="Times New Roman"/>
        </w:rPr>
        <w:t xml:space="preserve"> reported the lowest peak load shift of 1 h. Muruganantham et al. investigated passive PCM-TES in an interior envelope of the building; the PCMs melted or solidified based on ambient temperature. Mazo et al. studied active storage with PCMs installed in the floor heating system. They applied Spanish peak utility pricing and used an HP for off-peak night charging. Furthermore, 1 h of peak load was shifted per day.</w:t>
      </w:r>
    </w:p>
    <w:p w14:paraId="279AD814" w14:textId="77777777" w:rsidR="00AF10A4" w:rsidRDefault="00AF10A4" w:rsidP="00AF10A4">
      <w:pPr>
        <w:rPr>
          <w:rFonts w:cs="Times New Roman"/>
        </w:rPr>
      </w:pPr>
      <w:r w:rsidRPr="00322E56">
        <w:rPr>
          <w:rFonts w:cs="Times New Roman"/>
        </w:rPr>
        <w:t xml:space="preserve">Sultan et al. </w:t>
      </w:r>
      <w:sdt>
        <w:sdtPr>
          <w:rPr>
            <w:rFonts w:cs="Times New Roman"/>
            <w:color w:val="000000"/>
          </w:rPr>
          <w:tag w:val="MENDELEY_CITATION_v3_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"/>
          <w:id w:val="837342994"/>
          <w:placeholder>
            <w:docPart w:val="5239357EB5736545815BBA4210CE2F55"/>
          </w:placeholder>
        </w:sdtPr>
        <w:sdtContent>
          <w:r w:rsidRPr="001E7ECF">
            <w:rPr>
              <w:rFonts w:cs="Times New Roman"/>
              <w:color w:val="000000"/>
            </w:rPr>
            <w:t>[154]</w:t>
          </w:r>
        </w:sdtContent>
      </w:sdt>
      <w:r w:rsidRPr="00322E56">
        <w:rPr>
          <w:rFonts w:cs="Times New Roman"/>
        </w:rPr>
        <w:t xml:space="preserve"> and Xu et al. </w:t>
      </w:r>
      <w:sdt>
        <w:sdtPr>
          <w:rPr>
            <w:rFonts w:cs="Times New Roman"/>
            <w:color w:val="000000"/>
          </w:rPr>
          <w:tag w:val="MENDELEY_CITATION_v3_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"/>
          <w:id w:val="-12689352"/>
          <w:placeholder>
            <w:docPart w:val="5239357EB5736545815BBA4210CE2F55"/>
          </w:placeholder>
        </w:sdtPr>
        <w:sdtContent>
          <w:r w:rsidRPr="001E7ECF">
            <w:rPr>
              <w:rFonts w:cs="Times New Roman"/>
              <w:color w:val="000000"/>
            </w:rPr>
            <w:t>[48]</w:t>
          </w:r>
        </w:sdtContent>
      </w:sdt>
      <w:r w:rsidRPr="00322E56">
        <w:rPr>
          <w:rFonts w:cs="Times New Roman"/>
        </w:rPr>
        <w:t xml:space="preserve"> reported the highest load shift of 6 h. Both actively coupled PCMs with a VCS. Sultan et al. investigated cooling only using ice storage, and an evaporator was used to charge the PCMs. The authors used thermostat controls for load shifting and implemented a TOU utility tariff. Xu et al. investigated a heating-only system coupled with an electric heater, and a condenser was used to charge a sodium acetate trihydrate PCM with a 58</w:t>
      </w:r>
      <w:r w:rsidRPr="00322E56">
        <w:rPr>
          <w:rFonts w:cs="Times New Roman"/>
          <w:color w:val="0D0D0D" w:themeColor="text1" w:themeTint="F2"/>
        </w:rPr>
        <w:t>°C</w:t>
      </w:r>
      <w:r w:rsidRPr="00322E56">
        <w:rPr>
          <w:rFonts w:cs="Times New Roman"/>
        </w:rPr>
        <w:t xml:space="preserve"> phase change temperature.</w:t>
      </w:r>
    </w:p>
    <w:p w14:paraId="621DCB98" w14:textId="77777777" w:rsidR="00AF10A4" w:rsidRPr="00322E56" w:rsidRDefault="00AF10A4" w:rsidP="00AF10A4">
      <w:pPr>
        <w:pStyle w:val="Heading3"/>
        <w:rPr>
          <w:rFonts w:cs="Times New Roman"/>
        </w:rPr>
      </w:pPr>
      <w:bookmarkStart w:id="99" w:name="_Toc140399837"/>
      <w:r w:rsidRPr="00322E56">
        <w:rPr>
          <w:rFonts w:cs="Times New Roman"/>
        </w:rPr>
        <w:t>Payback Period</w:t>
      </w:r>
      <w:bookmarkEnd w:id="99"/>
    </w:p>
    <w:p w14:paraId="2C18630E" w14:textId="77777777" w:rsidR="00AF10A4" w:rsidRPr="00322E56" w:rsidRDefault="00AF10A4" w:rsidP="00AF10A4">
      <w:pPr>
        <w:rPr>
          <w:rFonts w:cs="Times New Roman"/>
        </w:rPr>
      </w:pPr>
      <w:r w:rsidRPr="00322E56">
        <w:rPr>
          <w:rFonts w:cs="Times New Roman"/>
        </w:rPr>
        <w:t xml:space="preserve">Figure 15 shows that passive HP-TES has a payback period of more than 15 years, whereas active HP-TES has a payback period of less than 10 years, except for as reported by Xu et al. </w:t>
      </w:r>
      <w:sdt>
        <w:sdtPr>
          <w:rPr>
            <w:rFonts w:cs="Times New Roman"/>
            <w:color w:val="000000"/>
          </w:rPr>
          <w:tag w:val="MENDELEY_CITATION_v3_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"/>
          <w:id w:val="-321200618"/>
          <w:placeholder>
            <w:docPart w:val="6993230D1B3F7F4CA327AFA4ACDD7239"/>
          </w:placeholder>
        </w:sdtPr>
        <w:sdtContent>
          <w:r w:rsidRPr="001E7ECF">
            <w:rPr>
              <w:rFonts w:cs="Times New Roman"/>
              <w:color w:val="000000"/>
            </w:rPr>
            <w:t>[48]</w:t>
          </w:r>
        </w:sdtContent>
      </w:sdt>
      <w:r w:rsidRPr="00322E56">
        <w:rPr>
          <w:rFonts w:cs="Times New Roman"/>
        </w:rPr>
        <w:t>.</w:t>
      </w:r>
    </w:p>
    <w:p w14:paraId="7B3EA52B" w14:textId="16ED0ABB" w:rsidR="00B17E5F" w:rsidRPr="00322E56" w:rsidRDefault="00AF10A4" w:rsidP="00AF10A4">
      <w:pPr>
        <w:rPr>
          <w:rFonts w:cs="Times New Roman"/>
        </w:rPr>
      </w:pPr>
      <w:r w:rsidRPr="00322E56">
        <w:rPr>
          <w:rFonts w:cs="Times New Roman"/>
        </w:rPr>
        <w:t xml:space="preserve">The trends of energy savings of passive TES were not significantly different from active TES, but because of installation complexities, the investment and installation cost was much higher than that of the active TES. </w:t>
      </w:r>
    </w:p>
    <w:p w14:paraId="2D5355A3" w14:textId="77777777" w:rsidR="00B17E5F" w:rsidRPr="00322E56" w:rsidRDefault="00B17E5F" w:rsidP="00DF64D1">
      <w:pPr>
        <w:keepNext/>
        <w:jc w:val="center"/>
        <w:rPr>
          <w:rFonts w:cs="Times New Roman"/>
        </w:rPr>
      </w:pPr>
      <w:r w:rsidRPr="00322E56">
        <w:rPr>
          <w:rFonts w:cs="Times New Roman"/>
          <w:noProof/>
        </w:rPr>
        <w:lastRenderedPageBreak/>
        <w:drawing>
          <wp:inline distT="0" distB="0" distL="0" distR="0" wp14:anchorId="55695CFE" wp14:editId="46215237">
            <wp:extent cx="5029200" cy="2742420"/>
            <wp:effectExtent l="0" t="0" r="0" b="0"/>
            <wp:docPr id="31" name="Graphic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5029200" cy="2742420"/>
                    </a:xfrm>
                    <a:prstGeom prst="rect">
                      <a:avLst/>
                    </a:prstGeom>
                  </pic:spPr>
                </pic:pic>
              </a:graphicData>
            </a:graphic>
          </wp:inline>
        </w:drawing>
      </w:r>
    </w:p>
    <w:p w14:paraId="71092128" w14:textId="61A3B3A6" w:rsidR="00B17E5F" w:rsidRPr="00322E56" w:rsidRDefault="00B17E5F" w:rsidP="00DF64D1">
      <w:pPr>
        <w:pStyle w:val="Caption"/>
        <w:jc w:val="center"/>
        <w:rPr>
          <w:rFonts w:cs="Times New Roman"/>
        </w:rPr>
      </w:pPr>
      <w:bookmarkStart w:id="100" w:name="_Toc140403880"/>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14</w:t>
      </w:r>
      <w:r w:rsidRPr="00322E56">
        <w:rPr>
          <w:rFonts w:cs="Times New Roman"/>
        </w:rPr>
        <w:fldChar w:fldCharType="end"/>
      </w:r>
      <w:r w:rsidRPr="00322E56">
        <w:rPr>
          <w:rFonts w:cs="Times New Roman"/>
        </w:rPr>
        <w:t>: Load shifting of active and passive HP-TES in literature.</w:t>
      </w:r>
      <w:bookmarkEnd w:id="100"/>
    </w:p>
    <w:p w14:paraId="1AA04D0E" w14:textId="77777777" w:rsidR="00AF10A4" w:rsidRDefault="00AF10A4" w:rsidP="00AF10A4">
      <w:pPr>
        <w:keepNext/>
        <w:jc w:val="center"/>
        <w:rPr>
          <w:rFonts w:cs="Times New Roman"/>
        </w:rPr>
      </w:pPr>
    </w:p>
    <w:p w14:paraId="598508AF" w14:textId="77777777" w:rsidR="00AF10A4" w:rsidRDefault="00AF10A4" w:rsidP="00AF10A4">
      <w:pPr>
        <w:keepNext/>
        <w:jc w:val="center"/>
        <w:rPr>
          <w:rFonts w:cs="Times New Roman"/>
        </w:rPr>
      </w:pPr>
    </w:p>
    <w:p w14:paraId="78A5B889" w14:textId="12B8E064" w:rsidR="00AF10A4" w:rsidRPr="00322E56" w:rsidRDefault="00AF10A4" w:rsidP="00AF10A4">
      <w:pPr>
        <w:keepNext/>
        <w:jc w:val="center"/>
        <w:rPr>
          <w:rFonts w:cs="Times New Roman"/>
        </w:rPr>
      </w:pPr>
      <w:r w:rsidRPr="00322E56">
        <w:rPr>
          <w:rFonts w:cs="Times New Roman"/>
          <w:noProof/>
        </w:rPr>
        <w:drawing>
          <wp:inline distT="0" distB="0" distL="0" distR="0" wp14:anchorId="3CE012E9" wp14:editId="7B424617">
            <wp:extent cx="5029200" cy="2858480"/>
            <wp:effectExtent l="0" t="0" r="0" b="0"/>
            <wp:docPr id="32" name="Graphic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5029200" cy="2858480"/>
                    </a:xfrm>
                    <a:prstGeom prst="rect">
                      <a:avLst/>
                    </a:prstGeom>
                  </pic:spPr>
                </pic:pic>
              </a:graphicData>
            </a:graphic>
          </wp:inline>
        </w:drawing>
      </w:r>
    </w:p>
    <w:p w14:paraId="08A5691E" w14:textId="5DAA27B8" w:rsidR="00AF10A4" w:rsidRPr="00322E56" w:rsidRDefault="00AF10A4" w:rsidP="00AF10A4">
      <w:pPr>
        <w:pStyle w:val="Caption"/>
        <w:jc w:val="center"/>
        <w:rPr>
          <w:rFonts w:cs="Times New Roman"/>
        </w:rPr>
      </w:pPr>
      <w:bookmarkStart w:id="101" w:name="_Toc140403881"/>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15</w:t>
      </w:r>
      <w:r w:rsidRPr="00322E56">
        <w:rPr>
          <w:rFonts w:cs="Times New Roman"/>
        </w:rPr>
        <w:fldChar w:fldCharType="end"/>
      </w:r>
      <w:r w:rsidRPr="00322E56">
        <w:rPr>
          <w:rFonts w:cs="Times New Roman"/>
        </w:rPr>
        <w:t>: Payback period of active and passive HP-TES in literature.</w:t>
      </w:r>
      <w:bookmarkEnd w:id="101"/>
    </w:p>
    <w:p w14:paraId="516F9E58" w14:textId="77777777" w:rsidR="00AF10A4" w:rsidRPr="00322E56" w:rsidRDefault="00AF10A4">
      <w:pPr>
        <w:spacing w:line="240" w:lineRule="auto"/>
        <w:rPr>
          <w:rFonts w:cs="Times New Roman"/>
        </w:rPr>
      </w:pPr>
    </w:p>
    <w:p w14:paraId="7B0B266F" w14:textId="75CE6E93" w:rsidR="00AF10A4" w:rsidRDefault="00AF10A4" w:rsidP="003E402A">
      <w:pPr>
        <w:rPr>
          <w:rFonts w:cs="Times New Roman"/>
        </w:rPr>
      </w:pPr>
      <w:r w:rsidRPr="00322E56">
        <w:rPr>
          <w:rFonts w:cs="Times New Roman"/>
        </w:rPr>
        <w:lastRenderedPageBreak/>
        <w:t>Furthermore, cost and demand reduction were not as prominent as in active HP-TES because of no control of passive HP-TES over TES equipment and operation.</w:t>
      </w:r>
    </w:p>
    <w:p w14:paraId="6F55F223" w14:textId="3A9180E8" w:rsidR="00B17E5F" w:rsidRPr="00322E56" w:rsidRDefault="00B17E5F" w:rsidP="003E402A">
      <w:pPr>
        <w:rPr>
          <w:rFonts w:cs="Times New Roman"/>
        </w:rPr>
      </w:pPr>
      <w:r w:rsidRPr="00322E56">
        <w:rPr>
          <w:rFonts w:cs="Times New Roman"/>
        </w:rPr>
        <w:t xml:space="preserve">Ascione et al. </w:t>
      </w:r>
      <w:sdt>
        <w:sdtPr>
          <w:rPr>
            <w:rFonts w:cs="Times New Roman"/>
            <w:color w:val="000000"/>
          </w:rPr>
          <w:tag w:val="MENDELEY_CITATION_v3_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"/>
          <w:id w:val="-86613748"/>
          <w:placeholder>
            <w:docPart w:val="FEE79DBCE6DB4ECF8D1E71BA62DC2877"/>
          </w:placeholder>
        </w:sdtPr>
        <w:sdtContent>
          <w:r w:rsidR="001E7ECF" w:rsidRPr="001E7ECF">
            <w:rPr>
              <w:rFonts w:cs="Times New Roman"/>
              <w:color w:val="000000"/>
            </w:rPr>
            <w:t>[129]</w:t>
          </w:r>
        </w:sdtContent>
      </w:sdt>
      <w:r w:rsidRPr="00322E56">
        <w:rPr>
          <w:rFonts w:cs="Times New Roman"/>
        </w:rPr>
        <w:t xml:space="preserve"> reported the longest payback period of 30 years for passive HP-TES. PCMs were installed in interior walls of a public educational building that was refurbished to reduce cooling demand in a hot Mediterranean climate. The investment costs, maintenance and operating costs, and disposal costs were considered to calculate the payback period. The authors suggested additional measures such as using inexpensive PCMs and applying discount rates that could shorten the payback period to 12 years.</w:t>
      </w:r>
    </w:p>
    <w:p w14:paraId="4DB1C78B" w14:textId="7A622BD2" w:rsidR="00B17E5F" w:rsidRPr="00322E56" w:rsidRDefault="00B17E5F" w:rsidP="00AF10A4">
      <w:pPr>
        <w:rPr>
          <w:rFonts w:cs="Times New Roman"/>
        </w:rPr>
      </w:pPr>
      <w:r w:rsidRPr="00322E56">
        <w:rPr>
          <w:rFonts w:cs="Times New Roman"/>
        </w:rPr>
        <w:t xml:space="preserve">Abu-Hamdeh et al. </w:t>
      </w:r>
      <w:sdt>
        <w:sdtPr>
          <w:rPr>
            <w:rFonts w:cs="Times New Roman"/>
            <w:color w:val="000000"/>
          </w:rPr>
          <w:tag w:val="MENDELEY_CITATION_v3_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"/>
          <w:id w:val="113413391"/>
          <w:placeholder>
            <w:docPart w:val="FEE79DBCE6DB4ECF8D1E71BA62DC2877"/>
          </w:placeholder>
        </w:sdtPr>
        <w:sdtContent>
          <w:r w:rsidR="001E7ECF" w:rsidRPr="001E7ECF">
            <w:rPr>
              <w:rFonts w:cs="Times New Roman"/>
              <w:color w:val="000000"/>
            </w:rPr>
            <w:t>[132]</w:t>
          </w:r>
        </w:sdtContent>
      </w:sdt>
      <w:r w:rsidRPr="00322E56">
        <w:rPr>
          <w:rFonts w:cs="Times New Roman"/>
        </w:rPr>
        <w:t xml:space="preserve"> reported the shortest payback period of 18.6 years for passive HP-TES. They also installed PCMs in the interior wall for space heating to reduce AHU energy usage. In an arid climate such as Jeddah, Saudi Arabia, passive TES can take advantage of ambient temperatures for heating, which reduces heat demand; hence, the payback period is shorter. </w:t>
      </w:r>
    </w:p>
    <w:p w14:paraId="3840EDA6" w14:textId="42EA8C39" w:rsidR="00B17E5F" w:rsidRPr="00322E56" w:rsidRDefault="00B17E5F" w:rsidP="003E402A">
      <w:pPr>
        <w:rPr>
          <w:rFonts w:cs="Times New Roman"/>
        </w:rPr>
      </w:pPr>
      <w:r w:rsidRPr="00322E56">
        <w:rPr>
          <w:rFonts w:cs="Times New Roman"/>
        </w:rPr>
        <w:t xml:space="preserve">Xu et al. </w:t>
      </w:r>
      <w:sdt>
        <w:sdtPr>
          <w:rPr>
            <w:rFonts w:cs="Times New Roman"/>
            <w:color w:val="000000"/>
          </w:rPr>
          <w:tag w:val="MENDELEY_CITATION_v3_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"/>
          <w:id w:val="-1594931793"/>
          <w:placeholder>
            <w:docPart w:val="FEE79DBCE6DB4ECF8D1E71BA62DC2877"/>
          </w:placeholder>
        </w:sdtPr>
        <w:sdtContent>
          <w:r w:rsidR="001E7ECF" w:rsidRPr="001E7ECF">
            <w:rPr>
              <w:rFonts w:cs="Times New Roman"/>
              <w:color w:val="000000"/>
            </w:rPr>
            <w:t>[48]</w:t>
          </w:r>
        </w:sdtContent>
      </w:sdt>
      <w:r w:rsidRPr="00322E56">
        <w:rPr>
          <w:rFonts w:cs="Times New Roman"/>
        </w:rPr>
        <w:t xml:space="preserve"> reported the longest payback period of 15 years for active HP-TES. PCMs were installed in a storage tank coupled with a condenser for charging. The heating load was increased with off-peak charging. </w:t>
      </w:r>
    </w:p>
    <w:p w14:paraId="2DE9BE17" w14:textId="18570839" w:rsidR="00B17E5F" w:rsidRPr="00322E56" w:rsidRDefault="00B17E5F" w:rsidP="003E402A">
      <w:pPr>
        <w:rPr>
          <w:rFonts w:cs="Times New Roman"/>
        </w:rPr>
      </w:pPr>
      <w:r w:rsidRPr="00322E56">
        <w:rPr>
          <w:rFonts w:cs="Times New Roman"/>
        </w:rPr>
        <w:t xml:space="preserve">Sanaye et al. </w:t>
      </w:r>
      <w:sdt>
        <w:sdtPr>
          <w:rPr>
            <w:rFonts w:cs="Times New Roman"/>
            <w:color w:val="000000"/>
          </w:rPr>
          <w:tag w:val="MENDELEY_CITATION_v3_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"/>
          <w:id w:val="-1878929779"/>
          <w:placeholder>
            <w:docPart w:val="FEE79DBCE6DB4ECF8D1E71BA62DC2877"/>
          </w:placeholder>
        </w:sdtPr>
        <w:sdtContent>
          <w:r w:rsidR="001E7ECF" w:rsidRPr="001E7ECF">
            <w:rPr>
              <w:rFonts w:cs="Times New Roman"/>
              <w:color w:val="000000"/>
            </w:rPr>
            <w:t>[152]</w:t>
          </w:r>
        </w:sdtContent>
      </w:sdt>
      <w:r w:rsidRPr="00322E56">
        <w:rPr>
          <w:rFonts w:cs="Times New Roman"/>
        </w:rPr>
        <w:t xml:space="preserve"> had the shortest payback period of 3.4 years for active HP-TES. Ice-based TES in a storage tank was used as an evaporator and made ice during off-peak hours.</w:t>
      </w:r>
    </w:p>
    <w:p w14:paraId="45CED86A" w14:textId="2B512570" w:rsidR="00AF10A4" w:rsidRDefault="00B17E5F" w:rsidP="00AF10A4">
      <w:pPr>
        <w:rPr>
          <w:rFonts w:cs="Times New Roman"/>
        </w:rPr>
      </w:pPr>
      <w:r w:rsidRPr="00322E56">
        <w:rPr>
          <w:rFonts w:cs="Times New Roman"/>
        </w:rPr>
        <w:t xml:space="preserve">All other active HP-TES works shown in Figure 13 had PCMs installed in the supply or return air ducts and reported a payback period between 4 and 10 years </w:t>
      </w:r>
      <w:sdt>
        <w:sdtPr>
          <w:rPr>
            <w:rFonts w:cs="Times New Roman"/>
            <w:color w:val="000000"/>
          </w:rPr>
          <w:tag w:val="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"/>
          <w:id w:val="-1001506365"/>
          <w:placeholder>
            <w:docPart w:val="FEE79DBCE6DB4ECF8D1E71BA62DC2877"/>
          </w:placeholder>
        </w:sdtPr>
        <w:sdtContent>
          <w:r w:rsidR="001E7ECF" w:rsidRPr="001E7ECF">
            <w:rPr>
              <w:rFonts w:cs="Times New Roman"/>
              <w:color w:val="000000"/>
            </w:rPr>
            <w:t>[38], [40], [127], [140], [144], [150], [156]</w:t>
          </w:r>
        </w:sdtContent>
      </w:sdt>
      <w:r w:rsidRPr="00322E56">
        <w:rPr>
          <w:rFonts w:cs="Times New Roman"/>
        </w:rPr>
        <w:t xml:space="preserve">. Most of these are cooling-only systems, except for a heating and cooling system reported by Hu et al. </w:t>
      </w:r>
      <w:sdt>
        <w:sdtPr>
          <w:rPr>
            <w:rFonts w:cs="Times New Roman"/>
            <w:color w:val="000000"/>
          </w:rPr>
          <w:tag w:val="MENDELEY_CITATION_v3_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"/>
          <w:id w:val="2027673355"/>
          <w:placeholder>
            <w:docPart w:val="FEE79DBCE6DB4ECF8D1E71BA62DC2877"/>
          </w:placeholder>
        </w:sdtPr>
        <w:sdtContent>
          <w:r w:rsidR="001E7ECF" w:rsidRPr="001E7ECF">
            <w:rPr>
              <w:rFonts w:cs="Times New Roman"/>
              <w:color w:val="000000"/>
            </w:rPr>
            <w:t>[156]</w:t>
          </w:r>
        </w:sdtContent>
      </w:sdt>
      <w:r w:rsidRPr="00322E56">
        <w:rPr>
          <w:rFonts w:cs="Times New Roman"/>
          <w:color w:val="000000"/>
        </w:rPr>
        <w:t>,</w:t>
      </w:r>
      <w:r w:rsidRPr="00322E56">
        <w:rPr>
          <w:rFonts w:cs="Times New Roman"/>
        </w:rPr>
        <w:t xml:space="preserve"> which had a payback period of 7 years.</w:t>
      </w:r>
    </w:p>
    <w:p w14:paraId="399E6AA6" w14:textId="5E4CDD33" w:rsidR="00B17E5F" w:rsidRPr="00322E56" w:rsidRDefault="00B17E5F" w:rsidP="00AF10A4">
      <w:pPr>
        <w:pStyle w:val="Heading3"/>
        <w:rPr>
          <w:rFonts w:cs="Times New Roman"/>
        </w:rPr>
      </w:pPr>
      <w:bookmarkStart w:id="102" w:name="_Toc140399838"/>
      <w:r w:rsidRPr="00322E56">
        <w:rPr>
          <w:rFonts w:cs="Times New Roman"/>
        </w:rPr>
        <w:t>Performance Analysis with and without TES</w:t>
      </w:r>
      <w:bookmarkEnd w:id="102"/>
    </w:p>
    <w:p w14:paraId="0D6E3A59" w14:textId="77777777" w:rsidR="00B17E5F" w:rsidRDefault="00B17E5F" w:rsidP="003E402A">
      <w:pPr>
        <w:rPr>
          <w:rFonts w:cs="Times New Roman"/>
        </w:rPr>
      </w:pPr>
      <w:r w:rsidRPr="00322E56">
        <w:rPr>
          <w:rFonts w:cs="Times New Roman"/>
        </w:rPr>
        <w:t xml:space="preserve">A statistical (box-and-whisker) analysis was performed on the groups of data sets for active TES, passive TES, and no TES systems where at least two of the outcomes are </w:t>
      </w:r>
      <w:r w:rsidRPr="00322E56">
        <w:rPr>
          <w:rFonts w:cs="Times New Roman"/>
        </w:rPr>
        <w:lastRenderedPageBreak/>
        <w:t>reported out of energy savings, demand impact, and cost savings (Figure 16). The skewness of the mean results does not indicate that the studies were erroneous but were identified to allow an improved discussion of the mean. Furthermore, the results with the highest performance should be examined in great detail for replication. Studies that fall significantly below the mean should be noted to determine methods of improvement. Identifying the success factors or discussing the improvements is outside the scope of this study.</w:t>
      </w:r>
    </w:p>
    <w:p w14:paraId="671D87B2" w14:textId="77777777" w:rsidR="00A265F3" w:rsidRDefault="00A265F3" w:rsidP="00A265F3">
      <w:pPr>
        <w:rPr>
          <w:rFonts w:cs="Times New Roman"/>
        </w:rPr>
      </w:pPr>
      <w:r w:rsidRPr="00322E56">
        <w:rPr>
          <w:rFonts w:cs="Times New Roman"/>
        </w:rPr>
        <w:t>As shown in Figure 16(A), few studies were conducted at high temperatures, and the active TES mean is about 10</w:t>
      </w:r>
      <w:r w:rsidRPr="00322E56">
        <w:rPr>
          <w:rFonts w:cs="Times New Roman"/>
          <w:color w:val="0D0D0D" w:themeColor="text1" w:themeTint="F2"/>
        </w:rPr>
        <w:t>°C</w:t>
      </w:r>
      <w:r w:rsidRPr="00322E56">
        <w:rPr>
          <w:rFonts w:cs="Times New Roman"/>
        </w:rPr>
        <w:t xml:space="preserve"> below the passive TES mean—both means are high because of the heating studies. Most studies examined PCMs with phase change temperatures closer to the room or ambient temperature; however, active TES have more acceptable temperature range. The demand impact (Figure 16(B)) shows a good distribution around the mean for active TES. Because the median was used in determining the quartiles and the outliers included in the mean, the mean can lie outside the middle quartiles, which is the case for active TES in Figure 16(C). This suggests one study was very successful compared with the others in active TES </w:t>
      </w:r>
      <w:sdt>
        <w:sdtPr>
          <w:rPr>
            <w:rFonts w:cs="Times New Roman"/>
            <w:color w:val="000000"/>
          </w:rPr>
          <w:tag w:val="MENDELEY_CITATION_v3_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"/>
          <w:id w:val="-585388633"/>
          <w:placeholder>
            <w:docPart w:val="B7A71AD9DC2AEB49A6DFEA7069171B5A"/>
          </w:placeholder>
        </w:sdtPr>
        <w:sdtContent>
          <w:r w:rsidRPr="001E7ECF">
            <w:rPr>
              <w:rFonts w:cs="Times New Roman"/>
              <w:color w:val="000000"/>
            </w:rPr>
            <w:t>[45]</w:t>
          </w:r>
        </w:sdtContent>
      </w:sdt>
      <w:r w:rsidRPr="00322E56">
        <w:rPr>
          <w:rFonts w:cs="Times New Roman"/>
        </w:rPr>
        <w:t xml:space="preserve">. The cost savings results (Figure 16(D)) have the most outliers. The passive TES cost savings are notably skewed high and low, whereas the active TES mean is skewed high only. </w:t>
      </w:r>
    </w:p>
    <w:p w14:paraId="7296C60A" w14:textId="77777777" w:rsidR="00A265F3" w:rsidRDefault="00A265F3" w:rsidP="00A265F3">
      <w:pPr>
        <w:rPr>
          <w:rFonts w:cs="Times New Roman"/>
        </w:rPr>
      </w:pPr>
      <w:r w:rsidRPr="00322E56">
        <w:rPr>
          <w:rFonts w:cs="Times New Roman"/>
        </w:rPr>
        <w:t xml:space="preserve">Passive TES tends to be closer to ambient conditions, whereas active TES can use temperatures above and below ambient conditions. </w:t>
      </w:r>
    </w:p>
    <w:p w14:paraId="39BED699" w14:textId="77777777" w:rsidR="00A265F3" w:rsidRPr="00322E56" w:rsidRDefault="00A265F3" w:rsidP="00A265F3">
      <w:pPr>
        <w:rPr>
          <w:rFonts w:cs="Times New Roman"/>
        </w:rPr>
      </w:pPr>
      <w:r w:rsidRPr="00322E56">
        <w:rPr>
          <w:rFonts w:cs="Times New Roman"/>
        </w:rPr>
        <w:t xml:space="preserve">Demand impact can be reduced by control schemes without using TES, but TES provides additional energy and cost saving benefits. Passive systems tend to have a lower demand impact (about 20%), whereas active systems have a higher average impact of 40%. </w:t>
      </w:r>
    </w:p>
    <w:p w14:paraId="3B2FF460" w14:textId="2D014052" w:rsidR="00A265F3" w:rsidRPr="00322E56" w:rsidRDefault="00A265F3" w:rsidP="00A265F3">
      <w:pPr>
        <w:rPr>
          <w:rFonts w:cs="Times New Roman"/>
        </w:rPr>
      </w:pPr>
      <w:r w:rsidRPr="00322E56">
        <w:rPr>
          <w:rFonts w:cs="Times New Roman"/>
        </w:rPr>
        <w:t xml:space="preserve">Passive and active TES generally save energy at similar percentages, although passive systems have a slightly higher average of 22% than active systems, which have an average of 15%. </w:t>
      </w:r>
    </w:p>
    <w:p w14:paraId="58C12C37" w14:textId="240D4BCE" w:rsidR="00B17E5F" w:rsidRPr="00322E56" w:rsidRDefault="00B17E5F" w:rsidP="00A265F3">
      <w:pPr>
        <w:spacing w:line="240" w:lineRule="auto"/>
        <w:ind w:firstLine="0"/>
        <w:rPr>
          <w:rFonts w:cs="Times New Roman"/>
        </w:rPr>
      </w:pPr>
    </w:p>
    <w:p w14:paraId="05CA298D" w14:textId="77777777" w:rsidR="00B17E5F" w:rsidRPr="00322E56" w:rsidRDefault="00B17E5F" w:rsidP="003E402A">
      <w:pPr>
        <w:rPr>
          <w:rFonts w:cs="Times New Roman"/>
        </w:rPr>
      </w:pPr>
    </w:p>
    <w:p w14:paraId="37A8CB75" w14:textId="77777777" w:rsidR="00B17E5F" w:rsidRPr="00322E56" w:rsidRDefault="00B17E5F" w:rsidP="00DF64D1">
      <w:pPr>
        <w:jc w:val="center"/>
        <w:rPr>
          <w:rFonts w:cs="Times New Roman"/>
        </w:rPr>
      </w:pPr>
      <w:r w:rsidRPr="00322E56">
        <w:rPr>
          <w:rFonts w:cs="Times New Roman"/>
          <w:noProof/>
        </w:rPr>
        <w:drawing>
          <wp:inline distT="0" distB="0" distL="0" distR="0" wp14:anchorId="6A81479F" wp14:editId="7CA5882F">
            <wp:extent cx="5303520" cy="336486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303520" cy="3364865"/>
                    </a:xfrm>
                    <a:prstGeom prst="rect">
                      <a:avLst/>
                    </a:prstGeom>
                    <a:noFill/>
                  </pic:spPr>
                </pic:pic>
              </a:graphicData>
            </a:graphic>
          </wp:inline>
        </w:drawing>
      </w:r>
    </w:p>
    <w:p w14:paraId="61921B0C" w14:textId="4B4E65FB" w:rsidR="00B17E5F" w:rsidRPr="00322E56" w:rsidRDefault="00B17E5F" w:rsidP="00DF64D1">
      <w:pPr>
        <w:pStyle w:val="Caption"/>
        <w:jc w:val="center"/>
        <w:rPr>
          <w:rFonts w:cs="Times New Roman"/>
        </w:rPr>
      </w:pPr>
      <w:bookmarkStart w:id="103" w:name="_Toc140403882"/>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16</w:t>
      </w:r>
      <w:r w:rsidRPr="00322E56">
        <w:rPr>
          <w:rFonts w:cs="Times New Roman"/>
        </w:rPr>
        <w:fldChar w:fldCharType="end"/>
      </w:r>
      <w:r w:rsidRPr="00322E56">
        <w:rPr>
          <w:rFonts w:cs="Times New Roman"/>
        </w:rPr>
        <w:t>: Overall comparison: (A) phase change temperature, (B) demand impact, (C) energy savings, and (D) utility cost savings.</w:t>
      </w:r>
      <w:bookmarkEnd w:id="103"/>
    </w:p>
    <w:p w14:paraId="3D248981" w14:textId="77777777" w:rsidR="00B17E5F" w:rsidRPr="00322E56" w:rsidRDefault="00B17E5F">
      <w:pPr>
        <w:spacing w:line="240" w:lineRule="auto"/>
        <w:rPr>
          <w:rFonts w:cs="Times New Roman"/>
        </w:rPr>
      </w:pPr>
      <w:r w:rsidRPr="00322E56">
        <w:rPr>
          <w:rFonts w:cs="Times New Roman"/>
        </w:rPr>
        <w:br w:type="page"/>
      </w:r>
    </w:p>
    <w:p w14:paraId="7E1B9CCF" w14:textId="77777777" w:rsidR="00B17E5F" w:rsidRPr="00322E56" w:rsidRDefault="00B17E5F" w:rsidP="008074A4">
      <w:pPr>
        <w:rPr>
          <w:rFonts w:cs="Times New Roman"/>
        </w:rPr>
      </w:pPr>
      <w:r w:rsidRPr="00322E56">
        <w:rPr>
          <w:rFonts w:cs="Times New Roman"/>
        </w:rPr>
        <w:lastRenderedPageBreak/>
        <w:t>The utility cost savings in all three building types can be significant (e.g., &gt;10%). Passive systems have the highest average (&gt;35%), and active systems have an average of about 15%.</w:t>
      </w:r>
    </w:p>
    <w:p w14:paraId="045B9DD9" w14:textId="77777777" w:rsidR="00B17E5F" w:rsidRPr="00322E56" w:rsidRDefault="00B17E5F" w:rsidP="008074A4">
      <w:pPr>
        <w:pStyle w:val="Heading2"/>
        <w:rPr>
          <w:rFonts w:cs="Times New Roman"/>
        </w:rPr>
      </w:pPr>
      <w:bookmarkStart w:id="104" w:name="_Toc140399839"/>
      <w:r w:rsidRPr="00322E56">
        <w:rPr>
          <w:rFonts w:cs="Times New Roman"/>
        </w:rPr>
        <w:t>Discussion and Future Work</w:t>
      </w:r>
      <w:bookmarkEnd w:id="104"/>
    </w:p>
    <w:p w14:paraId="49C34FFE" w14:textId="77777777" w:rsidR="00B17E5F" w:rsidRPr="00322E56" w:rsidRDefault="00B17E5F" w:rsidP="008074A4">
      <w:pPr>
        <w:rPr>
          <w:rFonts w:cs="Times New Roman"/>
        </w:rPr>
      </w:pPr>
      <w:r w:rsidRPr="00322E56">
        <w:rPr>
          <w:rFonts w:cs="Times New Roman"/>
        </w:rPr>
        <w:t>This study compares various configurations of active and passive HP-TES for space heating and cooling applications. We included PCM and ice storage as TES integrated with HP. There are some works that investigate commercial buildings, but HP-TES systems were mostly studied for residential buildings. The reviewed studies reported energy savings, cost savings, peak load shifted, demand reduction, and payback period. The reported outcomes were compared against the PCMs used; the temperature, configuration, and TES location within the building envelope; and the HP components, type of TES, and application. DR potential was assessed and compared with and without TES, and peak demand shifting using dynamic price-based controls was examined.</w:t>
      </w:r>
    </w:p>
    <w:p w14:paraId="64E0AC05" w14:textId="77777777" w:rsidR="00B17E5F" w:rsidRPr="00322E56" w:rsidRDefault="00B17E5F" w:rsidP="008074A4">
      <w:pPr>
        <w:rPr>
          <w:rFonts w:cs="Times New Roman"/>
          <w:color w:val="0D0D0D" w:themeColor="text1" w:themeTint="F2"/>
        </w:rPr>
      </w:pPr>
      <w:r w:rsidRPr="00322E56">
        <w:rPr>
          <w:rFonts w:cs="Times New Roman"/>
        </w:rPr>
        <w:t xml:space="preserve">DR strategies and HP controls can provide some cost and demand reduction, but with TES </w:t>
      </w:r>
      <w:r w:rsidRPr="00322E56">
        <w:rPr>
          <w:rFonts w:cs="Times New Roman"/>
          <w:color w:val="0D0D0D" w:themeColor="text1" w:themeTint="F2"/>
        </w:rPr>
        <w:t>having the capability to decouple the energy generation from its demand and usage, energy can be stored during off-peak hours for later use during peak hours.</w:t>
      </w:r>
    </w:p>
    <w:p w14:paraId="1A343979" w14:textId="77777777" w:rsidR="00B17E5F" w:rsidRPr="00322E56" w:rsidRDefault="00B17E5F" w:rsidP="008074A4">
      <w:pPr>
        <w:rPr>
          <w:rFonts w:cs="Times New Roman"/>
        </w:rPr>
      </w:pPr>
      <w:r w:rsidRPr="00322E56">
        <w:rPr>
          <w:rFonts w:cs="Times New Roman"/>
        </w:rPr>
        <w:t>HP-TES allows for the use of established technology and resources with minimal equipment, which can reduce the installation complexity and cost. HPs can provide heating and cooling at different times of day or year, and their weather-dependent performance can be exploited by TES and controls. Passive HP-TES systems can offset the peak demand by shifting loads, but they cannot control the charging or discharging operation to optimize grid benefits. Active HP-TES can be packaged into various configurations that require small modifications and offer maximum benefits to the consumer and the grid while minimizing the TES footprint.</w:t>
      </w:r>
    </w:p>
    <w:p w14:paraId="608DA1E2" w14:textId="77777777" w:rsidR="00B17E5F" w:rsidRPr="00322E56" w:rsidRDefault="00B17E5F" w:rsidP="008074A4">
      <w:pPr>
        <w:rPr>
          <w:rFonts w:cs="Times New Roman"/>
        </w:rPr>
      </w:pPr>
      <w:r w:rsidRPr="00322E56">
        <w:rPr>
          <w:rFonts w:cs="Times New Roman"/>
        </w:rPr>
        <w:t xml:space="preserve">System performance of HP-TES was reviewed to compare energy savings, demand impact, and payback period against different configurations, TES types, and heating and cooling applications for various climate zones. For passive TES, heating energy and utility </w:t>
      </w:r>
      <w:r w:rsidRPr="00322E56">
        <w:rPr>
          <w:rFonts w:cs="Times New Roman"/>
        </w:rPr>
        <w:lastRenderedPageBreak/>
        <w:t>cost savings can benefit from passive solar gains and diurnal temperature swing in some climates. However, additional controls and equipment are required to achieve cooling energy savings, and these controls and equipment can be costly. Indoor comfort can also be compromised by the lack of control in passive TES. Active HP-TES equipment is programable with a thermostat for DR and offers installation flexibility and better TES control, providing greater demand savings and cost benefits. Active HP-TES is more financially viable in hot climates with higher demand or utility tariffs.</w:t>
      </w:r>
    </w:p>
    <w:p w14:paraId="34884D85" w14:textId="77777777" w:rsidR="00B17E5F" w:rsidRPr="00322E56" w:rsidRDefault="00B17E5F" w:rsidP="008074A4">
      <w:pPr>
        <w:rPr>
          <w:rFonts w:cs="Times New Roman"/>
          <w:color w:val="0D0D0D" w:themeColor="text1" w:themeTint="F2"/>
        </w:rPr>
      </w:pPr>
      <w:r w:rsidRPr="00322E56">
        <w:rPr>
          <w:rFonts w:cs="Times New Roman"/>
        </w:rPr>
        <w:t>Besides being influenced by the utility tariff and climate, system performance is influenced by TES type, size, and configuration.</w:t>
      </w:r>
      <w:r w:rsidRPr="00322E56">
        <w:rPr>
          <w:rFonts w:cs="Times New Roman"/>
          <w:color w:val="0D0D0D" w:themeColor="text1" w:themeTint="F2"/>
        </w:rPr>
        <w:t xml:space="preserve"> </w:t>
      </w:r>
      <w:r w:rsidRPr="00322E56">
        <w:rPr>
          <w:rFonts w:cs="Times New Roman"/>
        </w:rPr>
        <w:t xml:space="preserve">Active </w:t>
      </w:r>
      <w:r w:rsidRPr="00322E56">
        <w:rPr>
          <w:rFonts w:cs="Times New Roman"/>
          <w:color w:val="0D0D0D" w:themeColor="text1" w:themeTint="F2"/>
        </w:rPr>
        <w:t>HP-TES can be installed in the building envelope, air distribution loops, or VCS itself.</w:t>
      </w:r>
      <w:r w:rsidRPr="00322E56">
        <w:rPr>
          <w:rFonts w:cs="Times New Roman"/>
        </w:rPr>
        <w:t xml:space="preserve"> Most active TES systems are integrated via an air distribution system with PCMs in the supply or return air duct. Paraffins and salt hydrates were commonly used materials with phase change temperatures ranging between 15</w:t>
      </w:r>
      <w:r w:rsidRPr="00322E56">
        <w:rPr>
          <w:rFonts w:cs="Times New Roman"/>
          <w:color w:val="0D0D0D" w:themeColor="text1" w:themeTint="F2"/>
        </w:rPr>
        <w:t>°C</w:t>
      </w:r>
      <w:r w:rsidRPr="00322E56">
        <w:rPr>
          <w:rFonts w:cs="Times New Roman"/>
        </w:rPr>
        <w:t xml:space="preserve"> and 30</w:t>
      </w:r>
      <w:r w:rsidRPr="00322E56">
        <w:rPr>
          <w:rFonts w:cs="Times New Roman"/>
          <w:color w:val="0D0D0D" w:themeColor="text1" w:themeTint="F2"/>
        </w:rPr>
        <w:t>°C</w:t>
      </w:r>
      <w:r w:rsidRPr="00322E56">
        <w:rPr>
          <w:rFonts w:cs="Times New Roman"/>
        </w:rPr>
        <w:t>.</w:t>
      </w:r>
    </w:p>
    <w:p w14:paraId="6C12A8CD" w14:textId="77777777" w:rsidR="00B17E5F" w:rsidRPr="00322E56" w:rsidRDefault="00B17E5F" w:rsidP="008074A4">
      <w:pPr>
        <w:rPr>
          <w:rFonts w:cs="Times New Roman"/>
        </w:rPr>
      </w:pPr>
      <w:r w:rsidRPr="00322E56">
        <w:rPr>
          <w:rFonts w:cs="Times New Roman"/>
        </w:rPr>
        <w:t>Passive TES systems tend to use temperatures closer to ambient temperatures, whereas active TES systems can use temperatures above and below ambient. Demand impact can be reduced by control schemes without using TES, but TES provides additional energy and cost saving benefits. Passive systems tend to have a lower demand impact (about 30%) compared with active systems, which have a higher average demand impact of 40%. Both passive and active systems generally save money and energy at similar percentages, although passive systems have a slightly higher average than active systems. However, the payback period for active systems is much shorter than that of passive systems, which indicates that passive systems require significant initial investments. On average, active systems have payback periods of less than 10 years, whereas passive systems have payback periods of more than 25 years.</w:t>
      </w:r>
    </w:p>
    <w:p w14:paraId="22E2B73C" w14:textId="77777777" w:rsidR="00B17E5F" w:rsidRPr="00322E56" w:rsidRDefault="00B17E5F" w:rsidP="008074A4">
      <w:pPr>
        <w:rPr>
          <w:rFonts w:cs="Times New Roman"/>
        </w:rPr>
      </w:pPr>
      <w:r w:rsidRPr="00322E56">
        <w:rPr>
          <w:rFonts w:cs="Times New Roman"/>
        </w:rPr>
        <w:t xml:space="preserve">TES can sometimes use more energy during off-peak hours. Most systems reported low energy savings compared with their cost and demand savings because energy consumption is not a function of the utility tariff or demand charges. Many advances in </w:t>
      </w:r>
      <w:r w:rsidRPr="00322E56">
        <w:rPr>
          <w:rFonts w:cs="Times New Roman"/>
        </w:rPr>
        <w:lastRenderedPageBreak/>
        <w:t>materials have occurred, but more research is needed on the system side to improve the energy storage performance and enhance the charge–discharge cycle efficiency of TES.</w:t>
      </w:r>
    </w:p>
    <w:p w14:paraId="6E9C4EE3" w14:textId="77777777" w:rsidR="00B17E5F" w:rsidRPr="00322E56" w:rsidRDefault="00B17E5F" w:rsidP="008074A4">
      <w:pPr>
        <w:rPr>
          <w:rFonts w:cs="Times New Roman"/>
        </w:rPr>
      </w:pPr>
      <w:r w:rsidRPr="00322E56">
        <w:rPr>
          <w:rFonts w:cs="Times New Roman"/>
        </w:rPr>
        <w:t>Very few studies have examined HP-TES overall, and there are even fewer experimental studies. TES can be coupled with an HP in many configurations that have not yet been explored. There is much to uncover in integrating TES experimentally with HP.</w:t>
      </w:r>
    </w:p>
    <w:p w14:paraId="7D8B4F59" w14:textId="77777777" w:rsidR="00B17E5F" w:rsidRPr="00322E56" w:rsidRDefault="00B17E5F" w:rsidP="008074A4">
      <w:pPr>
        <w:rPr>
          <w:rFonts w:cs="Times New Roman"/>
        </w:rPr>
      </w:pPr>
      <w:r w:rsidRPr="00322E56">
        <w:rPr>
          <w:rFonts w:cs="Times New Roman"/>
        </w:rPr>
        <w:t>Although the historical trend indicates an increased interest in the technology during the past decade, all the HP-TES systems in literature highly differ from each other. No standards exist, and it is hard to compare these systems. More comprehensive and comparative simulation work is needed to compare different PCMs for HP-TES and compare optimum storage and configurations for different climates.</w:t>
      </w:r>
    </w:p>
    <w:p w14:paraId="058D1A0F" w14:textId="77777777" w:rsidR="00A265F3" w:rsidRDefault="00A265F3">
      <w:pPr>
        <w:spacing w:before="0" w:line="240" w:lineRule="auto"/>
        <w:ind w:firstLine="0"/>
        <w:jc w:val="left"/>
        <w:rPr>
          <w:rFonts w:cs="Times New Roman"/>
          <w:b/>
          <w:bCs/>
          <w:iCs/>
          <w:szCs w:val="28"/>
        </w:rPr>
      </w:pPr>
      <w:r>
        <w:rPr>
          <w:rFonts w:cs="Times New Roman"/>
        </w:rPr>
        <w:br w:type="page"/>
      </w:r>
    </w:p>
    <w:p w14:paraId="64701752" w14:textId="2D21D24A" w:rsidR="00B17E5F" w:rsidRPr="00322E56" w:rsidRDefault="00B17E5F" w:rsidP="00A265F3">
      <w:pPr>
        <w:pStyle w:val="Heading1"/>
      </w:pPr>
      <w:bookmarkStart w:id="105" w:name="_Toc140399840"/>
      <w:r w:rsidRPr="00322E56">
        <w:lastRenderedPageBreak/>
        <w:t>Conclusions</w:t>
      </w:r>
      <w:bookmarkEnd w:id="105"/>
    </w:p>
    <w:p w14:paraId="3B3B86B9" w14:textId="77777777" w:rsidR="00B17E5F" w:rsidRPr="00322E56" w:rsidRDefault="00B17E5F" w:rsidP="000845B8">
      <w:pPr>
        <w:rPr>
          <w:rFonts w:cs="Times New Roman"/>
        </w:rPr>
      </w:pPr>
      <w:r w:rsidRPr="00322E56">
        <w:rPr>
          <w:rFonts w:cs="Times New Roman"/>
        </w:rPr>
        <w:t>Buildings can alleviate peak demand challenges by shifting peak load to off-peak periods via TES. This chapter provided a review of HP-TES with various configurations and control strategies. The study compared HP controls without TES for DR, passive HP-TES (in the building envelope), and active HP-TES (in HP components). DR can lower some costs but cannot provide energy savings without TES. Passive TES provides up to 60% energy savings but cannot optimize grid benefits because of their lack of control over TES operation. Active HP-TES improved energy storage and provided up to 80% demand reduction through real-time charging and discharging. The utility cost savings for active HP-TES depend on the type and size of TES, TES location within an HP, and utility tariff, and energy savings highly depend on the climate and TES application. The financial viability of active HP-TES is higher in cooling-dominated climates with higher peak electricity prices. These conclusions are largely based on simulation studies, and only studies that provided some technoeconomic analysis were reviewed. Few experimental HP-TES systems are presented in literature, but the historical trend demonstrates an increasing interest in this technology over the past decade.</w:t>
      </w:r>
    </w:p>
    <w:p w14:paraId="75AC2A31" w14:textId="77777777" w:rsidR="00B17E5F" w:rsidRPr="00322E56" w:rsidRDefault="00B17E5F" w:rsidP="003E402A">
      <w:pPr>
        <w:rPr>
          <w:rFonts w:cs="Times New Roman"/>
        </w:rPr>
      </w:pPr>
    </w:p>
    <w:p w14:paraId="68DB8279" w14:textId="77777777" w:rsidR="00B17E5F" w:rsidRPr="00322E56" w:rsidRDefault="00B17E5F" w:rsidP="0054436C">
      <w:pPr>
        <w:rPr>
          <w:rFonts w:cs="Times New Roman"/>
        </w:rPr>
      </w:pPr>
    </w:p>
    <w:p w14:paraId="482952B8" w14:textId="77777777" w:rsidR="00B17E5F" w:rsidRPr="00322E56" w:rsidRDefault="00B17E5F">
      <w:pPr>
        <w:spacing w:line="240" w:lineRule="auto"/>
        <w:rPr>
          <w:rFonts w:cs="Times New Roman"/>
          <w:b/>
          <w:bCs/>
          <w:i/>
          <w:szCs w:val="26"/>
        </w:rPr>
      </w:pPr>
      <w:r w:rsidRPr="00322E56">
        <w:rPr>
          <w:rFonts w:cs="Times New Roman"/>
        </w:rPr>
        <w:br w:type="page"/>
      </w:r>
      <w:bookmarkStart w:id="106" w:name="_Toc289175833"/>
    </w:p>
    <w:p w14:paraId="745732DC" w14:textId="77777777" w:rsidR="00B17E5F" w:rsidRPr="00322E56" w:rsidRDefault="00B17E5F" w:rsidP="00DF64D1">
      <w:pPr>
        <w:pStyle w:val="Heading1"/>
        <w:rPr>
          <w:rFonts w:cs="Times New Roman"/>
        </w:rPr>
      </w:pPr>
      <w:bookmarkStart w:id="107" w:name="_Toc140399841"/>
      <w:r w:rsidRPr="00322E56">
        <w:rPr>
          <w:rFonts w:cs="Times New Roman"/>
        </w:rPr>
        <w:lastRenderedPageBreak/>
        <w:t>CHAPTER II</w:t>
      </w:r>
      <w:r w:rsidRPr="00322E56">
        <w:rPr>
          <w:rFonts w:cs="Times New Roman"/>
        </w:rPr>
        <w:br/>
      </w:r>
      <w:bookmarkEnd w:id="106"/>
      <w:r w:rsidRPr="00322E56">
        <w:rPr>
          <w:rFonts w:cs="Times New Roman"/>
        </w:rPr>
        <w:t>PHASE CHANGE MATERIAL FOR HEAT PUMP INTEGRATED WITH TES</w:t>
      </w:r>
      <w:bookmarkEnd w:id="107"/>
    </w:p>
    <w:p w14:paraId="50470FD7" w14:textId="77777777" w:rsidR="00B17E5F" w:rsidRPr="00322E56" w:rsidRDefault="00B17E5F" w:rsidP="00F71ADC">
      <w:pPr>
        <w:rPr>
          <w:rFonts w:cs="Times New Roman"/>
          <w:sz w:val="28"/>
          <w:szCs w:val="28"/>
        </w:rPr>
      </w:pPr>
      <w:r w:rsidRPr="00322E56">
        <w:rPr>
          <w:rFonts w:cs="Times New Roman"/>
          <w:sz w:val="28"/>
          <w:szCs w:val="28"/>
        </w:rPr>
        <w:br w:type="page"/>
      </w:r>
    </w:p>
    <w:p w14:paraId="513796ED" w14:textId="77777777" w:rsidR="00B17E5F" w:rsidRPr="00322E56" w:rsidRDefault="00B17E5F" w:rsidP="00DF64D1">
      <w:pPr>
        <w:ind w:firstLine="720"/>
        <w:rPr>
          <w:rFonts w:cs="Times New Roman"/>
        </w:rPr>
      </w:pPr>
      <w:bookmarkStart w:id="108" w:name="_Toc289175834"/>
      <w:r w:rsidRPr="00322E56">
        <w:rPr>
          <w:rFonts w:cs="Times New Roman"/>
        </w:rPr>
        <w:lastRenderedPageBreak/>
        <w:t xml:space="preserve">A version of this chapter was originally published by S. Sultan </w:t>
      </w:r>
      <w:r w:rsidRPr="00322E56">
        <w:rPr>
          <w:rFonts w:cs="Times New Roman"/>
          <w:i/>
          <w:iCs/>
        </w:rPr>
        <w:t>et al</w:t>
      </w:r>
      <w:r w:rsidRPr="00322E56">
        <w:rPr>
          <w:rFonts w:cs="Times New Roman"/>
        </w:rPr>
        <w:t>:</w:t>
      </w:r>
    </w:p>
    <w:p w14:paraId="5CA5EA8C" w14:textId="77777777" w:rsidR="00B17E5F" w:rsidRDefault="00B17E5F" w:rsidP="00C64393">
      <w:pPr>
        <w:ind w:firstLine="720"/>
        <w:rPr>
          <w:rFonts w:cs="Times New Roman"/>
        </w:rPr>
      </w:pPr>
      <w:r w:rsidRPr="00322E56">
        <w:rPr>
          <w:rFonts w:cs="Times New Roman"/>
        </w:rPr>
        <w:t xml:space="preserve">Sultan, Sara; Turnaoglu, Tugba; Akamo, Damilola; Hirschey, Jason; Laclair, Tim; Liu, Xiaobing; and Gluesenkamp, Kyle R., "PCM Material Selection for Heat Pump Integrated with Thermal Energy Storage for Demand Response in Residential Buildings" (2022). </w:t>
      </w:r>
      <w:r w:rsidRPr="00322E56">
        <w:rPr>
          <w:rFonts w:cs="Times New Roman"/>
          <w:i/>
          <w:iCs/>
        </w:rPr>
        <w:t>International High Performance Buildings Conference</w:t>
      </w:r>
      <w:r w:rsidRPr="00322E56">
        <w:rPr>
          <w:rFonts w:cs="Times New Roman"/>
        </w:rPr>
        <w:t>. Paper 427.</w:t>
      </w:r>
    </w:p>
    <w:p w14:paraId="48C4CC85" w14:textId="37D66C4D" w:rsidR="00C43A53" w:rsidRPr="00C43A53" w:rsidRDefault="00C43A53" w:rsidP="00C43A53">
      <w:r w:rsidRPr="00AE72D0">
        <w:t>Conceptualization</w:t>
      </w:r>
      <w:r>
        <w:t xml:space="preserve">, data collection, and </w:t>
      </w:r>
      <w:r w:rsidRPr="00AE72D0">
        <w:t xml:space="preserve">original </w:t>
      </w:r>
      <w:r>
        <w:t xml:space="preserve">manuscript </w:t>
      </w:r>
      <w:r w:rsidRPr="00AE72D0">
        <w:t xml:space="preserve">draft </w:t>
      </w:r>
      <w:r>
        <w:t xml:space="preserve">was </w:t>
      </w:r>
      <w:r w:rsidRPr="00AE72D0">
        <w:t>prepar</w:t>
      </w:r>
      <w:r>
        <w:t>ed by</w:t>
      </w:r>
      <w:r w:rsidRPr="00AE72D0">
        <w:t xml:space="preserve"> Sara Sultan</w:t>
      </w:r>
      <w:r>
        <w:t xml:space="preserve">. </w:t>
      </w:r>
      <w:r w:rsidRPr="00AE72D0">
        <w:t>Jason Hirschey, Tugba Turnaoglu</w:t>
      </w:r>
      <w:r w:rsidR="00B3664F">
        <w:t xml:space="preserve">, </w:t>
      </w:r>
      <w:r>
        <w:t>Damilola Akamo</w:t>
      </w:r>
      <w:r w:rsidR="00B3664F">
        <w:t>,</w:t>
      </w:r>
      <w:r>
        <w:t xml:space="preserve"> </w:t>
      </w:r>
      <w:r w:rsidR="00B3664F" w:rsidRPr="00AE72D0">
        <w:t xml:space="preserve">Tim LaClair, </w:t>
      </w:r>
      <w:r w:rsidR="00B3664F">
        <w:t xml:space="preserve">and </w:t>
      </w:r>
      <w:r w:rsidR="00B3664F" w:rsidRPr="00AE72D0">
        <w:t>Xiaobing Liu</w:t>
      </w:r>
      <w:r w:rsidR="00B3664F">
        <w:t>,</w:t>
      </w:r>
      <w:r w:rsidR="00B3664F" w:rsidRPr="00AE72D0">
        <w:t xml:space="preserve"> </w:t>
      </w:r>
      <w:r>
        <w:t xml:space="preserve">provided help with </w:t>
      </w:r>
      <w:r w:rsidRPr="00AE72D0">
        <w:t>editing</w:t>
      </w:r>
      <w:r>
        <w:t xml:space="preserve"> and analysis.</w:t>
      </w:r>
      <w:r w:rsidRPr="00AE72D0">
        <w:t xml:space="preserve"> </w:t>
      </w:r>
      <w:r>
        <w:t xml:space="preserve">Review and </w:t>
      </w:r>
      <w:r w:rsidRPr="00AE72D0">
        <w:t>supervision</w:t>
      </w:r>
      <w:r>
        <w:t xml:space="preserve"> by</w:t>
      </w:r>
      <w:r w:rsidRPr="00AE72D0">
        <w:t xml:space="preserve"> Kyle</w:t>
      </w:r>
      <w:r>
        <w:t xml:space="preserve"> R.</w:t>
      </w:r>
      <w:r w:rsidRPr="00AE72D0">
        <w:t xml:space="preserve"> Gluesenkamp</w:t>
      </w:r>
      <w:r>
        <w:t>.</w:t>
      </w:r>
    </w:p>
    <w:p w14:paraId="4F2114FD" w14:textId="77777777" w:rsidR="00B17E5F" w:rsidRPr="00322E56" w:rsidRDefault="00B17E5F" w:rsidP="005E54E2">
      <w:pPr>
        <w:pStyle w:val="Heading2"/>
        <w:rPr>
          <w:rFonts w:cs="Times New Roman"/>
          <w:szCs w:val="24"/>
        </w:rPr>
      </w:pPr>
      <w:bookmarkStart w:id="109" w:name="_Toc140399842"/>
      <w:r w:rsidRPr="00322E56">
        <w:rPr>
          <w:rFonts w:cs="Times New Roman"/>
          <w:szCs w:val="24"/>
        </w:rPr>
        <w:t>Abstract</w:t>
      </w:r>
      <w:bookmarkEnd w:id="108"/>
      <w:bookmarkEnd w:id="109"/>
    </w:p>
    <w:p w14:paraId="432F1ED4" w14:textId="77777777" w:rsidR="00B17E5F" w:rsidRPr="00322E56" w:rsidRDefault="00B17E5F" w:rsidP="007B2994">
      <w:pPr>
        <w:rPr>
          <w:rFonts w:cs="Times New Roman"/>
        </w:rPr>
      </w:pPr>
      <w:r w:rsidRPr="00322E56">
        <w:rPr>
          <w:rFonts w:cs="Times New Roman"/>
        </w:rPr>
        <w:t>PCMs can be used for space heating and cooling applications in residential buildings by integrating into the HP equipment or building envelope via several possible configurations.  The HP integrated active PCM storage can provide significant energy savings and reduce peak demand, but the benefits vary substantially depending on the system configuration, storage capacity, and the temperature range of the PCM used.  Low temperature salt hydrate PCMs with melting point closer to the room temperature have garnered interest for near ambient TES systems because of their high storage density. However, the PCMs in this range often have low thermal conductivity that impacts the storage capacity. As such, modifications are needed to enhance the stability and thermal properties of PCM. It is critical to provide a review of the materials and their suitability in HP integrated PCM systems.  This chapter will present an analysis of the PCM material selection for heat pump integrated TES in various configurations.  The comprehensive review will compare PCMs with different melting temperatures, and configurations, corresponding to the energy savings and demand impact reported in the literature.  This work is significant to guide the design of high-performance heat pump integrated PCM systems.</w:t>
      </w:r>
    </w:p>
    <w:p w14:paraId="01BE7A98" w14:textId="77777777" w:rsidR="00B17E5F" w:rsidRPr="00322E56" w:rsidRDefault="00B17E5F" w:rsidP="005E54E2">
      <w:pPr>
        <w:pStyle w:val="Heading2"/>
        <w:rPr>
          <w:rFonts w:cs="Times New Roman"/>
          <w:szCs w:val="24"/>
        </w:rPr>
      </w:pPr>
      <w:bookmarkStart w:id="110" w:name="_Toc140399843"/>
      <w:bookmarkStart w:id="111" w:name="_Toc289175835"/>
      <w:r w:rsidRPr="00322E56">
        <w:rPr>
          <w:rFonts w:cs="Times New Roman"/>
          <w:szCs w:val="24"/>
        </w:rPr>
        <w:lastRenderedPageBreak/>
        <w:t>Research Question</w:t>
      </w:r>
      <w:bookmarkEnd w:id="110"/>
    </w:p>
    <w:p w14:paraId="0371C8F4" w14:textId="77777777" w:rsidR="00B17E5F" w:rsidRPr="00322E56" w:rsidRDefault="00B17E5F" w:rsidP="007B2994">
      <w:pPr>
        <w:rPr>
          <w:rFonts w:cs="Times New Roman"/>
          <w:i/>
          <w:iCs/>
        </w:rPr>
      </w:pPr>
      <w:r w:rsidRPr="00322E56">
        <w:rPr>
          <w:rFonts w:cs="Times New Roman"/>
          <w:i/>
          <w:iCs/>
        </w:rPr>
        <w:t>What is the optimum PCM temperature and heat pump configuration for maximum economic and grid benefits of heat pump integrated TES?</w:t>
      </w:r>
    </w:p>
    <w:p w14:paraId="3F36E0CE" w14:textId="77777777" w:rsidR="00B17E5F" w:rsidRPr="00322E56" w:rsidRDefault="00B17E5F" w:rsidP="005E54E2">
      <w:pPr>
        <w:pStyle w:val="Heading2"/>
        <w:rPr>
          <w:rFonts w:cs="Times New Roman"/>
          <w:szCs w:val="24"/>
        </w:rPr>
      </w:pPr>
      <w:bookmarkStart w:id="112" w:name="_Toc140399844"/>
      <w:bookmarkEnd w:id="111"/>
      <w:r w:rsidRPr="00322E56">
        <w:rPr>
          <w:rFonts w:cs="Times New Roman"/>
          <w:szCs w:val="24"/>
        </w:rPr>
        <w:t>Background</w:t>
      </w:r>
      <w:bookmarkEnd w:id="112"/>
    </w:p>
    <w:p w14:paraId="375B1718" w14:textId="5444F4AC" w:rsidR="00B17E5F" w:rsidRPr="00322E56" w:rsidRDefault="00B17E5F" w:rsidP="00EE53EA">
      <w:pPr>
        <w:rPr>
          <w:rFonts w:cs="Times New Roman"/>
        </w:rPr>
      </w:pPr>
      <w:r w:rsidRPr="00322E56">
        <w:rPr>
          <w:rFonts w:cs="Times New Roman"/>
          <w:color w:val="0D0D0D" w:themeColor="text1" w:themeTint="F2"/>
        </w:rPr>
        <w:t xml:space="preserve">Building’s energy consumption and peak demand is often attributed to air conditioning applications. </w:t>
      </w:r>
      <w:r w:rsidRPr="00322E56">
        <w:rPr>
          <w:rFonts w:cs="Times New Roman"/>
        </w:rPr>
        <w:t xml:space="preserve">More than half of the energy consumed in the residential buildings is used for air conditioning and space heating. According to the DOE report, 54% of the site energy consumption is accounted for space heating and cooling combined, driving major portion of the residential energy demand </w:t>
      </w:r>
      <w:sdt>
        <w:sdtPr>
          <w:rPr>
            <w:rFonts w:cs="Times New Roman"/>
            <w:color w:val="000000"/>
          </w:rPr>
          <w:tag w:val="MENDELEY_CITATION_v3_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"/>
          <w:id w:val="-419092244"/>
          <w:placeholder>
            <w:docPart w:val="1A2525848BCC4DE7B92B0B94C48E934A"/>
          </w:placeholder>
        </w:sdtPr>
        <w:sdtContent>
          <w:r w:rsidR="001E7ECF" w:rsidRPr="001E7ECF">
            <w:rPr>
              <w:rFonts w:cs="Times New Roman"/>
              <w:color w:val="000000"/>
            </w:rPr>
            <w:t>[49], [52]</w:t>
          </w:r>
        </w:sdtContent>
      </w:sdt>
      <w:r w:rsidRPr="00322E56">
        <w:rPr>
          <w:rFonts w:cs="Times New Roman"/>
        </w:rPr>
        <w:t xml:space="preserve">. The residential buildings can play a major role to reduce energy demand and increase the building flexibility while maintaining the temperature in a comfortable range, by designing a load shifting strategy </w:t>
      </w:r>
      <w:sdt>
        <w:sdtPr>
          <w:rPr>
            <w:rFonts w:cs="Times New Roman"/>
            <w:color w:val="000000"/>
          </w:rPr>
          <w:tag w:val="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"/>
          <w:id w:val="461934372"/>
          <w:placeholder>
            <w:docPart w:val="E6CC8F53038D4A9AAABAF91D456B42EB"/>
          </w:placeholder>
        </w:sdtPr>
        <w:sdtContent>
          <w:r w:rsidR="001E7ECF" w:rsidRPr="001E7ECF">
            <w:rPr>
              <w:rFonts w:cs="Times New Roman"/>
              <w:color w:val="000000"/>
            </w:rPr>
            <w:t>[54]–[57]</w:t>
          </w:r>
        </w:sdtContent>
      </w:sdt>
      <w:r w:rsidRPr="00322E56">
        <w:rPr>
          <w:rFonts w:cs="Times New Roman"/>
        </w:rPr>
        <w:t xml:space="preserve">. The major electric load from the residential buildings comprises 80% of the total electricity use in the U.S., and 78% of the peak period use during 2-8 PM </w:t>
      </w:r>
      <w:sdt>
        <w:sdtPr>
          <w:rPr>
            <w:rFonts w:cs="Times New Roman"/>
            <w:color w:val="000000"/>
          </w:rPr>
          <w:tag w:val="MENDELEY_CITATION_v3_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"/>
          <w:id w:val="-879860290"/>
          <w:placeholder>
            <w:docPart w:val="0D72E30BE8F441EF91366D2E3502DCA4"/>
          </w:placeholder>
        </w:sdtPr>
        <w:sdtContent>
          <w:r w:rsidR="001E7ECF" w:rsidRPr="001E7ECF">
            <w:rPr>
              <w:rFonts w:cs="Times New Roman"/>
              <w:color w:val="000000"/>
            </w:rPr>
            <w:t>[53]</w:t>
          </w:r>
        </w:sdtContent>
      </w:sdt>
      <w:r w:rsidRPr="00322E56">
        <w:rPr>
          <w:rFonts w:cs="Times New Roman"/>
        </w:rPr>
        <w:t xml:space="preserve">. </w:t>
      </w:r>
    </w:p>
    <w:p w14:paraId="3C91BD39" w14:textId="61765838" w:rsidR="00B17E5F" w:rsidRPr="00322E56" w:rsidRDefault="00B17E5F" w:rsidP="00E54052">
      <w:pPr>
        <w:rPr>
          <w:rFonts w:cs="Times New Roman"/>
        </w:rPr>
      </w:pPr>
      <w:r w:rsidRPr="00322E56">
        <w:rPr>
          <w:rFonts w:cs="Times New Roman"/>
        </w:rPr>
        <w:t>About 80% of American homes are detached single-family houses of an average area of about 2600 ft</w:t>
      </w:r>
      <w:r w:rsidRPr="00322E56">
        <w:rPr>
          <w:rFonts w:cs="Times New Roman"/>
          <w:vertAlign w:val="superscript"/>
        </w:rPr>
        <w:t>2</w:t>
      </w:r>
      <w:r w:rsidRPr="00322E56">
        <w:rPr>
          <w:rFonts w:cs="Times New Roman"/>
        </w:rPr>
        <w:t xml:space="preserve">, with an average occupancy of 2.5 </w:t>
      </w:r>
      <w:sdt>
        <w:sdtPr>
          <w:rPr>
            <w:rFonts w:cs="Times New Roman"/>
            <w:color w:val="000000"/>
          </w:rPr>
          <w:tag w:val="MENDELEY_CITATION_v3_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"/>
          <w:id w:val="-615917283"/>
          <w:placeholder>
            <w:docPart w:val="057F506C30584E52B2D899913C2A64E1"/>
          </w:placeholder>
        </w:sdtPr>
        <w:sdtContent>
          <w:r w:rsidR="001E7ECF" w:rsidRPr="001E7ECF">
            <w:rPr>
              <w:rFonts w:cs="Times New Roman"/>
              <w:color w:val="000000"/>
            </w:rPr>
            <w:t>[1]</w:t>
          </w:r>
        </w:sdtContent>
      </w:sdt>
      <w:r w:rsidRPr="00322E56">
        <w:rPr>
          <w:rFonts w:cs="Times New Roman"/>
        </w:rPr>
        <w:t xml:space="preserve">. Furthermore, 90% of homes in the U.S. use air conditioning as of 2019, and 75% of those air-conditioned homes use central units. In 2019, the average annual electricity consumption for a U.S. residential utility customer was about 877 kWh per month. The consumers end up paying additional peak demand charges due to stress on the utility grid. </w:t>
      </w:r>
    </w:p>
    <w:p w14:paraId="3E1514D1" w14:textId="1CC04123" w:rsidR="00B17E5F" w:rsidRPr="00322E56" w:rsidRDefault="00B17E5F" w:rsidP="00E54052">
      <w:pPr>
        <w:tabs>
          <w:tab w:val="left" w:pos="450"/>
        </w:tabs>
        <w:rPr>
          <w:rFonts w:cs="Times New Roman"/>
          <w:color w:val="0D0D0D" w:themeColor="text1" w:themeTint="F2"/>
        </w:rPr>
      </w:pPr>
      <w:r w:rsidRPr="00322E56">
        <w:rPr>
          <w:rFonts w:cs="Times New Roman"/>
        </w:rPr>
        <w:t xml:space="preserve">Though, the energy consumption and demand in the U.S. declined by 14% in response to the COVID-19 pandemic, however, the residential buildings energy consumption rose by 8% due to the increased residential demand shift as a result of working from home </w:t>
      </w:r>
      <w:sdt>
        <w:sdtPr>
          <w:rPr>
            <w:rFonts w:cs="Times New Roman"/>
            <w:color w:val="000000"/>
          </w:rPr>
          <w:tag w:val="MENDELEY_CITATION_v3_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"/>
          <w:id w:val="-1534881540"/>
          <w:placeholder>
            <w:docPart w:val="EA67E2A478364E0C993DF9E86B4CAC4E"/>
          </w:placeholder>
        </w:sdtPr>
        <w:sdtContent>
          <w:r w:rsidR="001E7ECF" w:rsidRPr="001E7ECF">
            <w:rPr>
              <w:rFonts w:cs="Times New Roman"/>
              <w:color w:val="000000"/>
            </w:rPr>
            <w:t>[159]</w:t>
          </w:r>
        </w:sdtContent>
      </w:sdt>
      <w:r w:rsidRPr="00322E56">
        <w:rPr>
          <w:rFonts w:cs="Times New Roman"/>
        </w:rPr>
        <w:t xml:space="preserve">. </w:t>
      </w:r>
      <w:r w:rsidRPr="00322E56">
        <w:rPr>
          <w:rFonts w:cs="Times New Roman"/>
          <w:color w:val="0D0D0D" w:themeColor="text1" w:themeTint="F2"/>
        </w:rPr>
        <w:t xml:space="preserve">Power generation grids around the world are undergoing major changes to cope with the increasing energy demand and maintain physical and economic stability in response to the growing need for renewable energy generation </w:t>
      </w:r>
      <w:sdt>
        <w:sdtPr>
          <w:rPr>
            <w:rFonts w:cs="Times New Roman"/>
            <w:color w:val="000000"/>
          </w:rPr>
          <w:tag w:val="MENDELEY_CITATION_v3_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"/>
          <w:id w:val="-79841362"/>
          <w:placeholder>
            <w:docPart w:val="E33ADEFD23A04797A7BF91C59E6F6EA9"/>
          </w:placeholder>
        </w:sdtPr>
        <w:sdtContent>
          <w:r w:rsidR="001E7ECF" w:rsidRPr="001E7ECF">
            <w:rPr>
              <w:rFonts w:cs="Times New Roman"/>
              <w:color w:val="000000"/>
            </w:rPr>
            <w:t>[92]</w:t>
          </w:r>
        </w:sdtContent>
      </w:sdt>
      <w:r w:rsidRPr="00322E56">
        <w:rPr>
          <w:rFonts w:cs="Times New Roman"/>
        </w:rPr>
        <w:t xml:space="preserve">. The </w:t>
      </w:r>
      <w:r w:rsidRPr="00322E56">
        <w:rPr>
          <w:rFonts w:cs="Times New Roman"/>
          <w:color w:val="0D0D0D" w:themeColor="text1" w:themeTint="F2"/>
        </w:rPr>
        <w:t xml:space="preserve">technological advances and flexibility in the design and operation of HVAC systems can allow them to help the grid overcome these new load patterns challenges if properly managed. </w:t>
      </w:r>
    </w:p>
    <w:p w14:paraId="49CC58FD" w14:textId="1444E13E" w:rsidR="00B17E5F" w:rsidRPr="00322E56" w:rsidRDefault="00B17E5F" w:rsidP="00E54052">
      <w:pPr>
        <w:tabs>
          <w:tab w:val="left" w:pos="450"/>
        </w:tabs>
        <w:rPr>
          <w:rFonts w:cs="Times New Roman"/>
        </w:rPr>
      </w:pPr>
      <w:r w:rsidRPr="00322E56">
        <w:rPr>
          <w:rFonts w:cs="Times New Roman"/>
        </w:rPr>
        <w:lastRenderedPageBreak/>
        <w:t xml:space="preserve">Typically, in US residential buildings, there is no mechanical outdoor air exchange, or cross ventilation using natural resources, therefore, heat pumps are important to regulate the humidity inside the house as well as the indoor temperature. It is often cost-prohibitive to rebuild houses or update the conventional methods, but the heat pump systems can be made smart to respond to the peak demand changes. Today’s high-efficiency HVAC and appliance products can provide energy savings, but do not generally help with demand management and grid stress </w:t>
      </w:r>
      <w:sdt>
        <w:sdtPr>
          <w:rPr>
            <w:rFonts w:cs="Times New Roman"/>
            <w:color w:val="000000"/>
          </w:rPr>
          <w:tag w:val="MENDELEY_CITATION_v3_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"/>
          <w:id w:val="-617672300"/>
          <w:placeholder>
            <w:docPart w:val="F67AF242786040CD8F523A2EA65EC051"/>
          </w:placeholder>
        </w:sdtPr>
        <w:sdtContent>
          <w:r w:rsidR="001E7ECF" w:rsidRPr="001E7ECF">
            <w:rPr>
              <w:rFonts w:cs="Times New Roman"/>
              <w:color w:val="000000"/>
            </w:rPr>
            <w:t>[23]</w:t>
          </w:r>
        </w:sdtContent>
      </w:sdt>
      <w:r w:rsidRPr="00322E56">
        <w:rPr>
          <w:rFonts w:cs="Times New Roman"/>
        </w:rPr>
        <w:t>.</w:t>
      </w:r>
    </w:p>
    <w:p w14:paraId="3F7EAB31" w14:textId="0B3B48D1" w:rsidR="00B17E5F" w:rsidRPr="00322E56" w:rsidRDefault="00B17E5F" w:rsidP="00E54052">
      <w:pPr>
        <w:tabs>
          <w:tab w:val="left" w:pos="450"/>
        </w:tabs>
        <w:rPr>
          <w:rFonts w:cs="Times New Roman"/>
        </w:rPr>
      </w:pPr>
      <w:r w:rsidRPr="00322E56">
        <w:rPr>
          <w:rFonts w:cs="Times New Roman"/>
          <w:color w:val="0D0D0D" w:themeColor="text1" w:themeTint="F2"/>
        </w:rPr>
        <w:t xml:space="preserve">Thermal energy storage (TES), which has capability to decouple the energy generation from its demand and usage, can be a crucial tool to shift the thermal loads. </w:t>
      </w:r>
      <w:r w:rsidRPr="00322E56">
        <w:rPr>
          <w:rFonts w:cs="Times New Roman"/>
        </w:rPr>
        <w:t xml:space="preserve">TES systems can be easily incorporated in small to large single-family or multi-family residential buildings. They are designed to trim the building’s electrical demand profile by reducing the energy usage and high demand costs arising from summer cooling and winter heating needs </w:t>
      </w:r>
      <w:sdt>
        <w:sdtPr>
          <w:rPr>
            <w:rFonts w:cs="Times New Roman"/>
            <w:color w:val="000000"/>
          </w:rPr>
          <w:tag w:val="MENDELEY_CITATION_v3_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"/>
          <w:id w:val="1538698305"/>
          <w:placeholder>
            <w:docPart w:val="72625A6A4C4B4DB88B1FD21D0B9254C8"/>
          </w:placeholder>
        </w:sdtPr>
        <w:sdtContent>
          <w:r w:rsidR="001E7ECF" w:rsidRPr="001E7ECF">
            <w:rPr>
              <w:rFonts w:cs="Times New Roman"/>
              <w:color w:val="000000"/>
            </w:rPr>
            <w:t>[98]</w:t>
          </w:r>
        </w:sdtContent>
      </w:sdt>
      <w:r w:rsidRPr="00322E56">
        <w:rPr>
          <w:rFonts w:cs="Times New Roman"/>
        </w:rPr>
        <w:t>. When properly controlled, thermal storage can be useful in an economic or behavioral curtailment scenario for demand response. Major factors influencing an appropriate TES system's choice include the energy storage period and duration, cost and economic feasibility, and operational conditions. The building's thermal load is also dependent on the weather conditions and the thermal quality of the building envelope.</w:t>
      </w:r>
    </w:p>
    <w:p w14:paraId="797A4300" w14:textId="77777777" w:rsidR="00B17E5F" w:rsidRDefault="00B17E5F" w:rsidP="00E54052">
      <w:pPr>
        <w:rPr>
          <w:rFonts w:cs="Times New Roman"/>
          <w:color w:val="0D0D0D" w:themeColor="text1" w:themeTint="F2"/>
        </w:rPr>
      </w:pPr>
      <w:r w:rsidRPr="00322E56">
        <w:rPr>
          <w:rFonts w:cs="Times New Roman"/>
          <w:color w:val="0D0D0D" w:themeColor="text1" w:themeTint="F2"/>
        </w:rPr>
        <w:t xml:space="preserve">Phase Change Materials (PCMs) are widely used commercial thermal storage materials that could be used for space heating and cooling applications in various configurations. PCM-TES can store and release energy through charging and discharging process, respectively. By utilizing TES to store the energy for later use during peak hours, demand management systems can be designed to take advantage of lower utility rates during off-peak hours. </w:t>
      </w:r>
    </w:p>
    <w:p w14:paraId="54A83BDC" w14:textId="449B2631" w:rsidR="00C20B90" w:rsidRPr="00322E56" w:rsidRDefault="00C20B90" w:rsidP="00E54052">
      <w:pPr>
        <w:rPr>
          <w:rFonts w:cs="Times New Roman"/>
          <w:color w:val="0D0D0D" w:themeColor="text1" w:themeTint="F2"/>
        </w:rPr>
      </w:pPr>
      <w:r w:rsidRPr="00C20B90">
        <w:rPr>
          <w:rFonts w:cs="Times New Roman"/>
          <w:color w:val="0D0D0D" w:themeColor="text1" w:themeTint="F2"/>
        </w:rPr>
        <w:t xml:space="preserve">Researchers have used various configurations to employ the economic and grid benefits of PCM-TES for heating and cooling applications in buildings. The most common configurations are to install the material in building envelope via passive storage where the charging and discharging process is the function of ambient temperature, hence the grid benefits can’t be maximized. Active storage configurations allow real-time control of TES </w:t>
      </w:r>
      <w:r w:rsidRPr="00C20B90">
        <w:rPr>
          <w:rFonts w:cs="Times New Roman"/>
          <w:color w:val="0D0D0D" w:themeColor="text1" w:themeTint="F2"/>
        </w:rPr>
        <w:lastRenderedPageBreak/>
        <w:t>and are proven to be more effective than passive configurations. Active TES systems mechanically transfer the heat and hence can control when to charge or discharge the TES. This allows the TES systems to achieve grid flexibility, making them more suitable for load shifting and demand management. Another benefit of active configuration is the flexibility to be installed in an existing building infrastructure without needing a significant construction. The TES may be separate and removed from the space.</w:t>
      </w:r>
    </w:p>
    <w:p w14:paraId="7CB3A989" w14:textId="37A3B310" w:rsidR="00B17E5F" w:rsidRPr="00322E56" w:rsidRDefault="00B17E5F" w:rsidP="00E54052">
      <w:pPr>
        <w:rPr>
          <w:rFonts w:cs="Times New Roman"/>
          <w:color w:val="0D0D0D" w:themeColor="text1" w:themeTint="F2"/>
        </w:rPr>
      </w:pPr>
      <w:r w:rsidRPr="00322E56">
        <w:rPr>
          <w:rFonts w:cs="Times New Roman"/>
          <w:color w:val="0D0D0D" w:themeColor="text1" w:themeTint="F2"/>
        </w:rPr>
        <w:t xml:space="preserve">PCM-TES can behave as a standalone isothermal heat exchanger when integrated with heat pump (HP), and can offer advantages by shifting the peak demand while maintaining an adequate internal temperature in comfort range, without excessively using heat pump equipment. HP-TES in an active configuration, can enhance these benefits with a better performance if heat transfer is controlled by the heat pump </w:t>
      </w:r>
      <w:sdt>
        <w:sdtPr>
          <w:rPr>
            <w:rFonts w:cs="Times New Roman"/>
            <w:color w:val="000000"/>
          </w:rPr>
          <w:tag w:val="MENDELEY_CITATION_v3_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"/>
          <w:id w:val="2007008964"/>
          <w:placeholder>
            <w:docPart w:val="7EE9AB325D024241A8875B73C8DCF313"/>
          </w:placeholder>
        </w:sdtPr>
        <w:sdtContent>
          <w:r w:rsidR="001E7ECF" w:rsidRPr="001E7ECF">
            <w:rPr>
              <w:rFonts w:cs="Times New Roman"/>
              <w:color w:val="000000"/>
            </w:rPr>
            <w:t>[3]</w:t>
          </w:r>
        </w:sdtContent>
      </w:sdt>
      <w:r w:rsidRPr="00322E56">
        <w:rPr>
          <w:rFonts w:cs="Times New Roman"/>
          <w:color w:val="0D0D0D" w:themeColor="text1" w:themeTint="F2"/>
        </w:rPr>
        <w:t>.</w:t>
      </w:r>
    </w:p>
    <w:p w14:paraId="137BE9E7" w14:textId="77777777" w:rsidR="00B17E5F" w:rsidRPr="00322E56" w:rsidRDefault="00B17E5F" w:rsidP="00E54052">
      <w:pPr>
        <w:rPr>
          <w:rFonts w:cs="Times New Roman"/>
          <w:color w:val="0D0D0D" w:themeColor="text1" w:themeTint="F2"/>
        </w:rPr>
      </w:pPr>
      <w:r w:rsidRPr="00322E56">
        <w:rPr>
          <w:rFonts w:cs="Times New Roman"/>
          <w:color w:val="0D0D0D" w:themeColor="text1" w:themeTint="F2"/>
        </w:rPr>
        <w:t xml:space="preserve">The key to using TES to provide economic and grid benefits is the development of materials and packaging in optimized configuration and temperature range. Low temperature salt hydrate PCMs with melting point closer to the room temperature have garnered interest for near ambient TES systems because of their high storage density. However, the PCMs in this range often have low thermal conductivity that impacts the storage capacity. As such, modifications are needed to enhance the stability and thermal properties of PCM. Researchers have used single material in passive configurations for both high and low temperature applications but for active configuration, the materials with different melting temperature are selected for each application. Melting temperature for cooling applications is below 10°C, while for heating is above 40°C. </w:t>
      </w:r>
    </w:p>
    <w:p w14:paraId="13C90396" w14:textId="77777777" w:rsidR="00B17E5F" w:rsidRPr="00322E56" w:rsidRDefault="00B17E5F" w:rsidP="00E54052">
      <w:pPr>
        <w:rPr>
          <w:rFonts w:cs="Times New Roman"/>
        </w:rPr>
      </w:pPr>
      <w:r w:rsidRPr="00322E56">
        <w:rPr>
          <w:rFonts w:cs="Times New Roman"/>
          <w:color w:val="0D0D0D" w:themeColor="text1" w:themeTint="F2"/>
        </w:rPr>
        <w:t xml:space="preserve">The benefits also vary largely due to other factors such as PCM material and temperature, configuration, and climate zone. </w:t>
      </w:r>
      <w:r w:rsidRPr="00322E56">
        <w:rPr>
          <w:rFonts w:cs="Times New Roman"/>
        </w:rPr>
        <w:t>Figure 17 below shows the demand impact and load shifting benefits reported in literature for Heat pump coupled passive and active TES. Active TES dominate mostly because the high level of control, allows designing and incorporating effective load shifting strategy.</w:t>
      </w:r>
    </w:p>
    <w:p w14:paraId="4F4F1742" w14:textId="77777777" w:rsidR="00B17E5F" w:rsidRPr="00322E56" w:rsidRDefault="00B17E5F">
      <w:pPr>
        <w:spacing w:line="240" w:lineRule="auto"/>
        <w:rPr>
          <w:rFonts w:cs="Times New Roman"/>
        </w:rPr>
      </w:pPr>
      <w:r w:rsidRPr="00322E56">
        <w:rPr>
          <w:rFonts w:cs="Times New Roman"/>
        </w:rPr>
        <w:br w:type="page"/>
      </w:r>
    </w:p>
    <w:p w14:paraId="283C2B1A" w14:textId="77777777" w:rsidR="00B17E5F" w:rsidRPr="00322E56" w:rsidRDefault="00B17E5F" w:rsidP="00E54052">
      <w:pPr>
        <w:rPr>
          <w:rFonts w:cs="Times New Roman"/>
        </w:rPr>
      </w:pPr>
    </w:p>
    <w:p w14:paraId="274E3C0B" w14:textId="77777777" w:rsidR="00B17E5F" w:rsidRPr="00322E56" w:rsidRDefault="00B17E5F" w:rsidP="00252E8E">
      <w:pPr>
        <w:keepNext/>
        <w:jc w:val="center"/>
        <w:rPr>
          <w:rFonts w:cs="Times New Roman"/>
        </w:rPr>
      </w:pPr>
      <w:r w:rsidRPr="00322E56">
        <w:rPr>
          <w:rFonts w:cs="Times New Roman"/>
          <w:noProof/>
          <w:color w:val="0D0D0D" w:themeColor="text1" w:themeTint="F2"/>
        </w:rPr>
        <w:drawing>
          <wp:inline distT="0" distB="0" distL="0" distR="0" wp14:anchorId="756662B7" wp14:editId="73E5F931">
            <wp:extent cx="5411755" cy="3250056"/>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68353" cy="3284046"/>
                    </a:xfrm>
                    <a:prstGeom prst="rect">
                      <a:avLst/>
                    </a:prstGeom>
                    <a:noFill/>
                  </pic:spPr>
                </pic:pic>
              </a:graphicData>
            </a:graphic>
          </wp:inline>
        </w:drawing>
      </w:r>
    </w:p>
    <w:p w14:paraId="7F62434A" w14:textId="40D27A3A" w:rsidR="00B17E5F" w:rsidRPr="00322E56" w:rsidRDefault="00B17E5F" w:rsidP="00252E8E">
      <w:pPr>
        <w:pStyle w:val="Caption"/>
        <w:jc w:val="center"/>
        <w:rPr>
          <w:rFonts w:cs="Times New Roman"/>
        </w:rPr>
      </w:pPr>
      <w:bookmarkStart w:id="113" w:name="_Toc140403883"/>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17</w:t>
      </w:r>
      <w:r w:rsidRPr="00322E56">
        <w:rPr>
          <w:rFonts w:cs="Times New Roman"/>
        </w:rPr>
        <w:fldChar w:fldCharType="end"/>
      </w:r>
      <w:r w:rsidRPr="00322E56">
        <w:rPr>
          <w:rFonts w:cs="Times New Roman"/>
        </w:rPr>
        <w:t>: Comparison of load shifting benefits for Active and Passive TES</w:t>
      </w:r>
      <w:bookmarkEnd w:id="113"/>
    </w:p>
    <w:p w14:paraId="77BC7127" w14:textId="77777777" w:rsidR="00B17E5F" w:rsidRPr="00322E56" w:rsidRDefault="00B17E5F">
      <w:pPr>
        <w:spacing w:line="240" w:lineRule="auto"/>
        <w:rPr>
          <w:rFonts w:cs="Times New Roman"/>
        </w:rPr>
      </w:pPr>
      <w:r w:rsidRPr="00322E56">
        <w:rPr>
          <w:rFonts w:cs="Times New Roman"/>
        </w:rPr>
        <w:br w:type="page"/>
      </w:r>
    </w:p>
    <w:p w14:paraId="23A2A139" w14:textId="77777777" w:rsidR="00D30714" w:rsidRPr="00322E56" w:rsidRDefault="00D30714" w:rsidP="00D30714">
      <w:pPr>
        <w:rPr>
          <w:rFonts w:cs="Times New Roman"/>
          <w:color w:val="0D0D0D" w:themeColor="text1" w:themeTint="F2"/>
        </w:rPr>
      </w:pPr>
      <w:r w:rsidRPr="00322E56">
        <w:rPr>
          <w:rFonts w:cs="Times New Roman"/>
          <w:color w:val="0D0D0D" w:themeColor="text1" w:themeTint="F2"/>
        </w:rPr>
        <w:lastRenderedPageBreak/>
        <w:t>The focus of this chapter is to review PCM used in active HP-TES. Literature review is conducted to evaluate the properties of PCM used in active HP-TES, as well as to compare the different configurations.</w:t>
      </w:r>
    </w:p>
    <w:p w14:paraId="6FD39907" w14:textId="2033C84C" w:rsidR="00D30714" w:rsidRPr="00D30714" w:rsidRDefault="00D30714" w:rsidP="00D30714">
      <w:pPr>
        <w:rPr>
          <w:rFonts w:cs="Times New Roman"/>
          <w:color w:val="0D0D0D" w:themeColor="text1" w:themeTint="F2"/>
        </w:rPr>
      </w:pPr>
      <w:r w:rsidRPr="00322E56">
        <w:rPr>
          <w:rFonts w:cs="Times New Roman"/>
          <w:color w:val="0D0D0D" w:themeColor="text1" w:themeTint="F2"/>
        </w:rPr>
        <w:t>Next section will discuss the salt hydrate PCMs, focusing on melting temperature and storage capacity. It is further explained how PCMs are integrated in heat pump via different configurations. The demand impact is also reported and compared against the PCM types, heat pump configurations, and TES application.</w:t>
      </w:r>
    </w:p>
    <w:p w14:paraId="134DEE5D" w14:textId="2509461D" w:rsidR="00B17E5F" w:rsidRPr="00322E56" w:rsidRDefault="00B17E5F" w:rsidP="000D15B3">
      <w:pPr>
        <w:pStyle w:val="Heading2"/>
        <w:rPr>
          <w:rFonts w:cs="Times New Roman"/>
        </w:rPr>
      </w:pPr>
      <w:bookmarkStart w:id="114" w:name="_Toc140399845"/>
      <w:r w:rsidRPr="00322E56">
        <w:rPr>
          <w:rFonts w:cs="Times New Roman"/>
        </w:rPr>
        <w:t>PCM for HP-TES</w:t>
      </w:r>
      <w:bookmarkEnd w:id="114"/>
    </w:p>
    <w:p w14:paraId="2FBE2FBE" w14:textId="736AF4A6" w:rsidR="00B17E5F" w:rsidRPr="00322E56" w:rsidRDefault="00B17E5F" w:rsidP="000D15B3">
      <w:pPr>
        <w:rPr>
          <w:rFonts w:cs="Times New Roman"/>
        </w:rPr>
      </w:pPr>
      <w:r w:rsidRPr="00322E56">
        <w:rPr>
          <w:rFonts w:cs="Times New Roman"/>
        </w:rPr>
        <w:t xml:space="preserve">PCMs perform solid-liquid phase changes at temperatures in the operational range of the designated thermal application. When a phase transformation from a solid to a liquid occurs, the energy is absorbed by the phase transitioning material from the surroundings, though maintaining almost the same temperature </w:t>
      </w:r>
      <w:sdt>
        <w:sdtPr>
          <w:rPr>
            <w:rFonts w:cs="Times New Roman"/>
            <w:color w:val="000000"/>
          </w:rPr>
          <w:tag w:val="MENDELEY_CITATION_v3_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"/>
          <w:id w:val="804666668"/>
          <w:placeholder>
            <w:docPart w:val="55C7381D6B2547FE9FD0449E271CEFD4"/>
          </w:placeholder>
        </w:sdtPr>
        <w:sdtContent>
          <w:r w:rsidR="001E7ECF" w:rsidRPr="001E7ECF">
            <w:rPr>
              <w:rFonts w:cs="Times New Roman"/>
              <w:color w:val="000000"/>
            </w:rPr>
            <w:t>[102]</w:t>
          </w:r>
        </w:sdtContent>
      </w:sdt>
      <w:r w:rsidRPr="00322E56">
        <w:rPr>
          <w:rFonts w:cs="Times New Roman"/>
        </w:rPr>
        <w:t xml:space="preserve">. There are generally three classifications of PCMs; organic PCMs, inorganic PCMs, and eutectics. Organic PCMs are attributed to low heat conductivities and are flammable, while inorganic PCMs are relatively inexpensive, easily synthesized, nonflammable and possess high thermal conductivity and high storage capacity </w:t>
      </w:r>
      <w:sdt>
        <w:sdtPr>
          <w:rPr>
            <w:rFonts w:cs="Times New Roman"/>
            <w:color w:val="000000"/>
          </w:rPr>
          <w:tag w:val="MENDELEY_CITATION_v3_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"/>
          <w:id w:val="218094890"/>
          <w:placeholder>
            <w:docPart w:val="55C7381D6B2547FE9FD0449E271CEFD4"/>
          </w:placeholder>
        </w:sdtPr>
        <w:sdtContent>
          <w:r w:rsidR="001E7ECF" w:rsidRPr="001E7ECF">
            <w:rPr>
              <w:rFonts w:cs="Times New Roman"/>
              <w:color w:val="000000"/>
            </w:rPr>
            <w:t>[103]</w:t>
          </w:r>
        </w:sdtContent>
      </w:sdt>
      <w:r w:rsidRPr="00322E56">
        <w:rPr>
          <w:rFonts w:cs="Times New Roman"/>
        </w:rPr>
        <w:t>.</w:t>
      </w:r>
    </w:p>
    <w:p w14:paraId="2E3A4A37" w14:textId="77777777" w:rsidR="00B17E5F" w:rsidRPr="00322E56" w:rsidRDefault="00B17E5F" w:rsidP="000D15B3">
      <w:pPr>
        <w:rPr>
          <w:rFonts w:cs="Times New Roman"/>
        </w:rPr>
      </w:pPr>
      <w:r w:rsidRPr="00322E56">
        <w:rPr>
          <w:rFonts w:cs="Times New Roman"/>
        </w:rPr>
        <w:t>Any energy storage system should at least possess the following components:</w:t>
      </w:r>
    </w:p>
    <w:p w14:paraId="0D3DF0AF" w14:textId="77777777" w:rsidR="00B17E5F" w:rsidRPr="00322E56" w:rsidRDefault="00B17E5F" w:rsidP="000D15B3">
      <w:pPr>
        <w:numPr>
          <w:ilvl w:val="0"/>
          <w:numId w:val="2"/>
        </w:numPr>
        <w:rPr>
          <w:rFonts w:cs="Times New Roman"/>
        </w:rPr>
      </w:pPr>
      <w:r w:rsidRPr="00322E56">
        <w:rPr>
          <w:rFonts w:cs="Times New Roman"/>
        </w:rPr>
        <w:t>A PCM with the desired temperature range</w:t>
      </w:r>
    </w:p>
    <w:p w14:paraId="1C470EBE" w14:textId="77777777" w:rsidR="00B17E5F" w:rsidRPr="00322E56" w:rsidRDefault="00B17E5F" w:rsidP="000D15B3">
      <w:pPr>
        <w:numPr>
          <w:ilvl w:val="0"/>
          <w:numId w:val="2"/>
        </w:numPr>
        <w:rPr>
          <w:rFonts w:cs="Times New Roman"/>
        </w:rPr>
      </w:pPr>
      <w:r w:rsidRPr="00322E56">
        <w:rPr>
          <w:rFonts w:cs="Times New Roman"/>
        </w:rPr>
        <w:t>A compatible heat exchanger</w:t>
      </w:r>
    </w:p>
    <w:p w14:paraId="6D0D4618" w14:textId="77777777" w:rsidR="00B17E5F" w:rsidRPr="00322E56" w:rsidRDefault="00B17E5F" w:rsidP="000D15B3">
      <w:pPr>
        <w:rPr>
          <w:rFonts w:cs="Times New Roman"/>
        </w:rPr>
      </w:pPr>
      <w:r w:rsidRPr="00322E56">
        <w:rPr>
          <w:rFonts w:cs="Times New Roman"/>
        </w:rPr>
        <w:t>This section reviews important factors and parameters for PCM selection to be integrated in heat pump components or coupled to the vapor compression system. The salt hydrate PCMs integrated with HP for space heating or cooling applications are reviewed.</w:t>
      </w:r>
    </w:p>
    <w:p w14:paraId="3146F3F7" w14:textId="77777777" w:rsidR="00B17E5F" w:rsidRPr="00322E56" w:rsidRDefault="00B17E5F" w:rsidP="00521059">
      <w:pPr>
        <w:pStyle w:val="Heading3"/>
        <w:rPr>
          <w:rFonts w:cs="Times New Roman"/>
        </w:rPr>
      </w:pPr>
      <w:bookmarkStart w:id="115" w:name="_Toc140399846"/>
      <w:r w:rsidRPr="00322E56">
        <w:rPr>
          <w:rFonts w:cs="Times New Roman"/>
        </w:rPr>
        <w:t>PCM Selection</w:t>
      </w:r>
      <w:bookmarkEnd w:id="115"/>
    </w:p>
    <w:p w14:paraId="41385193" w14:textId="2AC21046" w:rsidR="00B17E5F" w:rsidRPr="00322E56" w:rsidRDefault="00B17E5F" w:rsidP="00D30714">
      <w:pPr>
        <w:rPr>
          <w:rFonts w:cs="Times New Roman"/>
        </w:rPr>
      </w:pPr>
      <w:r w:rsidRPr="00322E56">
        <w:rPr>
          <w:rFonts w:cs="Times New Roman"/>
        </w:rPr>
        <w:t xml:space="preserve">PCM temperature and storage capacity are considerably important to design the TES that can meet the buildings’ load and provide necessary comfort. Various approaches can </w:t>
      </w:r>
      <w:r w:rsidRPr="00322E56">
        <w:rPr>
          <w:rFonts w:cs="Times New Roman"/>
        </w:rPr>
        <w:lastRenderedPageBreak/>
        <w:t xml:space="preserve">be found in literature to choose the melting point of PCMs to maximize their performance for space conditioning in buildings. Free cooling for continental climates was studied by Medved and Arkar </w:t>
      </w:r>
      <w:sdt>
        <w:sdtPr>
          <w:rPr>
            <w:rFonts w:cs="Times New Roman"/>
            <w:color w:val="000000"/>
          </w:rPr>
          <w:tag w:val="MENDELEY_CITATION_v3_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"/>
          <w:id w:val="1298879343"/>
          <w:placeholder>
            <w:docPart w:val="9DFDE43770904496AFDDFD5E3F89FE4B"/>
          </w:placeholder>
        </w:sdtPr>
        <w:sdtContent>
          <w:r w:rsidR="001E7ECF" w:rsidRPr="001E7ECF">
            <w:rPr>
              <w:rFonts w:cs="Times New Roman"/>
              <w:color w:val="000000"/>
            </w:rPr>
            <w:t>[121]</w:t>
          </w:r>
        </w:sdtContent>
      </w:sdt>
      <w:r w:rsidRPr="00322E56">
        <w:rPr>
          <w:rFonts w:cs="Times New Roman"/>
        </w:rPr>
        <w:t xml:space="preserve">, and they found the PCM with a melting point equal to the average temperature of hottest month, most appropriate choice. The melting temperature range 20 and 22 °C was found suitable for passive cooling. Waqas and Kumar </w:t>
      </w:r>
      <w:sdt>
        <w:sdtPr>
          <w:rPr>
            <w:rFonts w:cs="Times New Roman"/>
            <w:color w:val="000000"/>
          </w:rPr>
          <w:tag w:val="MENDELEY_CITATION_v3_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"/>
          <w:id w:val="1825004960"/>
          <w:placeholder>
            <w:docPart w:val="9DFDE43770904496AFDDFD5E3F89FE4B"/>
          </w:placeholder>
        </w:sdtPr>
        <w:sdtContent>
          <w:r w:rsidR="001E7ECF" w:rsidRPr="001E7ECF">
            <w:rPr>
              <w:rFonts w:cs="Times New Roman"/>
              <w:color w:val="000000"/>
            </w:rPr>
            <w:t>[160]</w:t>
          </w:r>
        </w:sdtContent>
      </w:sdt>
      <w:r w:rsidRPr="00322E56">
        <w:rPr>
          <w:rFonts w:cs="Times New Roman"/>
        </w:rPr>
        <w:t xml:space="preserve"> demonstrated an optimum PCM storage unit performance by selecting a PCM with the melting point equal to the comfort temperature of hottest month for free cooling.</w:t>
      </w:r>
    </w:p>
    <w:p w14:paraId="289E4EB1" w14:textId="2FC88EE6" w:rsidR="00B17E5F" w:rsidRPr="00322E56" w:rsidRDefault="00B17E5F" w:rsidP="00521059">
      <w:pPr>
        <w:rPr>
          <w:rFonts w:cs="Times New Roman"/>
        </w:rPr>
      </w:pPr>
      <w:r w:rsidRPr="00322E56">
        <w:rPr>
          <w:rFonts w:cs="Times New Roman"/>
        </w:rPr>
        <w:t xml:space="preserve">The PCM temperature optimization studies </w:t>
      </w:r>
      <w:sdt>
        <w:sdtPr>
          <w:rPr>
            <w:rFonts w:cs="Times New Roman"/>
            <w:color w:val="000000"/>
          </w:rPr>
          <w:tag w:val="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"/>
          <w:id w:val="1232668477"/>
          <w:placeholder>
            <w:docPart w:val="9DFDE43770904496AFDDFD5E3F89FE4B"/>
          </w:placeholder>
        </w:sdtPr>
        <w:sdtContent>
          <w:r w:rsidR="001E7ECF" w:rsidRPr="001E7ECF">
            <w:rPr>
              <w:rFonts w:cs="Times New Roman"/>
              <w:color w:val="000000"/>
            </w:rPr>
            <w:t>[161]–[170]</w:t>
          </w:r>
        </w:sdtContent>
      </w:sdt>
      <w:r w:rsidRPr="00322E56">
        <w:rPr>
          <w:rFonts w:cs="Times New Roman"/>
          <w:lang w:val="sv-SE"/>
        </w:rPr>
        <w:t xml:space="preserve"> </w:t>
      </w:r>
      <w:r w:rsidRPr="00322E56">
        <w:rPr>
          <w:rFonts w:cs="Times New Roman"/>
        </w:rPr>
        <w:t>have commonly utilized passive cooling with organic PCMs. Paraffins are the frequently investigated materials with 20-30 °C melting temperature range. Furthermore, for a given TES, different PCM melting temperatures have been studied for both heating and cooling applications.</w:t>
      </w:r>
    </w:p>
    <w:p w14:paraId="5C3DB16B" w14:textId="77777777" w:rsidR="00B17E5F" w:rsidRPr="00322E56" w:rsidRDefault="00B17E5F" w:rsidP="00521059">
      <w:pPr>
        <w:rPr>
          <w:rFonts w:cs="Times New Roman"/>
        </w:rPr>
      </w:pPr>
      <w:r w:rsidRPr="00322E56">
        <w:rPr>
          <w:rFonts w:cs="Times New Roman"/>
        </w:rPr>
        <w:t>Table 10 below reviews salt hydrate PCMs integrated with different types of HPs via HX for space heating and cooling.</w:t>
      </w:r>
    </w:p>
    <w:p w14:paraId="45CC3CE6" w14:textId="77777777" w:rsidR="00B17E5F" w:rsidRDefault="00B17E5F" w:rsidP="00521059">
      <w:pPr>
        <w:rPr>
          <w:rFonts w:cs="Times New Roman"/>
          <w:color w:val="0D0D0D" w:themeColor="text1" w:themeTint="F2"/>
        </w:rPr>
      </w:pPr>
      <w:r w:rsidRPr="00322E56">
        <w:rPr>
          <w:rFonts w:cs="Times New Roman"/>
          <w:color w:val="0D0D0D" w:themeColor="text1" w:themeTint="F2"/>
        </w:rPr>
        <w:t xml:space="preserve">Most of the active TES studies reported in literature, as shown in the table above, have selected a melting temperature closer to the typical room temperature. A few of these works have investigated more than one type of PCM and have reported that the salt hydrate PCMs performed better than the organic PCMs in terms of storage capacity, and economic benefits. </w:t>
      </w:r>
    </w:p>
    <w:p w14:paraId="34E16CFF" w14:textId="77777777" w:rsidR="00DA6BA6" w:rsidRPr="00322E56" w:rsidRDefault="00DA6BA6" w:rsidP="00DA6BA6">
      <w:pPr>
        <w:pStyle w:val="Heading2"/>
        <w:rPr>
          <w:rFonts w:cs="Times New Roman"/>
        </w:rPr>
      </w:pPr>
      <w:bookmarkStart w:id="116" w:name="_Toc140399847"/>
      <w:r w:rsidRPr="00322E56">
        <w:rPr>
          <w:rFonts w:cs="Times New Roman"/>
        </w:rPr>
        <w:t>Integration in Heat Pump Components</w:t>
      </w:r>
      <w:bookmarkEnd w:id="116"/>
    </w:p>
    <w:p w14:paraId="471F4B0D" w14:textId="77777777" w:rsidR="00DA6BA6" w:rsidRPr="00322E56" w:rsidRDefault="00DA6BA6" w:rsidP="00DA6BA6">
      <w:pPr>
        <w:rPr>
          <w:rFonts w:cs="Times New Roman"/>
        </w:rPr>
      </w:pPr>
      <w:r w:rsidRPr="00322E56">
        <w:rPr>
          <w:rFonts w:cs="Times New Roman"/>
        </w:rPr>
        <w:t>Active PCM-TES can be coupled to heat pump in various configurations. Table 10 in previous section described different types of heat exchangers and heat pumps. This section will particularly focus on PCM location within the heat pump and charging operation for the configuration. Researchers have reported energy and cost savings, and demand impact benefits for off-peak heating and cooling. Besides the PCM type and melting temperature, the savings and benefits largely depend on how and when PCM has been charged and discharged.</w:t>
      </w:r>
    </w:p>
    <w:p w14:paraId="59922D87" w14:textId="3D53633C" w:rsidR="00B17E5F" w:rsidRPr="00322E56" w:rsidRDefault="00B17E5F" w:rsidP="00DA6BA6">
      <w:pPr>
        <w:spacing w:line="240" w:lineRule="auto"/>
        <w:ind w:firstLine="0"/>
        <w:rPr>
          <w:rFonts w:cs="Times New Roman"/>
          <w:color w:val="0D0D0D" w:themeColor="text1" w:themeTint="F2"/>
        </w:rPr>
      </w:pPr>
    </w:p>
    <w:p w14:paraId="57E97DD7" w14:textId="34FB094A" w:rsidR="00B17E5F" w:rsidRPr="00322E56" w:rsidRDefault="00B17E5F" w:rsidP="00DA6BA6">
      <w:pPr>
        <w:pStyle w:val="Caption"/>
        <w:jc w:val="center"/>
        <w:rPr>
          <w:rFonts w:cs="Times New Roman"/>
        </w:rPr>
      </w:pPr>
      <w:bookmarkStart w:id="117" w:name="_Toc140399950"/>
      <w:r w:rsidRPr="00322E56">
        <w:rPr>
          <w:rFonts w:cs="Times New Roman"/>
        </w:rPr>
        <w:lastRenderedPageBreak/>
        <w:t xml:space="preserve">Table </w:t>
      </w:r>
      <w:r w:rsidRPr="00322E56">
        <w:rPr>
          <w:rFonts w:cs="Times New Roman"/>
        </w:rPr>
        <w:fldChar w:fldCharType="begin"/>
      </w:r>
      <w:r w:rsidRPr="00322E56">
        <w:rPr>
          <w:rFonts w:cs="Times New Roman"/>
        </w:rPr>
        <w:instrText xml:space="preserve"> SEQ Table \* ARABIC </w:instrText>
      </w:r>
      <w:r w:rsidRPr="00322E56">
        <w:rPr>
          <w:rFonts w:cs="Times New Roman"/>
        </w:rPr>
        <w:fldChar w:fldCharType="separate"/>
      </w:r>
      <w:r w:rsidR="00FC25C0">
        <w:rPr>
          <w:rFonts w:cs="Times New Roman"/>
          <w:noProof/>
        </w:rPr>
        <w:t>10</w:t>
      </w:r>
      <w:r w:rsidRPr="00322E56">
        <w:rPr>
          <w:rFonts w:cs="Times New Roman"/>
        </w:rPr>
        <w:fldChar w:fldCharType="end"/>
      </w:r>
      <w:r w:rsidRPr="00322E56">
        <w:rPr>
          <w:rFonts w:cs="Times New Roman"/>
        </w:rPr>
        <w:t>: PCMs for HP-TES</w:t>
      </w:r>
      <w:bookmarkEnd w:id="117"/>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1" w:type="dxa"/>
          <w:right w:w="71" w:type="dxa"/>
        </w:tblCellMar>
        <w:tblLook w:val="0000" w:firstRow="0" w:lastRow="0" w:firstColumn="0" w:lastColumn="0" w:noHBand="0" w:noVBand="0"/>
      </w:tblPr>
      <w:tblGrid>
        <w:gridCol w:w="879"/>
        <w:gridCol w:w="1584"/>
        <w:gridCol w:w="1440"/>
        <w:gridCol w:w="1265"/>
        <w:gridCol w:w="1904"/>
        <w:gridCol w:w="1552"/>
      </w:tblGrid>
      <w:tr w:rsidR="00B17E5F" w:rsidRPr="006C4F45" w14:paraId="3009CFB8" w14:textId="77777777" w:rsidTr="001D3769">
        <w:trPr>
          <w:trHeight w:val="338"/>
          <w:jc w:val="center"/>
        </w:trPr>
        <w:tc>
          <w:tcPr>
            <w:tcW w:w="0" w:type="auto"/>
            <w:tcBorders>
              <w:bottom w:val="single" w:sz="6" w:space="0" w:color="auto"/>
            </w:tcBorders>
            <w:vAlign w:val="center"/>
          </w:tcPr>
          <w:p w14:paraId="338D8D3A" w14:textId="77777777" w:rsidR="00B17E5F" w:rsidRPr="006C4F45" w:rsidRDefault="00B17E5F" w:rsidP="006C4F45">
            <w:pPr>
              <w:pStyle w:val="NoSpacing"/>
              <w:rPr>
                <w:b/>
                <w:bCs/>
                <w:sz w:val="22"/>
                <w:szCs w:val="22"/>
              </w:rPr>
            </w:pPr>
            <w:r w:rsidRPr="006C4F45">
              <w:rPr>
                <w:b/>
                <w:bCs/>
                <w:sz w:val="22"/>
                <w:szCs w:val="22"/>
              </w:rPr>
              <w:t>Author</w:t>
            </w:r>
          </w:p>
        </w:tc>
        <w:tc>
          <w:tcPr>
            <w:tcW w:w="0" w:type="auto"/>
            <w:tcBorders>
              <w:bottom w:val="single" w:sz="6" w:space="0" w:color="auto"/>
            </w:tcBorders>
            <w:vAlign w:val="center"/>
          </w:tcPr>
          <w:p w14:paraId="586FC807" w14:textId="77777777" w:rsidR="00B17E5F" w:rsidRPr="006C4F45" w:rsidRDefault="00B17E5F" w:rsidP="006C4F45">
            <w:pPr>
              <w:pStyle w:val="NoSpacing"/>
              <w:rPr>
                <w:b/>
                <w:bCs/>
                <w:sz w:val="22"/>
                <w:szCs w:val="22"/>
              </w:rPr>
            </w:pPr>
            <w:r w:rsidRPr="006C4F45">
              <w:rPr>
                <w:b/>
                <w:bCs/>
                <w:sz w:val="22"/>
                <w:szCs w:val="22"/>
              </w:rPr>
              <w:t>PCM material</w:t>
            </w:r>
          </w:p>
        </w:tc>
        <w:tc>
          <w:tcPr>
            <w:tcW w:w="0" w:type="auto"/>
            <w:tcBorders>
              <w:bottom w:val="single" w:sz="6" w:space="0" w:color="auto"/>
            </w:tcBorders>
            <w:vAlign w:val="center"/>
          </w:tcPr>
          <w:p w14:paraId="5359AC34" w14:textId="77777777" w:rsidR="00B17E5F" w:rsidRPr="006C4F45" w:rsidRDefault="00B17E5F" w:rsidP="006C4F45">
            <w:pPr>
              <w:pStyle w:val="NoSpacing"/>
              <w:rPr>
                <w:b/>
                <w:bCs/>
                <w:sz w:val="22"/>
                <w:szCs w:val="22"/>
              </w:rPr>
            </w:pPr>
            <w:r w:rsidRPr="006C4F45">
              <w:rPr>
                <w:b/>
                <w:bCs/>
                <w:sz w:val="22"/>
                <w:szCs w:val="22"/>
              </w:rPr>
              <w:t>Application</w:t>
            </w:r>
          </w:p>
        </w:tc>
        <w:tc>
          <w:tcPr>
            <w:tcW w:w="0" w:type="auto"/>
            <w:tcBorders>
              <w:bottom w:val="single" w:sz="6" w:space="0" w:color="auto"/>
            </w:tcBorders>
            <w:vAlign w:val="center"/>
          </w:tcPr>
          <w:p w14:paraId="323023CE" w14:textId="77777777" w:rsidR="00B17E5F" w:rsidRPr="006C4F45" w:rsidRDefault="00B17E5F" w:rsidP="006C4F45">
            <w:pPr>
              <w:pStyle w:val="NoSpacing"/>
              <w:rPr>
                <w:b/>
                <w:bCs/>
                <w:sz w:val="22"/>
                <w:szCs w:val="22"/>
              </w:rPr>
            </w:pPr>
            <w:r w:rsidRPr="006C4F45">
              <w:rPr>
                <w:b/>
                <w:bCs/>
                <w:sz w:val="22"/>
                <w:szCs w:val="22"/>
              </w:rPr>
              <w:t>Heat Exchanger</w:t>
            </w:r>
          </w:p>
        </w:tc>
        <w:tc>
          <w:tcPr>
            <w:tcW w:w="0" w:type="auto"/>
            <w:tcBorders>
              <w:bottom w:val="single" w:sz="6" w:space="0" w:color="auto"/>
            </w:tcBorders>
            <w:vAlign w:val="center"/>
          </w:tcPr>
          <w:p w14:paraId="7BDA524D" w14:textId="77777777" w:rsidR="00B17E5F" w:rsidRPr="006C4F45" w:rsidRDefault="00B17E5F" w:rsidP="006C4F45">
            <w:pPr>
              <w:pStyle w:val="NoSpacing"/>
              <w:rPr>
                <w:b/>
                <w:bCs/>
                <w:sz w:val="22"/>
                <w:szCs w:val="22"/>
              </w:rPr>
            </w:pPr>
            <w:r w:rsidRPr="006C4F45">
              <w:rPr>
                <w:b/>
                <w:bCs/>
                <w:sz w:val="22"/>
                <w:szCs w:val="22"/>
              </w:rPr>
              <w:t>Thermophysical Properties</w:t>
            </w:r>
          </w:p>
        </w:tc>
        <w:tc>
          <w:tcPr>
            <w:tcW w:w="0" w:type="auto"/>
            <w:tcBorders>
              <w:bottom w:val="single" w:sz="6" w:space="0" w:color="auto"/>
            </w:tcBorders>
            <w:vAlign w:val="center"/>
          </w:tcPr>
          <w:p w14:paraId="01944438" w14:textId="77777777" w:rsidR="00B17E5F" w:rsidRPr="006C4F45" w:rsidRDefault="00B17E5F" w:rsidP="006C4F45">
            <w:pPr>
              <w:pStyle w:val="NoSpacing"/>
              <w:rPr>
                <w:b/>
                <w:bCs/>
                <w:sz w:val="22"/>
                <w:szCs w:val="22"/>
              </w:rPr>
            </w:pPr>
            <w:r w:rsidRPr="006C4F45">
              <w:rPr>
                <w:b/>
                <w:bCs/>
                <w:sz w:val="22"/>
                <w:szCs w:val="22"/>
              </w:rPr>
              <w:t>Performance</w:t>
            </w:r>
          </w:p>
        </w:tc>
      </w:tr>
      <w:tr w:rsidR="00B17E5F" w:rsidRPr="006C4F45" w14:paraId="6EAE9D01" w14:textId="77777777" w:rsidTr="001D3769">
        <w:trPr>
          <w:trHeight w:val="449"/>
          <w:jc w:val="center"/>
        </w:trPr>
        <w:tc>
          <w:tcPr>
            <w:tcW w:w="0" w:type="auto"/>
          </w:tcPr>
          <w:sdt>
            <w:sdtPr>
              <w:rPr>
                <w:color w:val="000000"/>
                <w:sz w:val="22"/>
                <w:szCs w:val="22"/>
              </w:rPr>
              <w:tag w:val="MENDELEY_CITATION_v3_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"/>
              <w:id w:val="-674189323"/>
              <w:placeholder>
                <w:docPart w:val="EB5D4069C3FA4995B6CD506EC0CFAFCB"/>
              </w:placeholder>
            </w:sdtPr>
            <w:sdtContent>
              <w:p w14:paraId="0372823E" w14:textId="21810623" w:rsidR="00B17E5F" w:rsidRPr="006C4F45" w:rsidRDefault="001E7ECF" w:rsidP="006C4F45">
                <w:pPr>
                  <w:pStyle w:val="NoSpacing"/>
                  <w:rPr>
                    <w:sz w:val="22"/>
                    <w:szCs w:val="22"/>
                  </w:rPr>
                </w:pPr>
                <w:r w:rsidRPr="001E7ECF">
                  <w:rPr>
                    <w:color w:val="000000"/>
                    <w:sz w:val="22"/>
                    <w:szCs w:val="22"/>
                  </w:rPr>
                  <w:t>[171]</w:t>
                </w:r>
              </w:p>
            </w:sdtContent>
          </w:sdt>
        </w:tc>
        <w:tc>
          <w:tcPr>
            <w:tcW w:w="0" w:type="auto"/>
          </w:tcPr>
          <w:p w14:paraId="5AFB2C92" w14:textId="77777777" w:rsidR="00B17E5F" w:rsidRPr="006C4F45" w:rsidRDefault="00B17E5F" w:rsidP="006C4F45">
            <w:pPr>
              <w:pStyle w:val="NoSpacing"/>
              <w:rPr>
                <w:sz w:val="22"/>
                <w:szCs w:val="22"/>
                <w:lang w:val="fr-FR"/>
              </w:rPr>
            </w:pPr>
            <w:r w:rsidRPr="006C4F45">
              <w:rPr>
                <w:sz w:val="22"/>
                <w:szCs w:val="22"/>
                <w:lang w:val="fr-FR"/>
              </w:rPr>
              <w:t>S8, S17, S27</w:t>
            </w:r>
          </w:p>
          <w:p w14:paraId="70E9CD64" w14:textId="77777777" w:rsidR="00B17E5F" w:rsidRPr="006C4F45" w:rsidRDefault="00B17E5F" w:rsidP="006C4F45">
            <w:pPr>
              <w:pStyle w:val="NoSpacing"/>
              <w:rPr>
                <w:noProof/>
                <w:sz w:val="22"/>
                <w:szCs w:val="22"/>
              </w:rPr>
            </w:pPr>
            <w:r w:rsidRPr="006C4F45">
              <w:rPr>
                <w:sz w:val="22"/>
                <w:szCs w:val="22"/>
                <w:lang w:val="fr-FR"/>
              </w:rPr>
              <w:t>(8 °C, 17 °C, 27 °C)</w:t>
            </w:r>
          </w:p>
        </w:tc>
        <w:tc>
          <w:tcPr>
            <w:tcW w:w="0" w:type="auto"/>
          </w:tcPr>
          <w:p w14:paraId="54797082" w14:textId="77777777" w:rsidR="00B17E5F" w:rsidRPr="006C4F45" w:rsidRDefault="00B17E5F" w:rsidP="006C4F45">
            <w:pPr>
              <w:pStyle w:val="NoSpacing"/>
              <w:rPr>
                <w:sz w:val="22"/>
                <w:szCs w:val="22"/>
              </w:rPr>
            </w:pPr>
            <w:r w:rsidRPr="006C4F45">
              <w:rPr>
                <w:sz w:val="22"/>
                <w:szCs w:val="22"/>
              </w:rPr>
              <w:t>Geothermal heat pump for heating and peak load shifting</w:t>
            </w:r>
          </w:p>
        </w:tc>
        <w:tc>
          <w:tcPr>
            <w:tcW w:w="0" w:type="auto"/>
          </w:tcPr>
          <w:p w14:paraId="51DE1CBE" w14:textId="77777777" w:rsidR="00B17E5F" w:rsidRPr="006C4F45" w:rsidRDefault="00B17E5F" w:rsidP="006C4F45">
            <w:pPr>
              <w:pStyle w:val="NoSpacing"/>
              <w:rPr>
                <w:noProof/>
                <w:sz w:val="22"/>
                <w:szCs w:val="22"/>
              </w:rPr>
            </w:pPr>
            <w:r w:rsidRPr="006C4F45">
              <w:rPr>
                <w:noProof/>
                <w:sz w:val="22"/>
                <w:szCs w:val="22"/>
              </w:rPr>
              <w:t>Single U-Tube ground heat exchanger</w:t>
            </w:r>
          </w:p>
        </w:tc>
        <w:tc>
          <w:tcPr>
            <w:tcW w:w="0" w:type="auto"/>
          </w:tcPr>
          <w:p w14:paraId="510185FB" w14:textId="77777777" w:rsidR="00B17E5F" w:rsidRPr="006C4F45" w:rsidRDefault="00B17E5F" w:rsidP="006C4F45">
            <w:pPr>
              <w:pStyle w:val="NoSpacing"/>
              <w:rPr>
                <w:noProof/>
                <w:sz w:val="22"/>
                <w:szCs w:val="22"/>
              </w:rPr>
            </w:pPr>
            <w:r w:rsidRPr="006C4F45">
              <w:rPr>
                <w:noProof/>
                <w:sz w:val="22"/>
                <w:szCs w:val="22"/>
              </w:rPr>
              <w:t>S27 showed highest savings and had thermal conductivity of 0.540 W/m.K</w:t>
            </w:r>
          </w:p>
        </w:tc>
        <w:tc>
          <w:tcPr>
            <w:tcW w:w="0" w:type="auto"/>
          </w:tcPr>
          <w:p w14:paraId="427DC9AC" w14:textId="77777777" w:rsidR="00B17E5F" w:rsidRPr="006C4F45" w:rsidRDefault="00B17E5F" w:rsidP="006C4F45">
            <w:pPr>
              <w:pStyle w:val="NoSpacing"/>
              <w:rPr>
                <w:noProof/>
                <w:sz w:val="22"/>
                <w:szCs w:val="22"/>
              </w:rPr>
            </w:pPr>
            <w:r w:rsidRPr="006C4F45">
              <w:rPr>
                <w:noProof/>
                <w:sz w:val="22"/>
                <w:szCs w:val="22"/>
              </w:rPr>
              <w:t>COP increased from 3.8 to 5.5</w:t>
            </w:r>
          </w:p>
        </w:tc>
      </w:tr>
      <w:tr w:rsidR="00B17E5F" w:rsidRPr="006C4F45" w14:paraId="0462A2A9" w14:textId="77777777" w:rsidTr="001D3769">
        <w:trPr>
          <w:trHeight w:val="449"/>
          <w:jc w:val="center"/>
        </w:trPr>
        <w:tc>
          <w:tcPr>
            <w:tcW w:w="0" w:type="auto"/>
          </w:tcPr>
          <w:sdt>
            <w:sdtPr>
              <w:rPr>
                <w:color w:val="000000"/>
                <w:sz w:val="22"/>
                <w:szCs w:val="22"/>
              </w:rPr>
              <w:tag w:val="MENDELEY_CITATION_v3_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"/>
              <w:id w:val="-2144792042"/>
              <w:placeholder>
                <w:docPart w:val="EB5D4069C3FA4995B6CD506EC0CFAFCB"/>
              </w:placeholder>
            </w:sdtPr>
            <w:sdtContent>
              <w:p w14:paraId="3BCA212E" w14:textId="2810B151" w:rsidR="00B17E5F" w:rsidRPr="006C4F45" w:rsidRDefault="001E7ECF" w:rsidP="006C4F45">
                <w:pPr>
                  <w:pStyle w:val="NoSpacing"/>
                  <w:rPr>
                    <w:sz w:val="22"/>
                    <w:szCs w:val="22"/>
                  </w:rPr>
                </w:pPr>
                <w:r w:rsidRPr="001E7ECF">
                  <w:rPr>
                    <w:color w:val="000000"/>
                    <w:sz w:val="22"/>
                    <w:szCs w:val="22"/>
                  </w:rPr>
                  <w:t>(Xin Jin et al., 2021)</w:t>
                </w:r>
              </w:p>
            </w:sdtContent>
          </w:sdt>
        </w:tc>
        <w:tc>
          <w:tcPr>
            <w:tcW w:w="0" w:type="auto"/>
          </w:tcPr>
          <w:p w14:paraId="5467B841" w14:textId="77777777" w:rsidR="00B17E5F" w:rsidRPr="006C4F45" w:rsidRDefault="00B17E5F" w:rsidP="006C4F45">
            <w:pPr>
              <w:pStyle w:val="NoSpacing"/>
              <w:rPr>
                <w:sz w:val="22"/>
                <w:szCs w:val="22"/>
              </w:rPr>
            </w:pPr>
            <w:r w:rsidRPr="006C4F45">
              <w:rPr>
                <w:sz w:val="22"/>
                <w:szCs w:val="22"/>
                <w:lang w:val="fr-FR"/>
              </w:rPr>
              <w:t xml:space="preserve">Composite modified SAT (47.8°C) </w:t>
            </w:r>
          </w:p>
        </w:tc>
        <w:tc>
          <w:tcPr>
            <w:tcW w:w="0" w:type="auto"/>
          </w:tcPr>
          <w:p w14:paraId="2A146796" w14:textId="77777777" w:rsidR="00B17E5F" w:rsidRPr="006C4F45" w:rsidRDefault="00B17E5F" w:rsidP="006C4F45">
            <w:pPr>
              <w:pStyle w:val="NoSpacing"/>
              <w:rPr>
                <w:sz w:val="22"/>
                <w:szCs w:val="22"/>
              </w:rPr>
            </w:pPr>
            <w:r w:rsidRPr="006C4F45">
              <w:rPr>
                <w:sz w:val="22"/>
                <w:szCs w:val="22"/>
              </w:rPr>
              <w:t>Coupled to air source heat pump for heating</w:t>
            </w:r>
          </w:p>
        </w:tc>
        <w:tc>
          <w:tcPr>
            <w:tcW w:w="0" w:type="auto"/>
          </w:tcPr>
          <w:p w14:paraId="6BD6B464" w14:textId="77777777" w:rsidR="00B17E5F" w:rsidRPr="006C4F45" w:rsidRDefault="00B17E5F" w:rsidP="006C4F45">
            <w:pPr>
              <w:pStyle w:val="NoSpacing"/>
              <w:rPr>
                <w:noProof/>
                <w:sz w:val="22"/>
                <w:szCs w:val="22"/>
              </w:rPr>
            </w:pPr>
            <w:r w:rsidRPr="006C4F45">
              <w:rPr>
                <w:noProof/>
                <w:sz w:val="22"/>
                <w:szCs w:val="22"/>
              </w:rPr>
              <w:t>Shell and tube heat exchanger</w:t>
            </w:r>
          </w:p>
        </w:tc>
        <w:tc>
          <w:tcPr>
            <w:tcW w:w="0" w:type="auto"/>
          </w:tcPr>
          <w:p w14:paraId="26D3446F" w14:textId="77777777" w:rsidR="00B17E5F" w:rsidRPr="006C4F45" w:rsidRDefault="00B17E5F" w:rsidP="006C4F45">
            <w:pPr>
              <w:pStyle w:val="NoSpacing"/>
              <w:rPr>
                <w:noProof/>
                <w:sz w:val="22"/>
                <w:szCs w:val="22"/>
              </w:rPr>
            </w:pPr>
            <w:r w:rsidRPr="006C4F45">
              <w:rPr>
                <w:noProof/>
                <w:sz w:val="22"/>
                <w:szCs w:val="22"/>
              </w:rPr>
              <w:t>Latent heat 219.8 kJ/kg (presented longer cycling lifetime)</w:t>
            </w:r>
          </w:p>
        </w:tc>
        <w:tc>
          <w:tcPr>
            <w:tcW w:w="0" w:type="auto"/>
            <w:vAlign w:val="center"/>
          </w:tcPr>
          <w:p w14:paraId="11F52394" w14:textId="77777777" w:rsidR="00B17E5F" w:rsidRPr="006C4F45" w:rsidRDefault="00B17E5F" w:rsidP="006C4F45">
            <w:pPr>
              <w:pStyle w:val="NoSpacing"/>
              <w:rPr>
                <w:noProof/>
                <w:sz w:val="22"/>
                <w:szCs w:val="22"/>
              </w:rPr>
            </w:pPr>
            <w:r w:rsidRPr="006C4F45">
              <w:rPr>
                <w:noProof/>
                <w:sz w:val="22"/>
                <w:szCs w:val="22"/>
              </w:rPr>
              <w:t>Heat pump COP increased by 5.1%, 10 year payback period</w:t>
            </w:r>
          </w:p>
        </w:tc>
      </w:tr>
      <w:tr w:rsidR="00B17E5F" w:rsidRPr="006C4F45" w14:paraId="78C60334" w14:textId="77777777" w:rsidTr="001D3769">
        <w:trPr>
          <w:trHeight w:val="449"/>
          <w:jc w:val="center"/>
        </w:trPr>
        <w:tc>
          <w:tcPr>
            <w:tcW w:w="0" w:type="auto"/>
          </w:tcPr>
          <w:sdt>
            <w:sdtPr>
              <w:rPr>
                <w:color w:val="000000"/>
                <w:sz w:val="22"/>
                <w:szCs w:val="22"/>
              </w:rPr>
              <w:tag w:val="MENDELEY_CITATION_v3_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"/>
              <w:id w:val="2036764935"/>
              <w:placeholder>
                <w:docPart w:val="EB5D4069C3FA4995B6CD506EC0CFAFCB"/>
              </w:placeholder>
            </w:sdtPr>
            <w:sdtContent>
              <w:p w14:paraId="5706E238" w14:textId="5658717F" w:rsidR="00B17E5F" w:rsidRPr="006C4F45" w:rsidRDefault="001E7ECF" w:rsidP="006C4F45">
                <w:pPr>
                  <w:pStyle w:val="NoSpacing"/>
                  <w:rPr>
                    <w:sz w:val="22"/>
                    <w:szCs w:val="22"/>
                  </w:rPr>
                </w:pPr>
                <w:r w:rsidRPr="001E7ECF">
                  <w:rPr>
                    <w:color w:val="000000"/>
                    <w:sz w:val="22"/>
                    <w:szCs w:val="22"/>
                  </w:rPr>
                  <w:t>[173]</w:t>
                </w:r>
              </w:p>
            </w:sdtContent>
          </w:sdt>
        </w:tc>
        <w:tc>
          <w:tcPr>
            <w:tcW w:w="0" w:type="auto"/>
          </w:tcPr>
          <w:p w14:paraId="3E215A5B" w14:textId="77777777" w:rsidR="00B17E5F" w:rsidRPr="006C4F45" w:rsidRDefault="00B17E5F" w:rsidP="006C4F45">
            <w:pPr>
              <w:pStyle w:val="NoSpacing"/>
              <w:rPr>
                <w:sz w:val="22"/>
                <w:szCs w:val="22"/>
              </w:rPr>
            </w:pPr>
            <w:r w:rsidRPr="006C4F45">
              <w:rPr>
                <w:sz w:val="22"/>
                <w:szCs w:val="22"/>
              </w:rPr>
              <w:t>CaCl</w:t>
            </w:r>
            <w:r w:rsidRPr="006C4F45">
              <w:rPr>
                <w:sz w:val="22"/>
                <w:szCs w:val="22"/>
                <w:vertAlign w:val="subscript"/>
              </w:rPr>
              <w:t>2</w:t>
            </w:r>
            <w:r w:rsidRPr="006C4F45">
              <w:rPr>
                <w:sz w:val="22"/>
                <w:szCs w:val="22"/>
              </w:rPr>
              <w:t>.6H</w:t>
            </w:r>
            <w:r w:rsidRPr="006C4F45">
              <w:rPr>
                <w:sz w:val="22"/>
                <w:szCs w:val="22"/>
                <w:vertAlign w:val="subscript"/>
              </w:rPr>
              <w:t>2</w:t>
            </w:r>
            <w:r w:rsidRPr="006C4F45">
              <w:rPr>
                <w:sz w:val="22"/>
                <w:szCs w:val="22"/>
              </w:rPr>
              <w:t xml:space="preserve">O </w:t>
            </w:r>
          </w:p>
          <w:p w14:paraId="209430FF" w14:textId="77777777" w:rsidR="00B17E5F" w:rsidRPr="006C4F45" w:rsidRDefault="00B17E5F" w:rsidP="006C4F45">
            <w:pPr>
              <w:pStyle w:val="NoSpacing"/>
              <w:rPr>
                <w:sz w:val="22"/>
                <w:szCs w:val="22"/>
              </w:rPr>
            </w:pPr>
            <w:r w:rsidRPr="006C4F45">
              <w:rPr>
                <w:sz w:val="22"/>
                <w:szCs w:val="22"/>
              </w:rPr>
              <w:t>(29.9 °C)</w:t>
            </w:r>
          </w:p>
        </w:tc>
        <w:tc>
          <w:tcPr>
            <w:tcW w:w="0" w:type="auto"/>
          </w:tcPr>
          <w:p w14:paraId="70287B9A" w14:textId="77777777" w:rsidR="00B17E5F" w:rsidRPr="006C4F45" w:rsidRDefault="00B17E5F" w:rsidP="006C4F45">
            <w:pPr>
              <w:pStyle w:val="NoSpacing"/>
              <w:rPr>
                <w:sz w:val="22"/>
                <w:szCs w:val="22"/>
              </w:rPr>
            </w:pPr>
            <w:r w:rsidRPr="006C4F45">
              <w:rPr>
                <w:sz w:val="22"/>
                <w:szCs w:val="22"/>
              </w:rPr>
              <w:t>Solar assisted ground source heat pump</w:t>
            </w:r>
          </w:p>
        </w:tc>
        <w:tc>
          <w:tcPr>
            <w:tcW w:w="0" w:type="auto"/>
          </w:tcPr>
          <w:p w14:paraId="5C1AC266" w14:textId="77777777" w:rsidR="00B17E5F" w:rsidRPr="006C4F45" w:rsidRDefault="00B17E5F" w:rsidP="006C4F45">
            <w:pPr>
              <w:pStyle w:val="NoSpacing"/>
              <w:rPr>
                <w:noProof/>
                <w:sz w:val="22"/>
                <w:szCs w:val="22"/>
              </w:rPr>
            </w:pPr>
            <w:r w:rsidRPr="006C4F45">
              <w:rPr>
                <w:noProof/>
                <w:sz w:val="22"/>
                <w:szCs w:val="22"/>
              </w:rPr>
              <w:t xml:space="preserve">U-Tube soil exchanger </w:t>
            </w:r>
          </w:p>
        </w:tc>
        <w:tc>
          <w:tcPr>
            <w:tcW w:w="0" w:type="auto"/>
          </w:tcPr>
          <w:p w14:paraId="09A09BD9" w14:textId="77777777" w:rsidR="00B17E5F" w:rsidRPr="006C4F45" w:rsidRDefault="00B17E5F" w:rsidP="006C4F45">
            <w:pPr>
              <w:pStyle w:val="NoSpacing"/>
              <w:rPr>
                <w:noProof/>
                <w:sz w:val="22"/>
                <w:szCs w:val="22"/>
              </w:rPr>
            </w:pPr>
            <w:r w:rsidRPr="006C4F45">
              <w:rPr>
                <w:noProof/>
                <w:sz w:val="22"/>
                <w:szCs w:val="22"/>
              </w:rPr>
              <w:t>PCM thermal conductivity 1.09 W/m.K</w:t>
            </w:r>
          </w:p>
        </w:tc>
        <w:tc>
          <w:tcPr>
            <w:tcW w:w="0" w:type="auto"/>
            <w:vAlign w:val="center"/>
          </w:tcPr>
          <w:p w14:paraId="718790AC" w14:textId="77777777" w:rsidR="00B17E5F" w:rsidRPr="006C4F45" w:rsidRDefault="00B17E5F" w:rsidP="006C4F45">
            <w:pPr>
              <w:pStyle w:val="NoSpacing"/>
              <w:rPr>
                <w:noProof/>
                <w:sz w:val="22"/>
                <w:szCs w:val="22"/>
              </w:rPr>
            </w:pPr>
            <w:r w:rsidRPr="006C4F45">
              <w:rPr>
                <w:noProof/>
                <w:sz w:val="22"/>
                <w:szCs w:val="22"/>
              </w:rPr>
              <w:t>COP increased from 3 to 5.95</w:t>
            </w:r>
          </w:p>
        </w:tc>
      </w:tr>
      <w:tr w:rsidR="00B17E5F" w:rsidRPr="006C4F45" w14:paraId="440AE2F5" w14:textId="77777777" w:rsidTr="001D3769">
        <w:trPr>
          <w:trHeight w:val="449"/>
          <w:jc w:val="center"/>
        </w:trPr>
        <w:tc>
          <w:tcPr>
            <w:tcW w:w="0" w:type="auto"/>
          </w:tcPr>
          <w:sdt>
            <w:sdtPr>
              <w:rPr>
                <w:color w:val="000000"/>
                <w:sz w:val="22"/>
                <w:szCs w:val="22"/>
              </w:rPr>
              <w:tag w:val="MENDELEY_CITATION_v3_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"/>
              <w:id w:val="-60017563"/>
              <w:placeholder>
                <w:docPart w:val="EB5D4069C3FA4995B6CD506EC0CFAFCB"/>
              </w:placeholder>
            </w:sdtPr>
            <w:sdtContent>
              <w:p w14:paraId="5F75D14F" w14:textId="525B1930" w:rsidR="00B17E5F" w:rsidRPr="006C4F45" w:rsidRDefault="001E7ECF" w:rsidP="006C4F45">
                <w:pPr>
                  <w:pStyle w:val="NoSpacing"/>
                  <w:rPr>
                    <w:sz w:val="22"/>
                    <w:szCs w:val="22"/>
                  </w:rPr>
                </w:pPr>
                <w:r w:rsidRPr="001E7ECF">
                  <w:rPr>
                    <w:color w:val="000000"/>
                    <w:sz w:val="22"/>
                    <w:szCs w:val="22"/>
                  </w:rPr>
                  <w:t>[174]</w:t>
                </w:r>
              </w:p>
            </w:sdtContent>
          </w:sdt>
        </w:tc>
        <w:tc>
          <w:tcPr>
            <w:tcW w:w="0" w:type="auto"/>
          </w:tcPr>
          <w:p w14:paraId="45EBA16F" w14:textId="77777777" w:rsidR="00B17E5F" w:rsidRPr="006C4F45" w:rsidRDefault="00B17E5F" w:rsidP="006C4F45">
            <w:pPr>
              <w:pStyle w:val="NoSpacing"/>
              <w:rPr>
                <w:sz w:val="22"/>
                <w:szCs w:val="22"/>
              </w:rPr>
            </w:pPr>
            <w:r w:rsidRPr="006C4F45">
              <w:rPr>
                <w:sz w:val="22"/>
                <w:szCs w:val="22"/>
              </w:rPr>
              <w:t>Na</w:t>
            </w:r>
            <w:r w:rsidRPr="006C4F45">
              <w:rPr>
                <w:sz w:val="22"/>
                <w:szCs w:val="22"/>
                <w:vertAlign w:val="subscript"/>
              </w:rPr>
              <w:t>2</w:t>
            </w:r>
            <w:r w:rsidRPr="006C4F45">
              <w:rPr>
                <w:sz w:val="22"/>
                <w:szCs w:val="22"/>
              </w:rPr>
              <w:t>SO</w:t>
            </w:r>
            <w:r w:rsidRPr="006C4F45">
              <w:rPr>
                <w:sz w:val="22"/>
                <w:szCs w:val="22"/>
                <w:vertAlign w:val="subscript"/>
              </w:rPr>
              <w:t>4</w:t>
            </w:r>
            <w:r w:rsidRPr="006C4F45">
              <w:rPr>
                <w:sz w:val="22"/>
                <w:szCs w:val="22"/>
              </w:rPr>
              <w:t>.10H</w:t>
            </w:r>
            <w:r w:rsidRPr="006C4F45">
              <w:rPr>
                <w:sz w:val="22"/>
                <w:szCs w:val="22"/>
                <w:vertAlign w:val="subscript"/>
              </w:rPr>
              <w:t>2</w:t>
            </w:r>
            <w:r w:rsidRPr="006C4F45">
              <w:rPr>
                <w:sz w:val="22"/>
                <w:szCs w:val="22"/>
              </w:rPr>
              <w:t xml:space="preserve">O </w:t>
            </w:r>
          </w:p>
          <w:p w14:paraId="7B9D0214" w14:textId="77777777" w:rsidR="00B17E5F" w:rsidRPr="006C4F45" w:rsidRDefault="00B17E5F" w:rsidP="006C4F45">
            <w:pPr>
              <w:pStyle w:val="NoSpacing"/>
              <w:rPr>
                <w:sz w:val="22"/>
                <w:szCs w:val="22"/>
              </w:rPr>
            </w:pPr>
            <w:r w:rsidRPr="006C4F45">
              <w:rPr>
                <w:sz w:val="22"/>
                <w:szCs w:val="22"/>
              </w:rPr>
              <w:t>(32 °C)</w:t>
            </w:r>
          </w:p>
        </w:tc>
        <w:tc>
          <w:tcPr>
            <w:tcW w:w="0" w:type="auto"/>
          </w:tcPr>
          <w:p w14:paraId="5165A28A" w14:textId="77777777" w:rsidR="00B17E5F" w:rsidRPr="006C4F45" w:rsidRDefault="00B17E5F" w:rsidP="006C4F45">
            <w:pPr>
              <w:pStyle w:val="NoSpacing"/>
              <w:rPr>
                <w:sz w:val="22"/>
                <w:szCs w:val="22"/>
              </w:rPr>
            </w:pPr>
            <w:r w:rsidRPr="006C4F45">
              <w:rPr>
                <w:sz w:val="22"/>
                <w:szCs w:val="22"/>
              </w:rPr>
              <w:t>Coupled to floor heating system for heating</w:t>
            </w:r>
          </w:p>
        </w:tc>
        <w:tc>
          <w:tcPr>
            <w:tcW w:w="0" w:type="auto"/>
          </w:tcPr>
          <w:p w14:paraId="431969EA" w14:textId="77777777" w:rsidR="00B17E5F" w:rsidRPr="006C4F45" w:rsidRDefault="00B17E5F" w:rsidP="006C4F45">
            <w:pPr>
              <w:pStyle w:val="NoSpacing"/>
              <w:rPr>
                <w:noProof/>
                <w:sz w:val="22"/>
                <w:szCs w:val="22"/>
              </w:rPr>
            </w:pPr>
            <w:r w:rsidRPr="006C4F45">
              <w:rPr>
                <w:noProof/>
                <w:sz w:val="22"/>
                <w:szCs w:val="22"/>
              </w:rPr>
              <w:t>Tube heat exchanger</w:t>
            </w:r>
          </w:p>
        </w:tc>
        <w:tc>
          <w:tcPr>
            <w:tcW w:w="0" w:type="auto"/>
          </w:tcPr>
          <w:p w14:paraId="4101116C" w14:textId="77777777" w:rsidR="00B17E5F" w:rsidRPr="006C4F45" w:rsidRDefault="00B17E5F" w:rsidP="006C4F45">
            <w:pPr>
              <w:pStyle w:val="NoSpacing"/>
              <w:rPr>
                <w:noProof/>
                <w:sz w:val="22"/>
                <w:szCs w:val="22"/>
              </w:rPr>
            </w:pPr>
            <w:r w:rsidRPr="006C4F45">
              <w:rPr>
                <w:noProof/>
                <w:sz w:val="22"/>
                <w:szCs w:val="22"/>
              </w:rPr>
              <w:t>PCM thermal conductivity 1.09 W/m.K</w:t>
            </w:r>
          </w:p>
        </w:tc>
        <w:tc>
          <w:tcPr>
            <w:tcW w:w="0" w:type="auto"/>
          </w:tcPr>
          <w:p w14:paraId="610626C9" w14:textId="77777777" w:rsidR="00B17E5F" w:rsidRPr="006C4F45" w:rsidRDefault="00B17E5F" w:rsidP="006C4F45">
            <w:pPr>
              <w:pStyle w:val="NoSpacing"/>
              <w:rPr>
                <w:noProof/>
                <w:sz w:val="22"/>
                <w:szCs w:val="22"/>
              </w:rPr>
            </w:pPr>
            <w:r w:rsidRPr="006C4F45">
              <w:rPr>
                <w:noProof/>
                <w:sz w:val="22"/>
                <w:szCs w:val="22"/>
              </w:rPr>
              <w:t>COP reported 3.0</w:t>
            </w:r>
          </w:p>
        </w:tc>
      </w:tr>
      <w:tr w:rsidR="00B17E5F" w:rsidRPr="006C4F45" w14:paraId="472C130B" w14:textId="77777777" w:rsidTr="001D3769">
        <w:trPr>
          <w:trHeight w:val="449"/>
          <w:jc w:val="center"/>
        </w:trPr>
        <w:tc>
          <w:tcPr>
            <w:tcW w:w="0" w:type="auto"/>
          </w:tcPr>
          <w:sdt>
            <w:sdtPr>
              <w:rPr>
                <w:color w:val="000000"/>
                <w:sz w:val="22"/>
                <w:szCs w:val="22"/>
              </w:rPr>
              <w:tag w:val="MENDELEY_CITATION_v3_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"/>
              <w:id w:val="190975092"/>
              <w:placeholder>
                <w:docPart w:val="EB5D4069C3FA4995B6CD506EC0CFAFCB"/>
              </w:placeholder>
            </w:sdtPr>
            <w:sdtContent>
              <w:p w14:paraId="70B1A718" w14:textId="118B1A7D" w:rsidR="00B17E5F" w:rsidRPr="006C4F45" w:rsidRDefault="001E7ECF" w:rsidP="006C4F45">
                <w:pPr>
                  <w:pStyle w:val="NoSpacing"/>
                  <w:rPr>
                    <w:sz w:val="22"/>
                    <w:szCs w:val="22"/>
                  </w:rPr>
                </w:pPr>
                <w:r w:rsidRPr="001E7ECF">
                  <w:rPr>
                    <w:color w:val="000000"/>
                    <w:sz w:val="22"/>
                    <w:szCs w:val="22"/>
                  </w:rPr>
                  <w:t>[155]</w:t>
                </w:r>
              </w:p>
            </w:sdtContent>
          </w:sdt>
        </w:tc>
        <w:tc>
          <w:tcPr>
            <w:tcW w:w="0" w:type="auto"/>
          </w:tcPr>
          <w:p w14:paraId="6A64389B" w14:textId="77777777" w:rsidR="00B17E5F" w:rsidRPr="006C4F45" w:rsidRDefault="00B17E5F" w:rsidP="006C4F45">
            <w:pPr>
              <w:pStyle w:val="NoSpacing"/>
              <w:rPr>
                <w:sz w:val="22"/>
                <w:szCs w:val="22"/>
              </w:rPr>
            </w:pPr>
            <w:r w:rsidRPr="006C4F45">
              <w:rPr>
                <w:sz w:val="22"/>
                <w:szCs w:val="22"/>
              </w:rPr>
              <w:t>CaCl</w:t>
            </w:r>
            <w:r w:rsidRPr="006C4F45">
              <w:rPr>
                <w:sz w:val="22"/>
                <w:szCs w:val="22"/>
                <w:vertAlign w:val="subscript"/>
              </w:rPr>
              <w:t>2</w:t>
            </w:r>
            <w:r w:rsidRPr="006C4F45">
              <w:rPr>
                <w:sz w:val="22"/>
                <w:szCs w:val="22"/>
              </w:rPr>
              <w:t>.6H</w:t>
            </w:r>
            <w:r w:rsidRPr="006C4F45">
              <w:rPr>
                <w:sz w:val="22"/>
                <w:szCs w:val="22"/>
                <w:vertAlign w:val="subscript"/>
              </w:rPr>
              <w:t>2</w:t>
            </w:r>
            <w:r w:rsidRPr="006C4F45">
              <w:rPr>
                <w:sz w:val="22"/>
                <w:szCs w:val="22"/>
              </w:rPr>
              <w:t xml:space="preserve">O </w:t>
            </w:r>
          </w:p>
          <w:p w14:paraId="21DC79F0" w14:textId="77777777" w:rsidR="00B17E5F" w:rsidRPr="006C4F45" w:rsidRDefault="00B17E5F" w:rsidP="006C4F45">
            <w:pPr>
              <w:pStyle w:val="NoSpacing"/>
              <w:rPr>
                <w:sz w:val="22"/>
                <w:szCs w:val="22"/>
              </w:rPr>
            </w:pPr>
            <w:r w:rsidRPr="006C4F45">
              <w:rPr>
                <w:sz w:val="22"/>
                <w:szCs w:val="22"/>
              </w:rPr>
              <w:t>(28°C)</w:t>
            </w:r>
          </w:p>
        </w:tc>
        <w:tc>
          <w:tcPr>
            <w:tcW w:w="0" w:type="auto"/>
          </w:tcPr>
          <w:p w14:paraId="223EA7AF" w14:textId="77777777" w:rsidR="00B17E5F" w:rsidRPr="006C4F45" w:rsidRDefault="00B17E5F" w:rsidP="006C4F45">
            <w:pPr>
              <w:pStyle w:val="NoSpacing"/>
              <w:rPr>
                <w:sz w:val="22"/>
                <w:szCs w:val="22"/>
              </w:rPr>
            </w:pPr>
            <w:r w:rsidRPr="006C4F45">
              <w:rPr>
                <w:sz w:val="22"/>
                <w:szCs w:val="22"/>
              </w:rPr>
              <w:t>Coupled to solar and heat pump for heating</w:t>
            </w:r>
          </w:p>
        </w:tc>
        <w:tc>
          <w:tcPr>
            <w:tcW w:w="0" w:type="auto"/>
          </w:tcPr>
          <w:p w14:paraId="58B3A097" w14:textId="77777777" w:rsidR="00B17E5F" w:rsidRPr="006C4F45" w:rsidRDefault="00B17E5F" w:rsidP="006C4F45">
            <w:pPr>
              <w:pStyle w:val="NoSpacing"/>
              <w:rPr>
                <w:noProof/>
                <w:sz w:val="22"/>
                <w:szCs w:val="22"/>
              </w:rPr>
            </w:pPr>
            <w:r w:rsidRPr="006C4F45">
              <w:rPr>
                <w:noProof/>
                <w:sz w:val="22"/>
                <w:szCs w:val="22"/>
              </w:rPr>
              <w:t>Fin tube heat exchanger</w:t>
            </w:r>
          </w:p>
        </w:tc>
        <w:tc>
          <w:tcPr>
            <w:tcW w:w="0" w:type="auto"/>
          </w:tcPr>
          <w:p w14:paraId="7E24ADA6" w14:textId="77777777" w:rsidR="00B17E5F" w:rsidRPr="006C4F45" w:rsidRDefault="00B17E5F" w:rsidP="006C4F45">
            <w:pPr>
              <w:pStyle w:val="NoSpacing"/>
              <w:rPr>
                <w:noProof/>
                <w:sz w:val="22"/>
                <w:szCs w:val="22"/>
              </w:rPr>
            </w:pPr>
            <w:r w:rsidRPr="006C4F45">
              <w:rPr>
                <w:noProof/>
                <w:sz w:val="22"/>
                <w:szCs w:val="22"/>
              </w:rPr>
              <w:t>PCM thermal conductivity 1.09 W/m.K</w:t>
            </w:r>
          </w:p>
        </w:tc>
        <w:tc>
          <w:tcPr>
            <w:tcW w:w="0" w:type="auto"/>
          </w:tcPr>
          <w:p w14:paraId="6026AF9D" w14:textId="77777777" w:rsidR="00B17E5F" w:rsidRPr="006C4F45" w:rsidRDefault="00B17E5F" w:rsidP="006C4F45">
            <w:pPr>
              <w:pStyle w:val="NoSpacing"/>
              <w:rPr>
                <w:noProof/>
                <w:sz w:val="22"/>
                <w:szCs w:val="22"/>
              </w:rPr>
            </w:pPr>
            <w:r w:rsidRPr="006C4F45">
              <w:rPr>
                <w:noProof/>
                <w:sz w:val="22"/>
                <w:szCs w:val="22"/>
              </w:rPr>
              <w:t>COP increased to 4.0</w:t>
            </w:r>
          </w:p>
        </w:tc>
      </w:tr>
      <w:tr w:rsidR="00B17E5F" w:rsidRPr="006C4F45" w14:paraId="69F204C0" w14:textId="77777777" w:rsidTr="001D3769">
        <w:trPr>
          <w:trHeight w:val="449"/>
          <w:jc w:val="center"/>
        </w:trPr>
        <w:tc>
          <w:tcPr>
            <w:tcW w:w="0" w:type="auto"/>
          </w:tcPr>
          <w:sdt>
            <w:sdtPr>
              <w:rPr>
                <w:color w:val="000000"/>
                <w:sz w:val="22"/>
                <w:szCs w:val="22"/>
              </w:rPr>
              <w:tag w:val="MENDELEY_CITATION_v3_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"/>
              <w:id w:val="-2126608401"/>
              <w:placeholder>
                <w:docPart w:val="EB5D4069C3FA4995B6CD506EC0CFAFCB"/>
              </w:placeholder>
            </w:sdtPr>
            <w:sdtContent>
              <w:p w14:paraId="00E37440" w14:textId="46506B38" w:rsidR="00B17E5F" w:rsidRPr="006C4F45" w:rsidRDefault="001E7ECF" w:rsidP="006C4F45">
                <w:pPr>
                  <w:pStyle w:val="NoSpacing"/>
                  <w:rPr>
                    <w:sz w:val="22"/>
                    <w:szCs w:val="22"/>
                  </w:rPr>
                </w:pPr>
                <w:r w:rsidRPr="001E7ECF">
                  <w:rPr>
                    <w:color w:val="000000"/>
                    <w:sz w:val="22"/>
                    <w:szCs w:val="22"/>
                  </w:rPr>
                  <w:t>[175]</w:t>
                </w:r>
              </w:p>
            </w:sdtContent>
          </w:sdt>
        </w:tc>
        <w:tc>
          <w:tcPr>
            <w:tcW w:w="0" w:type="auto"/>
          </w:tcPr>
          <w:p w14:paraId="30EF7A44" w14:textId="77777777" w:rsidR="00B17E5F" w:rsidRPr="006C4F45" w:rsidRDefault="00B17E5F" w:rsidP="006C4F45">
            <w:pPr>
              <w:pStyle w:val="NoSpacing"/>
              <w:rPr>
                <w:sz w:val="22"/>
                <w:szCs w:val="22"/>
              </w:rPr>
            </w:pPr>
            <w:r w:rsidRPr="006C4F45">
              <w:rPr>
                <w:sz w:val="22"/>
                <w:szCs w:val="22"/>
              </w:rPr>
              <w:t>CaCl</w:t>
            </w:r>
            <w:r w:rsidRPr="006C4F45">
              <w:rPr>
                <w:sz w:val="22"/>
                <w:szCs w:val="22"/>
                <w:vertAlign w:val="subscript"/>
              </w:rPr>
              <w:t>2</w:t>
            </w:r>
            <w:r w:rsidRPr="006C4F45">
              <w:rPr>
                <w:sz w:val="22"/>
                <w:szCs w:val="22"/>
              </w:rPr>
              <w:t>.6H</w:t>
            </w:r>
            <w:r w:rsidRPr="006C4F45">
              <w:rPr>
                <w:sz w:val="22"/>
                <w:szCs w:val="22"/>
                <w:vertAlign w:val="subscript"/>
              </w:rPr>
              <w:t>2</w:t>
            </w:r>
            <w:r w:rsidRPr="006C4F45">
              <w:rPr>
                <w:sz w:val="22"/>
                <w:szCs w:val="22"/>
              </w:rPr>
              <w:t>O (28</w:t>
            </w:r>
            <w:r w:rsidRPr="006C4F45">
              <w:rPr>
                <w:noProof/>
                <w:sz w:val="22"/>
                <w:szCs w:val="22"/>
              </w:rPr>
              <w:t>°C)</w:t>
            </w:r>
          </w:p>
        </w:tc>
        <w:tc>
          <w:tcPr>
            <w:tcW w:w="0" w:type="auto"/>
          </w:tcPr>
          <w:p w14:paraId="6E325353" w14:textId="77777777" w:rsidR="00B17E5F" w:rsidRPr="006C4F45" w:rsidRDefault="00B17E5F" w:rsidP="006C4F45">
            <w:pPr>
              <w:pStyle w:val="NoSpacing"/>
              <w:rPr>
                <w:sz w:val="22"/>
                <w:szCs w:val="22"/>
              </w:rPr>
            </w:pPr>
            <w:r w:rsidRPr="006C4F45">
              <w:rPr>
                <w:sz w:val="22"/>
                <w:szCs w:val="22"/>
              </w:rPr>
              <w:t>Coupled to ground source heat pump for green house heating</w:t>
            </w:r>
          </w:p>
        </w:tc>
        <w:tc>
          <w:tcPr>
            <w:tcW w:w="0" w:type="auto"/>
          </w:tcPr>
          <w:p w14:paraId="1BB38D94" w14:textId="77777777" w:rsidR="00B17E5F" w:rsidRPr="006C4F45" w:rsidRDefault="00B17E5F" w:rsidP="006C4F45">
            <w:pPr>
              <w:pStyle w:val="NoSpacing"/>
              <w:rPr>
                <w:noProof/>
                <w:sz w:val="22"/>
                <w:szCs w:val="22"/>
              </w:rPr>
            </w:pPr>
            <w:r w:rsidRPr="006C4F45">
              <w:rPr>
                <w:noProof/>
                <w:sz w:val="22"/>
                <w:szCs w:val="22"/>
              </w:rPr>
              <w:t>Ground heat exchanger</w:t>
            </w:r>
          </w:p>
        </w:tc>
        <w:tc>
          <w:tcPr>
            <w:tcW w:w="0" w:type="auto"/>
          </w:tcPr>
          <w:p w14:paraId="524B30B8" w14:textId="77777777" w:rsidR="00B17E5F" w:rsidRPr="006C4F45" w:rsidRDefault="00B17E5F" w:rsidP="006C4F45">
            <w:pPr>
              <w:pStyle w:val="NoSpacing"/>
              <w:rPr>
                <w:noProof/>
                <w:sz w:val="22"/>
                <w:szCs w:val="22"/>
              </w:rPr>
            </w:pPr>
            <w:r w:rsidRPr="006C4F45">
              <w:rPr>
                <w:noProof/>
                <w:sz w:val="22"/>
                <w:szCs w:val="22"/>
              </w:rPr>
              <w:t>PCM thermal conductivity 1.09 W/m.K</w:t>
            </w:r>
          </w:p>
        </w:tc>
        <w:tc>
          <w:tcPr>
            <w:tcW w:w="0" w:type="auto"/>
          </w:tcPr>
          <w:p w14:paraId="2998E766" w14:textId="77777777" w:rsidR="00B17E5F" w:rsidRPr="006C4F45" w:rsidRDefault="00B17E5F" w:rsidP="006C4F45">
            <w:pPr>
              <w:pStyle w:val="NoSpacing"/>
              <w:rPr>
                <w:noProof/>
                <w:sz w:val="22"/>
                <w:szCs w:val="22"/>
              </w:rPr>
            </w:pPr>
            <w:r w:rsidRPr="006C4F45">
              <w:rPr>
                <w:noProof/>
                <w:sz w:val="22"/>
                <w:szCs w:val="22"/>
              </w:rPr>
              <w:t>COP increased to 4.2</w:t>
            </w:r>
          </w:p>
        </w:tc>
      </w:tr>
      <w:tr w:rsidR="00B17E5F" w:rsidRPr="006C4F45" w14:paraId="558D9B78" w14:textId="77777777" w:rsidTr="001D3769">
        <w:trPr>
          <w:trHeight w:val="449"/>
          <w:jc w:val="center"/>
        </w:trPr>
        <w:tc>
          <w:tcPr>
            <w:tcW w:w="0" w:type="auto"/>
          </w:tcPr>
          <w:sdt>
            <w:sdtPr>
              <w:rPr>
                <w:color w:val="000000"/>
                <w:sz w:val="22"/>
                <w:szCs w:val="22"/>
              </w:rPr>
              <w:tag w:val="MENDELEY_CITATION_v3_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"/>
              <w:id w:val="961548889"/>
              <w:placeholder>
                <w:docPart w:val="EB5D4069C3FA4995B6CD506EC0CFAFCB"/>
              </w:placeholder>
            </w:sdtPr>
            <w:sdtContent>
              <w:p w14:paraId="04AD2BA5" w14:textId="69777BDC" w:rsidR="00B17E5F" w:rsidRPr="006C4F45" w:rsidRDefault="001E7ECF" w:rsidP="006C4F45">
                <w:pPr>
                  <w:pStyle w:val="NoSpacing"/>
                  <w:rPr>
                    <w:sz w:val="22"/>
                    <w:szCs w:val="22"/>
                  </w:rPr>
                </w:pPr>
                <w:r w:rsidRPr="001E7ECF">
                  <w:rPr>
                    <w:color w:val="000000"/>
                    <w:sz w:val="22"/>
                    <w:szCs w:val="22"/>
                  </w:rPr>
                  <w:t>[176]</w:t>
                </w:r>
              </w:p>
            </w:sdtContent>
          </w:sdt>
        </w:tc>
        <w:tc>
          <w:tcPr>
            <w:tcW w:w="0" w:type="auto"/>
          </w:tcPr>
          <w:p w14:paraId="02701005" w14:textId="77777777" w:rsidR="00B17E5F" w:rsidRPr="006C4F45" w:rsidRDefault="00B17E5F" w:rsidP="006C4F45">
            <w:pPr>
              <w:pStyle w:val="NoSpacing"/>
              <w:rPr>
                <w:sz w:val="22"/>
                <w:szCs w:val="22"/>
              </w:rPr>
            </w:pPr>
            <w:r w:rsidRPr="006C4F45">
              <w:rPr>
                <w:sz w:val="22"/>
                <w:szCs w:val="22"/>
              </w:rPr>
              <w:t>Commercial salt hydrate (48 °C)</w:t>
            </w:r>
          </w:p>
        </w:tc>
        <w:tc>
          <w:tcPr>
            <w:tcW w:w="0" w:type="auto"/>
          </w:tcPr>
          <w:p w14:paraId="20233056" w14:textId="77777777" w:rsidR="00B17E5F" w:rsidRPr="006C4F45" w:rsidRDefault="00B17E5F" w:rsidP="006C4F45">
            <w:pPr>
              <w:pStyle w:val="NoSpacing"/>
              <w:rPr>
                <w:sz w:val="22"/>
                <w:szCs w:val="22"/>
              </w:rPr>
            </w:pPr>
            <w:r w:rsidRPr="006C4F45">
              <w:rPr>
                <w:sz w:val="22"/>
                <w:szCs w:val="22"/>
              </w:rPr>
              <w:t>Coupled to heat pump for heating</w:t>
            </w:r>
          </w:p>
        </w:tc>
        <w:tc>
          <w:tcPr>
            <w:tcW w:w="0" w:type="auto"/>
          </w:tcPr>
          <w:p w14:paraId="010226A5" w14:textId="77777777" w:rsidR="00B17E5F" w:rsidRPr="006C4F45" w:rsidRDefault="00B17E5F" w:rsidP="006C4F45">
            <w:pPr>
              <w:pStyle w:val="NoSpacing"/>
              <w:rPr>
                <w:noProof/>
                <w:sz w:val="22"/>
                <w:szCs w:val="22"/>
              </w:rPr>
            </w:pPr>
            <w:r w:rsidRPr="006C4F45">
              <w:rPr>
                <w:noProof/>
                <w:sz w:val="22"/>
                <w:szCs w:val="22"/>
              </w:rPr>
              <w:t>PCM enhanced buffer tank</w:t>
            </w:r>
          </w:p>
        </w:tc>
        <w:tc>
          <w:tcPr>
            <w:tcW w:w="0" w:type="auto"/>
          </w:tcPr>
          <w:p w14:paraId="4A91326D" w14:textId="77777777" w:rsidR="00B17E5F" w:rsidRPr="006C4F45" w:rsidRDefault="00B17E5F" w:rsidP="006C4F45">
            <w:pPr>
              <w:pStyle w:val="NoSpacing"/>
              <w:rPr>
                <w:noProof/>
                <w:sz w:val="22"/>
                <w:szCs w:val="22"/>
              </w:rPr>
            </w:pPr>
            <w:r w:rsidRPr="006C4F45">
              <w:rPr>
                <w:noProof/>
                <w:sz w:val="22"/>
                <w:szCs w:val="22"/>
              </w:rPr>
              <w:t>Thermal conductivity 0.45 W/m.K</w:t>
            </w:r>
          </w:p>
        </w:tc>
        <w:tc>
          <w:tcPr>
            <w:tcW w:w="0" w:type="auto"/>
          </w:tcPr>
          <w:p w14:paraId="3F485910" w14:textId="77777777" w:rsidR="00B17E5F" w:rsidRPr="006C4F45" w:rsidRDefault="00B17E5F" w:rsidP="006C4F45">
            <w:pPr>
              <w:pStyle w:val="NoSpacing"/>
              <w:rPr>
                <w:noProof/>
                <w:sz w:val="22"/>
                <w:szCs w:val="22"/>
              </w:rPr>
            </w:pPr>
            <w:r w:rsidRPr="006C4F45">
              <w:rPr>
                <w:noProof/>
                <w:sz w:val="22"/>
                <w:szCs w:val="22"/>
              </w:rPr>
              <w:t>COP reduced from 3.0 to 2.4</w:t>
            </w:r>
          </w:p>
        </w:tc>
      </w:tr>
      <w:tr w:rsidR="00B17E5F" w:rsidRPr="006C4F45" w14:paraId="507F601B" w14:textId="77777777" w:rsidTr="001D3769">
        <w:trPr>
          <w:trHeight w:val="449"/>
          <w:jc w:val="center"/>
        </w:trPr>
        <w:tc>
          <w:tcPr>
            <w:tcW w:w="0" w:type="auto"/>
          </w:tcPr>
          <w:sdt>
            <w:sdtPr>
              <w:rPr>
                <w:color w:val="000000"/>
                <w:sz w:val="22"/>
                <w:szCs w:val="22"/>
              </w:rPr>
              <w:tag w:val="MENDELEY_CITATION_v3_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"/>
              <w:id w:val="1094208254"/>
              <w:placeholder>
                <w:docPart w:val="EB5D4069C3FA4995B6CD506EC0CFAFCB"/>
              </w:placeholder>
            </w:sdtPr>
            <w:sdtContent>
              <w:p w14:paraId="34923092" w14:textId="5FC73740" w:rsidR="00B17E5F" w:rsidRPr="006C4F45" w:rsidRDefault="001E7ECF" w:rsidP="006C4F45">
                <w:pPr>
                  <w:pStyle w:val="NoSpacing"/>
                  <w:rPr>
                    <w:sz w:val="22"/>
                    <w:szCs w:val="22"/>
                  </w:rPr>
                </w:pPr>
                <w:r w:rsidRPr="001E7ECF">
                  <w:rPr>
                    <w:color w:val="000000"/>
                    <w:sz w:val="22"/>
                    <w:szCs w:val="22"/>
                  </w:rPr>
                  <w:t>[48]</w:t>
                </w:r>
              </w:p>
            </w:sdtContent>
          </w:sdt>
        </w:tc>
        <w:tc>
          <w:tcPr>
            <w:tcW w:w="0" w:type="auto"/>
          </w:tcPr>
          <w:p w14:paraId="675E330B" w14:textId="77777777" w:rsidR="00B17E5F" w:rsidRPr="006C4F45" w:rsidRDefault="00B17E5F" w:rsidP="006C4F45">
            <w:pPr>
              <w:pStyle w:val="NoSpacing"/>
              <w:rPr>
                <w:sz w:val="22"/>
                <w:szCs w:val="22"/>
              </w:rPr>
            </w:pPr>
            <w:r w:rsidRPr="006C4F45">
              <w:rPr>
                <w:sz w:val="22"/>
                <w:szCs w:val="22"/>
                <w:lang w:val="fr-FR"/>
              </w:rPr>
              <w:t>Sodium Acetate Trihydrate SAT (58°C)</w:t>
            </w:r>
          </w:p>
        </w:tc>
        <w:tc>
          <w:tcPr>
            <w:tcW w:w="0" w:type="auto"/>
          </w:tcPr>
          <w:p w14:paraId="23D91D51" w14:textId="77777777" w:rsidR="00B17E5F" w:rsidRPr="006C4F45" w:rsidRDefault="00B17E5F" w:rsidP="006C4F45">
            <w:pPr>
              <w:pStyle w:val="NoSpacing"/>
              <w:rPr>
                <w:sz w:val="22"/>
                <w:szCs w:val="22"/>
              </w:rPr>
            </w:pPr>
            <w:r w:rsidRPr="006C4F45">
              <w:rPr>
                <w:sz w:val="22"/>
                <w:szCs w:val="22"/>
              </w:rPr>
              <w:t>Coupled to condenser for heating</w:t>
            </w:r>
          </w:p>
        </w:tc>
        <w:tc>
          <w:tcPr>
            <w:tcW w:w="0" w:type="auto"/>
          </w:tcPr>
          <w:p w14:paraId="5B466A9D" w14:textId="77777777" w:rsidR="00B17E5F" w:rsidRPr="006C4F45" w:rsidRDefault="00B17E5F" w:rsidP="006C4F45">
            <w:pPr>
              <w:pStyle w:val="NoSpacing"/>
              <w:rPr>
                <w:noProof/>
                <w:sz w:val="22"/>
                <w:szCs w:val="22"/>
              </w:rPr>
            </w:pPr>
            <w:r w:rsidRPr="006C4F45">
              <w:rPr>
                <w:noProof/>
                <w:sz w:val="22"/>
                <w:szCs w:val="22"/>
              </w:rPr>
              <w:t>Plate heat exchanger</w:t>
            </w:r>
          </w:p>
        </w:tc>
        <w:tc>
          <w:tcPr>
            <w:tcW w:w="0" w:type="auto"/>
          </w:tcPr>
          <w:p w14:paraId="37750019" w14:textId="77777777" w:rsidR="00B17E5F" w:rsidRPr="006C4F45" w:rsidRDefault="00B17E5F" w:rsidP="006C4F45">
            <w:pPr>
              <w:pStyle w:val="NoSpacing"/>
              <w:rPr>
                <w:noProof/>
                <w:sz w:val="22"/>
                <w:szCs w:val="22"/>
              </w:rPr>
            </w:pPr>
            <w:r w:rsidRPr="006C4F45">
              <w:rPr>
                <w:noProof/>
                <w:sz w:val="22"/>
                <w:szCs w:val="22"/>
              </w:rPr>
              <w:t>Thermal conductivity 0.57 W/m.K</w:t>
            </w:r>
          </w:p>
        </w:tc>
        <w:tc>
          <w:tcPr>
            <w:tcW w:w="0" w:type="auto"/>
          </w:tcPr>
          <w:p w14:paraId="1E918A9D" w14:textId="77777777" w:rsidR="00B17E5F" w:rsidRPr="006C4F45" w:rsidRDefault="00B17E5F" w:rsidP="006C4F45">
            <w:pPr>
              <w:pStyle w:val="NoSpacing"/>
              <w:rPr>
                <w:noProof/>
                <w:sz w:val="22"/>
                <w:szCs w:val="22"/>
              </w:rPr>
            </w:pPr>
            <w:r w:rsidRPr="006C4F45">
              <w:rPr>
                <w:noProof/>
                <w:sz w:val="22"/>
                <w:szCs w:val="22"/>
              </w:rPr>
              <w:t>COP reported 4.5</w:t>
            </w:r>
          </w:p>
        </w:tc>
      </w:tr>
      <w:tr w:rsidR="00B17E5F" w:rsidRPr="006C4F45" w14:paraId="0DBB4B34" w14:textId="77777777" w:rsidTr="001D3769">
        <w:trPr>
          <w:trHeight w:val="449"/>
          <w:jc w:val="center"/>
        </w:trPr>
        <w:tc>
          <w:tcPr>
            <w:tcW w:w="0" w:type="auto"/>
          </w:tcPr>
          <w:sdt>
            <w:sdtPr>
              <w:rPr>
                <w:color w:val="000000"/>
                <w:sz w:val="22"/>
                <w:szCs w:val="22"/>
              </w:rPr>
              <w:tag w:val="MENDELEY_CITATION_v3_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"/>
              <w:id w:val="1340507148"/>
              <w:placeholder>
                <w:docPart w:val="EB5D4069C3FA4995B6CD506EC0CFAFCB"/>
              </w:placeholder>
            </w:sdtPr>
            <w:sdtContent>
              <w:p w14:paraId="4196D90E" w14:textId="17729A28" w:rsidR="00B17E5F" w:rsidRPr="006C4F45" w:rsidRDefault="001E7ECF" w:rsidP="006C4F45">
                <w:pPr>
                  <w:pStyle w:val="NoSpacing"/>
                  <w:rPr>
                    <w:sz w:val="22"/>
                    <w:szCs w:val="22"/>
                  </w:rPr>
                </w:pPr>
                <w:r w:rsidRPr="001E7ECF">
                  <w:rPr>
                    <w:color w:val="000000"/>
                    <w:sz w:val="22"/>
                    <w:szCs w:val="22"/>
                  </w:rPr>
                  <w:t>[177]</w:t>
                </w:r>
              </w:p>
            </w:sdtContent>
          </w:sdt>
        </w:tc>
        <w:tc>
          <w:tcPr>
            <w:tcW w:w="0" w:type="auto"/>
          </w:tcPr>
          <w:p w14:paraId="5311C17B" w14:textId="77777777" w:rsidR="00B17E5F" w:rsidRPr="006C4F45" w:rsidRDefault="00B17E5F" w:rsidP="006C4F45">
            <w:pPr>
              <w:pStyle w:val="NoSpacing"/>
              <w:rPr>
                <w:sz w:val="22"/>
                <w:szCs w:val="22"/>
              </w:rPr>
            </w:pPr>
            <w:r w:rsidRPr="006C4F45">
              <w:rPr>
                <w:sz w:val="22"/>
                <w:szCs w:val="22"/>
              </w:rPr>
              <w:t>SP24E, RT27, RT25</w:t>
            </w:r>
          </w:p>
          <w:p w14:paraId="6B386BE4" w14:textId="77777777" w:rsidR="00B17E5F" w:rsidRPr="006C4F45" w:rsidRDefault="00B17E5F" w:rsidP="006C4F45">
            <w:pPr>
              <w:pStyle w:val="NoSpacing"/>
              <w:rPr>
                <w:sz w:val="22"/>
                <w:szCs w:val="22"/>
              </w:rPr>
            </w:pPr>
            <w:r w:rsidRPr="006C4F45">
              <w:rPr>
                <w:sz w:val="22"/>
                <w:szCs w:val="22"/>
              </w:rPr>
              <w:t>(24 °C - 25 °C)</w:t>
            </w:r>
          </w:p>
        </w:tc>
        <w:tc>
          <w:tcPr>
            <w:tcW w:w="0" w:type="auto"/>
          </w:tcPr>
          <w:p w14:paraId="6E8FEC5B" w14:textId="77777777" w:rsidR="00B17E5F" w:rsidRPr="006C4F45" w:rsidRDefault="00B17E5F" w:rsidP="006C4F45">
            <w:pPr>
              <w:pStyle w:val="NoSpacing"/>
              <w:rPr>
                <w:sz w:val="22"/>
                <w:szCs w:val="22"/>
              </w:rPr>
            </w:pPr>
            <w:r w:rsidRPr="006C4F45">
              <w:rPr>
                <w:sz w:val="22"/>
                <w:szCs w:val="22"/>
              </w:rPr>
              <w:t>Coupled to ventilation system for cooling</w:t>
            </w:r>
          </w:p>
        </w:tc>
        <w:tc>
          <w:tcPr>
            <w:tcW w:w="0" w:type="auto"/>
          </w:tcPr>
          <w:p w14:paraId="226B59DE" w14:textId="77777777" w:rsidR="00B17E5F" w:rsidRPr="006C4F45" w:rsidRDefault="00B17E5F" w:rsidP="006C4F45">
            <w:pPr>
              <w:pStyle w:val="NoSpacing"/>
              <w:rPr>
                <w:sz w:val="22"/>
                <w:szCs w:val="22"/>
              </w:rPr>
            </w:pPr>
            <w:r w:rsidRPr="006C4F45">
              <w:rPr>
                <w:sz w:val="22"/>
                <w:szCs w:val="22"/>
              </w:rPr>
              <w:t>Plate heat exchanger</w:t>
            </w:r>
          </w:p>
        </w:tc>
        <w:tc>
          <w:tcPr>
            <w:tcW w:w="0" w:type="auto"/>
          </w:tcPr>
          <w:p w14:paraId="0B636867" w14:textId="77777777" w:rsidR="00B17E5F" w:rsidRPr="006C4F45" w:rsidRDefault="00B17E5F" w:rsidP="006C4F45">
            <w:pPr>
              <w:pStyle w:val="NoSpacing"/>
              <w:rPr>
                <w:noProof/>
                <w:sz w:val="22"/>
                <w:szCs w:val="22"/>
              </w:rPr>
            </w:pPr>
            <w:r w:rsidRPr="006C4F45">
              <w:rPr>
                <w:noProof/>
                <w:sz w:val="22"/>
                <w:szCs w:val="22"/>
              </w:rPr>
              <w:t>Thermal conductivity 0.60 W/m.K</w:t>
            </w:r>
          </w:p>
        </w:tc>
        <w:tc>
          <w:tcPr>
            <w:tcW w:w="0" w:type="auto"/>
          </w:tcPr>
          <w:p w14:paraId="7FA8E738" w14:textId="77777777" w:rsidR="00B17E5F" w:rsidRPr="006C4F45" w:rsidRDefault="00B17E5F" w:rsidP="006C4F45">
            <w:pPr>
              <w:pStyle w:val="NoSpacing"/>
              <w:rPr>
                <w:noProof/>
                <w:sz w:val="22"/>
                <w:szCs w:val="22"/>
              </w:rPr>
            </w:pPr>
            <w:r w:rsidRPr="006C4F45">
              <w:rPr>
                <w:noProof/>
                <w:sz w:val="22"/>
                <w:szCs w:val="22"/>
              </w:rPr>
              <w:t>Salt hydrate PCM had highest storage capacity</w:t>
            </w:r>
          </w:p>
        </w:tc>
      </w:tr>
    </w:tbl>
    <w:p w14:paraId="488495B7" w14:textId="77777777" w:rsidR="00B17E5F" w:rsidRPr="00322E56" w:rsidRDefault="00B17E5F" w:rsidP="00521059">
      <w:pPr>
        <w:rPr>
          <w:rFonts w:cs="Times New Roman"/>
          <w:color w:val="0D0D0D" w:themeColor="text1" w:themeTint="F2"/>
        </w:rPr>
      </w:pPr>
    </w:p>
    <w:p w14:paraId="21706E37" w14:textId="1BC44397" w:rsidR="00B17E5F" w:rsidRDefault="00B17E5F" w:rsidP="00DA6BA6">
      <w:pPr>
        <w:spacing w:line="240" w:lineRule="auto"/>
        <w:jc w:val="center"/>
        <w:rPr>
          <w:rFonts w:cs="Times New Roman"/>
          <w:b/>
          <w:bCs/>
        </w:rPr>
      </w:pPr>
      <w:r w:rsidRPr="00322E56">
        <w:rPr>
          <w:rFonts w:cs="Times New Roman"/>
        </w:rPr>
        <w:br w:type="page"/>
      </w:r>
      <w:r w:rsidR="00D30714" w:rsidRPr="00DA6BA6">
        <w:rPr>
          <w:rFonts w:cs="Times New Roman"/>
          <w:b/>
          <w:bCs/>
        </w:rPr>
        <w:lastRenderedPageBreak/>
        <w:t>Table 10 Continued</w:t>
      </w:r>
    </w:p>
    <w:p w14:paraId="19D44C43" w14:textId="77777777" w:rsidR="00DA6BA6" w:rsidRPr="00DA6BA6" w:rsidRDefault="00DA6BA6" w:rsidP="00DA6BA6">
      <w:pPr>
        <w:spacing w:line="240" w:lineRule="auto"/>
        <w:jc w:val="center"/>
        <w:rPr>
          <w:rFonts w:cs="Times New Roman"/>
          <w:b/>
          <w:bCs/>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1" w:type="dxa"/>
          <w:right w:w="71" w:type="dxa"/>
        </w:tblCellMar>
        <w:tblLook w:val="0000" w:firstRow="0" w:lastRow="0" w:firstColumn="0" w:lastColumn="0" w:noHBand="0" w:noVBand="0"/>
      </w:tblPr>
      <w:tblGrid>
        <w:gridCol w:w="619"/>
        <w:gridCol w:w="961"/>
        <w:gridCol w:w="1920"/>
        <w:gridCol w:w="1260"/>
        <w:gridCol w:w="1698"/>
        <w:gridCol w:w="2166"/>
      </w:tblGrid>
      <w:tr w:rsidR="00D30714" w:rsidRPr="006C4F45" w14:paraId="63D726F9" w14:textId="77777777" w:rsidTr="00273064">
        <w:trPr>
          <w:trHeight w:val="449"/>
          <w:jc w:val="center"/>
        </w:trPr>
        <w:tc>
          <w:tcPr>
            <w:tcW w:w="0" w:type="auto"/>
          </w:tcPr>
          <w:sdt>
            <w:sdtPr>
              <w:rPr>
                <w:color w:val="000000"/>
                <w:sz w:val="22"/>
                <w:szCs w:val="22"/>
              </w:rPr>
              <w:tag w:val="MENDELEY_CITATION_v3_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"/>
              <w:id w:val="-1804617398"/>
              <w:placeholder>
                <w:docPart w:val="F3E5DAF58A9B6C48A032C95A449B466A"/>
              </w:placeholder>
            </w:sdtPr>
            <w:sdtContent>
              <w:p w14:paraId="605F42EB" w14:textId="77777777" w:rsidR="00D30714" w:rsidRPr="006C4F45" w:rsidRDefault="00D30714" w:rsidP="00273064">
                <w:pPr>
                  <w:pStyle w:val="NoSpacing"/>
                  <w:rPr>
                    <w:sz w:val="22"/>
                    <w:szCs w:val="22"/>
                  </w:rPr>
                </w:pPr>
                <w:r w:rsidRPr="001E7ECF">
                  <w:rPr>
                    <w:color w:val="000000"/>
                    <w:sz w:val="22"/>
                    <w:szCs w:val="22"/>
                  </w:rPr>
                  <w:t>[178]</w:t>
                </w:r>
              </w:p>
            </w:sdtContent>
          </w:sdt>
        </w:tc>
        <w:tc>
          <w:tcPr>
            <w:tcW w:w="0" w:type="auto"/>
          </w:tcPr>
          <w:p w14:paraId="41971DCB" w14:textId="77777777" w:rsidR="00D30714" w:rsidRPr="006C4F45" w:rsidRDefault="00D30714" w:rsidP="00273064">
            <w:pPr>
              <w:pStyle w:val="NoSpacing"/>
              <w:rPr>
                <w:sz w:val="22"/>
                <w:szCs w:val="22"/>
              </w:rPr>
            </w:pPr>
            <w:r w:rsidRPr="006C4F45">
              <w:rPr>
                <w:sz w:val="22"/>
                <w:szCs w:val="22"/>
              </w:rPr>
              <w:t>FlatICE PCM</w:t>
            </w:r>
          </w:p>
          <w:p w14:paraId="5D5EC837" w14:textId="77777777" w:rsidR="00D30714" w:rsidRPr="006C4F45" w:rsidRDefault="00D30714" w:rsidP="00273064">
            <w:pPr>
              <w:pStyle w:val="NoSpacing"/>
              <w:rPr>
                <w:sz w:val="22"/>
                <w:szCs w:val="22"/>
              </w:rPr>
            </w:pPr>
            <w:r w:rsidRPr="006C4F45">
              <w:rPr>
                <w:sz w:val="22"/>
                <w:szCs w:val="22"/>
              </w:rPr>
              <w:t>(15 °C)</w:t>
            </w:r>
          </w:p>
        </w:tc>
        <w:tc>
          <w:tcPr>
            <w:tcW w:w="0" w:type="auto"/>
          </w:tcPr>
          <w:p w14:paraId="1833CD29" w14:textId="77777777" w:rsidR="00D30714" w:rsidRPr="006C4F45" w:rsidRDefault="00D30714" w:rsidP="00273064">
            <w:pPr>
              <w:pStyle w:val="NoSpacing"/>
              <w:rPr>
                <w:sz w:val="22"/>
                <w:szCs w:val="22"/>
              </w:rPr>
            </w:pPr>
            <w:r w:rsidRPr="006C4F45">
              <w:rPr>
                <w:sz w:val="22"/>
                <w:szCs w:val="22"/>
              </w:rPr>
              <w:t>Coupled to chiller for space cooling and peak load shifting</w:t>
            </w:r>
          </w:p>
        </w:tc>
        <w:tc>
          <w:tcPr>
            <w:tcW w:w="0" w:type="auto"/>
          </w:tcPr>
          <w:p w14:paraId="165255F2" w14:textId="77777777" w:rsidR="00D30714" w:rsidRPr="006C4F45" w:rsidRDefault="00D30714" w:rsidP="00273064">
            <w:pPr>
              <w:pStyle w:val="NoSpacing"/>
              <w:rPr>
                <w:sz w:val="22"/>
                <w:szCs w:val="22"/>
              </w:rPr>
            </w:pPr>
            <w:r w:rsidRPr="006C4F45">
              <w:rPr>
                <w:sz w:val="22"/>
                <w:szCs w:val="22"/>
              </w:rPr>
              <w:t>Plate heat exchanger</w:t>
            </w:r>
          </w:p>
        </w:tc>
        <w:tc>
          <w:tcPr>
            <w:tcW w:w="0" w:type="auto"/>
          </w:tcPr>
          <w:p w14:paraId="6FB7D34B" w14:textId="77777777" w:rsidR="00D30714" w:rsidRPr="006C4F45" w:rsidRDefault="00D30714" w:rsidP="00273064">
            <w:pPr>
              <w:pStyle w:val="NoSpacing"/>
              <w:rPr>
                <w:noProof/>
                <w:sz w:val="22"/>
                <w:szCs w:val="22"/>
              </w:rPr>
            </w:pPr>
            <w:r w:rsidRPr="006C4F45">
              <w:rPr>
                <w:noProof/>
                <w:sz w:val="22"/>
                <w:szCs w:val="22"/>
              </w:rPr>
              <w:t>Thermal conductivity 0.43 W/m.K</w:t>
            </w:r>
          </w:p>
        </w:tc>
        <w:tc>
          <w:tcPr>
            <w:tcW w:w="0" w:type="auto"/>
          </w:tcPr>
          <w:p w14:paraId="7A31CECA" w14:textId="77777777" w:rsidR="00D30714" w:rsidRPr="006C4F45" w:rsidRDefault="00D30714" w:rsidP="00273064">
            <w:pPr>
              <w:pStyle w:val="NoSpacing"/>
              <w:rPr>
                <w:noProof/>
                <w:sz w:val="22"/>
                <w:szCs w:val="22"/>
              </w:rPr>
            </w:pPr>
            <w:r w:rsidRPr="006C4F45">
              <w:rPr>
                <w:noProof/>
                <w:sz w:val="22"/>
                <w:szCs w:val="22"/>
              </w:rPr>
              <w:t>Chiller load reduced by 37%. PCM utilized 15% of its storage capacity</w:t>
            </w:r>
          </w:p>
        </w:tc>
      </w:tr>
    </w:tbl>
    <w:p w14:paraId="68CAE173" w14:textId="77777777" w:rsidR="00D30714" w:rsidRPr="00322E56" w:rsidRDefault="00D30714">
      <w:pPr>
        <w:spacing w:line="240" w:lineRule="auto"/>
        <w:rPr>
          <w:rFonts w:cs="Times New Roman"/>
          <w:b/>
          <w:bCs/>
          <w:iCs/>
          <w:szCs w:val="28"/>
        </w:rPr>
      </w:pPr>
    </w:p>
    <w:p w14:paraId="0C06048E" w14:textId="77777777" w:rsidR="00DA6BA6" w:rsidRDefault="00DA6BA6">
      <w:pPr>
        <w:spacing w:before="0" w:line="240" w:lineRule="auto"/>
        <w:ind w:firstLine="0"/>
        <w:jc w:val="left"/>
        <w:rPr>
          <w:rFonts w:cs="Times New Roman"/>
          <w:b/>
          <w:bCs/>
          <w:iCs/>
          <w:szCs w:val="28"/>
        </w:rPr>
      </w:pPr>
      <w:r>
        <w:rPr>
          <w:rFonts w:cs="Times New Roman"/>
        </w:rPr>
        <w:br w:type="page"/>
      </w:r>
    </w:p>
    <w:p w14:paraId="7E1A22ED" w14:textId="77777777" w:rsidR="00B17E5F" w:rsidRPr="00322E56" w:rsidRDefault="00B17E5F" w:rsidP="00976942">
      <w:pPr>
        <w:pStyle w:val="Heading3"/>
        <w:rPr>
          <w:rFonts w:cs="Times New Roman"/>
        </w:rPr>
      </w:pPr>
      <w:bookmarkStart w:id="118" w:name="_Toc140399848"/>
      <w:r w:rsidRPr="00322E56">
        <w:rPr>
          <w:rFonts w:cs="Times New Roman"/>
        </w:rPr>
        <w:lastRenderedPageBreak/>
        <w:t>Heat Pump Integration</w:t>
      </w:r>
      <w:bookmarkEnd w:id="118"/>
    </w:p>
    <w:p w14:paraId="4BBAEC76" w14:textId="2B3D7305" w:rsidR="00B17E5F" w:rsidRPr="00322E56" w:rsidRDefault="00B17E5F" w:rsidP="00976942">
      <w:pPr>
        <w:rPr>
          <w:rFonts w:cs="Times New Roman"/>
          <w:color w:val="0D0D0D" w:themeColor="text1" w:themeTint="F2"/>
        </w:rPr>
      </w:pPr>
      <w:r w:rsidRPr="00322E56">
        <w:rPr>
          <w:rFonts w:cs="Times New Roman"/>
          <w:color w:val="0D0D0D" w:themeColor="text1" w:themeTint="F2"/>
        </w:rPr>
        <w:t xml:space="preserve">PCM-TES can be installed in building envelope, air distribution loops, or the vapor compression system itself. For an active PCM-TES to be installed in the building envelope, a heat exchanger is used and coupled to the air handling unit </w:t>
      </w:r>
      <w:sdt>
        <w:sdtPr>
          <w:rPr>
            <w:rFonts w:cs="Times New Roman"/>
            <w:color w:val="000000"/>
          </w:rPr>
          <w:tag w:val="MENDELEY_CITATION_v3_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"/>
          <w:id w:val="-1579438802"/>
          <w:placeholder>
            <w:docPart w:val="3FBEE87C2ACF41AAA6C799838CEAD50F"/>
          </w:placeholder>
        </w:sdtPr>
        <w:sdtContent>
          <w:r w:rsidR="001E7ECF" w:rsidRPr="001E7ECF">
            <w:rPr>
              <w:rFonts w:cs="Times New Roman"/>
              <w:color w:val="000000"/>
            </w:rPr>
            <w:t>[136]</w:t>
          </w:r>
        </w:sdtContent>
      </w:sdt>
      <w:r w:rsidRPr="00322E56">
        <w:rPr>
          <w:rFonts w:cs="Times New Roman"/>
          <w:color w:val="000000"/>
        </w:rPr>
        <w:t>.</w:t>
      </w:r>
      <w:r w:rsidRPr="00322E56">
        <w:rPr>
          <w:rFonts w:cs="Times New Roman"/>
          <w:color w:val="0D0D0D" w:themeColor="text1" w:themeTint="F2"/>
        </w:rPr>
        <w:t xml:space="preserve"> In the vapor compression system, either the PCM is directly installed in the condenser or evaporator or coupled via a stand-alone storage tank </w:t>
      </w:r>
      <w:sdt>
        <w:sdtPr>
          <w:rPr>
            <w:rFonts w:cs="Times New Roman"/>
            <w:color w:val="000000"/>
          </w:rPr>
          <w:tag w:val="MENDELEY_CITATION_v3_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"/>
          <w:id w:val="-1142038578"/>
          <w:placeholder>
            <w:docPart w:val="3FBEE87C2ACF41AAA6C799838CEAD50F"/>
          </w:placeholder>
        </w:sdtPr>
        <w:sdtContent>
          <w:r w:rsidR="001E7ECF" w:rsidRPr="001E7ECF">
            <w:rPr>
              <w:rFonts w:cs="Times New Roman"/>
              <w:color w:val="000000"/>
            </w:rPr>
            <w:t>(Bruno et al., 2014; Real et al., 2014)</w:t>
          </w:r>
        </w:sdtContent>
      </w:sdt>
      <w:r w:rsidRPr="00322E56">
        <w:rPr>
          <w:rFonts w:cs="Times New Roman"/>
          <w:color w:val="000000"/>
        </w:rPr>
        <w:t>.</w:t>
      </w:r>
      <w:r w:rsidRPr="00322E56">
        <w:rPr>
          <w:rFonts w:cs="Times New Roman"/>
          <w:color w:val="0D0D0D" w:themeColor="text1" w:themeTint="F2"/>
        </w:rPr>
        <w:t xml:space="preserve">  Air distribution system has been the most commonly used configuration where the PCM is installed in the supply or return air ducts </w:t>
      </w:r>
      <w:sdt>
        <w:sdtPr>
          <w:rPr>
            <w:rFonts w:cs="Times New Roman"/>
            <w:color w:val="000000"/>
          </w:rPr>
          <w:tag w:val="MENDELEY_CITATION_v3_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"/>
          <w:id w:val="-1553996529"/>
          <w:placeholder>
            <w:docPart w:val="3FBEE87C2ACF41AAA6C799838CEAD50F"/>
          </w:placeholder>
        </w:sdtPr>
        <w:sdtContent>
          <w:r w:rsidR="001E7ECF" w:rsidRPr="001E7ECF">
            <w:rPr>
              <w:rFonts w:cs="Times New Roman"/>
              <w:color w:val="000000"/>
            </w:rPr>
            <w:t>(Chaiyat, 2015; Hlanze et al., 2021)</w:t>
          </w:r>
        </w:sdtContent>
      </w:sdt>
      <w:r w:rsidRPr="00322E56">
        <w:rPr>
          <w:rFonts w:cs="Times New Roman"/>
          <w:color w:val="0D0D0D" w:themeColor="text1" w:themeTint="F2"/>
        </w:rPr>
        <w:t>.</w:t>
      </w:r>
    </w:p>
    <w:p w14:paraId="5D0E4933" w14:textId="77777777" w:rsidR="00B17E5F" w:rsidRPr="00322E56" w:rsidRDefault="00B17E5F" w:rsidP="00976942">
      <w:pPr>
        <w:pStyle w:val="Heading3"/>
        <w:rPr>
          <w:rFonts w:cs="Times New Roman"/>
        </w:rPr>
      </w:pPr>
      <w:bookmarkStart w:id="119" w:name="_Toc140399849"/>
      <w:r w:rsidRPr="00322E56">
        <w:rPr>
          <w:rFonts w:cs="Times New Roman"/>
        </w:rPr>
        <w:t>Application and Configuration</w:t>
      </w:r>
      <w:bookmarkEnd w:id="119"/>
    </w:p>
    <w:p w14:paraId="081B1DAC" w14:textId="77777777" w:rsidR="00B17E5F" w:rsidRPr="00322E56" w:rsidRDefault="00B17E5F" w:rsidP="00976942">
      <w:pPr>
        <w:rPr>
          <w:rFonts w:cs="Times New Roman"/>
          <w:color w:val="0D0D0D" w:themeColor="text1" w:themeTint="F2"/>
        </w:rPr>
      </w:pPr>
      <w:r w:rsidRPr="00322E56">
        <w:rPr>
          <w:rFonts w:cs="Times New Roman"/>
          <w:color w:val="0D0D0D" w:themeColor="text1" w:themeTint="F2"/>
        </w:rPr>
        <w:t xml:space="preserve">Active HP-TES systems have been investigated for the demand response and load shifting potential. The literature reported in Table 11 and 12 show that the cooling applications are widely explored, and peak cooling demand is shifted to off peak hours using different control strategies.  </w:t>
      </w:r>
    </w:p>
    <w:p w14:paraId="134DF16E" w14:textId="6E987E26" w:rsidR="00B17E5F" w:rsidRPr="00322E56" w:rsidRDefault="00B17E5F" w:rsidP="00722D9B">
      <w:pPr>
        <w:rPr>
          <w:rFonts w:cs="Times New Roman"/>
        </w:rPr>
      </w:pPr>
      <w:r w:rsidRPr="00322E56">
        <w:rPr>
          <w:rFonts w:cs="Times New Roman"/>
        </w:rPr>
        <w:t xml:space="preserve">A paraffin PCM was installed in a return air duct coupled with evaporator to enhance the cooling efficiency of air conditioning system </w:t>
      </w:r>
      <w:sdt>
        <w:sdtPr>
          <w:rPr>
            <w:rFonts w:cs="Times New Roman"/>
            <w:color w:val="000000"/>
          </w:rPr>
          <w:tag w:val="MENDELEY_CITATION_v3_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"/>
          <w:id w:val="1009567270"/>
          <w:placeholder>
            <w:docPart w:val="57E036E9106643DDBD1077F807A18EB4"/>
          </w:placeholder>
        </w:sdtPr>
        <w:sdtContent>
          <w:r w:rsidR="001E7ECF" w:rsidRPr="001E7ECF">
            <w:rPr>
              <w:rFonts w:cs="Times New Roman"/>
              <w:color w:val="000000"/>
            </w:rPr>
            <w:t>(Chaiyat, 2015)</w:t>
          </w:r>
        </w:sdtContent>
      </w:sdt>
      <w:r w:rsidRPr="00322E56">
        <w:rPr>
          <w:rFonts w:cs="Times New Roman"/>
        </w:rPr>
        <w:t>. The PCM was solidified during nighttime by the cold air from the heat pump. During the daytime, return air from the room was passed through the PCM, liquifying it and reducing the cooling load at the evaporator. The time-of-use TOU tarrif was used and 3-hour load was shifted to off-peak hours. 9% daily energy and cost savings were reported.</w:t>
      </w:r>
    </w:p>
    <w:p w14:paraId="3033C74D" w14:textId="38D66BED" w:rsidR="00B17E5F" w:rsidRPr="00322E56" w:rsidRDefault="00B17E5F" w:rsidP="00976942">
      <w:pPr>
        <w:rPr>
          <w:rFonts w:cs="Times New Roman"/>
        </w:rPr>
      </w:pPr>
      <w:r w:rsidRPr="00322E56">
        <w:rPr>
          <w:rFonts w:cs="Times New Roman"/>
        </w:rPr>
        <w:t xml:space="preserve">Bruno et al. </w:t>
      </w:r>
      <w:sdt>
        <w:sdtPr>
          <w:rPr>
            <w:rFonts w:cs="Times New Roman"/>
            <w:color w:val="000000"/>
          </w:rPr>
          <w:tag w:val="MENDELEY_CITATION_v3_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"/>
          <w:id w:val="-113914201"/>
          <w:placeholder>
            <w:docPart w:val="57E036E9106643DDBD1077F807A18EB4"/>
          </w:placeholder>
        </w:sdtPr>
        <w:sdtContent>
          <w:r w:rsidR="001E7ECF" w:rsidRPr="001E7ECF">
            <w:rPr>
              <w:rFonts w:cs="Times New Roman"/>
              <w:color w:val="000000"/>
            </w:rPr>
            <w:t>(Bruno et al., 2014)</w:t>
          </w:r>
        </w:sdtContent>
      </w:sdt>
      <w:r w:rsidRPr="00322E56">
        <w:rPr>
          <w:rFonts w:cs="Times New Roman"/>
        </w:rPr>
        <w:t xml:space="preserve"> used ice and two salt hydrates PCMs installed in a heat exchanger coupled to chillder. The cooling energy is provided through chiller to either the PCM for solidification, or to the building during off-peak hours. The charging time and duration was optimized depending on the outside temperature to minimize energy usage and the PCM with 10°C melting temperature could save 13% energy.</w:t>
      </w:r>
    </w:p>
    <w:p w14:paraId="4D71B39B" w14:textId="7D12E663" w:rsidR="00B17E5F" w:rsidRPr="00322E56" w:rsidRDefault="00B17E5F" w:rsidP="00976942">
      <w:pPr>
        <w:rPr>
          <w:rFonts w:cs="Times New Roman"/>
        </w:rPr>
      </w:pPr>
      <w:r w:rsidRPr="00322E56">
        <w:rPr>
          <w:rFonts w:cs="Times New Roman"/>
        </w:rPr>
        <w:t xml:space="preserve">Table 11 and 12 below compare the energy savings and demand impact for Active TES systems integrated with heat pump via different configurations. </w:t>
      </w:r>
    </w:p>
    <w:p w14:paraId="1E042AF6" w14:textId="77777777" w:rsidR="00B17E5F" w:rsidRPr="00322E56" w:rsidRDefault="00B17E5F">
      <w:pPr>
        <w:spacing w:line="240" w:lineRule="auto"/>
        <w:rPr>
          <w:rFonts w:cs="Times New Roman"/>
        </w:rPr>
      </w:pPr>
      <w:r w:rsidRPr="00322E56">
        <w:rPr>
          <w:rFonts w:cs="Times New Roman"/>
        </w:rPr>
        <w:br w:type="page"/>
      </w:r>
    </w:p>
    <w:p w14:paraId="20F0D731" w14:textId="100F1060" w:rsidR="00B17E5F" w:rsidRPr="00322E56" w:rsidRDefault="00B17E5F" w:rsidP="00976942">
      <w:pPr>
        <w:pStyle w:val="Caption"/>
        <w:rPr>
          <w:rFonts w:cs="Times New Roman"/>
        </w:rPr>
      </w:pPr>
      <w:bookmarkStart w:id="120" w:name="_Toc140399951"/>
      <w:r w:rsidRPr="00322E56">
        <w:rPr>
          <w:rFonts w:cs="Times New Roman"/>
        </w:rPr>
        <w:lastRenderedPageBreak/>
        <w:t xml:space="preserve">Table </w:t>
      </w:r>
      <w:r w:rsidRPr="00322E56">
        <w:rPr>
          <w:rFonts w:cs="Times New Roman"/>
        </w:rPr>
        <w:fldChar w:fldCharType="begin"/>
      </w:r>
      <w:r w:rsidRPr="00322E56">
        <w:rPr>
          <w:rFonts w:cs="Times New Roman"/>
        </w:rPr>
        <w:instrText xml:space="preserve"> SEQ Table \* ARABIC </w:instrText>
      </w:r>
      <w:r w:rsidRPr="00322E56">
        <w:rPr>
          <w:rFonts w:cs="Times New Roman"/>
        </w:rPr>
        <w:fldChar w:fldCharType="separate"/>
      </w:r>
      <w:r w:rsidR="00FC25C0">
        <w:rPr>
          <w:rFonts w:cs="Times New Roman"/>
          <w:noProof/>
        </w:rPr>
        <w:t>11</w:t>
      </w:r>
      <w:r w:rsidRPr="00322E56">
        <w:rPr>
          <w:rFonts w:cs="Times New Roman"/>
        </w:rPr>
        <w:fldChar w:fldCharType="end"/>
      </w:r>
      <w:r w:rsidRPr="00322E56">
        <w:rPr>
          <w:rFonts w:cs="Times New Roman"/>
        </w:rPr>
        <w:t>: Active HP-TES Configurations with Salt hydrate PCMS</w:t>
      </w:r>
      <w:bookmarkEnd w:id="120"/>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1" w:type="dxa"/>
          <w:right w:w="71" w:type="dxa"/>
        </w:tblCellMar>
        <w:tblLook w:val="0000" w:firstRow="0" w:lastRow="0" w:firstColumn="0" w:lastColumn="0" w:noHBand="0" w:noVBand="0"/>
      </w:tblPr>
      <w:tblGrid>
        <w:gridCol w:w="1022"/>
        <w:gridCol w:w="1301"/>
        <w:gridCol w:w="1343"/>
        <w:gridCol w:w="1701"/>
        <w:gridCol w:w="1849"/>
        <w:gridCol w:w="1408"/>
      </w:tblGrid>
      <w:tr w:rsidR="00B17E5F" w:rsidRPr="00C03D1A" w14:paraId="22C32AF9" w14:textId="77777777" w:rsidTr="00C03D1A">
        <w:trPr>
          <w:trHeight w:val="338"/>
          <w:jc w:val="center"/>
        </w:trPr>
        <w:tc>
          <w:tcPr>
            <w:tcW w:w="1022" w:type="dxa"/>
            <w:tcBorders>
              <w:bottom w:val="single" w:sz="6" w:space="0" w:color="auto"/>
            </w:tcBorders>
          </w:tcPr>
          <w:p w14:paraId="527C32A4" w14:textId="77777777" w:rsidR="00B17E5F" w:rsidRPr="00C03D1A" w:rsidRDefault="00B17E5F" w:rsidP="00C03D1A">
            <w:pPr>
              <w:pStyle w:val="NoSpacing"/>
              <w:jc w:val="left"/>
              <w:rPr>
                <w:b/>
                <w:bCs/>
                <w:sz w:val="22"/>
                <w:szCs w:val="22"/>
              </w:rPr>
            </w:pPr>
            <w:r w:rsidRPr="00C03D1A">
              <w:rPr>
                <w:b/>
                <w:bCs/>
                <w:sz w:val="22"/>
                <w:szCs w:val="22"/>
              </w:rPr>
              <w:t>Author</w:t>
            </w:r>
          </w:p>
        </w:tc>
        <w:tc>
          <w:tcPr>
            <w:tcW w:w="1301" w:type="dxa"/>
            <w:tcBorders>
              <w:bottom w:val="single" w:sz="6" w:space="0" w:color="auto"/>
            </w:tcBorders>
          </w:tcPr>
          <w:p w14:paraId="01AF8E21" w14:textId="77777777" w:rsidR="00B17E5F" w:rsidRPr="00C03D1A" w:rsidRDefault="00B17E5F" w:rsidP="00C03D1A">
            <w:pPr>
              <w:pStyle w:val="NoSpacing"/>
              <w:jc w:val="left"/>
              <w:rPr>
                <w:b/>
                <w:bCs/>
                <w:sz w:val="22"/>
                <w:szCs w:val="22"/>
              </w:rPr>
            </w:pPr>
            <w:r w:rsidRPr="00C03D1A">
              <w:rPr>
                <w:b/>
                <w:bCs/>
                <w:sz w:val="22"/>
                <w:szCs w:val="22"/>
              </w:rPr>
              <w:t>PCM material</w:t>
            </w:r>
          </w:p>
        </w:tc>
        <w:tc>
          <w:tcPr>
            <w:tcW w:w="1343" w:type="dxa"/>
            <w:tcBorders>
              <w:bottom w:val="single" w:sz="6" w:space="0" w:color="auto"/>
            </w:tcBorders>
          </w:tcPr>
          <w:p w14:paraId="46EC4594" w14:textId="77777777" w:rsidR="00B17E5F" w:rsidRPr="00C03D1A" w:rsidRDefault="00B17E5F" w:rsidP="00C03D1A">
            <w:pPr>
              <w:pStyle w:val="NoSpacing"/>
              <w:jc w:val="left"/>
              <w:rPr>
                <w:b/>
                <w:bCs/>
                <w:sz w:val="22"/>
                <w:szCs w:val="22"/>
              </w:rPr>
            </w:pPr>
            <w:r w:rsidRPr="00C03D1A">
              <w:rPr>
                <w:b/>
                <w:bCs/>
                <w:sz w:val="22"/>
                <w:szCs w:val="22"/>
              </w:rPr>
              <w:t>Application</w:t>
            </w:r>
          </w:p>
        </w:tc>
        <w:tc>
          <w:tcPr>
            <w:tcW w:w="1701" w:type="dxa"/>
            <w:tcBorders>
              <w:bottom w:val="single" w:sz="6" w:space="0" w:color="auto"/>
            </w:tcBorders>
          </w:tcPr>
          <w:p w14:paraId="71362471" w14:textId="77777777" w:rsidR="00B17E5F" w:rsidRPr="00C03D1A" w:rsidRDefault="00B17E5F" w:rsidP="00C03D1A">
            <w:pPr>
              <w:pStyle w:val="NoSpacing"/>
              <w:jc w:val="left"/>
              <w:rPr>
                <w:b/>
                <w:bCs/>
                <w:sz w:val="22"/>
                <w:szCs w:val="22"/>
              </w:rPr>
            </w:pPr>
            <w:r w:rsidRPr="00C03D1A">
              <w:rPr>
                <w:b/>
                <w:bCs/>
                <w:sz w:val="22"/>
                <w:szCs w:val="22"/>
              </w:rPr>
              <w:t>Configuration &amp; HP integration</w:t>
            </w:r>
          </w:p>
        </w:tc>
        <w:tc>
          <w:tcPr>
            <w:tcW w:w="1849" w:type="dxa"/>
            <w:tcBorders>
              <w:bottom w:val="single" w:sz="6" w:space="0" w:color="auto"/>
            </w:tcBorders>
          </w:tcPr>
          <w:p w14:paraId="4521068D" w14:textId="77777777" w:rsidR="00B17E5F" w:rsidRPr="00C03D1A" w:rsidRDefault="00B17E5F" w:rsidP="00C03D1A">
            <w:pPr>
              <w:pStyle w:val="NoSpacing"/>
              <w:jc w:val="left"/>
              <w:rPr>
                <w:b/>
                <w:bCs/>
                <w:sz w:val="22"/>
                <w:szCs w:val="22"/>
              </w:rPr>
            </w:pPr>
            <w:r w:rsidRPr="00C03D1A">
              <w:rPr>
                <w:b/>
                <w:bCs/>
                <w:sz w:val="22"/>
                <w:szCs w:val="22"/>
              </w:rPr>
              <w:t>Charging Operation</w:t>
            </w:r>
          </w:p>
        </w:tc>
        <w:tc>
          <w:tcPr>
            <w:tcW w:w="1408" w:type="dxa"/>
            <w:tcBorders>
              <w:bottom w:val="single" w:sz="6" w:space="0" w:color="auto"/>
            </w:tcBorders>
          </w:tcPr>
          <w:p w14:paraId="1F0520AC" w14:textId="77777777" w:rsidR="00B17E5F" w:rsidRPr="00C03D1A" w:rsidRDefault="00B17E5F" w:rsidP="00C03D1A">
            <w:pPr>
              <w:pStyle w:val="NoSpacing"/>
              <w:jc w:val="left"/>
              <w:rPr>
                <w:b/>
                <w:bCs/>
                <w:sz w:val="22"/>
                <w:szCs w:val="22"/>
              </w:rPr>
            </w:pPr>
            <w:r w:rsidRPr="00C03D1A">
              <w:rPr>
                <w:b/>
                <w:bCs/>
                <w:sz w:val="22"/>
                <w:szCs w:val="22"/>
              </w:rPr>
              <w:t>Key Results</w:t>
            </w:r>
          </w:p>
        </w:tc>
      </w:tr>
      <w:tr w:rsidR="00B17E5F" w:rsidRPr="00C03D1A" w14:paraId="538B6C3E" w14:textId="77777777" w:rsidTr="00C03D1A">
        <w:trPr>
          <w:trHeight w:val="449"/>
          <w:jc w:val="center"/>
        </w:trPr>
        <w:tc>
          <w:tcPr>
            <w:tcW w:w="1022" w:type="dxa"/>
          </w:tcPr>
          <w:sdt>
            <w:sdtPr>
              <w:rPr>
                <w:color w:val="000000"/>
                <w:sz w:val="22"/>
                <w:szCs w:val="22"/>
              </w:rPr>
              <w:tag w:val="MENDELEY_CITATION_v3_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"/>
              <w:id w:val="-980840116"/>
              <w:placeholder>
                <w:docPart w:val="1AFBB611DEC44BB9A9E18B8FB8DBE852"/>
              </w:placeholder>
            </w:sdtPr>
            <w:sdtContent>
              <w:p w14:paraId="345446AF" w14:textId="30532E70" w:rsidR="00B17E5F" w:rsidRPr="00C03D1A" w:rsidRDefault="001E7ECF" w:rsidP="00C03D1A">
                <w:pPr>
                  <w:pStyle w:val="NoSpacing"/>
                  <w:jc w:val="left"/>
                  <w:rPr>
                    <w:sz w:val="22"/>
                    <w:szCs w:val="22"/>
                  </w:rPr>
                </w:pPr>
                <w:r w:rsidRPr="001E7ECF">
                  <w:rPr>
                    <w:color w:val="000000"/>
                    <w:sz w:val="22"/>
                    <w:szCs w:val="22"/>
                  </w:rPr>
                  <w:t>(Real et al., 2014)</w:t>
                </w:r>
              </w:p>
            </w:sdtContent>
          </w:sdt>
        </w:tc>
        <w:tc>
          <w:tcPr>
            <w:tcW w:w="1301" w:type="dxa"/>
          </w:tcPr>
          <w:p w14:paraId="20287234" w14:textId="77777777" w:rsidR="00B17E5F" w:rsidRPr="00C03D1A" w:rsidRDefault="00B17E5F" w:rsidP="00C03D1A">
            <w:pPr>
              <w:pStyle w:val="NoSpacing"/>
              <w:jc w:val="left"/>
              <w:rPr>
                <w:sz w:val="22"/>
                <w:szCs w:val="22"/>
              </w:rPr>
            </w:pPr>
            <w:r w:rsidRPr="00C03D1A">
              <w:rPr>
                <w:sz w:val="22"/>
                <w:szCs w:val="22"/>
              </w:rPr>
              <w:t>S10 (10 °C)</w:t>
            </w:r>
          </w:p>
          <w:p w14:paraId="4AB20B6F" w14:textId="77777777" w:rsidR="00B17E5F" w:rsidRPr="00C03D1A" w:rsidRDefault="00B17E5F" w:rsidP="00C03D1A">
            <w:pPr>
              <w:pStyle w:val="NoSpacing"/>
              <w:jc w:val="left"/>
              <w:rPr>
                <w:sz w:val="22"/>
                <w:szCs w:val="22"/>
              </w:rPr>
            </w:pPr>
            <w:r w:rsidRPr="00C03D1A">
              <w:rPr>
                <w:sz w:val="22"/>
                <w:szCs w:val="22"/>
              </w:rPr>
              <w:t>S27 (27 °C)</w:t>
            </w:r>
          </w:p>
        </w:tc>
        <w:tc>
          <w:tcPr>
            <w:tcW w:w="1343" w:type="dxa"/>
          </w:tcPr>
          <w:p w14:paraId="2B6D734C" w14:textId="77777777" w:rsidR="00B17E5F" w:rsidRPr="00C03D1A" w:rsidRDefault="00B17E5F" w:rsidP="00C03D1A">
            <w:pPr>
              <w:pStyle w:val="NoSpacing"/>
              <w:jc w:val="left"/>
              <w:rPr>
                <w:sz w:val="22"/>
                <w:szCs w:val="22"/>
              </w:rPr>
            </w:pPr>
            <w:r w:rsidRPr="00C03D1A">
              <w:rPr>
                <w:sz w:val="22"/>
                <w:szCs w:val="22"/>
              </w:rPr>
              <w:t>Both heating and cooling</w:t>
            </w:r>
          </w:p>
        </w:tc>
        <w:tc>
          <w:tcPr>
            <w:tcW w:w="1701" w:type="dxa"/>
          </w:tcPr>
          <w:p w14:paraId="20ECF983" w14:textId="77777777" w:rsidR="00B17E5F" w:rsidRPr="00C03D1A" w:rsidRDefault="00B17E5F" w:rsidP="00C03D1A">
            <w:pPr>
              <w:pStyle w:val="NoSpacing"/>
              <w:jc w:val="left"/>
              <w:rPr>
                <w:noProof/>
                <w:sz w:val="22"/>
                <w:szCs w:val="22"/>
              </w:rPr>
            </w:pPr>
            <w:r w:rsidRPr="00C03D1A">
              <w:rPr>
                <w:sz w:val="22"/>
                <w:szCs w:val="22"/>
              </w:rPr>
              <w:t>In two storage tanks coupled to HVAC</w:t>
            </w:r>
          </w:p>
        </w:tc>
        <w:tc>
          <w:tcPr>
            <w:tcW w:w="1849" w:type="dxa"/>
          </w:tcPr>
          <w:p w14:paraId="3E2CD455" w14:textId="77777777" w:rsidR="00B17E5F" w:rsidRPr="00C03D1A" w:rsidRDefault="00B17E5F" w:rsidP="00C03D1A">
            <w:pPr>
              <w:pStyle w:val="NoSpacing"/>
              <w:jc w:val="left"/>
              <w:rPr>
                <w:noProof/>
                <w:sz w:val="22"/>
                <w:szCs w:val="22"/>
              </w:rPr>
            </w:pPr>
            <w:r w:rsidRPr="00C03D1A">
              <w:rPr>
                <w:sz w:val="22"/>
                <w:szCs w:val="22"/>
              </w:rPr>
              <w:t>Cooling energy is stored in cold tank at night using HVAC</w:t>
            </w:r>
          </w:p>
        </w:tc>
        <w:tc>
          <w:tcPr>
            <w:tcW w:w="1408" w:type="dxa"/>
          </w:tcPr>
          <w:p w14:paraId="58DA8E21" w14:textId="77777777" w:rsidR="00B17E5F" w:rsidRPr="00C03D1A" w:rsidRDefault="00B17E5F" w:rsidP="00C03D1A">
            <w:pPr>
              <w:pStyle w:val="NoSpacing"/>
              <w:jc w:val="left"/>
              <w:rPr>
                <w:noProof/>
                <w:sz w:val="22"/>
                <w:szCs w:val="22"/>
              </w:rPr>
            </w:pPr>
            <w:r w:rsidRPr="00C03D1A">
              <w:rPr>
                <w:noProof/>
                <w:sz w:val="22"/>
                <w:szCs w:val="22"/>
              </w:rPr>
              <w:t>18.97% energy saved</w:t>
            </w:r>
          </w:p>
        </w:tc>
      </w:tr>
      <w:tr w:rsidR="00B17E5F" w:rsidRPr="00C03D1A" w14:paraId="7C62F0A6" w14:textId="77777777" w:rsidTr="00C03D1A">
        <w:trPr>
          <w:trHeight w:val="449"/>
          <w:jc w:val="center"/>
        </w:trPr>
        <w:tc>
          <w:tcPr>
            <w:tcW w:w="1022" w:type="dxa"/>
          </w:tcPr>
          <w:sdt>
            <w:sdtPr>
              <w:rPr>
                <w:color w:val="000000"/>
                <w:sz w:val="22"/>
                <w:szCs w:val="22"/>
              </w:rPr>
              <w:tag w:val="MENDELEY_CITATION_v3_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"/>
              <w:id w:val="2052185970"/>
              <w:placeholder>
                <w:docPart w:val="1AFBB611DEC44BB9A9E18B8FB8DBE852"/>
              </w:placeholder>
            </w:sdtPr>
            <w:sdtContent>
              <w:p w14:paraId="26C461B7" w14:textId="53CF6FBD" w:rsidR="00B17E5F" w:rsidRPr="00C03D1A" w:rsidRDefault="001E7ECF" w:rsidP="00C03D1A">
                <w:pPr>
                  <w:pStyle w:val="NoSpacing"/>
                  <w:jc w:val="left"/>
                  <w:rPr>
                    <w:sz w:val="22"/>
                    <w:szCs w:val="22"/>
                  </w:rPr>
                </w:pPr>
                <w:r w:rsidRPr="001E7ECF">
                  <w:rPr>
                    <w:color w:val="000000"/>
                    <w:sz w:val="22"/>
                    <w:szCs w:val="22"/>
                  </w:rPr>
                  <w:t>[48]</w:t>
                </w:r>
              </w:p>
            </w:sdtContent>
          </w:sdt>
        </w:tc>
        <w:tc>
          <w:tcPr>
            <w:tcW w:w="1301" w:type="dxa"/>
          </w:tcPr>
          <w:p w14:paraId="56E55F21" w14:textId="77777777" w:rsidR="00B17E5F" w:rsidRPr="00C03D1A" w:rsidRDefault="00B17E5F" w:rsidP="00C03D1A">
            <w:pPr>
              <w:pStyle w:val="NoSpacing"/>
              <w:jc w:val="left"/>
              <w:rPr>
                <w:sz w:val="22"/>
                <w:szCs w:val="22"/>
              </w:rPr>
            </w:pPr>
            <w:r w:rsidRPr="00C03D1A">
              <w:rPr>
                <w:sz w:val="22"/>
                <w:szCs w:val="22"/>
              </w:rPr>
              <w:t>Sodium Acetate Trihydrate (SAT) (58 °C)</w:t>
            </w:r>
          </w:p>
          <w:p w14:paraId="387F50ED" w14:textId="77777777" w:rsidR="00B17E5F" w:rsidRPr="00C03D1A" w:rsidRDefault="00B17E5F" w:rsidP="00C03D1A">
            <w:pPr>
              <w:pStyle w:val="NoSpacing"/>
              <w:jc w:val="left"/>
              <w:rPr>
                <w:noProof/>
                <w:sz w:val="22"/>
                <w:szCs w:val="22"/>
              </w:rPr>
            </w:pPr>
          </w:p>
        </w:tc>
        <w:tc>
          <w:tcPr>
            <w:tcW w:w="1343" w:type="dxa"/>
          </w:tcPr>
          <w:p w14:paraId="07506912" w14:textId="77777777" w:rsidR="00B17E5F" w:rsidRPr="00C03D1A" w:rsidRDefault="00B17E5F" w:rsidP="00C03D1A">
            <w:pPr>
              <w:pStyle w:val="NoSpacing"/>
              <w:jc w:val="left"/>
              <w:rPr>
                <w:sz w:val="22"/>
                <w:szCs w:val="22"/>
              </w:rPr>
            </w:pPr>
            <w:r w:rsidRPr="00C03D1A">
              <w:rPr>
                <w:sz w:val="22"/>
                <w:szCs w:val="22"/>
              </w:rPr>
              <w:t>Space Heating</w:t>
            </w:r>
          </w:p>
        </w:tc>
        <w:tc>
          <w:tcPr>
            <w:tcW w:w="1701" w:type="dxa"/>
          </w:tcPr>
          <w:p w14:paraId="32DB8A44" w14:textId="77777777" w:rsidR="00B17E5F" w:rsidRPr="00C03D1A" w:rsidRDefault="00B17E5F" w:rsidP="00C03D1A">
            <w:pPr>
              <w:pStyle w:val="NoSpacing"/>
              <w:jc w:val="left"/>
              <w:rPr>
                <w:noProof/>
                <w:sz w:val="22"/>
                <w:szCs w:val="22"/>
              </w:rPr>
            </w:pPr>
            <w:r w:rsidRPr="00C03D1A">
              <w:rPr>
                <w:sz w:val="22"/>
                <w:szCs w:val="22"/>
              </w:rPr>
              <w:t>In storage tank coupled to condenser &amp; electric heater</w:t>
            </w:r>
          </w:p>
        </w:tc>
        <w:tc>
          <w:tcPr>
            <w:tcW w:w="1849" w:type="dxa"/>
          </w:tcPr>
          <w:p w14:paraId="2B542B6B" w14:textId="77777777" w:rsidR="00B17E5F" w:rsidRPr="00C03D1A" w:rsidRDefault="00B17E5F" w:rsidP="00C03D1A">
            <w:pPr>
              <w:pStyle w:val="NoSpacing"/>
              <w:jc w:val="left"/>
              <w:rPr>
                <w:noProof/>
                <w:sz w:val="22"/>
                <w:szCs w:val="22"/>
              </w:rPr>
            </w:pPr>
            <w:r w:rsidRPr="00C03D1A">
              <w:rPr>
                <w:sz w:val="22"/>
                <w:szCs w:val="22"/>
              </w:rPr>
              <w:t>Heat pump condenser is used to charge PCM during off-peak hours</w:t>
            </w:r>
          </w:p>
        </w:tc>
        <w:tc>
          <w:tcPr>
            <w:tcW w:w="1408" w:type="dxa"/>
          </w:tcPr>
          <w:p w14:paraId="5712841B" w14:textId="77777777" w:rsidR="00B17E5F" w:rsidRPr="00C03D1A" w:rsidRDefault="00B17E5F" w:rsidP="00C03D1A">
            <w:pPr>
              <w:pStyle w:val="NoSpacing"/>
              <w:jc w:val="left"/>
              <w:rPr>
                <w:noProof/>
                <w:sz w:val="22"/>
                <w:szCs w:val="22"/>
              </w:rPr>
            </w:pPr>
            <w:r w:rsidRPr="00C03D1A">
              <w:rPr>
                <w:noProof/>
                <w:sz w:val="22"/>
                <w:szCs w:val="22"/>
              </w:rPr>
              <w:t>6 hours of peak load shifted</w:t>
            </w:r>
          </w:p>
        </w:tc>
      </w:tr>
      <w:tr w:rsidR="00B17E5F" w:rsidRPr="00C03D1A" w14:paraId="3DBB9694" w14:textId="77777777" w:rsidTr="00C03D1A">
        <w:trPr>
          <w:trHeight w:val="449"/>
          <w:jc w:val="center"/>
        </w:trPr>
        <w:tc>
          <w:tcPr>
            <w:tcW w:w="1022" w:type="dxa"/>
          </w:tcPr>
          <w:sdt>
            <w:sdtPr>
              <w:rPr>
                <w:color w:val="000000"/>
                <w:sz w:val="22"/>
                <w:szCs w:val="22"/>
              </w:rPr>
              <w:tag w:val="MENDELEY_CITATION_v3_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"/>
              <w:id w:val="1970937068"/>
              <w:placeholder>
                <w:docPart w:val="1AFBB611DEC44BB9A9E18B8FB8DBE852"/>
              </w:placeholder>
            </w:sdtPr>
            <w:sdtContent>
              <w:p w14:paraId="7AB6FF45" w14:textId="2427DCE4" w:rsidR="00B17E5F" w:rsidRPr="00C03D1A" w:rsidRDefault="001E7ECF" w:rsidP="00C03D1A">
                <w:pPr>
                  <w:pStyle w:val="NoSpacing"/>
                  <w:jc w:val="left"/>
                  <w:rPr>
                    <w:sz w:val="22"/>
                    <w:szCs w:val="22"/>
                  </w:rPr>
                </w:pPr>
                <w:r w:rsidRPr="001E7ECF">
                  <w:rPr>
                    <w:color w:val="000000"/>
                    <w:sz w:val="22"/>
                    <w:szCs w:val="22"/>
                  </w:rPr>
                  <w:t>[40]</w:t>
                </w:r>
              </w:p>
            </w:sdtContent>
          </w:sdt>
        </w:tc>
        <w:tc>
          <w:tcPr>
            <w:tcW w:w="1301" w:type="dxa"/>
          </w:tcPr>
          <w:p w14:paraId="596BFAB8" w14:textId="77777777" w:rsidR="00B17E5F" w:rsidRPr="00C03D1A" w:rsidRDefault="00B17E5F" w:rsidP="00C03D1A">
            <w:pPr>
              <w:pStyle w:val="NoSpacing"/>
              <w:jc w:val="left"/>
              <w:rPr>
                <w:sz w:val="22"/>
                <w:szCs w:val="22"/>
              </w:rPr>
            </w:pPr>
            <w:r w:rsidRPr="00C03D1A">
              <w:rPr>
                <w:sz w:val="22"/>
                <w:szCs w:val="22"/>
              </w:rPr>
              <w:t>Salt Hydrate PCM 18T</w:t>
            </w:r>
          </w:p>
          <w:p w14:paraId="1E7E3A0A" w14:textId="77777777" w:rsidR="00B17E5F" w:rsidRPr="00C03D1A" w:rsidRDefault="00B17E5F" w:rsidP="00C03D1A">
            <w:pPr>
              <w:pStyle w:val="NoSpacing"/>
              <w:jc w:val="left"/>
              <w:rPr>
                <w:sz w:val="22"/>
                <w:szCs w:val="22"/>
              </w:rPr>
            </w:pPr>
            <w:r w:rsidRPr="00C03D1A">
              <w:rPr>
                <w:sz w:val="22"/>
                <w:szCs w:val="22"/>
              </w:rPr>
              <w:t>(18°C)</w:t>
            </w:r>
          </w:p>
        </w:tc>
        <w:tc>
          <w:tcPr>
            <w:tcW w:w="1343" w:type="dxa"/>
          </w:tcPr>
          <w:p w14:paraId="6B855943" w14:textId="77777777" w:rsidR="00B17E5F" w:rsidRPr="00C03D1A" w:rsidRDefault="00B17E5F" w:rsidP="00C03D1A">
            <w:pPr>
              <w:pStyle w:val="NoSpacing"/>
              <w:jc w:val="left"/>
              <w:rPr>
                <w:sz w:val="22"/>
                <w:szCs w:val="22"/>
              </w:rPr>
            </w:pPr>
            <w:r w:rsidRPr="00C03D1A">
              <w:rPr>
                <w:sz w:val="22"/>
                <w:szCs w:val="22"/>
              </w:rPr>
              <w:t>Space Cooling</w:t>
            </w:r>
          </w:p>
        </w:tc>
        <w:tc>
          <w:tcPr>
            <w:tcW w:w="1701" w:type="dxa"/>
          </w:tcPr>
          <w:p w14:paraId="75BE520D" w14:textId="77777777" w:rsidR="00B17E5F" w:rsidRPr="00C03D1A" w:rsidRDefault="00B17E5F" w:rsidP="00C03D1A">
            <w:pPr>
              <w:pStyle w:val="NoSpacing"/>
              <w:jc w:val="left"/>
              <w:rPr>
                <w:noProof/>
                <w:sz w:val="22"/>
                <w:szCs w:val="22"/>
              </w:rPr>
            </w:pPr>
            <w:r w:rsidRPr="00C03D1A">
              <w:rPr>
                <w:sz w:val="22"/>
                <w:szCs w:val="22"/>
              </w:rPr>
              <w:t>In storage tank coupled to an air source heat pump</w:t>
            </w:r>
          </w:p>
        </w:tc>
        <w:tc>
          <w:tcPr>
            <w:tcW w:w="1849" w:type="dxa"/>
          </w:tcPr>
          <w:p w14:paraId="215EC086" w14:textId="77777777" w:rsidR="00B17E5F" w:rsidRPr="00C03D1A" w:rsidRDefault="00B17E5F" w:rsidP="00C03D1A">
            <w:pPr>
              <w:pStyle w:val="NoSpacing"/>
              <w:jc w:val="left"/>
              <w:rPr>
                <w:noProof/>
                <w:sz w:val="22"/>
                <w:szCs w:val="22"/>
              </w:rPr>
            </w:pPr>
            <w:r w:rsidRPr="00C03D1A">
              <w:rPr>
                <w:sz w:val="22"/>
                <w:szCs w:val="22"/>
              </w:rPr>
              <w:t>Return air from room passes through PCM before entering the evaporator to increase COP</w:t>
            </w:r>
          </w:p>
        </w:tc>
        <w:tc>
          <w:tcPr>
            <w:tcW w:w="1408" w:type="dxa"/>
          </w:tcPr>
          <w:p w14:paraId="4B0C9BA3" w14:textId="77777777" w:rsidR="00B17E5F" w:rsidRPr="00C03D1A" w:rsidRDefault="00B17E5F" w:rsidP="00C03D1A">
            <w:pPr>
              <w:pStyle w:val="NoSpacing"/>
              <w:jc w:val="left"/>
              <w:rPr>
                <w:noProof/>
                <w:sz w:val="22"/>
                <w:szCs w:val="22"/>
              </w:rPr>
            </w:pPr>
            <w:r w:rsidRPr="00C03D1A">
              <w:rPr>
                <w:noProof/>
                <w:sz w:val="22"/>
                <w:szCs w:val="22"/>
              </w:rPr>
              <w:t>Peak demand reduced by 32%</w:t>
            </w:r>
          </w:p>
        </w:tc>
      </w:tr>
      <w:tr w:rsidR="00B17E5F" w:rsidRPr="00C03D1A" w14:paraId="0F083BD1" w14:textId="77777777" w:rsidTr="00C03D1A">
        <w:trPr>
          <w:trHeight w:val="449"/>
          <w:jc w:val="center"/>
        </w:trPr>
        <w:tc>
          <w:tcPr>
            <w:tcW w:w="1022" w:type="dxa"/>
          </w:tcPr>
          <w:sdt>
            <w:sdtPr>
              <w:rPr>
                <w:color w:val="000000"/>
                <w:sz w:val="22"/>
                <w:szCs w:val="22"/>
              </w:rPr>
              <w:tag w:val="MENDELEY_CITATION_v3_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"/>
              <w:id w:val="-708949360"/>
              <w:placeholder>
                <w:docPart w:val="1AFBB611DEC44BB9A9E18B8FB8DBE852"/>
              </w:placeholder>
            </w:sdtPr>
            <w:sdtContent>
              <w:p w14:paraId="608C87DA" w14:textId="6FC9F9B8" w:rsidR="00B17E5F" w:rsidRPr="00C03D1A" w:rsidRDefault="001E7ECF" w:rsidP="00C03D1A">
                <w:pPr>
                  <w:pStyle w:val="NoSpacing"/>
                  <w:jc w:val="left"/>
                  <w:rPr>
                    <w:sz w:val="22"/>
                    <w:szCs w:val="22"/>
                  </w:rPr>
                </w:pPr>
                <w:r w:rsidRPr="001E7ECF">
                  <w:rPr>
                    <w:color w:val="000000"/>
                    <w:sz w:val="22"/>
                    <w:szCs w:val="22"/>
                  </w:rPr>
                  <w:t>[44]</w:t>
                </w:r>
              </w:p>
            </w:sdtContent>
          </w:sdt>
        </w:tc>
        <w:tc>
          <w:tcPr>
            <w:tcW w:w="1301" w:type="dxa"/>
          </w:tcPr>
          <w:p w14:paraId="0A44991B" w14:textId="77777777" w:rsidR="00B17E5F" w:rsidRPr="00C03D1A" w:rsidRDefault="00B17E5F" w:rsidP="00C03D1A">
            <w:pPr>
              <w:pStyle w:val="NoSpacing"/>
              <w:jc w:val="left"/>
              <w:rPr>
                <w:sz w:val="22"/>
                <w:szCs w:val="22"/>
              </w:rPr>
            </w:pPr>
            <w:r w:rsidRPr="00C03D1A">
              <w:rPr>
                <w:sz w:val="22"/>
                <w:szCs w:val="22"/>
              </w:rPr>
              <w:t>S27 (27°C)</w:t>
            </w:r>
          </w:p>
          <w:p w14:paraId="04B24B4C" w14:textId="77777777" w:rsidR="00B17E5F" w:rsidRPr="00C03D1A" w:rsidRDefault="00B17E5F" w:rsidP="00C03D1A">
            <w:pPr>
              <w:pStyle w:val="NoSpacing"/>
              <w:jc w:val="left"/>
              <w:rPr>
                <w:sz w:val="22"/>
                <w:szCs w:val="22"/>
              </w:rPr>
            </w:pPr>
            <w:r w:rsidRPr="00C03D1A">
              <w:rPr>
                <w:sz w:val="22"/>
                <w:szCs w:val="22"/>
              </w:rPr>
              <w:t>S25 (25°C)</w:t>
            </w:r>
          </w:p>
        </w:tc>
        <w:tc>
          <w:tcPr>
            <w:tcW w:w="1343" w:type="dxa"/>
          </w:tcPr>
          <w:p w14:paraId="46FF55B6" w14:textId="77777777" w:rsidR="00B17E5F" w:rsidRPr="00C03D1A" w:rsidRDefault="00B17E5F" w:rsidP="00C03D1A">
            <w:pPr>
              <w:pStyle w:val="NoSpacing"/>
              <w:jc w:val="left"/>
              <w:rPr>
                <w:sz w:val="22"/>
                <w:szCs w:val="22"/>
              </w:rPr>
            </w:pPr>
            <w:r w:rsidRPr="00C03D1A">
              <w:rPr>
                <w:sz w:val="22"/>
                <w:szCs w:val="22"/>
              </w:rPr>
              <w:t>Space Cooling</w:t>
            </w:r>
          </w:p>
        </w:tc>
        <w:tc>
          <w:tcPr>
            <w:tcW w:w="1701" w:type="dxa"/>
          </w:tcPr>
          <w:p w14:paraId="4C87FC4F" w14:textId="77777777" w:rsidR="00B17E5F" w:rsidRPr="00C03D1A" w:rsidRDefault="00B17E5F" w:rsidP="00C03D1A">
            <w:pPr>
              <w:pStyle w:val="NoSpacing"/>
              <w:jc w:val="left"/>
              <w:rPr>
                <w:noProof/>
                <w:sz w:val="22"/>
                <w:szCs w:val="22"/>
              </w:rPr>
            </w:pPr>
            <w:r w:rsidRPr="00C03D1A">
              <w:rPr>
                <w:sz w:val="22"/>
                <w:szCs w:val="22"/>
              </w:rPr>
              <w:t>In storage tank coupled to vapor type compressor of heat pump</w:t>
            </w:r>
          </w:p>
        </w:tc>
        <w:tc>
          <w:tcPr>
            <w:tcW w:w="1849" w:type="dxa"/>
          </w:tcPr>
          <w:p w14:paraId="17E750B2" w14:textId="77777777" w:rsidR="00B17E5F" w:rsidRPr="00C03D1A" w:rsidRDefault="00B17E5F" w:rsidP="00C03D1A">
            <w:pPr>
              <w:pStyle w:val="NoSpacing"/>
              <w:jc w:val="left"/>
              <w:rPr>
                <w:noProof/>
                <w:sz w:val="22"/>
                <w:szCs w:val="22"/>
              </w:rPr>
            </w:pPr>
            <w:r w:rsidRPr="00C03D1A">
              <w:rPr>
                <w:sz w:val="22"/>
                <w:szCs w:val="22"/>
              </w:rPr>
              <w:t>PCM is solidified using air-conditioner during off-peak hours</w:t>
            </w:r>
          </w:p>
        </w:tc>
        <w:tc>
          <w:tcPr>
            <w:tcW w:w="1408" w:type="dxa"/>
          </w:tcPr>
          <w:p w14:paraId="200F8905" w14:textId="77777777" w:rsidR="00B17E5F" w:rsidRPr="00C03D1A" w:rsidRDefault="00B17E5F" w:rsidP="00C03D1A">
            <w:pPr>
              <w:pStyle w:val="NoSpacing"/>
              <w:jc w:val="left"/>
              <w:rPr>
                <w:noProof/>
                <w:sz w:val="22"/>
                <w:szCs w:val="22"/>
              </w:rPr>
            </w:pPr>
            <w:r w:rsidRPr="00C03D1A">
              <w:rPr>
                <w:noProof/>
                <w:sz w:val="22"/>
                <w:szCs w:val="22"/>
              </w:rPr>
              <w:t>7-9% energy savings</w:t>
            </w:r>
          </w:p>
        </w:tc>
      </w:tr>
      <w:tr w:rsidR="00B17E5F" w:rsidRPr="00C03D1A" w14:paraId="71D6A42A" w14:textId="77777777" w:rsidTr="00C03D1A">
        <w:trPr>
          <w:trHeight w:val="449"/>
          <w:jc w:val="center"/>
        </w:trPr>
        <w:tc>
          <w:tcPr>
            <w:tcW w:w="1022" w:type="dxa"/>
          </w:tcPr>
          <w:sdt>
            <w:sdtPr>
              <w:rPr>
                <w:color w:val="000000"/>
                <w:sz w:val="22"/>
                <w:szCs w:val="22"/>
              </w:rPr>
              <w:tag w:val="MENDELEY_CITATION_v3_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"/>
              <w:id w:val="-1103188405"/>
              <w:placeholder>
                <w:docPart w:val="1AFBB611DEC44BB9A9E18B8FB8DBE852"/>
              </w:placeholder>
            </w:sdtPr>
            <w:sdtContent>
              <w:p w14:paraId="49EB80D7" w14:textId="44A3E540" w:rsidR="00B17E5F" w:rsidRPr="00C03D1A" w:rsidRDefault="001E7ECF" w:rsidP="00C03D1A">
                <w:pPr>
                  <w:pStyle w:val="NoSpacing"/>
                  <w:jc w:val="left"/>
                  <w:rPr>
                    <w:sz w:val="22"/>
                    <w:szCs w:val="22"/>
                  </w:rPr>
                </w:pPr>
                <w:r w:rsidRPr="001E7ECF">
                  <w:rPr>
                    <w:color w:val="000000"/>
                    <w:sz w:val="22"/>
                    <w:szCs w:val="22"/>
                  </w:rPr>
                  <w:t>(Bruno et al., 2014)</w:t>
                </w:r>
              </w:p>
            </w:sdtContent>
          </w:sdt>
        </w:tc>
        <w:tc>
          <w:tcPr>
            <w:tcW w:w="1301" w:type="dxa"/>
          </w:tcPr>
          <w:p w14:paraId="6ABA8F9F" w14:textId="77777777" w:rsidR="00B17E5F" w:rsidRPr="00C03D1A" w:rsidRDefault="00B17E5F" w:rsidP="00C03D1A">
            <w:pPr>
              <w:pStyle w:val="NoSpacing"/>
              <w:jc w:val="left"/>
              <w:rPr>
                <w:sz w:val="22"/>
                <w:szCs w:val="22"/>
              </w:rPr>
            </w:pPr>
            <w:r w:rsidRPr="00C03D1A">
              <w:rPr>
                <w:sz w:val="22"/>
                <w:szCs w:val="22"/>
              </w:rPr>
              <w:t>S4, S10</w:t>
            </w:r>
          </w:p>
          <w:p w14:paraId="1224A699" w14:textId="77777777" w:rsidR="00B17E5F" w:rsidRPr="00C03D1A" w:rsidRDefault="00B17E5F" w:rsidP="00C03D1A">
            <w:pPr>
              <w:pStyle w:val="NoSpacing"/>
              <w:jc w:val="left"/>
              <w:rPr>
                <w:sz w:val="22"/>
                <w:szCs w:val="22"/>
              </w:rPr>
            </w:pPr>
            <w:r w:rsidRPr="00C03D1A">
              <w:rPr>
                <w:sz w:val="22"/>
                <w:szCs w:val="22"/>
              </w:rPr>
              <w:t>(4, 10 °C)</w:t>
            </w:r>
          </w:p>
        </w:tc>
        <w:tc>
          <w:tcPr>
            <w:tcW w:w="1343" w:type="dxa"/>
          </w:tcPr>
          <w:p w14:paraId="2317FB46" w14:textId="77777777" w:rsidR="00B17E5F" w:rsidRPr="00C03D1A" w:rsidRDefault="00B17E5F" w:rsidP="00C03D1A">
            <w:pPr>
              <w:pStyle w:val="NoSpacing"/>
              <w:jc w:val="left"/>
              <w:rPr>
                <w:sz w:val="22"/>
                <w:szCs w:val="22"/>
              </w:rPr>
            </w:pPr>
            <w:r w:rsidRPr="00C03D1A">
              <w:rPr>
                <w:sz w:val="22"/>
                <w:szCs w:val="22"/>
              </w:rPr>
              <w:t>Space Cooling</w:t>
            </w:r>
          </w:p>
        </w:tc>
        <w:tc>
          <w:tcPr>
            <w:tcW w:w="1701" w:type="dxa"/>
          </w:tcPr>
          <w:p w14:paraId="6A0F6F0A" w14:textId="77777777" w:rsidR="00B17E5F" w:rsidRPr="00C03D1A" w:rsidRDefault="00B17E5F" w:rsidP="00C03D1A">
            <w:pPr>
              <w:pStyle w:val="NoSpacing"/>
              <w:jc w:val="left"/>
              <w:rPr>
                <w:noProof/>
                <w:sz w:val="22"/>
                <w:szCs w:val="22"/>
              </w:rPr>
            </w:pPr>
            <w:r w:rsidRPr="00C03D1A">
              <w:rPr>
                <w:sz w:val="22"/>
                <w:szCs w:val="22"/>
              </w:rPr>
              <w:t>In heat exchanger coupled to chiller</w:t>
            </w:r>
          </w:p>
        </w:tc>
        <w:tc>
          <w:tcPr>
            <w:tcW w:w="1849" w:type="dxa"/>
          </w:tcPr>
          <w:p w14:paraId="6D23BED4" w14:textId="77777777" w:rsidR="00B17E5F" w:rsidRPr="00C03D1A" w:rsidRDefault="00B17E5F" w:rsidP="00C03D1A">
            <w:pPr>
              <w:pStyle w:val="NoSpacing"/>
              <w:jc w:val="left"/>
              <w:rPr>
                <w:noProof/>
                <w:sz w:val="22"/>
                <w:szCs w:val="22"/>
              </w:rPr>
            </w:pPr>
            <w:r w:rsidRPr="00C03D1A">
              <w:rPr>
                <w:sz w:val="22"/>
                <w:szCs w:val="22"/>
              </w:rPr>
              <w:t>Chiller provides cooling to PCM during off-peak hours</w:t>
            </w:r>
          </w:p>
        </w:tc>
        <w:tc>
          <w:tcPr>
            <w:tcW w:w="1408" w:type="dxa"/>
          </w:tcPr>
          <w:p w14:paraId="0F5CAFF3" w14:textId="77777777" w:rsidR="00B17E5F" w:rsidRPr="00C03D1A" w:rsidRDefault="00B17E5F" w:rsidP="00C03D1A">
            <w:pPr>
              <w:pStyle w:val="NoSpacing"/>
              <w:jc w:val="left"/>
              <w:rPr>
                <w:noProof/>
                <w:sz w:val="22"/>
                <w:szCs w:val="22"/>
              </w:rPr>
            </w:pPr>
            <w:r w:rsidRPr="00C03D1A">
              <w:rPr>
                <w:noProof/>
                <w:sz w:val="22"/>
                <w:szCs w:val="22"/>
              </w:rPr>
              <w:t>Peak electric consumption reduced by 36.6%</w:t>
            </w:r>
          </w:p>
        </w:tc>
      </w:tr>
    </w:tbl>
    <w:p w14:paraId="5264C383" w14:textId="77777777" w:rsidR="00B17E5F" w:rsidRPr="00322E56" w:rsidRDefault="00B17E5F" w:rsidP="00976942">
      <w:pPr>
        <w:rPr>
          <w:rFonts w:cs="Times New Roman"/>
        </w:rPr>
      </w:pPr>
    </w:p>
    <w:p w14:paraId="7EAD53ED" w14:textId="77777777" w:rsidR="00B17E5F" w:rsidRPr="00322E56" w:rsidRDefault="00B17E5F" w:rsidP="00976942">
      <w:pPr>
        <w:rPr>
          <w:rFonts w:cs="Times New Roman"/>
        </w:rPr>
      </w:pPr>
    </w:p>
    <w:p w14:paraId="5A79950C" w14:textId="77777777" w:rsidR="00B17E5F" w:rsidRPr="00322E56" w:rsidRDefault="00B17E5F">
      <w:pPr>
        <w:spacing w:line="240" w:lineRule="auto"/>
        <w:rPr>
          <w:rFonts w:cs="Times New Roman"/>
        </w:rPr>
      </w:pPr>
      <w:r w:rsidRPr="00322E56">
        <w:rPr>
          <w:rFonts w:cs="Times New Roman"/>
        </w:rPr>
        <w:br w:type="page"/>
      </w:r>
    </w:p>
    <w:p w14:paraId="0557C135" w14:textId="7DBF7D0D" w:rsidR="00B17E5F" w:rsidRPr="00322E56" w:rsidRDefault="00B17E5F" w:rsidP="00976942">
      <w:pPr>
        <w:pStyle w:val="Caption"/>
        <w:rPr>
          <w:rFonts w:cs="Times New Roman"/>
        </w:rPr>
      </w:pPr>
      <w:bookmarkStart w:id="121" w:name="_Toc140399952"/>
      <w:r w:rsidRPr="00322E56">
        <w:rPr>
          <w:rFonts w:cs="Times New Roman"/>
        </w:rPr>
        <w:lastRenderedPageBreak/>
        <w:t xml:space="preserve">Table </w:t>
      </w:r>
      <w:r w:rsidRPr="00322E56">
        <w:rPr>
          <w:rFonts w:cs="Times New Roman"/>
        </w:rPr>
        <w:fldChar w:fldCharType="begin"/>
      </w:r>
      <w:r w:rsidRPr="00322E56">
        <w:rPr>
          <w:rFonts w:cs="Times New Roman"/>
        </w:rPr>
        <w:instrText xml:space="preserve"> SEQ Table \* ARABIC </w:instrText>
      </w:r>
      <w:r w:rsidRPr="00322E56">
        <w:rPr>
          <w:rFonts w:cs="Times New Roman"/>
        </w:rPr>
        <w:fldChar w:fldCharType="separate"/>
      </w:r>
      <w:r w:rsidR="00FC25C0">
        <w:rPr>
          <w:rFonts w:cs="Times New Roman"/>
          <w:noProof/>
        </w:rPr>
        <w:t>12</w:t>
      </w:r>
      <w:r w:rsidRPr="00322E56">
        <w:rPr>
          <w:rFonts w:cs="Times New Roman"/>
        </w:rPr>
        <w:fldChar w:fldCharType="end"/>
      </w:r>
      <w:r w:rsidRPr="00322E56">
        <w:rPr>
          <w:rFonts w:cs="Times New Roman"/>
        </w:rPr>
        <w:t>: Active HP-TES Configurations with other PCMS</w:t>
      </w:r>
      <w:bookmarkEnd w:id="121"/>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1" w:type="dxa"/>
          <w:right w:w="71" w:type="dxa"/>
        </w:tblCellMar>
        <w:tblLook w:val="0000" w:firstRow="0" w:lastRow="0" w:firstColumn="0" w:lastColumn="0" w:noHBand="0" w:noVBand="0"/>
      </w:tblPr>
      <w:tblGrid>
        <w:gridCol w:w="1029"/>
        <w:gridCol w:w="1335"/>
        <w:gridCol w:w="1343"/>
        <w:gridCol w:w="1698"/>
        <w:gridCol w:w="1812"/>
        <w:gridCol w:w="1407"/>
      </w:tblGrid>
      <w:tr w:rsidR="00B17E5F" w:rsidRPr="00A438C7" w14:paraId="303637D1" w14:textId="77777777" w:rsidTr="00C03D1A">
        <w:trPr>
          <w:trHeight w:val="338"/>
          <w:jc w:val="center"/>
        </w:trPr>
        <w:tc>
          <w:tcPr>
            <w:tcW w:w="1029" w:type="dxa"/>
            <w:tcBorders>
              <w:bottom w:val="single" w:sz="6" w:space="0" w:color="auto"/>
            </w:tcBorders>
          </w:tcPr>
          <w:p w14:paraId="129BCB8C" w14:textId="77777777" w:rsidR="00B17E5F" w:rsidRPr="00A438C7" w:rsidRDefault="00B17E5F" w:rsidP="00C03D1A">
            <w:pPr>
              <w:pStyle w:val="NoSpacing"/>
              <w:jc w:val="left"/>
              <w:rPr>
                <w:b/>
                <w:bCs/>
                <w:sz w:val="22"/>
                <w:szCs w:val="22"/>
              </w:rPr>
            </w:pPr>
            <w:r w:rsidRPr="00A438C7">
              <w:rPr>
                <w:b/>
                <w:bCs/>
                <w:sz w:val="22"/>
                <w:szCs w:val="22"/>
              </w:rPr>
              <w:t>Author</w:t>
            </w:r>
          </w:p>
        </w:tc>
        <w:tc>
          <w:tcPr>
            <w:tcW w:w="1335" w:type="dxa"/>
            <w:tcBorders>
              <w:bottom w:val="single" w:sz="6" w:space="0" w:color="auto"/>
            </w:tcBorders>
          </w:tcPr>
          <w:p w14:paraId="7DDC83A9" w14:textId="77777777" w:rsidR="00B17E5F" w:rsidRPr="00A438C7" w:rsidRDefault="00B17E5F" w:rsidP="00C03D1A">
            <w:pPr>
              <w:pStyle w:val="NoSpacing"/>
              <w:jc w:val="left"/>
              <w:rPr>
                <w:b/>
                <w:bCs/>
                <w:sz w:val="22"/>
                <w:szCs w:val="22"/>
              </w:rPr>
            </w:pPr>
            <w:r w:rsidRPr="00A438C7">
              <w:rPr>
                <w:b/>
                <w:bCs/>
                <w:sz w:val="22"/>
                <w:szCs w:val="22"/>
              </w:rPr>
              <w:t>PCM material</w:t>
            </w:r>
          </w:p>
        </w:tc>
        <w:tc>
          <w:tcPr>
            <w:tcW w:w="1343" w:type="dxa"/>
            <w:tcBorders>
              <w:bottom w:val="single" w:sz="6" w:space="0" w:color="auto"/>
            </w:tcBorders>
          </w:tcPr>
          <w:p w14:paraId="0FB3E761" w14:textId="77777777" w:rsidR="00B17E5F" w:rsidRPr="00A438C7" w:rsidRDefault="00B17E5F" w:rsidP="00C03D1A">
            <w:pPr>
              <w:pStyle w:val="NoSpacing"/>
              <w:jc w:val="left"/>
              <w:rPr>
                <w:b/>
                <w:bCs/>
                <w:sz w:val="22"/>
                <w:szCs w:val="22"/>
              </w:rPr>
            </w:pPr>
            <w:r w:rsidRPr="00A438C7">
              <w:rPr>
                <w:b/>
                <w:bCs/>
                <w:sz w:val="22"/>
                <w:szCs w:val="22"/>
              </w:rPr>
              <w:t>Application</w:t>
            </w:r>
          </w:p>
        </w:tc>
        <w:tc>
          <w:tcPr>
            <w:tcW w:w="1698" w:type="dxa"/>
            <w:tcBorders>
              <w:bottom w:val="single" w:sz="6" w:space="0" w:color="auto"/>
            </w:tcBorders>
          </w:tcPr>
          <w:p w14:paraId="03C026D2" w14:textId="77777777" w:rsidR="00B17E5F" w:rsidRPr="00A438C7" w:rsidRDefault="00B17E5F" w:rsidP="00C03D1A">
            <w:pPr>
              <w:pStyle w:val="NoSpacing"/>
              <w:jc w:val="left"/>
              <w:rPr>
                <w:b/>
                <w:bCs/>
                <w:sz w:val="22"/>
                <w:szCs w:val="22"/>
              </w:rPr>
            </w:pPr>
            <w:r w:rsidRPr="00A438C7">
              <w:rPr>
                <w:b/>
                <w:bCs/>
                <w:sz w:val="22"/>
                <w:szCs w:val="22"/>
              </w:rPr>
              <w:t>Configuration &amp; HP integration</w:t>
            </w:r>
          </w:p>
        </w:tc>
        <w:tc>
          <w:tcPr>
            <w:tcW w:w="1812" w:type="dxa"/>
            <w:tcBorders>
              <w:bottom w:val="single" w:sz="6" w:space="0" w:color="auto"/>
            </w:tcBorders>
          </w:tcPr>
          <w:p w14:paraId="7D9DEAB3" w14:textId="77777777" w:rsidR="00B17E5F" w:rsidRPr="00A438C7" w:rsidRDefault="00B17E5F" w:rsidP="00C03D1A">
            <w:pPr>
              <w:pStyle w:val="NoSpacing"/>
              <w:jc w:val="left"/>
              <w:rPr>
                <w:b/>
                <w:bCs/>
                <w:sz w:val="22"/>
                <w:szCs w:val="22"/>
              </w:rPr>
            </w:pPr>
            <w:r w:rsidRPr="00A438C7">
              <w:rPr>
                <w:b/>
                <w:bCs/>
                <w:sz w:val="22"/>
                <w:szCs w:val="22"/>
              </w:rPr>
              <w:t>Charging Operation</w:t>
            </w:r>
          </w:p>
        </w:tc>
        <w:tc>
          <w:tcPr>
            <w:tcW w:w="1407" w:type="dxa"/>
            <w:tcBorders>
              <w:bottom w:val="single" w:sz="6" w:space="0" w:color="auto"/>
            </w:tcBorders>
          </w:tcPr>
          <w:p w14:paraId="2E41DFDF" w14:textId="77777777" w:rsidR="00B17E5F" w:rsidRPr="00A438C7" w:rsidRDefault="00B17E5F" w:rsidP="00C03D1A">
            <w:pPr>
              <w:pStyle w:val="NoSpacing"/>
              <w:jc w:val="left"/>
              <w:rPr>
                <w:b/>
                <w:bCs/>
                <w:sz w:val="22"/>
                <w:szCs w:val="22"/>
              </w:rPr>
            </w:pPr>
            <w:r w:rsidRPr="00A438C7">
              <w:rPr>
                <w:b/>
                <w:bCs/>
                <w:sz w:val="22"/>
                <w:szCs w:val="22"/>
              </w:rPr>
              <w:t>Key Results</w:t>
            </w:r>
          </w:p>
        </w:tc>
      </w:tr>
      <w:tr w:rsidR="00B17E5F" w:rsidRPr="00A438C7" w14:paraId="1D317A88" w14:textId="77777777" w:rsidTr="00976942">
        <w:trPr>
          <w:trHeight w:val="449"/>
          <w:jc w:val="center"/>
        </w:trPr>
        <w:tc>
          <w:tcPr>
            <w:tcW w:w="1029" w:type="dxa"/>
          </w:tcPr>
          <w:sdt>
            <w:sdtPr>
              <w:rPr>
                <w:color w:val="000000"/>
                <w:sz w:val="22"/>
                <w:szCs w:val="22"/>
              </w:rPr>
              <w:tag w:val="MENDELEY_CITATION_v3_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"/>
              <w:id w:val="-1720588813"/>
              <w:placeholder>
                <w:docPart w:val="A3E939DF16EA47A08D79B68CC4DBA674"/>
              </w:placeholder>
            </w:sdtPr>
            <w:sdtContent>
              <w:p w14:paraId="2B08238B" w14:textId="5AEB0D56" w:rsidR="00B17E5F" w:rsidRPr="00A438C7" w:rsidRDefault="001E7ECF" w:rsidP="00A438C7">
                <w:pPr>
                  <w:pStyle w:val="NoSpacing"/>
                  <w:rPr>
                    <w:sz w:val="22"/>
                    <w:szCs w:val="22"/>
                  </w:rPr>
                </w:pPr>
                <w:r w:rsidRPr="001E7ECF">
                  <w:rPr>
                    <w:color w:val="000000"/>
                    <w:sz w:val="22"/>
                    <w:szCs w:val="22"/>
                  </w:rPr>
                  <w:t>[179]</w:t>
                </w:r>
              </w:p>
            </w:sdtContent>
          </w:sdt>
        </w:tc>
        <w:tc>
          <w:tcPr>
            <w:tcW w:w="1335" w:type="dxa"/>
          </w:tcPr>
          <w:p w14:paraId="7248646F" w14:textId="77777777" w:rsidR="00B17E5F" w:rsidRPr="00A438C7" w:rsidRDefault="00B17E5F" w:rsidP="00A438C7">
            <w:pPr>
              <w:pStyle w:val="NoSpacing"/>
              <w:rPr>
                <w:sz w:val="22"/>
                <w:szCs w:val="22"/>
              </w:rPr>
            </w:pPr>
            <w:r w:rsidRPr="00A438C7">
              <w:rPr>
                <w:sz w:val="22"/>
                <w:szCs w:val="22"/>
              </w:rPr>
              <w:t>35% paraffin GR25 composite</w:t>
            </w:r>
          </w:p>
          <w:p w14:paraId="5E41E777" w14:textId="77777777" w:rsidR="00B17E5F" w:rsidRPr="00A438C7" w:rsidRDefault="00B17E5F" w:rsidP="00A438C7">
            <w:pPr>
              <w:pStyle w:val="NoSpacing"/>
              <w:rPr>
                <w:sz w:val="22"/>
                <w:szCs w:val="22"/>
              </w:rPr>
            </w:pPr>
            <w:r w:rsidRPr="00A438C7">
              <w:rPr>
                <w:sz w:val="22"/>
                <w:szCs w:val="22"/>
              </w:rPr>
              <w:t>(25°C)</w:t>
            </w:r>
          </w:p>
        </w:tc>
        <w:tc>
          <w:tcPr>
            <w:tcW w:w="1343" w:type="dxa"/>
          </w:tcPr>
          <w:p w14:paraId="2159A4DD" w14:textId="77777777" w:rsidR="00B17E5F" w:rsidRPr="00A438C7" w:rsidRDefault="00B17E5F" w:rsidP="00A438C7">
            <w:pPr>
              <w:pStyle w:val="NoSpacing"/>
              <w:rPr>
                <w:sz w:val="22"/>
                <w:szCs w:val="22"/>
              </w:rPr>
            </w:pPr>
            <w:r w:rsidRPr="00A438C7">
              <w:rPr>
                <w:sz w:val="22"/>
                <w:szCs w:val="22"/>
              </w:rPr>
              <w:t>Space Cooling</w:t>
            </w:r>
          </w:p>
        </w:tc>
        <w:tc>
          <w:tcPr>
            <w:tcW w:w="1698" w:type="dxa"/>
          </w:tcPr>
          <w:p w14:paraId="07166397" w14:textId="77777777" w:rsidR="00B17E5F" w:rsidRPr="00A438C7" w:rsidRDefault="00B17E5F" w:rsidP="00A438C7">
            <w:pPr>
              <w:pStyle w:val="NoSpacing"/>
              <w:rPr>
                <w:noProof/>
                <w:sz w:val="22"/>
                <w:szCs w:val="22"/>
              </w:rPr>
            </w:pPr>
            <w:r w:rsidRPr="00A438C7">
              <w:rPr>
                <w:sz w:val="22"/>
                <w:szCs w:val="22"/>
              </w:rPr>
              <w:t>In supply air duct of a ventilation system</w:t>
            </w:r>
          </w:p>
        </w:tc>
        <w:tc>
          <w:tcPr>
            <w:tcW w:w="1812" w:type="dxa"/>
          </w:tcPr>
          <w:p w14:paraId="00F75F44" w14:textId="77777777" w:rsidR="00B17E5F" w:rsidRPr="00A438C7" w:rsidRDefault="00B17E5F" w:rsidP="00A438C7">
            <w:pPr>
              <w:pStyle w:val="NoSpacing"/>
              <w:rPr>
                <w:noProof/>
                <w:sz w:val="22"/>
                <w:szCs w:val="22"/>
              </w:rPr>
            </w:pPr>
            <w:r w:rsidRPr="00A438C7">
              <w:rPr>
                <w:sz w:val="22"/>
                <w:szCs w:val="22"/>
              </w:rPr>
              <w:t>PCM is solidified during night using the cool air from AHU</w:t>
            </w:r>
          </w:p>
        </w:tc>
        <w:tc>
          <w:tcPr>
            <w:tcW w:w="1407" w:type="dxa"/>
          </w:tcPr>
          <w:p w14:paraId="2D0E6B27" w14:textId="77777777" w:rsidR="00B17E5F" w:rsidRPr="00A438C7" w:rsidRDefault="00B17E5F" w:rsidP="00A438C7">
            <w:pPr>
              <w:pStyle w:val="NoSpacing"/>
              <w:rPr>
                <w:noProof/>
                <w:sz w:val="22"/>
                <w:szCs w:val="22"/>
              </w:rPr>
            </w:pPr>
            <w:r w:rsidRPr="00A438C7">
              <w:rPr>
                <w:sz w:val="22"/>
                <w:szCs w:val="22"/>
              </w:rPr>
              <w:t>Ventilation load reduced by 62.8%</w:t>
            </w:r>
          </w:p>
        </w:tc>
      </w:tr>
      <w:tr w:rsidR="00B17E5F" w:rsidRPr="00A438C7" w14:paraId="4F39EF2D" w14:textId="77777777" w:rsidTr="00976942">
        <w:trPr>
          <w:trHeight w:val="449"/>
          <w:jc w:val="center"/>
        </w:trPr>
        <w:tc>
          <w:tcPr>
            <w:tcW w:w="1029" w:type="dxa"/>
          </w:tcPr>
          <w:sdt>
            <w:sdtPr>
              <w:rPr>
                <w:color w:val="000000"/>
                <w:sz w:val="22"/>
                <w:szCs w:val="22"/>
              </w:rPr>
              <w:tag w:val="MENDELEY_CITATION_v3_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"/>
              <w:id w:val="1907095640"/>
              <w:placeholder>
                <w:docPart w:val="A3E939DF16EA47A08D79B68CC4DBA674"/>
              </w:placeholder>
            </w:sdtPr>
            <w:sdtContent>
              <w:p w14:paraId="0E367DB3" w14:textId="4304914F" w:rsidR="00B17E5F" w:rsidRPr="00A438C7" w:rsidRDefault="001E7ECF" w:rsidP="00A438C7">
                <w:pPr>
                  <w:pStyle w:val="NoSpacing"/>
                  <w:rPr>
                    <w:sz w:val="22"/>
                    <w:szCs w:val="22"/>
                  </w:rPr>
                </w:pPr>
                <w:r w:rsidRPr="001E7ECF">
                  <w:rPr>
                    <w:color w:val="000000"/>
                    <w:sz w:val="22"/>
                    <w:szCs w:val="22"/>
                  </w:rPr>
                  <w:t>[136]</w:t>
                </w:r>
              </w:p>
            </w:sdtContent>
          </w:sdt>
        </w:tc>
        <w:tc>
          <w:tcPr>
            <w:tcW w:w="1335" w:type="dxa"/>
          </w:tcPr>
          <w:p w14:paraId="5B810664" w14:textId="77777777" w:rsidR="00B17E5F" w:rsidRPr="00A438C7" w:rsidRDefault="00B17E5F" w:rsidP="00A438C7">
            <w:pPr>
              <w:pStyle w:val="NoSpacing"/>
              <w:rPr>
                <w:sz w:val="22"/>
                <w:szCs w:val="22"/>
              </w:rPr>
            </w:pPr>
            <w:r w:rsidRPr="00A438C7">
              <w:rPr>
                <w:sz w:val="22"/>
                <w:szCs w:val="22"/>
              </w:rPr>
              <w:t>Micro capsulate (25°C)</w:t>
            </w:r>
          </w:p>
        </w:tc>
        <w:tc>
          <w:tcPr>
            <w:tcW w:w="1343" w:type="dxa"/>
            <w:vAlign w:val="center"/>
          </w:tcPr>
          <w:p w14:paraId="7FDF2206" w14:textId="77777777" w:rsidR="00B17E5F" w:rsidRPr="00A438C7" w:rsidRDefault="00B17E5F" w:rsidP="00A438C7">
            <w:pPr>
              <w:pStyle w:val="NoSpacing"/>
              <w:rPr>
                <w:sz w:val="22"/>
                <w:szCs w:val="22"/>
              </w:rPr>
            </w:pPr>
            <w:r w:rsidRPr="00A438C7">
              <w:rPr>
                <w:sz w:val="22"/>
                <w:szCs w:val="22"/>
              </w:rPr>
              <w:t>Space Cooling</w:t>
            </w:r>
          </w:p>
        </w:tc>
        <w:tc>
          <w:tcPr>
            <w:tcW w:w="1698" w:type="dxa"/>
          </w:tcPr>
          <w:p w14:paraId="2E2933B8" w14:textId="77777777" w:rsidR="00B17E5F" w:rsidRPr="00A438C7" w:rsidRDefault="00B17E5F" w:rsidP="00A438C7">
            <w:pPr>
              <w:pStyle w:val="NoSpacing"/>
              <w:rPr>
                <w:noProof/>
                <w:sz w:val="22"/>
                <w:szCs w:val="22"/>
              </w:rPr>
            </w:pPr>
            <w:r w:rsidRPr="00A438C7">
              <w:rPr>
                <w:sz w:val="22"/>
                <w:szCs w:val="22"/>
              </w:rPr>
              <w:t>In ceiling board coupled with AHU</w:t>
            </w:r>
          </w:p>
        </w:tc>
        <w:tc>
          <w:tcPr>
            <w:tcW w:w="1812" w:type="dxa"/>
          </w:tcPr>
          <w:p w14:paraId="7DB1F747" w14:textId="77777777" w:rsidR="00B17E5F" w:rsidRPr="00A438C7" w:rsidRDefault="00B17E5F" w:rsidP="00A438C7">
            <w:pPr>
              <w:pStyle w:val="NoSpacing"/>
              <w:rPr>
                <w:noProof/>
                <w:sz w:val="22"/>
                <w:szCs w:val="22"/>
              </w:rPr>
            </w:pPr>
            <w:r w:rsidRPr="00A438C7">
              <w:rPr>
                <w:sz w:val="22"/>
                <w:szCs w:val="22"/>
              </w:rPr>
              <w:t>PCM is charged overnight using AHU</w:t>
            </w:r>
          </w:p>
        </w:tc>
        <w:tc>
          <w:tcPr>
            <w:tcW w:w="1407" w:type="dxa"/>
          </w:tcPr>
          <w:p w14:paraId="2F684C0A" w14:textId="77777777" w:rsidR="00B17E5F" w:rsidRPr="00A438C7" w:rsidRDefault="00B17E5F" w:rsidP="00A438C7">
            <w:pPr>
              <w:pStyle w:val="NoSpacing"/>
              <w:rPr>
                <w:noProof/>
                <w:sz w:val="22"/>
                <w:szCs w:val="22"/>
              </w:rPr>
            </w:pPr>
            <w:r w:rsidRPr="00A438C7">
              <w:rPr>
                <w:sz w:val="22"/>
                <w:szCs w:val="22"/>
              </w:rPr>
              <w:t>9.4% load reduction</w:t>
            </w:r>
          </w:p>
        </w:tc>
      </w:tr>
      <w:tr w:rsidR="00B17E5F" w:rsidRPr="00A438C7" w14:paraId="1613B0FB" w14:textId="77777777" w:rsidTr="00976942">
        <w:trPr>
          <w:trHeight w:val="449"/>
          <w:jc w:val="center"/>
        </w:trPr>
        <w:tc>
          <w:tcPr>
            <w:tcW w:w="1029" w:type="dxa"/>
          </w:tcPr>
          <w:sdt>
            <w:sdtPr>
              <w:rPr>
                <w:color w:val="000000"/>
                <w:sz w:val="22"/>
                <w:szCs w:val="22"/>
              </w:rPr>
              <w:tag w:val="MENDELEY_CITATION_v3_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"/>
              <w:id w:val="-45531861"/>
              <w:placeholder>
                <w:docPart w:val="A3E939DF16EA47A08D79B68CC4DBA674"/>
              </w:placeholder>
            </w:sdtPr>
            <w:sdtContent>
              <w:p w14:paraId="7C997F7D" w14:textId="06FEFD5C" w:rsidR="00B17E5F" w:rsidRPr="00A438C7" w:rsidRDefault="001E7ECF" w:rsidP="00A438C7">
                <w:pPr>
                  <w:pStyle w:val="NoSpacing"/>
                  <w:rPr>
                    <w:sz w:val="22"/>
                    <w:szCs w:val="22"/>
                  </w:rPr>
                </w:pPr>
                <w:r w:rsidRPr="001E7ECF">
                  <w:rPr>
                    <w:color w:val="000000"/>
                    <w:sz w:val="22"/>
                    <w:szCs w:val="22"/>
                  </w:rPr>
                  <w:t>(Chaiyat, 2015)</w:t>
                </w:r>
              </w:p>
            </w:sdtContent>
          </w:sdt>
        </w:tc>
        <w:tc>
          <w:tcPr>
            <w:tcW w:w="1335" w:type="dxa"/>
          </w:tcPr>
          <w:p w14:paraId="27BCDF10" w14:textId="77777777" w:rsidR="00B17E5F" w:rsidRPr="00A438C7" w:rsidRDefault="00B17E5F" w:rsidP="00A438C7">
            <w:pPr>
              <w:pStyle w:val="NoSpacing"/>
              <w:rPr>
                <w:sz w:val="22"/>
                <w:szCs w:val="22"/>
              </w:rPr>
            </w:pPr>
            <w:r w:rsidRPr="00A438C7">
              <w:rPr>
                <w:sz w:val="22"/>
                <w:szCs w:val="22"/>
              </w:rPr>
              <w:t>RT20</w:t>
            </w:r>
          </w:p>
          <w:p w14:paraId="13C63E02" w14:textId="77777777" w:rsidR="00B17E5F" w:rsidRPr="00A438C7" w:rsidRDefault="00B17E5F" w:rsidP="00A438C7">
            <w:pPr>
              <w:pStyle w:val="NoSpacing"/>
              <w:rPr>
                <w:sz w:val="22"/>
                <w:szCs w:val="22"/>
              </w:rPr>
            </w:pPr>
            <w:r w:rsidRPr="00A438C7">
              <w:rPr>
                <w:sz w:val="22"/>
                <w:szCs w:val="22"/>
              </w:rPr>
              <w:t>Paraffin</w:t>
            </w:r>
          </w:p>
          <w:p w14:paraId="37459A5C" w14:textId="77777777" w:rsidR="00B17E5F" w:rsidRPr="00A438C7" w:rsidRDefault="00B17E5F" w:rsidP="00A438C7">
            <w:pPr>
              <w:pStyle w:val="NoSpacing"/>
              <w:rPr>
                <w:sz w:val="22"/>
                <w:szCs w:val="22"/>
              </w:rPr>
            </w:pPr>
            <w:r w:rsidRPr="00A438C7">
              <w:rPr>
                <w:sz w:val="22"/>
                <w:szCs w:val="22"/>
              </w:rPr>
              <w:t>(20 °C)</w:t>
            </w:r>
          </w:p>
        </w:tc>
        <w:tc>
          <w:tcPr>
            <w:tcW w:w="1343" w:type="dxa"/>
          </w:tcPr>
          <w:p w14:paraId="043F87C7" w14:textId="77777777" w:rsidR="00B17E5F" w:rsidRPr="00A438C7" w:rsidRDefault="00B17E5F" w:rsidP="00A438C7">
            <w:pPr>
              <w:pStyle w:val="NoSpacing"/>
              <w:rPr>
                <w:sz w:val="22"/>
                <w:szCs w:val="22"/>
              </w:rPr>
            </w:pPr>
            <w:r w:rsidRPr="00A438C7">
              <w:rPr>
                <w:sz w:val="22"/>
                <w:szCs w:val="22"/>
              </w:rPr>
              <w:t>Space Cooling</w:t>
            </w:r>
          </w:p>
        </w:tc>
        <w:tc>
          <w:tcPr>
            <w:tcW w:w="1698" w:type="dxa"/>
          </w:tcPr>
          <w:p w14:paraId="1448944B" w14:textId="77777777" w:rsidR="00B17E5F" w:rsidRPr="00A438C7" w:rsidRDefault="00B17E5F" w:rsidP="00A438C7">
            <w:pPr>
              <w:pStyle w:val="NoSpacing"/>
              <w:rPr>
                <w:noProof/>
                <w:sz w:val="22"/>
                <w:szCs w:val="22"/>
              </w:rPr>
            </w:pPr>
            <w:r w:rsidRPr="00A438C7">
              <w:rPr>
                <w:sz w:val="22"/>
                <w:szCs w:val="22"/>
              </w:rPr>
              <w:t>In return air duct coupled with the evaporator</w:t>
            </w:r>
          </w:p>
        </w:tc>
        <w:tc>
          <w:tcPr>
            <w:tcW w:w="1812" w:type="dxa"/>
          </w:tcPr>
          <w:p w14:paraId="3F6DC129" w14:textId="77777777" w:rsidR="00B17E5F" w:rsidRPr="00A438C7" w:rsidRDefault="00B17E5F" w:rsidP="00A438C7">
            <w:pPr>
              <w:pStyle w:val="NoSpacing"/>
              <w:rPr>
                <w:noProof/>
                <w:sz w:val="22"/>
                <w:szCs w:val="22"/>
              </w:rPr>
            </w:pPr>
            <w:r w:rsidRPr="00A438C7">
              <w:rPr>
                <w:sz w:val="22"/>
                <w:szCs w:val="22"/>
              </w:rPr>
              <w:t>Return air from room passes through PCM before entering the evaporator to increase COP</w:t>
            </w:r>
          </w:p>
        </w:tc>
        <w:tc>
          <w:tcPr>
            <w:tcW w:w="1407" w:type="dxa"/>
          </w:tcPr>
          <w:p w14:paraId="70981968" w14:textId="77777777" w:rsidR="00B17E5F" w:rsidRPr="00A438C7" w:rsidRDefault="00B17E5F" w:rsidP="00A438C7">
            <w:pPr>
              <w:pStyle w:val="NoSpacing"/>
              <w:rPr>
                <w:noProof/>
                <w:sz w:val="22"/>
                <w:szCs w:val="22"/>
              </w:rPr>
            </w:pPr>
            <w:r w:rsidRPr="00A438C7">
              <w:rPr>
                <w:sz w:val="22"/>
                <w:szCs w:val="22"/>
              </w:rPr>
              <w:t>9% energy saved</w:t>
            </w:r>
          </w:p>
        </w:tc>
      </w:tr>
      <w:tr w:rsidR="00B17E5F" w:rsidRPr="00A438C7" w14:paraId="466169A8" w14:textId="77777777" w:rsidTr="00976942">
        <w:trPr>
          <w:trHeight w:val="449"/>
          <w:jc w:val="center"/>
        </w:trPr>
        <w:tc>
          <w:tcPr>
            <w:tcW w:w="1029" w:type="dxa"/>
          </w:tcPr>
          <w:sdt>
            <w:sdtPr>
              <w:rPr>
                <w:color w:val="000000"/>
                <w:sz w:val="22"/>
                <w:szCs w:val="22"/>
              </w:rPr>
              <w:tag w:val="MENDELEY_CITATION_v3_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"/>
              <w:id w:val="-1405368792"/>
              <w:placeholder>
                <w:docPart w:val="A3E939DF16EA47A08D79B68CC4DBA674"/>
              </w:placeholder>
            </w:sdtPr>
            <w:sdtContent>
              <w:p w14:paraId="0C794CF3" w14:textId="4F725EEB" w:rsidR="00B17E5F" w:rsidRPr="00A438C7" w:rsidRDefault="001E7ECF" w:rsidP="00A438C7">
                <w:pPr>
                  <w:pStyle w:val="NoSpacing"/>
                  <w:rPr>
                    <w:sz w:val="22"/>
                    <w:szCs w:val="22"/>
                  </w:rPr>
                </w:pPr>
                <w:r w:rsidRPr="001E7ECF">
                  <w:rPr>
                    <w:color w:val="000000"/>
                    <w:sz w:val="22"/>
                    <w:szCs w:val="22"/>
                  </w:rPr>
                  <w:t>[41]</w:t>
                </w:r>
              </w:p>
            </w:sdtContent>
          </w:sdt>
        </w:tc>
        <w:tc>
          <w:tcPr>
            <w:tcW w:w="1335" w:type="dxa"/>
          </w:tcPr>
          <w:p w14:paraId="2489CFDC" w14:textId="77777777" w:rsidR="00B17E5F" w:rsidRPr="00A438C7" w:rsidRDefault="00B17E5F" w:rsidP="00A438C7">
            <w:pPr>
              <w:pStyle w:val="NoSpacing"/>
              <w:rPr>
                <w:sz w:val="22"/>
                <w:szCs w:val="22"/>
              </w:rPr>
            </w:pPr>
            <w:r w:rsidRPr="00A438C7">
              <w:rPr>
                <w:sz w:val="22"/>
                <w:szCs w:val="22"/>
              </w:rPr>
              <w:t>RT11HC Paraffin</w:t>
            </w:r>
          </w:p>
          <w:p w14:paraId="55F7ECA2" w14:textId="77777777" w:rsidR="00B17E5F" w:rsidRPr="00A438C7" w:rsidRDefault="00B17E5F" w:rsidP="00A438C7">
            <w:pPr>
              <w:pStyle w:val="NoSpacing"/>
              <w:rPr>
                <w:sz w:val="22"/>
                <w:szCs w:val="22"/>
              </w:rPr>
            </w:pPr>
            <w:r w:rsidRPr="00A438C7">
              <w:rPr>
                <w:sz w:val="22"/>
                <w:szCs w:val="22"/>
              </w:rPr>
              <w:t>(10-12°C)</w:t>
            </w:r>
          </w:p>
        </w:tc>
        <w:tc>
          <w:tcPr>
            <w:tcW w:w="1343" w:type="dxa"/>
          </w:tcPr>
          <w:p w14:paraId="233DE828" w14:textId="77777777" w:rsidR="00B17E5F" w:rsidRPr="00A438C7" w:rsidRDefault="00B17E5F" w:rsidP="00A438C7">
            <w:pPr>
              <w:pStyle w:val="NoSpacing"/>
              <w:rPr>
                <w:sz w:val="22"/>
                <w:szCs w:val="22"/>
              </w:rPr>
            </w:pPr>
            <w:r w:rsidRPr="00A438C7">
              <w:rPr>
                <w:sz w:val="22"/>
                <w:szCs w:val="22"/>
              </w:rPr>
              <w:t>Space Cooling</w:t>
            </w:r>
          </w:p>
        </w:tc>
        <w:tc>
          <w:tcPr>
            <w:tcW w:w="1698" w:type="dxa"/>
          </w:tcPr>
          <w:p w14:paraId="19001030" w14:textId="77777777" w:rsidR="00B17E5F" w:rsidRPr="00A438C7" w:rsidRDefault="00B17E5F" w:rsidP="00A438C7">
            <w:pPr>
              <w:pStyle w:val="NoSpacing"/>
              <w:rPr>
                <w:noProof/>
                <w:sz w:val="22"/>
                <w:szCs w:val="22"/>
              </w:rPr>
            </w:pPr>
            <w:r w:rsidRPr="00A438C7">
              <w:rPr>
                <w:sz w:val="22"/>
                <w:szCs w:val="22"/>
              </w:rPr>
              <w:t>In storage tank coupled to heat pump</w:t>
            </w:r>
          </w:p>
        </w:tc>
        <w:tc>
          <w:tcPr>
            <w:tcW w:w="1812" w:type="dxa"/>
          </w:tcPr>
          <w:p w14:paraId="3279CA1E" w14:textId="77777777" w:rsidR="00B17E5F" w:rsidRPr="00A438C7" w:rsidRDefault="00B17E5F" w:rsidP="00A438C7">
            <w:pPr>
              <w:pStyle w:val="NoSpacing"/>
              <w:rPr>
                <w:noProof/>
                <w:sz w:val="22"/>
                <w:szCs w:val="22"/>
              </w:rPr>
            </w:pPr>
            <w:r w:rsidRPr="00A438C7">
              <w:rPr>
                <w:sz w:val="22"/>
                <w:szCs w:val="22"/>
              </w:rPr>
              <w:t>Heat pump directs cold water to solidify PCM</w:t>
            </w:r>
          </w:p>
        </w:tc>
        <w:tc>
          <w:tcPr>
            <w:tcW w:w="1407" w:type="dxa"/>
          </w:tcPr>
          <w:p w14:paraId="054BC216" w14:textId="77777777" w:rsidR="00B17E5F" w:rsidRPr="00A438C7" w:rsidRDefault="00B17E5F" w:rsidP="00A438C7">
            <w:pPr>
              <w:pStyle w:val="NoSpacing"/>
              <w:rPr>
                <w:noProof/>
                <w:sz w:val="22"/>
                <w:szCs w:val="22"/>
              </w:rPr>
            </w:pPr>
            <w:r w:rsidRPr="00A438C7">
              <w:rPr>
                <w:sz w:val="22"/>
                <w:szCs w:val="22"/>
              </w:rPr>
              <w:t>11.28% peak demand charges reduced</w:t>
            </w:r>
          </w:p>
        </w:tc>
      </w:tr>
      <w:tr w:rsidR="00B17E5F" w:rsidRPr="00A438C7" w14:paraId="4A7FBC8D" w14:textId="77777777" w:rsidTr="00976942">
        <w:trPr>
          <w:trHeight w:val="449"/>
          <w:jc w:val="center"/>
        </w:trPr>
        <w:tc>
          <w:tcPr>
            <w:tcW w:w="1029" w:type="dxa"/>
          </w:tcPr>
          <w:sdt>
            <w:sdtPr>
              <w:rPr>
                <w:color w:val="000000"/>
                <w:sz w:val="22"/>
                <w:szCs w:val="22"/>
              </w:rPr>
              <w:tag w:val="MENDELEY_CITATION_v3_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"/>
              <w:id w:val="460464170"/>
              <w:placeholder>
                <w:docPart w:val="A3E939DF16EA47A08D79B68CC4DBA674"/>
              </w:placeholder>
            </w:sdtPr>
            <w:sdtContent>
              <w:p w14:paraId="221F3D8E" w14:textId="66663563" w:rsidR="00B17E5F" w:rsidRPr="00A438C7" w:rsidRDefault="001E7ECF" w:rsidP="00A438C7">
                <w:pPr>
                  <w:pStyle w:val="NoSpacing"/>
                  <w:rPr>
                    <w:sz w:val="22"/>
                    <w:szCs w:val="22"/>
                  </w:rPr>
                </w:pPr>
                <w:r w:rsidRPr="001E7ECF">
                  <w:rPr>
                    <w:color w:val="000000"/>
                    <w:sz w:val="22"/>
                    <w:szCs w:val="22"/>
                  </w:rPr>
                  <w:t>[38]</w:t>
                </w:r>
              </w:p>
            </w:sdtContent>
          </w:sdt>
        </w:tc>
        <w:tc>
          <w:tcPr>
            <w:tcW w:w="1335" w:type="dxa"/>
          </w:tcPr>
          <w:p w14:paraId="23893D2A" w14:textId="77777777" w:rsidR="00B17E5F" w:rsidRPr="00A438C7" w:rsidRDefault="00B17E5F" w:rsidP="00A438C7">
            <w:pPr>
              <w:pStyle w:val="NoSpacing"/>
              <w:rPr>
                <w:sz w:val="22"/>
                <w:szCs w:val="22"/>
              </w:rPr>
            </w:pPr>
            <w:r w:rsidRPr="00A438C7">
              <w:rPr>
                <w:sz w:val="22"/>
                <w:szCs w:val="22"/>
              </w:rPr>
              <w:t>PureTemp 15T (15 °C)</w:t>
            </w:r>
          </w:p>
        </w:tc>
        <w:tc>
          <w:tcPr>
            <w:tcW w:w="1343" w:type="dxa"/>
          </w:tcPr>
          <w:p w14:paraId="62FC4029" w14:textId="77777777" w:rsidR="00B17E5F" w:rsidRPr="00A438C7" w:rsidRDefault="00B17E5F" w:rsidP="00A438C7">
            <w:pPr>
              <w:pStyle w:val="NoSpacing"/>
              <w:rPr>
                <w:sz w:val="22"/>
                <w:szCs w:val="22"/>
              </w:rPr>
            </w:pPr>
            <w:r w:rsidRPr="00A438C7">
              <w:rPr>
                <w:sz w:val="22"/>
                <w:szCs w:val="22"/>
              </w:rPr>
              <w:t>Space Cooling</w:t>
            </w:r>
          </w:p>
        </w:tc>
        <w:tc>
          <w:tcPr>
            <w:tcW w:w="1698" w:type="dxa"/>
          </w:tcPr>
          <w:p w14:paraId="02363ED0" w14:textId="77777777" w:rsidR="00B17E5F" w:rsidRPr="00A438C7" w:rsidRDefault="00B17E5F" w:rsidP="00A438C7">
            <w:pPr>
              <w:pStyle w:val="NoSpacing"/>
              <w:rPr>
                <w:noProof/>
                <w:sz w:val="22"/>
                <w:szCs w:val="22"/>
              </w:rPr>
            </w:pPr>
            <w:r w:rsidRPr="00A438C7">
              <w:rPr>
                <w:sz w:val="22"/>
                <w:szCs w:val="22"/>
              </w:rPr>
              <w:t>In supply air duct of air conditioning system</w:t>
            </w:r>
          </w:p>
        </w:tc>
        <w:tc>
          <w:tcPr>
            <w:tcW w:w="1812" w:type="dxa"/>
          </w:tcPr>
          <w:p w14:paraId="761463D6" w14:textId="77777777" w:rsidR="00B17E5F" w:rsidRPr="00A438C7" w:rsidRDefault="00B17E5F" w:rsidP="00A438C7">
            <w:pPr>
              <w:pStyle w:val="NoSpacing"/>
              <w:rPr>
                <w:noProof/>
                <w:sz w:val="22"/>
                <w:szCs w:val="22"/>
              </w:rPr>
            </w:pPr>
            <w:r w:rsidRPr="00A438C7">
              <w:rPr>
                <w:sz w:val="22"/>
                <w:szCs w:val="22"/>
              </w:rPr>
              <w:t>Cold supply air solidifies PCM during off-peak hours</w:t>
            </w:r>
          </w:p>
        </w:tc>
        <w:tc>
          <w:tcPr>
            <w:tcW w:w="1407" w:type="dxa"/>
          </w:tcPr>
          <w:p w14:paraId="07470461" w14:textId="77777777" w:rsidR="00B17E5F" w:rsidRPr="00A438C7" w:rsidRDefault="00B17E5F" w:rsidP="00A438C7">
            <w:pPr>
              <w:pStyle w:val="NoSpacing"/>
              <w:rPr>
                <w:noProof/>
                <w:sz w:val="22"/>
                <w:szCs w:val="22"/>
              </w:rPr>
            </w:pPr>
            <w:r w:rsidRPr="00A438C7">
              <w:rPr>
                <w:sz w:val="22"/>
                <w:szCs w:val="22"/>
              </w:rPr>
              <w:t>Peak energy consumption reduced by 20-25%</w:t>
            </w:r>
          </w:p>
        </w:tc>
      </w:tr>
      <w:tr w:rsidR="00B17E5F" w:rsidRPr="00A438C7" w14:paraId="27682393" w14:textId="77777777" w:rsidTr="00976942">
        <w:trPr>
          <w:trHeight w:val="449"/>
          <w:jc w:val="center"/>
        </w:trPr>
        <w:tc>
          <w:tcPr>
            <w:tcW w:w="1029" w:type="dxa"/>
          </w:tcPr>
          <w:sdt>
            <w:sdtPr>
              <w:rPr>
                <w:color w:val="000000"/>
                <w:sz w:val="22"/>
                <w:szCs w:val="22"/>
              </w:rPr>
              <w:tag w:val="MENDELEY_CITATION_v3_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"/>
              <w:id w:val="532771302"/>
              <w:placeholder>
                <w:docPart w:val="A3E939DF16EA47A08D79B68CC4DBA674"/>
              </w:placeholder>
            </w:sdtPr>
            <w:sdtContent>
              <w:p w14:paraId="217159B9" w14:textId="6F98B334" w:rsidR="00B17E5F" w:rsidRPr="00A438C7" w:rsidRDefault="001E7ECF" w:rsidP="00A438C7">
                <w:pPr>
                  <w:pStyle w:val="NoSpacing"/>
                  <w:rPr>
                    <w:sz w:val="22"/>
                    <w:szCs w:val="22"/>
                  </w:rPr>
                </w:pPr>
                <w:r w:rsidRPr="001E7ECF">
                  <w:rPr>
                    <w:color w:val="000000"/>
                    <w:sz w:val="22"/>
                    <w:szCs w:val="22"/>
                  </w:rPr>
                  <w:t>[156]</w:t>
                </w:r>
              </w:p>
            </w:sdtContent>
          </w:sdt>
        </w:tc>
        <w:tc>
          <w:tcPr>
            <w:tcW w:w="1335" w:type="dxa"/>
          </w:tcPr>
          <w:p w14:paraId="148BC249" w14:textId="77777777" w:rsidR="00B17E5F" w:rsidRPr="00A438C7" w:rsidRDefault="00B17E5F" w:rsidP="00A438C7">
            <w:pPr>
              <w:pStyle w:val="NoSpacing"/>
              <w:rPr>
                <w:sz w:val="22"/>
                <w:szCs w:val="22"/>
              </w:rPr>
            </w:pPr>
            <w:r w:rsidRPr="00A438C7">
              <w:rPr>
                <w:sz w:val="22"/>
                <w:szCs w:val="22"/>
              </w:rPr>
              <w:t>ATS 30</w:t>
            </w:r>
          </w:p>
          <w:p w14:paraId="50A92736" w14:textId="77777777" w:rsidR="00B17E5F" w:rsidRPr="00A438C7" w:rsidRDefault="00B17E5F" w:rsidP="00A438C7">
            <w:pPr>
              <w:pStyle w:val="NoSpacing"/>
              <w:rPr>
                <w:sz w:val="22"/>
                <w:szCs w:val="22"/>
              </w:rPr>
            </w:pPr>
            <w:r w:rsidRPr="00A438C7">
              <w:rPr>
                <w:sz w:val="22"/>
                <w:szCs w:val="22"/>
              </w:rPr>
              <w:t>(28 °C–33 °C)</w:t>
            </w:r>
          </w:p>
        </w:tc>
        <w:tc>
          <w:tcPr>
            <w:tcW w:w="1343" w:type="dxa"/>
          </w:tcPr>
          <w:p w14:paraId="04522168" w14:textId="77777777" w:rsidR="00B17E5F" w:rsidRPr="00A438C7" w:rsidRDefault="00B17E5F" w:rsidP="00A438C7">
            <w:pPr>
              <w:pStyle w:val="NoSpacing"/>
              <w:rPr>
                <w:sz w:val="22"/>
                <w:szCs w:val="22"/>
              </w:rPr>
            </w:pPr>
            <w:r w:rsidRPr="00A438C7">
              <w:rPr>
                <w:sz w:val="22"/>
                <w:szCs w:val="22"/>
              </w:rPr>
              <w:t>Space Heating</w:t>
            </w:r>
          </w:p>
        </w:tc>
        <w:tc>
          <w:tcPr>
            <w:tcW w:w="1698" w:type="dxa"/>
          </w:tcPr>
          <w:p w14:paraId="5DD83DA4" w14:textId="77777777" w:rsidR="00B17E5F" w:rsidRPr="00A438C7" w:rsidRDefault="00B17E5F" w:rsidP="00A438C7">
            <w:pPr>
              <w:pStyle w:val="NoSpacing"/>
              <w:rPr>
                <w:noProof/>
                <w:sz w:val="22"/>
                <w:szCs w:val="22"/>
              </w:rPr>
            </w:pPr>
            <w:r w:rsidRPr="00A438C7">
              <w:rPr>
                <w:sz w:val="22"/>
                <w:szCs w:val="22"/>
              </w:rPr>
              <w:t>In supply air system of heat pump</w:t>
            </w:r>
          </w:p>
        </w:tc>
        <w:tc>
          <w:tcPr>
            <w:tcW w:w="1812" w:type="dxa"/>
          </w:tcPr>
          <w:p w14:paraId="4BC19285" w14:textId="77777777" w:rsidR="00B17E5F" w:rsidRPr="00A438C7" w:rsidRDefault="00B17E5F" w:rsidP="00A438C7">
            <w:pPr>
              <w:pStyle w:val="NoSpacing"/>
              <w:rPr>
                <w:noProof/>
                <w:sz w:val="22"/>
                <w:szCs w:val="22"/>
              </w:rPr>
            </w:pPr>
            <w:r w:rsidRPr="00A438C7">
              <w:rPr>
                <w:sz w:val="22"/>
                <w:szCs w:val="22"/>
              </w:rPr>
              <w:t>PCM is charged by heat pump at lower utility rates</w:t>
            </w:r>
          </w:p>
        </w:tc>
        <w:tc>
          <w:tcPr>
            <w:tcW w:w="1407" w:type="dxa"/>
          </w:tcPr>
          <w:p w14:paraId="5C1EDF44" w14:textId="77777777" w:rsidR="00B17E5F" w:rsidRPr="00A438C7" w:rsidRDefault="00B17E5F" w:rsidP="00A438C7">
            <w:pPr>
              <w:pStyle w:val="NoSpacing"/>
              <w:rPr>
                <w:noProof/>
                <w:sz w:val="22"/>
                <w:szCs w:val="22"/>
              </w:rPr>
            </w:pPr>
            <w:r w:rsidRPr="00A438C7">
              <w:rPr>
                <w:sz w:val="22"/>
                <w:szCs w:val="22"/>
              </w:rPr>
              <w:t>6.7% energy consumption reduced</w:t>
            </w:r>
          </w:p>
        </w:tc>
      </w:tr>
    </w:tbl>
    <w:p w14:paraId="61297925" w14:textId="77777777" w:rsidR="00B17E5F" w:rsidRPr="00322E56" w:rsidRDefault="00B17E5F" w:rsidP="000D15B3">
      <w:pPr>
        <w:rPr>
          <w:rFonts w:cs="Times New Roman"/>
        </w:rPr>
      </w:pPr>
    </w:p>
    <w:p w14:paraId="0F1969DE" w14:textId="77777777" w:rsidR="00B17E5F" w:rsidRPr="00322E56" w:rsidRDefault="00B17E5F" w:rsidP="00E54052">
      <w:pPr>
        <w:rPr>
          <w:rFonts w:cs="Times New Roman"/>
        </w:rPr>
      </w:pPr>
    </w:p>
    <w:p w14:paraId="57BB15D1" w14:textId="77777777" w:rsidR="00DA6BA6" w:rsidRDefault="00B17E5F" w:rsidP="00625086">
      <w:pPr>
        <w:pStyle w:val="Heading2"/>
        <w:rPr>
          <w:rFonts w:cs="Times New Roman"/>
        </w:rPr>
      </w:pPr>
      <w:r w:rsidRPr="00322E56">
        <w:rPr>
          <w:rFonts w:cs="Times New Roman"/>
        </w:rPr>
        <w:br w:type="page"/>
      </w:r>
    </w:p>
    <w:p w14:paraId="334CF4C4" w14:textId="66422E4A" w:rsidR="00DA6BA6" w:rsidRDefault="00DA6BA6" w:rsidP="00DA6BA6">
      <w:pPr>
        <w:rPr>
          <w:rFonts w:cs="Times New Roman"/>
        </w:rPr>
      </w:pPr>
      <w:r w:rsidRPr="00322E56">
        <w:rPr>
          <w:rFonts w:cs="Times New Roman"/>
        </w:rPr>
        <w:lastRenderedPageBreak/>
        <w:t>PCM melting point and charging operations are reported. Table 11 summarizes the salt hydrate PCMs while Table 12 reviews other PCMs used for HP-TES.</w:t>
      </w:r>
    </w:p>
    <w:p w14:paraId="5CFF32ED" w14:textId="3F40C832" w:rsidR="00B17E5F" w:rsidRPr="00322E56" w:rsidRDefault="00B17E5F" w:rsidP="00625086">
      <w:pPr>
        <w:pStyle w:val="Heading2"/>
        <w:rPr>
          <w:rFonts w:cs="Times New Roman"/>
        </w:rPr>
      </w:pPr>
      <w:bookmarkStart w:id="122" w:name="_Toc140399850"/>
      <w:r w:rsidRPr="00322E56">
        <w:rPr>
          <w:rFonts w:cs="Times New Roman"/>
        </w:rPr>
        <w:t>Results and Discussion</w:t>
      </w:r>
      <w:bookmarkEnd w:id="122"/>
    </w:p>
    <w:p w14:paraId="4551A0AA" w14:textId="77777777" w:rsidR="00B17E5F" w:rsidRPr="00322E56" w:rsidRDefault="00B17E5F" w:rsidP="00625086">
      <w:pPr>
        <w:rPr>
          <w:rFonts w:cs="Times New Roman"/>
          <w:color w:val="0D0D0D" w:themeColor="text1" w:themeTint="F2"/>
        </w:rPr>
      </w:pPr>
      <w:r w:rsidRPr="00322E56">
        <w:rPr>
          <w:rFonts w:cs="Times New Roman"/>
          <w:color w:val="0D0D0D" w:themeColor="text1" w:themeTint="F2"/>
        </w:rPr>
        <w:t>The demand impact reported in the tables 11 and 12 corresponds to peak load shifted, peak electricity consumption reduced, or heat pump cooling and heating loads reduced. This section would discuss the PCM melting temperature and heat pump TES configuration for maximum demand impact. There are still number of factors to be considered such as the ambient climate conditions, size of TES, and heat transfer coefficient. The scope of this paper is limited to PCM material, melting temperature, and heat pump configuration.</w:t>
      </w:r>
    </w:p>
    <w:p w14:paraId="678D692E" w14:textId="77777777" w:rsidR="00B17E5F" w:rsidRPr="00322E56" w:rsidRDefault="00B17E5F" w:rsidP="00625086">
      <w:pPr>
        <w:pStyle w:val="Heading3"/>
        <w:rPr>
          <w:rFonts w:cs="Times New Roman"/>
        </w:rPr>
      </w:pPr>
      <w:bookmarkStart w:id="123" w:name="_Toc140399851"/>
      <w:r w:rsidRPr="00322E56">
        <w:rPr>
          <w:rFonts w:cs="Times New Roman"/>
        </w:rPr>
        <w:t>Melting Temperature</w:t>
      </w:r>
      <w:bookmarkEnd w:id="123"/>
    </w:p>
    <w:p w14:paraId="3708F83B" w14:textId="2038C4A6" w:rsidR="00B17E5F" w:rsidRPr="00322E56" w:rsidRDefault="00B17E5F" w:rsidP="00625086">
      <w:pPr>
        <w:rPr>
          <w:rFonts w:cs="Times New Roman"/>
          <w:color w:val="0D0D0D" w:themeColor="text1" w:themeTint="F2"/>
        </w:rPr>
      </w:pPr>
      <w:r w:rsidRPr="00322E56">
        <w:rPr>
          <w:rFonts w:cs="Times New Roman"/>
        </w:rPr>
        <w:t xml:space="preserve">Figure 18 shows the range of PCM temperature corresponding to demand impact for space heating and cooling. The PCM materials with the melting temperature ranging from 15 to 27 °C showed the most savings and demand benefits. Majority of the HP-TES systems reported in literature for demand response have investigated a cooling system which shows that cooling demand dominates in the centrally </w:t>
      </w:r>
      <w:r w:rsidR="00DA6BA6" w:rsidRPr="00322E56">
        <w:rPr>
          <w:rFonts w:cs="Times New Roman"/>
        </w:rPr>
        <w:t>air-conditioned</w:t>
      </w:r>
      <w:r w:rsidRPr="00322E56">
        <w:rPr>
          <w:rFonts w:cs="Times New Roman"/>
        </w:rPr>
        <w:t xml:space="preserve"> residential homes. The PCM melting temperatures reported lie within the narrow range closer to room temperature except the </w:t>
      </w:r>
      <w:r w:rsidRPr="00322E56">
        <w:rPr>
          <w:rFonts w:cs="Times New Roman"/>
          <w:color w:val="0D0D0D" w:themeColor="text1" w:themeTint="F2"/>
        </w:rPr>
        <w:t xml:space="preserve">Sodium Acetate Trihydrate (58 </w:t>
      </w:r>
      <w:r w:rsidRPr="00322E56">
        <w:rPr>
          <w:rFonts w:cs="Times New Roman"/>
        </w:rPr>
        <w:t>°</w:t>
      </w:r>
      <w:r w:rsidRPr="00322E56">
        <w:rPr>
          <w:rFonts w:cs="Times New Roman"/>
          <w:color w:val="0D0D0D" w:themeColor="text1" w:themeTint="F2"/>
        </w:rPr>
        <w:t>C) which is used for space heating.</w:t>
      </w:r>
    </w:p>
    <w:p w14:paraId="2C717051" w14:textId="77777777" w:rsidR="00DA6BA6" w:rsidRPr="00322E56" w:rsidRDefault="00DA6BA6" w:rsidP="00DA6BA6">
      <w:pPr>
        <w:pStyle w:val="Heading3"/>
        <w:rPr>
          <w:rFonts w:cs="Times New Roman"/>
        </w:rPr>
      </w:pPr>
      <w:bookmarkStart w:id="124" w:name="_Toc140399852"/>
      <w:r w:rsidRPr="00322E56">
        <w:rPr>
          <w:rFonts w:cs="Times New Roman"/>
        </w:rPr>
        <w:t>Configuration</w:t>
      </w:r>
      <w:bookmarkEnd w:id="124"/>
    </w:p>
    <w:p w14:paraId="129D4D65" w14:textId="2E5EABC0" w:rsidR="00B17E5F" w:rsidRPr="00322E56" w:rsidRDefault="00DA6BA6" w:rsidP="00DA6BA6">
      <w:pPr>
        <w:rPr>
          <w:rFonts w:cs="Times New Roman"/>
        </w:rPr>
      </w:pPr>
      <w:r w:rsidRPr="00322E56">
        <w:rPr>
          <w:rFonts w:cs="Times New Roman"/>
        </w:rPr>
        <w:t xml:space="preserve">PCM-TES has been integrated with heat pump in various different configurations. Heat exchanger or storage tank containing PCM is coupled to either building envelope or heat pump components. Heat pump components can be on the air-side or the refrigerant-side of the heat pump. The refrigerant-side is referred as vapor compression system components (condenser, evaporator, and compressor), and the air-side corresponds to the air distribution system (supply air duct and return loop). Figure 19 shows that the air-side configurations are the ones most commonly investigated and report maximum demand impact and energy savings. </w:t>
      </w:r>
      <w:r w:rsidR="00B17E5F" w:rsidRPr="00322E56">
        <w:rPr>
          <w:rFonts w:cs="Times New Roman"/>
          <w:color w:val="0D0D0D" w:themeColor="text1" w:themeTint="F2"/>
        </w:rPr>
        <w:br w:type="page"/>
      </w:r>
    </w:p>
    <w:p w14:paraId="37AEE187" w14:textId="77777777" w:rsidR="00B17E5F" w:rsidRPr="00322E56" w:rsidRDefault="00B17E5F" w:rsidP="00252E8E">
      <w:pPr>
        <w:keepNext/>
        <w:jc w:val="center"/>
        <w:rPr>
          <w:rFonts w:cs="Times New Roman"/>
        </w:rPr>
      </w:pPr>
      <w:r w:rsidRPr="00322E56">
        <w:rPr>
          <w:rFonts w:cs="Times New Roman"/>
          <w:noProof/>
        </w:rPr>
        <w:lastRenderedPageBreak/>
        <w:drawing>
          <wp:inline distT="0" distB="0" distL="0" distR="0" wp14:anchorId="5895D099" wp14:editId="06706AE8">
            <wp:extent cx="5281127" cy="3157597"/>
            <wp:effectExtent l="0" t="0" r="0" b="5080"/>
            <wp:docPr id="2" name="Picture 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scatter chart&#10;&#10;Description automatically generated"/>
                    <pic:cNvPicPr/>
                  </pic:nvPicPr>
                  <pic:blipFill>
                    <a:blip r:embed="rId35"/>
                    <a:stretch>
                      <a:fillRect/>
                    </a:stretch>
                  </pic:blipFill>
                  <pic:spPr>
                    <a:xfrm>
                      <a:off x="0" y="0"/>
                      <a:ext cx="5292486" cy="3164389"/>
                    </a:xfrm>
                    <a:prstGeom prst="rect">
                      <a:avLst/>
                    </a:prstGeom>
                  </pic:spPr>
                </pic:pic>
              </a:graphicData>
            </a:graphic>
          </wp:inline>
        </w:drawing>
      </w:r>
    </w:p>
    <w:p w14:paraId="4B0EB69C" w14:textId="4B204A5D" w:rsidR="00B17E5F" w:rsidRDefault="00B17E5F" w:rsidP="00252E8E">
      <w:pPr>
        <w:pStyle w:val="Caption"/>
        <w:jc w:val="center"/>
        <w:rPr>
          <w:rFonts w:cs="Times New Roman"/>
        </w:rPr>
      </w:pPr>
      <w:bookmarkStart w:id="125" w:name="_Toc140403884"/>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18</w:t>
      </w:r>
      <w:r w:rsidRPr="00322E56">
        <w:rPr>
          <w:rFonts w:cs="Times New Roman"/>
        </w:rPr>
        <w:fldChar w:fldCharType="end"/>
      </w:r>
      <w:r w:rsidRPr="00322E56">
        <w:rPr>
          <w:rFonts w:cs="Times New Roman"/>
        </w:rPr>
        <w:t>: Demand Impact and PCM Temperature</w:t>
      </w:r>
      <w:bookmarkEnd w:id="125"/>
    </w:p>
    <w:p w14:paraId="0C800D12" w14:textId="77777777" w:rsidR="00DA6BA6" w:rsidRPr="00DA6BA6" w:rsidRDefault="00DA6BA6" w:rsidP="00DA6BA6"/>
    <w:p w14:paraId="184902A6" w14:textId="00EFAF15" w:rsidR="00DA6BA6" w:rsidRPr="00322E56" w:rsidRDefault="00DA6BA6" w:rsidP="00DA6BA6">
      <w:pPr>
        <w:keepNext/>
        <w:jc w:val="center"/>
        <w:rPr>
          <w:rFonts w:cs="Times New Roman"/>
        </w:rPr>
      </w:pPr>
      <w:r w:rsidRPr="00322E56">
        <w:rPr>
          <w:rFonts w:cs="Times New Roman"/>
          <w:noProof/>
        </w:rPr>
        <w:lastRenderedPageBreak/>
        <w:drawing>
          <wp:inline distT="0" distB="0" distL="0" distR="0" wp14:anchorId="50FA6D45" wp14:editId="323ECD81">
            <wp:extent cx="5421086" cy="3142392"/>
            <wp:effectExtent l="0" t="0" r="8255" b="1270"/>
            <wp:docPr id="7" name="Picture 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scatter chart&#10;&#10;Description automatically generated"/>
                    <pic:cNvPicPr/>
                  </pic:nvPicPr>
                  <pic:blipFill>
                    <a:blip r:embed="rId36"/>
                    <a:stretch>
                      <a:fillRect/>
                    </a:stretch>
                  </pic:blipFill>
                  <pic:spPr>
                    <a:xfrm>
                      <a:off x="0" y="0"/>
                      <a:ext cx="5430073" cy="3147602"/>
                    </a:xfrm>
                    <a:prstGeom prst="rect">
                      <a:avLst/>
                    </a:prstGeom>
                  </pic:spPr>
                </pic:pic>
              </a:graphicData>
            </a:graphic>
          </wp:inline>
        </w:drawing>
      </w:r>
    </w:p>
    <w:p w14:paraId="43F7587F" w14:textId="32EDB070" w:rsidR="00DA6BA6" w:rsidRPr="00322E56" w:rsidRDefault="00DA6BA6" w:rsidP="00DA6BA6">
      <w:pPr>
        <w:pStyle w:val="Caption"/>
        <w:jc w:val="center"/>
        <w:rPr>
          <w:rFonts w:cs="Times New Roman"/>
        </w:rPr>
      </w:pPr>
      <w:bookmarkStart w:id="126" w:name="_Toc140403885"/>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19</w:t>
      </w:r>
      <w:r w:rsidRPr="00322E56">
        <w:rPr>
          <w:rFonts w:cs="Times New Roman"/>
        </w:rPr>
        <w:fldChar w:fldCharType="end"/>
      </w:r>
      <w:r w:rsidRPr="00322E56">
        <w:rPr>
          <w:rFonts w:cs="Times New Roman"/>
        </w:rPr>
        <w:t>: Demand Impact and heat pump configurations</w:t>
      </w:r>
      <w:bookmarkEnd w:id="126"/>
    </w:p>
    <w:p w14:paraId="0E804BDA" w14:textId="030AD0D7" w:rsidR="00B17E5F" w:rsidRPr="00322E56" w:rsidRDefault="00B17E5F">
      <w:pPr>
        <w:spacing w:line="240" w:lineRule="auto"/>
        <w:rPr>
          <w:rFonts w:cs="Times New Roman"/>
        </w:rPr>
      </w:pPr>
    </w:p>
    <w:p w14:paraId="54EEB526" w14:textId="45C891C1" w:rsidR="00B17E5F" w:rsidRPr="00322E56" w:rsidRDefault="00B17E5F" w:rsidP="00DA6BA6">
      <w:pPr>
        <w:spacing w:line="240" w:lineRule="auto"/>
        <w:rPr>
          <w:rFonts w:cs="Times New Roman"/>
        </w:rPr>
      </w:pPr>
      <w:r w:rsidRPr="00322E56">
        <w:rPr>
          <w:rFonts w:cs="Times New Roman"/>
        </w:rPr>
        <w:br w:type="page"/>
      </w:r>
    </w:p>
    <w:p w14:paraId="64A8430D" w14:textId="77777777" w:rsidR="00B17E5F" w:rsidRPr="00322E56" w:rsidRDefault="00B17E5F" w:rsidP="00DA6BA6">
      <w:pPr>
        <w:pStyle w:val="Heading1"/>
      </w:pPr>
      <w:bookmarkStart w:id="127" w:name="_Toc140399853"/>
      <w:r w:rsidRPr="00322E56">
        <w:lastRenderedPageBreak/>
        <w:t>Conclusions</w:t>
      </w:r>
      <w:bookmarkEnd w:id="127"/>
    </w:p>
    <w:p w14:paraId="2621382B" w14:textId="77777777" w:rsidR="00B17E5F" w:rsidRPr="00322E56" w:rsidRDefault="00B17E5F" w:rsidP="00EF46AE">
      <w:pPr>
        <w:rPr>
          <w:rFonts w:cs="Times New Roman"/>
          <w:color w:val="0D0D0D" w:themeColor="text1" w:themeTint="F2"/>
        </w:rPr>
      </w:pPr>
      <w:r w:rsidRPr="00322E56">
        <w:rPr>
          <w:rFonts w:cs="Times New Roman"/>
          <w:color w:val="0D0D0D" w:themeColor="text1" w:themeTint="F2"/>
        </w:rPr>
        <w:t>Phase Change Material (PCM) based Thermal energy storage (TES) can provide economic and environmental benefits for grid-interactive residential buildings. The value and performance of TES vary greatly depending on the temperature range and storage capacity of the material, as well as the system configuration and ambient temperature</w:t>
      </w:r>
      <w:bookmarkStart w:id="128" w:name="_Hlk90035949"/>
      <w:r w:rsidRPr="00322E56">
        <w:rPr>
          <w:rFonts w:cs="Times New Roman"/>
          <w:color w:val="0D0D0D" w:themeColor="text1" w:themeTint="F2"/>
        </w:rPr>
        <w:t>. Active storage configurations allow real-time control of TES and are proven to be more effective than passive configurations, however, the active TES studies found in literature have utilized different materials for both heating and cooling</w:t>
      </w:r>
      <w:bookmarkEnd w:id="128"/>
      <w:r w:rsidRPr="00322E56">
        <w:rPr>
          <w:rFonts w:cs="Times New Roman"/>
          <w:color w:val="0D0D0D" w:themeColor="text1" w:themeTint="F2"/>
        </w:rPr>
        <w:t>.</w:t>
      </w:r>
    </w:p>
    <w:p w14:paraId="6374996B" w14:textId="77777777" w:rsidR="00B17E5F" w:rsidRPr="00322E56" w:rsidRDefault="00B17E5F" w:rsidP="00EF46AE">
      <w:pPr>
        <w:rPr>
          <w:rFonts w:cs="Times New Roman"/>
          <w:color w:val="0D0D0D" w:themeColor="text1" w:themeTint="F2"/>
        </w:rPr>
      </w:pPr>
      <w:r w:rsidRPr="00322E56">
        <w:rPr>
          <w:rFonts w:cs="Times New Roman"/>
          <w:color w:val="0D0D0D" w:themeColor="text1" w:themeTint="F2"/>
        </w:rPr>
        <w:t xml:space="preserve"> This chapter reviewed the PCM materials, melting temperatures, and heat pump configurations to compare the energy savings and demand benefits of heat-pump integrated TES. The optimum demand impact and energy savings are reported for salt hydrate PCM with melting temperature between 15 and 27 </w:t>
      </w:r>
      <w:r w:rsidRPr="00322E56">
        <w:rPr>
          <w:rFonts w:cs="Times New Roman"/>
        </w:rPr>
        <w:t>°C integrated via air distribution system of the heat pump.</w:t>
      </w:r>
    </w:p>
    <w:p w14:paraId="0B2E88DF" w14:textId="77777777" w:rsidR="00B17E5F" w:rsidRPr="00322E56" w:rsidRDefault="00B17E5F" w:rsidP="00EF46AE">
      <w:pPr>
        <w:spacing w:line="240" w:lineRule="auto"/>
        <w:rPr>
          <w:rFonts w:cs="Times New Roman"/>
        </w:rPr>
      </w:pPr>
      <w:r w:rsidRPr="00322E56">
        <w:rPr>
          <w:rFonts w:cs="Times New Roman"/>
        </w:rPr>
        <w:br w:type="page"/>
      </w:r>
    </w:p>
    <w:p w14:paraId="1345952D" w14:textId="77777777" w:rsidR="00B17E5F" w:rsidRPr="00322E56" w:rsidRDefault="00B17E5F" w:rsidP="00416D80">
      <w:pPr>
        <w:pStyle w:val="Heading1"/>
        <w:rPr>
          <w:rFonts w:cs="Times New Roman"/>
          <w:szCs w:val="28"/>
        </w:rPr>
      </w:pPr>
      <w:bookmarkStart w:id="129" w:name="_Toc140399854"/>
      <w:r w:rsidRPr="00322E56">
        <w:rPr>
          <w:rFonts w:cs="Times New Roman"/>
          <w:caps w:val="0"/>
          <w:szCs w:val="28"/>
        </w:rPr>
        <w:lastRenderedPageBreak/>
        <w:t>CHAPTER III</w:t>
      </w:r>
      <w:r w:rsidRPr="00322E56">
        <w:rPr>
          <w:rFonts w:cs="Times New Roman"/>
          <w:caps w:val="0"/>
          <w:szCs w:val="28"/>
        </w:rPr>
        <w:br/>
        <w:t>CASE STUDY – ECONOMIC IMPLICATIONS OF RESIDENTIAL BUILDINGS</w:t>
      </w:r>
      <w:bookmarkEnd w:id="129"/>
    </w:p>
    <w:p w14:paraId="6F78A1BB" w14:textId="77777777" w:rsidR="00B17E5F" w:rsidRPr="00322E56" w:rsidRDefault="00B17E5F" w:rsidP="00416D80">
      <w:pPr>
        <w:rPr>
          <w:rFonts w:cs="Times New Roman"/>
          <w:sz w:val="28"/>
          <w:szCs w:val="28"/>
        </w:rPr>
      </w:pPr>
      <w:r w:rsidRPr="00322E56">
        <w:rPr>
          <w:rFonts w:cs="Times New Roman"/>
          <w:sz w:val="28"/>
          <w:szCs w:val="28"/>
        </w:rPr>
        <w:br w:type="page"/>
      </w:r>
    </w:p>
    <w:p w14:paraId="01E18098" w14:textId="77777777" w:rsidR="00B17E5F" w:rsidRPr="00322E56" w:rsidRDefault="00B17E5F" w:rsidP="00CD1E7A">
      <w:pPr>
        <w:ind w:firstLine="720"/>
        <w:rPr>
          <w:rFonts w:cs="Times New Roman"/>
        </w:rPr>
      </w:pPr>
      <w:r w:rsidRPr="00322E56">
        <w:rPr>
          <w:rFonts w:cs="Times New Roman"/>
        </w:rPr>
        <w:lastRenderedPageBreak/>
        <w:t xml:space="preserve">A version of this chapter was originally published by S. Sultan </w:t>
      </w:r>
      <w:r w:rsidRPr="00322E56">
        <w:rPr>
          <w:rFonts w:cs="Times New Roman"/>
          <w:i/>
          <w:iCs/>
        </w:rPr>
        <w:t>et al</w:t>
      </w:r>
      <w:r w:rsidRPr="00322E56">
        <w:rPr>
          <w:rFonts w:cs="Times New Roman"/>
        </w:rPr>
        <w:t>:</w:t>
      </w:r>
    </w:p>
    <w:p w14:paraId="2E7B29F2" w14:textId="5A57169B" w:rsidR="00B17E5F" w:rsidRDefault="00B17E5F" w:rsidP="000B7687">
      <w:pPr>
        <w:ind w:firstLine="720"/>
        <w:rPr>
          <w:rFonts w:cs="Times New Roman"/>
        </w:rPr>
      </w:pPr>
      <w:r w:rsidRPr="00322E56">
        <w:rPr>
          <w:rFonts w:cs="Times New Roman"/>
        </w:rPr>
        <w:t xml:space="preserve">Sultan, Sara; Hirschey, Jason; Gluesenkamp, Kyle R.; and Graham, Samuel, "Analysis of Residential Time- of-Use Utility Rate Structures and Economic Implications for Thermal Energy Storage" (2021). </w:t>
      </w:r>
      <w:r w:rsidRPr="00322E56">
        <w:rPr>
          <w:rFonts w:cs="Times New Roman"/>
          <w:i/>
          <w:iCs/>
        </w:rPr>
        <w:t>International High Performance Buildings Conference</w:t>
      </w:r>
      <w:r w:rsidRPr="00322E56">
        <w:rPr>
          <w:rFonts w:cs="Times New Roman"/>
        </w:rPr>
        <w:t xml:space="preserve">. Paper 370. https://docs.lib.purdue.edu/ihpbc/370 </w:t>
      </w:r>
    </w:p>
    <w:p w14:paraId="7133E53C" w14:textId="0FEAA45D" w:rsidR="000B7687" w:rsidRPr="00322E56" w:rsidRDefault="000B7687" w:rsidP="000B7687">
      <w:r>
        <w:t>Model simulations and o</w:t>
      </w:r>
      <w:r w:rsidRPr="00AE72D0">
        <w:t xml:space="preserve">riginal </w:t>
      </w:r>
      <w:r>
        <w:t xml:space="preserve">manuscript </w:t>
      </w:r>
      <w:r w:rsidRPr="00AE72D0">
        <w:t xml:space="preserve">draft </w:t>
      </w:r>
      <w:r>
        <w:t xml:space="preserve">was </w:t>
      </w:r>
      <w:r w:rsidRPr="00AE72D0">
        <w:t>prepar</w:t>
      </w:r>
      <w:r>
        <w:t>ed by</w:t>
      </w:r>
      <w:r w:rsidRPr="00AE72D0">
        <w:t xml:space="preserve"> Sara Sultan</w:t>
      </w:r>
      <w:r>
        <w:t xml:space="preserve"> and </w:t>
      </w:r>
      <w:r w:rsidRPr="00AE72D0">
        <w:t xml:space="preserve">Jason Hirschey, </w:t>
      </w:r>
      <w:r>
        <w:t xml:space="preserve">Review and </w:t>
      </w:r>
      <w:r w:rsidRPr="00AE72D0">
        <w:t>supervision</w:t>
      </w:r>
      <w:r>
        <w:t xml:space="preserve"> by</w:t>
      </w:r>
      <w:r w:rsidRPr="00AE72D0">
        <w:t xml:space="preserve"> </w:t>
      </w:r>
      <w:r>
        <w:t>Samuel Graham</w:t>
      </w:r>
      <w:r w:rsidRPr="00AE72D0">
        <w:t>,</w:t>
      </w:r>
      <w:r>
        <w:t xml:space="preserve"> and</w:t>
      </w:r>
      <w:r w:rsidRPr="00AE72D0">
        <w:t xml:space="preserve"> Kyle</w:t>
      </w:r>
      <w:r>
        <w:t xml:space="preserve"> R.</w:t>
      </w:r>
      <w:r w:rsidRPr="00AE72D0">
        <w:t xml:space="preserve"> Gluesenkamp</w:t>
      </w:r>
      <w:r>
        <w:t>.</w:t>
      </w:r>
    </w:p>
    <w:p w14:paraId="4875A13A" w14:textId="77777777" w:rsidR="00B17E5F" w:rsidRPr="00322E56" w:rsidRDefault="00B17E5F" w:rsidP="00416D80">
      <w:pPr>
        <w:pStyle w:val="Heading2"/>
        <w:rPr>
          <w:rFonts w:cs="Times New Roman"/>
          <w:szCs w:val="24"/>
        </w:rPr>
      </w:pPr>
      <w:bookmarkStart w:id="130" w:name="_Toc140399855"/>
      <w:r w:rsidRPr="00322E56">
        <w:rPr>
          <w:rFonts w:cs="Times New Roman"/>
          <w:szCs w:val="24"/>
        </w:rPr>
        <w:t>Abstract</w:t>
      </w:r>
      <w:bookmarkEnd w:id="130"/>
    </w:p>
    <w:p w14:paraId="63B70164" w14:textId="77777777" w:rsidR="00B17E5F" w:rsidRPr="00322E56" w:rsidRDefault="00B17E5F" w:rsidP="009C5592">
      <w:pPr>
        <w:rPr>
          <w:rFonts w:cs="Times New Roman"/>
        </w:rPr>
      </w:pPr>
      <w:r w:rsidRPr="00322E56">
        <w:rPr>
          <w:rFonts w:cs="Times New Roman"/>
        </w:rPr>
        <w:t xml:space="preserve">Thermal energy storage (TES) is an increasingly popular tool to level out the daily electrical demand and add stability to the electrical grid as more intermittent renewable energy sources are installed. TES systems can locally decouple high thermal loads from the operation of a heat pump or reduce the electrical energy demand of the heat pump by providing a more favorable temperature gradient.  In addition, many policy makers and utility providers have introduced time-of-use (TOU) rate schedules for residential customers to better reflect the price of electricity generation and demand for specific times. TOU rate schedules price grid-provided electricity differently throughout the day depending on the region’s climate, time of year, and electrical production portfolio. Large differences between on-peak and off-peak electrical prices may create an economic advantage for a residential customer to install a TES system. In this work, the economic and energy savings are calculated for a modeled 223 square foot residential building with water/ice-based TES using a TOU rate structure. </w:t>
      </w:r>
    </w:p>
    <w:p w14:paraId="7EBD3290" w14:textId="77777777" w:rsidR="00B17E5F" w:rsidRPr="00322E56" w:rsidRDefault="00B17E5F" w:rsidP="00416D80">
      <w:pPr>
        <w:rPr>
          <w:rFonts w:cs="Times New Roman"/>
        </w:rPr>
      </w:pPr>
      <w:r w:rsidRPr="00322E56">
        <w:rPr>
          <w:rFonts w:cs="Times New Roman"/>
        </w:rPr>
        <w:t xml:space="preserve">A southern California residential building’s summertime cooling load during a week of extreme high temperatures is comparatively modeled with and without active TES.  The TES is directly coupled to a vapor compression system and serves as the VCS condensing unit during peak hours rather than the ambient air. The PCM embedded in the TES for this analysis is ice/water with a phase change temperature of 0°C, and only interacts with VCS, not directly with the building.  A residential TOU utility rate from a utility provider in </w:t>
      </w:r>
      <w:r w:rsidRPr="00322E56">
        <w:rPr>
          <w:rFonts w:cs="Times New Roman"/>
        </w:rPr>
        <w:lastRenderedPageBreak/>
        <w:t>California, corresponding to the climate zone 3B, is used to assess the potential economic savings for the customer. The VCS was modeled using Engineering Equation Solver (EES). The simulation was carried out for cooling only during a week of extreme hot summer daytime temperature and the results showed that total energy consumption could be reduced by 14.5% with an 87.5% reduction in on-peak energy usage when the TES is installed.  The cost of operating this system for space cooling was reduced by nearly 20% using the sample utility rate plan.</w:t>
      </w:r>
    </w:p>
    <w:p w14:paraId="3B49CB54" w14:textId="77777777" w:rsidR="00B17E5F" w:rsidRPr="00322E56" w:rsidRDefault="00B17E5F" w:rsidP="00416D80">
      <w:pPr>
        <w:pStyle w:val="Heading2"/>
        <w:rPr>
          <w:rFonts w:cs="Times New Roman"/>
          <w:szCs w:val="24"/>
        </w:rPr>
      </w:pPr>
      <w:bookmarkStart w:id="131" w:name="_Toc140399856"/>
      <w:r w:rsidRPr="00322E56">
        <w:rPr>
          <w:rFonts w:cs="Times New Roman"/>
          <w:szCs w:val="24"/>
        </w:rPr>
        <w:t>Research Question</w:t>
      </w:r>
      <w:bookmarkEnd w:id="131"/>
    </w:p>
    <w:p w14:paraId="190A29AA" w14:textId="77777777" w:rsidR="00B17E5F" w:rsidRPr="00322E56" w:rsidRDefault="00B17E5F" w:rsidP="00416D80">
      <w:pPr>
        <w:rPr>
          <w:rFonts w:cs="Times New Roman"/>
          <w:i/>
          <w:iCs/>
        </w:rPr>
      </w:pPr>
      <w:r w:rsidRPr="00322E56">
        <w:rPr>
          <w:rFonts w:cs="Times New Roman"/>
          <w:i/>
          <w:iCs/>
        </w:rPr>
        <w:t>How can PCM based Thermal Energy Storage be integrated into a heat pump for carbon mitigation, demand response, and reduced electric consumption of heat pumps in residential buildings?</w:t>
      </w:r>
    </w:p>
    <w:p w14:paraId="35ED118F" w14:textId="77777777" w:rsidR="00B17E5F" w:rsidRPr="00322E56" w:rsidRDefault="00B17E5F" w:rsidP="00416D80">
      <w:pPr>
        <w:pStyle w:val="Heading2"/>
        <w:rPr>
          <w:rFonts w:cs="Times New Roman"/>
          <w:szCs w:val="24"/>
        </w:rPr>
      </w:pPr>
      <w:bookmarkStart w:id="132" w:name="_Toc140399857"/>
      <w:r w:rsidRPr="00322E56">
        <w:rPr>
          <w:rFonts w:cs="Times New Roman"/>
          <w:szCs w:val="24"/>
        </w:rPr>
        <w:t>Background</w:t>
      </w:r>
      <w:bookmarkEnd w:id="132"/>
    </w:p>
    <w:p w14:paraId="62C77AA1" w14:textId="5C96D8A1" w:rsidR="00B17E5F" w:rsidRPr="00322E56" w:rsidRDefault="00B17E5F" w:rsidP="00416D80">
      <w:pPr>
        <w:rPr>
          <w:rFonts w:cs="Times New Roman"/>
        </w:rPr>
      </w:pPr>
      <w:r w:rsidRPr="00322E56">
        <w:rPr>
          <w:rFonts w:cs="Times New Roman"/>
        </w:rPr>
        <w:t xml:space="preserve">As of 2018, buildings in the United States accounted for about 40% of the total U.S. energy consumption and 75% of the total electricity consumption </w:t>
      </w:r>
      <w:sdt>
        <w:sdtPr>
          <w:rPr>
            <w:rFonts w:cs="Times New Roman"/>
            <w:color w:val="000000"/>
          </w:rPr>
          <w:tag w:val="MENDELEY_CITATION_v3_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"/>
          <w:id w:val="-1991309065"/>
          <w:placeholder>
            <w:docPart w:val="DefaultPlaceholder_-1854013440"/>
          </w:placeholder>
        </w:sdtPr>
        <w:sdtEndPr>
          <w:rPr>
            <w:rFonts w:cs="Arial"/>
          </w:rPr>
        </w:sdtEndPr>
        <w:sdtContent>
          <w:r w:rsidR="001E7ECF" w:rsidRPr="001E7ECF">
            <w:rPr>
              <w:color w:val="000000"/>
            </w:rPr>
            <w:t>(U.S. Department of Energy, 2011; US EIA, 2020)</w:t>
          </w:r>
        </w:sdtContent>
      </w:sdt>
      <w:r w:rsidRPr="00322E56">
        <w:rPr>
          <w:rFonts w:cs="Times New Roman"/>
        </w:rPr>
        <w:t xml:space="preserve">. Peak periods, generally, have the largest energy demand on the grid.  Heating, ventilation, and air conditioning (HVAC) loads comprise 50% of building electricity consumption </w:t>
      </w:r>
      <w:sdt>
        <w:sdtPr>
          <w:rPr>
            <w:rFonts w:cs="Times New Roman"/>
            <w:color w:val="000000"/>
          </w:rPr>
          <w:tag w:val="MENDELEY_CITATION_v3_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"/>
          <w:id w:val="-1741393214"/>
          <w:placeholder>
            <w:docPart w:val="DefaultPlaceholder_-1854013440"/>
          </w:placeholder>
        </w:sdtPr>
        <w:sdtEndPr>
          <w:rPr>
            <w:rFonts w:cs="Arial"/>
          </w:rPr>
        </w:sdtEndPr>
        <w:sdtContent>
          <w:r w:rsidR="001E7ECF" w:rsidRPr="001E7ECF">
            <w:rPr>
              <w:color w:val="000000"/>
            </w:rPr>
            <w:t>[53]</w:t>
          </w:r>
        </w:sdtContent>
      </w:sdt>
      <w:r w:rsidRPr="00322E56">
        <w:rPr>
          <w:rFonts w:cs="Times New Roman"/>
        </w:rPr>
        <w:t xml:space="preserve">. HVAC systems and the need for space cooling may exacerbate electrical demand issues during summer peak times, since as much as 50% of the grid electricity demand comes from homes mostly used for air conditioning </w:t>
      </w:r>
      <w:sdt>
        <w:sdtPr>
          <w:rPr>
            <w:rFonts w:cs="Times New Roman"/>
            <w:color w:val="000000"/>
          </w:rPr>
          <w:tag w:val="MENDELEY_CITATION_v3_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"/>
          <w:id w:val="723098452"/>
          <w:placeholder>
            <w:docPart w:val="DefaultPlaceholder_-1854013440"/>
          </w:placeholder>
        </w:sdtPr>
        <w:sdtEndPr>
          <w:rPr>
            <w:rFonts w:cs="Arial"/>
          </w:rPr>
        </w:sdtEndPr>
        <w:sdtContent>
          <w:r w:rsidR="001E7ECF" w:rsidRPr="001E7ECF">
            <w:rPr>
              <w:color w:val="000000"/>
            </w:rPr>
            <w:t>[4]</w:t>
          </w:r>
        </w:sdtContent>
      </w:sdt>
      <w:r w:rsidRPr="00322E56">
        <w:rPr>
          <w:rFonts w:cs="Times New Roman"/>
        </w:rPr>
        <w:t xml:space="preserve">. </w:t>
      </w:r>
    </w:p>
    <w:p w14:paraId="19B870F8" w14:textId="77777777" w:rsidR="00B17E5F" w:rsidRPr="00322E56" w:rsidRDefault="00B17E5F" w:rsidP="0078264C">
      <w:pPr>
        <w:rPr>
          <w:rFonts w:cs="Times New Roman"/>
        </w:rPr>
      </w:pPr>
      <w:r w:rsidRPr="00322E56">
        <w:rPr>
          <w:rFonts w:cs="Times New Roman"/>
        </w:rPr>
        <w:t xml:space="preserve">Time-of-use (TOU), real-time-pricing (RTP), and other time-based utility rate structures are becoming more available to residential customers. TOU structures price electricity differently at specific hours during the day depending on the climate, time of year, the utility provider energy generation portfolio, and historical or predicted demand. On-peak hours are those where the electrical price is highest per unit energy for all electricity used from the grid in that time span. In summer months of warm climates, on-peak hours may be mid- to late-afternoon. In winter months of colder climates, on-peak hours may be early- to mid-morning. TOU rates vary wildly across the US. TOU rates are </w:t>
      </w:r>
      <w:r w:rsidRPr="00322E56">
        <w:rPr>
          <w:rFonts w:cs="Times New Roman"/>
        </w:rPr>
        <w:lastRenderedPageBreak/>
        <w:t>predetermined and static during the contract period.  The TOU analyzed here is an energy rate prized per kWh of energy used.  Some TOU rates are demand based priced per average kW over short intervals.  RTP rates reflect the instantaneous cost of bulk wholesale of electricity. Typically, prices are not disclosed to the customer more than a few days’ notice but can be as short at three hours’ notice the day prior. RTP rates are rare for residential customers due to this uncertainty. However, RTP rates generally do follow an hourly and monthly trend that may give the customer an economic advantage with proper controls and forecasting.</w:t>
      </w:r>
    </w:p>
    <w:p w14:paraId="53D2A4F2" w14:textId="1328647A" w:rsidR="00B17E5F" w:rsidRPr="00322E56" w:rsidRDefault="00B17E5F" w:rsidP="0078264C">
      <w:pPr>
        <w:rPr>
          <w:rFonts w:cs="Times New Roman"/>
        </w:rPr>
      </w:pPr>
      <w:r w:rsidRPr="00322E56">
        <w:rPr>
          <w:rFonts w:cs="Times New Roman"/>
        </w:rPr>
        <w:t xml:space="preserve">Researchers have investigated the impact of time-based utility pricing on residential electricity use with different load and energy demand control strategies.  Findings suggest that electrical utility costs and peak hour energy demands associated with air conditioning can be reduced depending on utility rate structure, weather, building occupancy, and building thermal capacitance </w:t>
      </w:r>
      <w:sdt>
        <w:sdtPr>
          <w:rPr>
            <w:rFonts w:cs="Times New Roman"/>
            <w:color w:val="000000"/>
          </w:rPr>
          <w:tag w:val="MENDELEY_CITATION_v3_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"/>
          <w:id w:val="692038761"/>
          <w:placeholder>
            <w:docPart w:val="DefaultPlaceholder_-1854013440"/>
          </w:placeholder>
        </w:sdtPr>
        <w:sdtEndPr>
          <w:rPr>
            <w:rFonts w:cs="Arial"/>
          </w:rPr>
        </w:sdtEndPr>
        <w:sdtContent>
          <w:r w:rsidR="001E7ECF" w:rsidRPr="001E7ECF">
            <w:rPr>
              <w:color w:val="000000"/>
            </w:rPr>
            <w:t>[181]</w:t>
          </w:r>
        </w:sdtContent>
      </w:sdt>
      <w:r w:rsidRPr="00322E56">
        <w:rPr>
          <w:rFonts w:cs="Times New Roman"/>
        </w:rPr>
        <w:t xml:space="preserve">. </w:t>
      </w:r>
    </w:p>
    <w:p w14:paraId="530EC35C" w14:textId="19436E9F" w:rsidR="00B17E5F" w:rsidRPr="00322E56" w:rsidRDefault="00000000" w:rsidP="0078264C">
      <w:pPr>
        <w:rPr>
          <w:rFonts w:cs="Times New Roman"/>
        </w:rPr>
      </w:pPr>
      <w:sdt>
        <w:sdtPr>
          <w:rPr>
            <w:color w:val="000000"/>
          </w:rPr>
          <w:tag w:val="MENDELEY_CITATION_v3_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"/>
          <w:id w:val="1076784325"/>
          <w:placeholder>
            <w:docPart w:val="DefaultPlaceholder_-1854013440"/>
          </w:placeholder>
        </w:sdtPr>
        <w:sdtContent>
          <w:r w:rsidR="001E7ECF" w:rsidRPr="001E7ECF">
            <w:rPr>
              <w:color w:val="000000"/>
            </w:rPr>
            <w:t>Yoon et al., (2016)</w:t>
          </w:r>
        </w:sdtContent>
      </w:sdt>
      <w:r w:rsidR="00B17E5F" w:rsidRPr="00322E56">
        <w:rPr>
          <w:rFonts w:cs="Times New Roman"/>
        </w:rPr>
        <w:t xml:space="preserve"> demonstrated that depending on the size of house and utility price, up to 24.7% of HVAC loads can be reduced during peak times via demand response control and can provide up to 10.8% cost savings while maintaining occupant thermal comfort. </w:t>
      </w:r>
      <w:sdt>
        <w:sdtPr>
          <w:rPr>
            <w:rFonts w:cs="Times New Roman"/>
            <w:color w:val="000000"/>
          </w:rPr>
          <w:tag w:val="MENDELEY_CITATION_v3_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"/>
          <w:id w:val="1134521202"/>
          <w:placeholder>
            <w:docPart w:val="DefaultPlaceholder_-1854013440"/>
          </w:placeholder>
        </w:sdtPr>
        <w:sdtEndPr>
          <w:rPr>
            <w:rFonts w:cs="Arial"/>
          </w:rPr>
        </w:sdtEndPr>
        <w:sdtContent>
          <w:r w:rsidR="001E7ECF" w:rsidRPr="001E7ECF">
            <w:rPr>
              <w:color w:val="000000"/>
            </w:rPr>
            <w:t>Schibuola et al., (2015)</w:t>
          </w:r>
        </w:sdtContent>
      </w:sdt>
      <w:r w:rsidR="00B17E5F" w:rsidRPr="00322E56">
        <w:rPr>
          <w:rFonts w:cs="Times New Roman"/>
        </w:rPr>
        <w:t xml:space="preserve"> simulated heat pump control based on RTP, with up to 30% of electricity consumption cost savings. </w:t>
      </w:r>
      <w:sdt>
        <w:sdtPr>
          <w:rPr>
            <w:rFonts w:cs="Times New Roman"/>
            <w:color w:val="000000"/>
          </w:rPr>
          <w:tag w:val="MENDELEY_CITATION_v3_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"/>
          <w:id w:val="21839140"/>
          <w:placeholder>
            <w:docPart w:val="DefaultPlaceholder_-1854013440"/>
          </w:placeholder>
        </w:sdtPr>
        <w:sdtEndPr>
          <w:rPr>
            <w:rFonts w:cs="Arial"/>
          </w:rPr>
        </w:sdtEndPr>
        <w:sdtContent>
          <w:r w:rsidR="001E7ECF" w:rsidRPr="001E7ECF">
            <w:rPr>
              <w:color w:val="000000"/>
            </w:rPr>
            <w:t>Gottwalt et al., (2011)</w:t>
          </w:r>
        </w:sdtContent>
      </w:sdt>
      <w:r w:rsidR="00B17E5F" w:rsidRPr="00322E56">
        <w:rPr>
          <w:rFonts w:cs="Times New Roman"/>
        </w:rPr>
        <w:t xml:space="preserve"> simulated the cumulative load profiles using TOU tariffs with smart appliances and concluded that the TOU tariffs could create new grid-level demand peaks which may not benefit the users economically, however, this practice may still benefit the utility providers by shifting more energy load to off-peak hours and effectively smoothing the demand curve.</w:t>
      </w:r>
    </w:p>
    <w:p w14:paraId="78698C64" w14:textId="345F8BCE" w:rsidR="00B17E5F" w:rsidRPr="00322E56" w:rsidRDefault="00B17E5F" w:rsidP="0078264C">
      <w:pPr>
        <w:rPr>
          <w:rFonts w:cs="Times New Roman"/>
        </w:rPr>
      </w:pPr>
      <w:r w:rsidRPr="00322E56">
        <w:rPr>
          <w:rFonts w:cs="Times New Roman"/>
        </w:rPr>
        <w:t xml:space="preserve">TES is a popular energy storage solution to alleviate peak energy demand and may provide economic advantages to its users. TES can be realized by incorporating PCMs into HX either coupled to the existing HVAC system or interfacing directly with the space to be conditioned, thus creating a high-performance demand response energy storage system </w:t>
      </w:r>
      <w:sdt>
        <w:sdtPr>
          <w:rPr>
            <w:rFonts w:cs="Times New Roman"/>
            <w:color w:val="000000"/>
          </w:rPr>
          <w:tag w:val="MENDELEY_CITATION_v3_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"/>
          <w:id w:val="997003674"/>
          <w:placeholder>
            <w:docPart w:val="DefaultPlaceholder_-1854013440"/>
          </w:placeholder>
        </w:sdtPr>
        <w:sdtEndPr>
          <w:rPr>
            <w:rFonts w:cs="Arial"/>
          </w:rPr>
        </w:sdtEndPr>
        <w:sdtContent>
          <w:r w:rsidR="001E7ECF" w:rsidRPr="001E7ECF">
            <w:rPr>
              <w:color w:val="000000"/>
            </w:rPr>
            <w:t>[3]</w:t>
          </w:r>
        </w:sdtContent>
      </w:sdt>
      <w:r w:rsidRPr="00322E56">
        <w:rPr>
          <w:rFonts w:cs="Times New Roman"/>
        </w:rPr>
        <w:t>. TES systems allow conventional air conditioning machinery to operate during off-peak hours, but leverage the isothermal storage properties of PCM to provide cooling during on-</w:t>
      </w:r>
      <w:r w:rsidRPr="00322E56">
        <w:rPr>
          <w:rFonts w:cs="Times New Roman"/>
        </w:rPr>
        <w:lastRenderedPageBreak/>
        <w:t xml:space="preserve">peak hours </w:t>
      </w:r>
      <w:sdt>
        <w:sdtPr>
          <w:rPr>
            <w:rFonts w:cs="Times New Roman"/>
            <w:color w:val="000000"/>
          </w:rPr>
          <w:tag w:val="MENDELEY_CITATION_v3_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"/>
          <w:id w:val="574785047"/>
          <w:placeholder>
            <w:docPart w:val="DefaultPlaceholder_-1854013440"/>
          </w:placeholder>
        </w:sdtPr>
        <w:sdtEndPr>
          <w:rPr>
            <w:rFonts w:cs="Arial"/>
          </w:rPr>
        </w:sdtEndPr>
        <w:sdtContent>
          <w:r w:rsidR="001E7ECF" w:rsidRPr="001E7ECF">
            <w:rPr>
              <w:color w:val="000000"/>
            </w:rPr>
            <w:t>[182]</w:t>
          </w:r>
        </w:sdtContent>
      </w:sdt>
      <w:r w:rsidRPr="00322E56">
        <w:rPr>
          <w:rFonts w:cs="Times New Roman"/>
        </w:rPr>
        <w:t xml:space="preserve">. PCMs may be incorporated as passive or active TES. Passive systems have no coupling to HVAC systems and do not respond to control schemes, but still may reduce building energy consumption </w:t>
      </w:r>
      <w:sdt>
        <w:sdtPr>
          <w:rPr>
            <w:rFonts w:cs="Times New Roman"/>
            <w:color w:val="000000"/>
          </w:rPr>
          <w:tag w:val="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"/>
          <w:id w:val="782466804"/>
          <w:placeholder>
            <w:docPart w:val="DefaultPlaceholder_-1854013440"/>
          </w:placeholder>
        </w:sdtPr>
        <w:sdtEndPr>
          <w:rPr>
            <w:rFonts w:cs="Arial"/>
          </w:rPr>
        </w:sdtEndPr>
        <w:sdtContent>
          <w:r w:rsidR="001E7ECF" w:rsidRPr="001E7ECF">
            <w:rPr>
              <w:color w:val="000000"/>
            </w:rPr>
            <w:t>[70], [75], [183]–[185]</w:t>
          </w:r>
        </w:sdtContent>
      </w:sdt>
      <w:r w:rsidRPr="00322E56">
        <w:rPr>
          <w:rFonts w:cs="Times New Roman"/>
        </w:rPr>
        <w:t>.</w:t>
      </w:r>
    </w:p>
    <w:p w14:paraId="043BCEB8" w14:textId="676FF27D" w:rsidR="00B17E5F" w:rsidRPr="00322E56" w:rsidRDefault="00B17E5F" w:rsidP="0078264C">
      <w:pPr>
        <w:rPr>
          <w:rFonts w:cs="Times New Roman"/>
        </w:rPr>
      </w:pPr>
      <w:r w:rsidRPr="00322E56">
        <w:rPr>
          <w:rFonts w:cs="Times New Roman"/>
        </w:rPr>
        <w:t xml:space="preserve">Active TES systems, the focus of this paper, couple the TES to the HVAC system to respond to pricing and thermal signals.  Active systems offer a high level of control of the TES and can improve energy storage efficiency </w:t>
      </w:r>
      <w:sdt>
        <w:sdtPr>
          <w:rPr>
            <w:rFonts w:cs="Times New Roman"/>
            <w:color w:val="000000"/>
          </w:rPr>
          <w:tag w:val="MENDELEY_CITATION_v3_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"/>
          <w:id w:val="-1145738565"/>
          <w:placeholder>
            <w:docPart w:val="DefaultPlaceholder_-1854013440"/>
          </w:placeholder>
        </w:sdtPr>
        <w:sdtEndPr>
          <w:rPr>
            <w:rFonts w:cs="Arial"/>
          </w:rPr>
        </w:sdtEndPr>
        <w:sdtContent>
          <w:r w:rsidR="001E7ECF" w:rsidRPr="001E7ECF">
            <w:rPr>
              <w:color w:val="000000"/>
            </w:rPr>
            <w:t>[103], [118]</w:t>
          </w:r>
        </w:sdtContent>
      </w:sdt>
      <w:r w:rsidRPr="00322E56">
        <w:rPr>
          <w:rFonts w:cs="Times New Roman"/>
        </w:rPr>
        <w:t xml:space="preserve"> evaluated residential HVAC loads’ demand response potential, suggesting that value can be added by using even a small TES system. Table 1</w:t>
      </w:r>
      <w:r>
        <w:rPr>
          <w:rFonts w:cs="Times New Roman"/>
        </w:rPr>
        <w:t>3</w:t>
      </w:r>
      <w:r w:rsidRPr="00322E56">
        <w:rPr>
          <w:rFonts w:cs="Times New Roman"/>
        </w:rPr>
        <w:t xml:space="preserve"> summarizes studies on the energy and cost savings with PCM-based TES active storage.</w:t>
      </w:r>
    </w:p>
    <w:p w14:paraId="05761C06" w14:textId="5577F6DA" w:rsidR="00B17E5F" w:rsidRDefault="00B17E5F" w:rsidP="0078264C">
      <w:pPr>
        <w:rPr>
          <w:rFonts w:cs="Times New Roman"/>
        </w:rPr>
      </w:pPr>
      <w:r w:rsidRPr="00322E56">
        <w:rPr>
          <w:rFonts w:cs="Times New Roman"/>
        </w:rPr>
        <w:t xml:space="preserve">The literature in Table 13 confirm that the cooling energy demand can be significantly shifted to off-peak times by using PCM-based active TES system integrated with building equipment such as HVAC </w:t>
      </w:r>
      <w:sdt>
        <w:sdtPr>
          <w:rPr>
            <w:rFonts w:cs="Times New Roman"/>
            <w:color w:val="000000"/>
          </w:rPr>
          <w:tag w:val="MENDELEY_CITATION_v3_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"/>
          <w:id w:val="-1988706498"/>
          <w:placeholder>
            <w:docPart w:val="DefaultPlaceholder_-1854013440"/>
          </w:placeholder>
        </w:sdtPr>
        <w:sdtEndPr>
          <w:rPr>
            <w:rFonts w:cs="Arial"/>
          </w:rPr>
        </w:sdtEndPr>
        <w:sdtContent>
          <w:r w:rsidR="001E7ECF" w:rsidRPr="001E7ECF">
            <w:rPr>
              <w:color w:val="000000"/>
            </w:rPr>
            <w:t>[3], [30]</w:t>
          </w:r>
        </w:sdtContent>
      </w:sdt>
      <w:r w:rsidRPr="00322E56">
        <w:rPr>
          <w:rFonts w:cs="Times New Roman"/>
        </w:rPr>
        <w:t xml:space="preserve">. In addition, some studies have concluded that using PCM-based active TES to offset the peak load is more financially viable in the regions having higher electricity prices for on-peak hours and where the cooling systems dominate the demand </w:t>
      </w:r>
      <w:sdt>
        <w:sdtPr>
          <w:rPr>
            <w:rFonts w:cs="Times New Roman"/>
            <w:color w:val="000000"/>
          </w:rPr>
          <w:tag w:val="MENDELEY_CITATION_v3_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"/>
          <w:id w:val="1928301653"/>
          <w:placeholder>
            <w:docPart w:val="DefaultPlaceholder_-1854013440"/>
          </w:placeholder>
        </w:sdtPr>
        <w:sdtEndPr>
          <w:rPr>
            <w:rFonts w:cs="Arial"/>
          </w:rPr>
        </w:sdtEndPr>
        <w:sdtContent>
          <w:r w:rsidR="001E7ECF" w:rsidRPr="001E7ECF">
            <w:rPr>
              <w:color w:val="000000"/>
            </w:rPr>
            <w:t>[30], [186]</w:t>
          </w:r>
        </w:sdtContent>
      </w:sdt>
      <w:r w:rsidRPr="00322E56">
        <w:rPr>
          <w:rFonts w:cs="Times New Roman"/>
        </w:rPr>
        <w:t xml:space="preserve">. </w:t>
      </w:r>
    </w:p>
    <w:p w14:paraId="22894623" w14:textId="77777777" w:rsidR="00DA6BA6" w:rsidRDefault="00DA6BA6" w:rsidP="00DA6BA6">
      <w:pPr>
        <w:rPr>
          <w:rFonts w:cs="Times New Roman"/>
        </w:rPr>
      </w:pPr>
      <w:r w:rsidRPr="00322E56">
        <w:rPr>
          <w:rFonts w:cs="Times New Roman"/>
        </w:rPr>
        <w:t>The literature survey shows that previous work on demand side management to off-set peak load using time-based utility pricing is mostly based on a demand response control without a TES. Some studies investigate an active PCM storage with heat pump, HVAC, or air conditioning system but most of them have focused on energy savings by shifting the load from high demand periods to low demand periods without considering the time-based utility pricing and a direct use of conventional VCS to accomplish heat transfer with TES.</w:t>
      </w:r>
    </w:p>
    <w:p w14:paraId="1BE104FE" w14:textId="35996E1C" w:rsidR="00DA6BA6" w:rsidRPr="00322E56" w:rsidRDefault="00DA6BA6" w:rsidP="00DA6BA6">
      <w:pPr>
        <w:rPr>
          <w:rFonts w:cs="Times New Roman"/>
        </w:rPr>
      </w:pPr>
      <w:r w:rsidRPr="00322E56">
        <w:rPr>
          <w:rFonts w:cs="Times New Roman"/>
        </w:rPr>
        <w:t xml:space="preserve">In this work, a southern California residential building’s summertime cooling load during a week of extreme high temperatures is comparatively modeled with and without active TES.  The TES is directly coupled to a vapor compression system and serves as the VCS condensing unit during peak hours rather than the ambient air. </w:t>
      </w:r>
    </w:p>
    <w:p w14:paraId="1F1DC7FB" w14:textId="77777777" w:rsidR="00B17E5F" w:rsidRPr="00322E56" w:rsidRDefault="00B17E5F">
      <w:pPr>
        <w:spacing w:line="240" w:lineRule="auto"/>
        <w:rPr>
          <w:rFonts w:cs="Times New Roman"/>
        </w:rPr>
      </w:pPr>
      <w:r w:rsidRPr="00322E56">
        <w:rPr>
          <w:rFonts w:cs="Times New Roman"/>
        </w:rPr>
        <w:br w:type="page"/>
      </w:r>
    </w:p>
    <w:p w14:paraId="548DABB1" w14:textId="549F7884" w:rsidR="00B17E5F" w:rsidRPr="00322E56" w:rsidRDefault="00B17E5F" w:rsidP="003C3867">
      <w:pPr>
        <w:pStyle w:val="Caption"/>
        <w:rPr>
          <w:rFonts w:cs="Times New Roman"/>
        </w:rPr>
      </w:pPr>
      <w:bookmarkStart w:id="133" w:name="_Toc140399953"/>
      <w:r w:rsidRPr="00322E56">
        <w:rPr>
          <w:rFonts w:cs="Times New Roman"/>
        </w:rPr>
        <w:lastRenderedPageBreak/>
        <w:t xml:space="preserve">Table </w:t>
      </w:r>
      <w:r w:rsidRPr="00322E56">
        <w:rPr>
          <w:rFonts w:cs="Times New Roman"/>
        </w:rPr>
        <w:fldChar w:fldCharType="begin"/>
      </w:r>
      <w:r w:rsidRPr="00322E56">
        <w:rPr>
          <w:rFonts w:cs="Times New Roman"/>
        </w:rPr>
        <w:instrText xml:space="preserve"> SEQ Table \* ARABIC </w:instrText>
      </w:r>
      <w:r w:rsidRPr="00322E56">
        <w:rPr>
          <w:rFonts w:cs="Times New Roman"/>
        </w:rPr>
        <w:fldChar w:fldCharType="separate"/>
      </w:r>
      <w:r w:rsidR="00FC25C0">
        <w:rPr>
          <w:rFonts w:cs="Times New Roman"/>
          <w:noProof/>
        </w:rPr>
        <w:t>13</w:t>
      </w:r>
      <w:r w:rsidRPr="00322E56">
        <w:rPr>
          <w:rFonts w:cs="Times New Roman"/>
        </w:rPr>
        <w:fldChar w:fldCharType="end"/>
      </w:r>
      <w:r w:rsidRPr="00322E56">
        <w:rPr>
          <w:rFonts w:cs="Times New Roman"/>
        </w:rPr>
        <w:t>: PCM-based active TES for load shifting.</w:t>
      </w:r>
      <w:bookmarkEnd w:id="133"/>
    </w:p>
    <w:tbl>
      <w:tblPr>
        <w:tblW w:w="5048"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1" w:type="dxa"/>
          <w:right w:w="71" w:type="dxa"/>
        </w:tblCellMar>
        <w:tblLook w:val="0000" w:firstRow="0" w:lastRow="0" w:firstColumn="0" w:lastColumn="0" w:noHBand="0" w:noVBand="0"/>
      </w:tblPr>
      <w:tblGrid>
        <w:gridCol w:w="1774"/>
        <w:gridCol w:w="1414"/>
        <w:gridCol w:w="2330"/>
        <w:gridCol w:w="1747"/>
        <w:gridCol w:w="1442"/>
      </w:tblGrid>
      <w:tr w:rsidR="00B17E5F" w:rsidRPr="004E1AE4" w14:paraId="6A462CCD" w14:textId="77777777" w:rsidTr="00DA6BA6">
        <w:trPr>
          <w:trHeight w:val="354"/>
          <w:jc w:val="center"/>
        </w:trPr>
        <w:tc>
          <w:tcPr>
            <w:tcW w:w="1019" w:type="pct"/>
            <w:tcBorders>
              <w:bottom w:val="single" w:sz="6" w:space="0" w:color="auto"/>
            </w:tcBorders>
            <w:vAlign w:val="center"/>
          </w:tcPr>
          <w:p w14:paraId="5A009864" w14:textId="77777777" w:rsidR="00B17E5F" w:rsidRPr="004E1AE4" w:rsidRDefault="00B17E5F" w:rsidP="004E1AE4">
            <w:pPr>
              <w:pStyle w:val="NoSpacing"/>
              <w:rPr>
                <w:b/>
                <w:bCs/>
                <w:sz w:val="22"/>
                <w:szCs w:val="22"/>
              </w:rPr>
            </w:pPr>
            <w:r w:rsidRPr="004E1AE4">
              <w:rPr>
                <w:b/>
                <w:bCs/>
                <w:sz w:val="22"/>
                <w:szCs w:val="22"/>
              </w:rPr>
              <w:t>Author</w:t>
            </w:r>
          </w:p>
        </w:tc>
        <w:tc>
          <w:tcPr>
            <w:tcW w:w="812" w:type="pct"/>
            <w:tcBorders>
              <w:bottom w:val="single" w:sz="6" w:space="0" w:color="auto"/>
            </w:tcBorders>
            <w:vAlign w:val="center"/>
          </w:tcPr>
          <w:p w14:paraId="63E30E2A" w14:textId="77777777" w:rsidR="00B17E5F" w:rsidRPr="004E1AE4" w:rsidRDefault="00B17E5F" w:rsidP="004E1AE4">
            <w:pPr>
              <w:pStyle w:val="NoSpacing"/>
              <w:rPr>
                <w:b/>
                <w:bCs/>
                <w:sz w:val="22"/>
                <w:szCs w:val="22"/>
              </w:rPr>
            </w:pPr>
            <w:r w:rsidRPr="004E1AE4">
              <w:rPr>
                <w:b/>
                <w:bCs/>
                <w:sz w:val="22"/>
                <w:szCs w:val="22"/>
              </w:rPr>
              <w:t>Location</w:t>
            </w:r>
          </w:p>
        </w:tc>
        <w:tc>
          <w:tcPr>
            <w:tcW w:w="1338" w:type="pct"/>
            <w:tcBorders>
              <w:bottom w:val="single" w:sz="6" w:space="0" w:color="auto"/>
            </w:tcBorders>
            <w:vAlign w:val="center"/>
          </w:tcPr>
          <w:p w14:paraId="18A3594C" w14:textId="77777777" w:rsidR="00B17E5F" w:rsidRPr="004E1AE4" w:rsidRDefault="00B17E5F" w:rsidP="004E1AE4">
            <w:pPr>
              <w:pStyle w:val="NoSpacing"/>
              <w:rPr>
                <w:b/>
                <w:bCs/>
                <w:sz w:val="22"/>
                <w:szCs w:val="22"/>
              </w:rPr>
            </w:pPr>
            <w:r w:rsidRPr="004E1AE4">
              <w:rPr>
                <w:b/>
                <w:bCs/>
                <w:sz w:val="22"/>
                <w:szCs w:val="22"/>
              </w:rPr>
              <w:t>System Configuration</w:t>
            </w:r>
          </w:p>
        </w:tc>
        <w:tc>
          <w:tcPr>
            <w:tcW w:w="1003" w:type="pct"/>
            <w:tcBorders>
              <w:bottom w:val="single" w:sz="6" w:space="0" w:color="auto"/>
            </w:tcBorders>
            <w:vAlign w:val="center"/>
          </w:tcPr>
          <w:p w14:paraId="4DA56BA3" w14:textId="77777777" w:rsidR="00B17E5F" w:rsidRPr="004E1AE4" w:rsidRDefault="00B17E5F" w:rsidP="004E1AE4">
            <w:pPr>
              <w:pStyle w:val="NoSpacing"/>
              <w:rPr>
                <w:b/>
                <w:bCs/>
                <w:sz w:val="22"/>
                <w:szCs w:val="22"/>
              </w:rPr>
            </w:pPr>
            <w:r w:rsidRPr="004E1AE4">
              <w:rPr>
                <w:b/>
                <w:bCs/>
                <w:sz w:val="22"/>
                <w:szCs w:val="22"/>
              </w:rPr>
              <w:t>Energy savings</w:t>
            </w:r>
          </w:p>
        </w:tc>
        <w:tc>
          <w:tcPr>
            <w:tcW w:w="828" w:type="pct"/>
            <w:tcBorders>
              <w:bottom w:val="single" w:sz="6" w:space="0" w:color="auto"/>
            </w:tcBorders>
            <w:vAlign w:val="center"/>
          </w:tcPr>
          <w:p w14:paraId="5E1F1A70" w14:textId="77777777" w:rsidR="00B17E5F" w:rsidRPr="004E1AE4" w:rsidRDefault="00B17E5F" w:rsidP="004E1AE4">
            <w:pPr>
              <w:pStyle w:val="NoSpacing"/>
              <w:rPr>
                <w:b/>
                <w:bCs/>
                <w:sz w:val="22"/>
                <w:szCs w:val="22"/>
              </w:rPr>
            </w:pPr>
            <w:r w:rsidRPr="004E1AE4">
              <w:rPr>
                <w:b/>
                <w:bCs/>
                <w:sz w:val="22"/>
                <w:szCs w:val="22"/>
              </w:rPr>
              <w:t>Cost savings</w:t>
            </w:r>
          </w:p>
        </w:tc>
      </w:tr>
      <w:tr w:rsidR="00B17E5F" w:rsidRPr="004E1AE4" w14:paraId="01BEEBA1" w14:textId="77777777" w:rsidTr="00DA6BA6">
        <w:trPr>
          <w:trHeight w:val="472"/>
          <w:jc w:val="center"/>
        </w:trPr>
        <w:tc>
          <w:tcPr>
            <w:tcW w:w="1019" w:type="pct"/>
            <w:vAlign w:val="center"/>
          </w:tcPr>
          <w:sdt>
            <w:sdtPr>
              <w:rPr>
                <w:color w:val="000000"/>
              </w:rPr>
              <w:tag w:val="MENDELEY_CITATION_v3_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"/>
              <w:id w:val="198905637"/>
              <w:placeholder>
                <w:docPart w:val="DefaultPlaceholder_-1854013440"/>
              </w:placeholder>
            </w:sdtPr>
            <w:sdtContent>
              <w:p w14:paraId="2131A6D1" w14:textId="485D3C2E" w:rsidR="00B17E5F" w:rsidRPr="004E1AE4" w:rsidRDefault="001E7ECF" w:rsidP="004E1AE4">
                <w:pPr>
                  <w:pStyle w:val="NoSpacing"/>
                  <w:rPr>
                    <w:sz w:val="22"/>
                    <w:szCs w:val="22"/>
                  </w:rPr>
                </w:pPr>
                <w:r w:rsidRPr="001E7ECF">
                  <w:rPr>
                    <w:color w:val="000000"/>
                  </w:rPr>
                  <w:t>Bruno et al., 2014</w:t>
                </w:r>
              </w:p>
            </w:sdtContent>
          </w:sdt>
        </w:tc>
        <w:tc>
          <w:tcPr>
            <w:tcW w:w="812" w:type="pct"/>
            <w:vAlign w:val="center"/>
          </w:tcPr>
          <w:p w14:paraId="08D95A73" w14:textId="77777777" w:rsidR="00B17E5F" w:rsidRPr="004E1AE4" w:rsidRDefault="00B17E5F" w:rsidP="004E1AE4">
            <w:pPr>
              <w:pStyle w:val="NoSpacing"/>
              <w:rPr>
                <w:sz w:val="22"/>
                <w:szCs w:val="22"/>
              </w:rPr>
            </w:pPr>
            <w:r w:rsidRPr="004E1AE4">
              <w:rPr>
                <w:sz w:val="22"/>
                <w:szCs w:val="22"/>
              </w:rPr>
              <w:t>Adelaide, Australia</w:t>
            </w:r>
          </w:p>
        </w:tc>
        <w:tc>
          <w:tcPr>
            <w:tcW w:w="1338" w:type="pct"/>
            <w:vAlign w:val="center"/>
          </w:tcPr>
          <w:p w14:paraId="156F9BF0" w14:textId="77777777" w:rsidR="00B17E5F" w:rsidRPr="004E1AE4" w:rsidRDefault="00B17E5F" w:rsidP="004E1AE4">
            <w:pPr>
              <w:pStyle w:val="NoSpacing"/>
              <w:rPr>
                <w:sz w:val="22"/>
                <w:szCs w:val="22"/>
              </w:rPr>
            </w:pPr>
            <w:r w:rsidRPr="004E1AE4">
              <w:rPr>
                <w:sz w:val="22"/>
                <w:szCs w:val="22"/>
              </w:rPr>
              <w:t>PCM storage with chiller</w:t>
            </w:r>
          </w:p>
        </w:tc>
        <w:tc>
          <w:tcPr>
            <w:tcW w:w="1003" w:type="pct"/>
            <w:vAlign w:val="center"/>
          </w:tcPr>
          <w:p w14:paraId="75BDF577" w14:textId="77777777" w:rsidR="00B17E5F" w:rsidRPr="004E1AE4" w:rsidRDefault="00B17E5F" w:rsidP="004E1AE4">
            <w:pPr>
              <w:pStyle w:val="NoSpacing"/>
              <w:rPr>
                <w:sz w:val="22"/>
                <w:szCs w:val="22"/>
              </w:rPr>
            </w:pPr>
            <w:r w:rsidRPr="004E1AE4">
              <w:rPr>
                <w:sz w:val="22"/>
                <w:szCs w:val="22"/>
              </w:rPr>
              <w:t>13% energy savings</w:t>
            </w:r>
          </w:p>
        </w:tc>
        <w:tc>
          <w:tcPr>
            <w:tcW w:w="828" w:type="pct"/>
            <w:vAlign w:val="center"/>
          </w:tcPr>
          <w:p w14:paraId="137EC7AD" w14:textId="77777777" w:rsidR="00B17E5F" w:rsidRPr="004E1AE4" w:rsidRDefault="00B17E5F" w:rsidP="004E1AE4">
            <w:pPr>
              <w:pStyle w:val="NoSpacing"/>
              <w:rPr>
                <w:sz w:val="22"/>
                <w:szCs w:val="22"/>
              </w:rPr>
            </w:pPr>
            <w:r w:rsidRPr="004E1AE4">
              <w:rPr>
                <w:sz w:val="22"/>
                <w:szCs w:val="22"/>
              </w:rPr>
              <w:t>Not reported</w:t>
            </w:r>
          </w:p>
        </w:tc>
      </w:tr>
      <w:tr w:rsidR="00B17E5F" w:rsidRPr="004E1AE4" w14:paraId="3DA761F6" w14:textId="77777777" w:rsidTr="00DA6BA6">
        <w:trPr>
          <w:trHeight w:val="472"/>
          <w:jc w:val="center"/>
        </w:trPr>
        <w:tc>
          <w:tcPr>
            <w:tcW w:w="1019" w:type="pct"/>
            <w:vAlign w:val="center"/>
          </w:tcPr>
          <w:sdt>
            <w:sdtPr>
              <w:rPr>
                <w:color w:val="000000"/>
              </w:rPr>
              <w:tag w:val="MENDELEY_CITATION_v3_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"/>
              <w:id w:val="923541520"/>
              <w:placeholder>
                <w:docPart w:val="DefaultPlaceholder_-1854013440"/>
              </w:placeholder>
            </w:sdtPr>
            <w:sdtContent>
              <w:p w14:paraId="1462204F" w14:textId="07A1438B" w:rsidR="00B17E5F" w:rsidRPr="004E1AE4" w:rsidRDefault="001E7ECF" w:rsidP="004E1AE4">
                <w:pPr>
                  <w:pStyle w:val="NoSpacing"/>
                  <w:rPr>
                    <w:sz w:val="22"/>
                    <w:szCs w:val="22"/>
                  </w:rPr>
                </w:pPr>
                <w:r w:rsidRPr="001E7ECF">
                  <w:rPr>
                    <w:color w:val="000000"/>
                  </w:rPr>
                  <w:t>Sehar et al., 2012</w:t>
                </w:r>
              </w:p>
            </w:sdtContent>
          </w:sdt>
        </w:tc>
        <w:tc>
          <w:tcPr>
            <w:tcW w:w="812" w:type="pct"/>
            <w:vAlign w:val="center"/>
          </w:tcPr>
          <w:p w14:paraId="137E3F9C" w14:textId="77777777" w:rsidR="00B17E5F" w:rsidRPr="004E1AE4" w:rsidRDefault="00B17E5F" w:rsidP="004E1AE4">
            <w:pPr>
              <w:pStyle w:val="NoSpacing"/>
              <w:rPr>
                <w:sz w:val="22"/>
                <w:szCs w:val="22"/>
              </w:rPr>
            </w:pPr>
            <w:r w:rsidRPr="004E1AE4">
              <w:rPr>
                <w:sz w:val="22"/>
                <w:szCs w:val="22"/>
              </w:rPr>
              <w:t>Various USA locations</w:t>
            </w:r>
          </w:p>
        </w:tc>
        <w:tc>
          <w:tcPr>
            <w:tcW w:w="1338" w:type="pct"/>
            <w:vAlign w:val="center"/>
          </w:tcPr>
          <w:p w14:paraId="6D5B0408" w14:textId="77777777" w:rsidR="00B17E5F" w:rsidRPr="004E1AE4" w:rsidRDefault="00B17E5F" w:rsidP="004E1AE4">
            <w:pPr>
              <w:pStyle w:val="NoSpacing"/>
              <w:rPr>
                <w:sz w:val="22"/>
                <w:szCs w:val="22"/>
              </w:rPr>
            </w:pPr>
            <w:r w:rsidRPr="004E1AE4">
              <w:rPr>
                <w:sz w:val="22"/>
                <w:szCs w:val="22"/>
              </w:rPr>
              <w:t>Ice storage coupled with chiller</w:t>
            </w:r>
          </w:p>
        </w:tc>
        <w:tc>
          <w:tcPr>
            <w:tcW w:w="1003" w:type="pct"/>
            <w:vAlign w:val="center"/>
          </w:tcPr>
          <w:p w14:paraId="57B6A83B" w14:textId="77777777" w:rsidR="00B17E5F" w:rsidRPr="004E1AE4" w:rsidRDefault="00B17E5F" w:rsidP="004E1AE4">
            <w:pPr>
              <w:pStyle w:val="NoSpacing"/>
              <w:rPr>
                <w:sz w:val="22"/>
                <w:szCs w:val="22"/>
              </w:rPr>
            </w:pPr>
            <w:r w:rsidRPr="004E1AE4">
              <w:rPr>
                <w:sz w:val="22"/>
                <w:szCs w:val="22"/>
              </w:rPr>
              <w:t>Peak time savings</w:t>
            </w:r>
          </w:p>
        </w:tc>
        <w:tc>
          <w:tcPr>
            <w:tcW w:w="828" w:type="pct"/>
            <w:vAlign w:val="center"/>
          </w:tcPr>
          <w:p w14:paraId="1560CD0E" w14:textId="77777777" w:rsidR="00B17E5F" w:rsidRPr="004E1AE4" w:rsidRDefault="00B17E5F" w:rsidP="004E1AE4">
            <w:pPr>
              <w:pStyle w:val="NoSpacing"/>
              <w:rPr>
                <w:sz w:val="22"/>
                <w:szCs w:val="22"/>
              </w:rPr>
            </w:pPr>
            <w:r w:rsidRPr="004E1AE4">
              <w:rPr>
                <w:sz w:val="22"/>
                <w:szCs w:val="22"/>
              </w:rPr>
              <w:t>35% annual cost savings</w:t>
            </w:r>
          </w:p>
        </w:tc>
      </w:tr>
      <w:tr w:rsidR="00B17E5F" w:rsidRPr="004E1AE4" w14:paraId="35364DD9" w14:textId="77777777" w:rsidTr="00DA6BA6">
        <w:trPr>
          <w:trHeight w:val="472"/>
          <w:jc w:val="center"/>
        </w:trPr>
        <w:tc>
          <w:tcPr>
            <w:tcW w:w="1019" w:type="pct"/>
            <w:vAlign w:val="center"/>
          </w:tcPr>
          <w:sdt>
            <w:sdtPr>
              <w:rPr>
                <w:color w:val="000000"/>
              </w:rPr>
              <w:tag w:val="MENDELEY_CITATION_v3_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"/>
              <w:id w:val="-185132898"/>
              <w:placeholder>
                <w:docPart w:val="DefaultPlaceholder_-1854013440"/>
              </w:placeholder>
            </w:sdtPr>
            <w:sdtContent>
              <w:p w14:paraId="5965E5F8" w14:textId="7761F9DF" w:rsidR="00B17E5F" w:rsidRPr="004E1AE4" w:rsidRDefault="001E7ECF" w:rsidP="004E1AE4">
                <w:pPr>
                  <w:pStyle w:val="NoSpacing"/>
                  <w:rPr>
                    <w:sz w:val="22"/>
                    <w:szCs w:val="22"/>
                  </w:rPr>
                </w:pPr>
                <w:r w:rsidRPr="001E7ECF">
                  <w:rPr>
                    <w:color w:val="000000"/>
                  </w:rPr>
                  <w:t>Mosaffa et al., 2016</w:t>
                </w:r>
              </w:p>
            </w:sdtContent>
          </w:sdt>
        </w:tc>
        <w:tc>
          <w:tcPr>
            <w:tcW w:w="812" w:type="pct"/>
            <w:vAlign w:val="center"/>
          </w:tcPr>
          <w:p w14:paraId="35343F80" w14:textId="77777777" w:rsidR="00B17E5F" w:rsidRPr="004E1AE4" w:rsidRDefault="00B17E5F" w:rsidP="004E1AE4">
            <w:pPr>
              <w:pStyle w:val="NoSpacing"/>
              <w:rPr>
                <w:sz w:val="22"/>
                <w:szCs w:val="22"/>
              </w:rPr>
            </w:pPr>
            <w:r w:rsidRPr="004E1AE4">
              <w:rPr>
                <w:sz w:val="22"/>
                <w:szCs w:val="22"/>
              </w:rPr>
              <w:t>Tehran, Iran</w:t>
            </w:r>
          </w:p>
        </w:tc>
        <w:tc>
          <w:tcPr>
            <w:tcW w:w="1338" w:type="pct"/>
            <w:vAlign w:val="center"/>
          </w:tcPr>
          <w:p w14:paraId="3074D443" w14:textId="77777777" w:rsidR="00B17E5F" w:rsidRPr="004E1AE4" w:rsidRDefault="00B17E5F" w:rsidP="004E1AE4">
            <w:pPr>
              <w:pStyle w:val="NoSpacing"/>
              <w:rPr>
                <w:sz w:val="22"/>
                <w:szCs w:val="22"/>
              </w:rPr>
            </w:pPr>
            <w:r w:rsidRPr="004E1AE4">
              <w:rPr>
                <w:sz w:val="22"/>
                <w:szCs w:val="22"/>
              </w:rPr>
              <w:t>PCM slabs coupled with vapor type compressor</w:t>
            </w:r>
          </w:p>
        </w:tc>
        <w:tc>
          <w:tcPr>
            <w:tcW w:w="1003" w:type="pct"/>
            <w:vAlign w:val="center"/>
          </w:tcPr>
          <w:p w14:paraId="0CFFE21D" w14:textId="77777777" w:rsidR="00B17E5F" w:rsidRPr="004E1AE4" w:rsidRDefault="00B17E5F" w:rsidP="004E1AE4">
            <w:pPr>
              <w:pStyle w:val="NoSpacing"/>
              <w:rPr>
                <w:sz w:val="22"/>
                <w:szCs w:val="22"/>
              </w:rPr>
            </w:pPr>
            <w:r w:rsidRPr="004E1AE4">
              <w:rPr>
                <w:sz w:val="22"/>
                <w:szCs w:val="22"/>
              </w:rPr>
              <w:t>7-9% energy savings</w:t>
            </w:r>
          </w:p>
        </w:tc>
        <w:tc>
          <w:tcPr>
            <w:tcW w:w="828" w:type="pct"/>
            <w:vAlign w:val="center"/>
          </w:tcPr>
          <w:p w14:paraId="4F9228DC" w14:textId="77777777" w:rsidR="00B17E5F" w:rsidRPr="004E1AE4" w:rsidRDefault="00B17E5F" w:rsidP="004E1AE4">
            <w:pPr>
              <w:pStyle w:val="NoSpacing"/>
              <w:rPr>
                <w:sz w:val="22"/>
                <w:szCs w:val="22"/>
              </w:rPr>
            </w:pPr>
            <w:r w:rsidRPr="004E1AE4">
              <w:rPr>
                <w:sz w:val="22"/>
                <w:szCs w:val="22"/>
              </w:rPr>
              <w:t>Not reported</w:t>
            </w:r>
          </w:p>
        </w:tc>
      </w:tr>
      <w:tr w:rsidR="00B17E5F" w:rsidRPr="004E1AE4" w14:paraId="22148423" w14:textId="77777777" w:rsidTr="00DA6BA6">
        <w:trPr>
          <w:trHeight w:val="472"/>
          <w:jc w:val="center"/>
        </w:trPr>
        <w:tc>
          <w:tcPr>
            <w:tcW w:w="1019" w:type="pct"/>
            <w:vAlign w:val="center"/>
          </w:tcPr>
          <w:sdt>
            <w:sdtPr>
              <w:rPr>
                <w:color w:val="000000"/>
              </w:rPr>
              <w:tag w:val="MENDELEY_CITATION_v3_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"/>
              <w:id w:val="13435019"/>
              <w:placeholder>
                <w:docPart w:val="DefaultPlaceholder_-1854013440"/>
              </w:placeholder>
            </w:sdtPr>
            <w:sdtContent>
              <w:p w14:paraId="7F555412" w14:textId="5D486FF2" w:rsidR="00B17E5F" w:rsidRPr="004E1AE4" w:rsidRDefault="001E7ECF" w:rsidP="004E1AE4">
                <w:pPr>
                  <w:pStyle w:val="NoSpacing"/>
                  <w:rPr>
                    <w:sz w:val="22"/>
                    <w:szCs w:val="22"/>
                  </w:rPr>
                </w:pPr>
                <w:r w:rsidRPr="001E7ECF">
                  <w:rPr>
                    <w:color w:val="000000"/>
                  </w:rPr>
                  <w:t>Jaber et al., 2012</w:t>
                </w:r>
              </w:p>
            </w:sdtContent>
          </w:sdt>
        </w:tc>
        <w:tc>
          <w:tcPr>
            <w:tcW w:w="812" w:type="pct"/>
            <w:vAlign w:val="center"/>
          </w:tcPr>
          <w:p w14:paraId="0787395E" w14:textId="77777777" w:rsidR="00B17E5F" w:rsidRPr="004E1AE4" w:rsidRDefault="00B17E5F" w:rsidP="004E1AE4">
            <w:pPr>
              <w:pStyle w:val="NoSpacing"/>
              <w:rPr>
                <w:sz w:val="22"/>
                <w:szCs w:val="22"/>
              </w:rPr>
            </w:pPr>
            <w:r w:rsidRPr="004E1AE4">
              <w:rPr>
                <w:sz w:val="22"/>
                <w:szCs w:val="22"/>
              </w:rPr>
              <w:t>Amman, Jordan</w:t>
            </w:r>
          </w:p>
        </w:tc>
        <w:tc>
          <w:tcPr>
            <w:tcW w:w="1338" w:type="pct"/>
            <w:vAlign w:val="center"/>
          </w:tcPr>
          <w:p w14:paraId="69B08451" w14:textId="77777777" w:rsidR="00B17E5F" w:rsidRPr="004E1AE4" w:rsidRDefault="00B17E5F" w:rsidP="004E1AE4">
            <w:pPr>
              <w:pStyle w:val="NoSpacing"/>
              <w:rPr>
                <w:sz w:val="22"/>
                <w:szCs w:val="22"/>
              </w:rPr>
            </w:pPr>
            <w:r w:rsidRPr="004E1AE4">
              <w:rPr>
                <w:sz w:val="22"/>
                <w:szCs w:val="22"/>
              </w:rPr>
              <w:t>PCM coupled with indirect evaporative cooling system</w:t>
            </w:r>
          </w:p>
        </w:tc>
        <w:tc>
          <w:tcPr>
            <w:tcW w:w="1003" w:type="pct"/>
            <w:vAlign w:val="center"/>
          </w:tcPr>
          <w:p w14:paraId="33D107F8" w14:textId="77777777" w:rsidR="00B17E5F" w:rsidRPr="004E1AE4" w:rsidRDefault="00B17E5F" w:rsidP="004E1AE4">
            <w:pPr>
              <w:pStyle w:val="NoSpacing"/>
              <w:rPr>
                <w:sz w:val="22"/>
                <w:szCs w:val="22"/>
              </w:rPr>
            </w:pPr>
            <w:r w:rsidRPr="004E1AE4">
              <w:rPr>
                <w:sz w:val="22"/>
                <w:szCs w:val="22"/>
              </w:rPr>
              <w:t>80% less cooling load</w:t>
            </w:r>
          </w:p>
        </w:tc>
        <w:tc>
          <w:tcPr>
            <w:tcW w:w="828" w:type="pct"/>
            <w:vAlign w:val="center"/>
          </w:tcPr>
          <w:p w14:paraId="752B8830" w14:textId="77777777" w:rsidR="00B17E5F" w:rsidRPr="004E1AE4" w:rsidRDefault="00B17E5F" w:rsidP="004E1AE4">
            <w:pPr>
              <w:pStyle w:val="NoSpacing"/>
              <w:rPr>
                <w:sz w:val="22"/>
                <w:szCs w:val="22"/>
              </w:rPr>
            </w:pPr>
            <w:r w:rsidRPr="004E1AE4">
              <w:rPr>
                <w:sz w:val="22"/>
                <w:szCs w:val="22"/>
              </w:rPr>
              <w:t>7-8-year payback</w:t>
            </w:r>
          </w:p>
        </w:tc>
      </w:tr>
      <w:tr w:rsidR="00B17E5F" w:rsidRPr="004E1AE4" w14:paraId="460E553B" w14:textId="77777777" w:rsidTr="00DA6BA6">
        <w:trPr>
          <w:trHeight w:val="472"/>
          <w:jc w:val="center"/>
        </w:trPr>
        <w:tc>
          <w:tcPr>
            <w:tcW w:w="1019" w:type="pct"/>
            <w:vAlign w:val="center"/>
          </w:tcPr>
          <w:sdt>
            <w:sdtPr>
              <w:rPr>
                <w:color w:val="000000"/>
              </w:rPr>
              <w:tag w:val="MENDELEY_CITATION_v3_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"/>
              <w:id w:val="807051881"/>
              <w:placeholder>
                <w:docPart w:val="DefaultPlaceholder_-1854013440"/>
              </w:placeholder>
            </w:sdtPr>
            <w:sdtContent>
              <w:p w14:paraId="081DFF5F" w14:textId="39AF7501" w:rsidR="00B17E5F" w:rsidRPr="004E1AE4" w:rsidRDefault="001E7ECF" w:rsidP="004E1AE4">
                <w:pPr>
                  <w:pStyle w:val="NoSpacing"/>
                  <w:rPr>
                    <w:sz w:val="22"/>
                    <w:szCs w:val="22"/>
                  </w:rPr>
                </w:pPr>
                <w:r w:rsidRPr="001E7ECF">
                  <w:rPr>
                    <w:color w:val="000000"/>
                  </w:rPr>
                  <w:t>Zhu et al., 2011</w:t>
                </w:r>
              </w:p>
            </w:sdtContent>
          </w:sdt>
        </w:tc>
        <w:tc>
          <w:tcPr>
            <w:tcW w:w="812" w:type="pct"/>
            <w:vAlign w:val="center"/>
          </w:tcPr>
          <w:p w14:paraId="01DA8C06" w14:textId="77777777" w:rsidR="00B17E5F" w:rsidRPr="004E1AE4" w:rsidRDefault="00B17E5F" w:rsidP="004E1AE4">
            <w:pPr>
              <w:pStyle w:val="NoSpacing"/>
              <w:rPr>
                <w:sz w:val="22"/>
                <w:szCs w:val="22"/>
              </w:rPr>
            </w:pPr>
            <w:r w:rsidRPr="004E1AE4">
              <w:rPr>
                <w:sz w:val="22"/>
                <w:szCs w:val="22"/>
              </w:rPr>
              <w:t>Beijing, and Hong Kong</w:t>
            </w:r>
          </w:p>
        </w:tc>
        <w:tc>
          <w:tcPr>
            <w:tcW w:w="1338" w:type="pct"/>
            <w:vAlign w:val="center"/>
          </w:tcPr>
          <w:p w14:paraId="383A719C" w14:textId="77777777" w:rsidR="00B17E5F" w:rsidRPr="004E1AE4" w:rsidRDefault="00B17E5F" w:rsidP="004E1AE4">
            <w:pPr>
              <w:pStyle w:val="NoSpacing"/>
              <w:rPr>
                <w:sz w:val="22"/>
                <w:szCs w:val="22"/>
              </w:rPr>
            </w:pPr>
            <w:r w:rsidRPr="004E1AE4">
              <w:rPr>
                <w:sz w:val="22"/>
                <w:szCs w:val="22"/>
              </w:rPr>
              <w:t>PCM layers in air conditioning system</w:t>
            </w:r>
          </w:p>
        </w:tc>
        <w:tc>
          <w:tcPr>
            <w:tcW w:w="1003" w:type="pct"/>
            <w:vAlign w:val="center"/>
          </w:tcPr>
          <w:p w14:paraId="352546B1" w14:textId="77777777" w:rsidR="00B17E5F" w:rsidRPr="004E1AE4" w:rsidRDefault="00B17E5F" w:rsidP="004E1AE4">
            <w:pPr>
              <w:pStyle w:val="NoSpacing"/>
              <w:rPr>
                <w:sz w:val="22"/>
                <w:szCs w:val="22"/>
              </w:rPr>
            </w:pPr>
            <w:r w:rsidRPr="004E1AE4">
              <w:rPr>
                <w:sz w:val="22"/>
                <w:szCs w:val="22"/>
              </w:rPr>
              <w:t>20% peak load reduction</w:t>
            </w:r>
          </w:p>
        </w:tc>
        <w:tc>
          <w:tcPr>
            <w:tcW w:w="828" w:type="pct"/>
            <w:vAlign w:val="center"/>
          </w:tcPr>
          <w:p w14:paraId="7215B6AF" w14:textId="77777777" w:rsidR="00B17E5F" w:rsidRPr="004E1AE4" w:rsidRDefault="00B17E5F" w:rsidP="004E1AE4">
            <w:pPr>
              <w:pStyle w:val="NoSpacing"/>
              <w:rPr>
                <w:sz w:val="22"/>
                <w:szCs w:val="22"/>
              </w:rPr>
            </w:pPr>
            <w:r w:rsidRPr="004E1AE4">
              <w:rPr>
                <w:sz w:val="22"/>
                <w:szCs w:val="22"/>
              </w:rPr>
              <w:t>11% cost reduced</w:t>
            </w:r>
          </w:p>
        </w:tc>
      </w:tr>
      <w:tr w:rsidR="00B17E5F" w:rsidRPr="004E1AE4" w14:paraId="48930855" w14:textId="77777777" w:rsidTr="00DA6BA6">
        <w:trPr>
          <w:trHeight w:val="472"/>
          <w:jc w:val="center"/>
        </w:trPr>
        <w:tc>
          <w:tcPr>
            <w:tcW w:w="1019" w:type="pct"/>
            <w:vAlign w:val="center"/>
          </w:tcPr>
          <w:sdt>
            <w:sdtPr>
              <w:rPr>
                <w:color w:val="000000"/>
              </w:rPr>
              <w:tag w:val="MENDELEY_CITATION_v3_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"/>
              <w:id w:val="-1785491222"/>
              <w:placeholder>
                <w:docPart w:val="DefaultPlaceholder_-1854013440"/>
              </w:placeholder>
            </w:sdtPr>
            <w:sdtContent>
              <w:p w14:paraId="2EE88370" w14:textId="2F9BBB70" w:rsidR="00B17E5F" w:rsidRPr="004E1AE4" w:rsidRDefault="001E7ECF" w:rsidP="004E1AE4">
                <w:pPr>
                  <w:pStyle w:val="NoSpacing"/>
                  <w:rPr>
                    <w:sz w:val="22"/>
                    <w:szCs w:val="22"/>
                  </w:rPr>
                </w:pPr>
                <w:r w:rsidRPr="001E7ECF">
                  <w:rPr>
                    <w:color w:val="000000"/>
                  </w:rPr>
                  <w:t>Real et al., 2014</w:t>
                </w:r>
              </w:p>
            </w:sdtContent>
          </w:sdt>
        </w:tc>
        <w:tc>
          <w:tcPr>
            <w:tcW w:w="812" w:type="pct"/>
            <w:vAlign w:val="center"/>
          </w:tcPr>
          <w:p w14:paraId="290732B6" w14:textId="77777777" w:rsidR="00B17E5F" w:rsidRPr="004E1AE4" w:rsidRDefault="00B17E5F" w:rsidP="004E1AE4">
            <w:pPr>
              <w:pStyle w:val="NoSpacing"/>
              <w:rPr>
                <w:sz w:val="22"/>
                <w:szCs w:val="22"/>
              </w:rPr>
            </w:pPr>
            <w:r w:rsidRPr="004E1AE4">
              <w:rPr>
                <w:sz w:val="22"/>
                <w:szCs w:val="22"/>
              </w:rPr>
              <w:t>Madrid, Spain</w:t>
            </w:r>
          </w:p>
        </w:tc>
        <w:tc>
          <w:tcPr>
            <w:tcW w:w="1338" w:type="pct"/>
            <w:vAlign w:val="center"/>
          </w:tcPr>
          <w:p w14:paraId="14312D7D" w14:textId="77777777" w:rsidR="00B17E5F" w:rsidRPr="004E1AE4" w:rsidRDefault="00B17E5F" w:rsidP="004E1AE4">
            <w:pPr>
              <w:pStyle w:val="NoSpacing"/>
              <w:rPr>
                <w:sz w:val="22"/>
                <w:szCs w:val="22"/>
              </w:rPr>
            </w:pPr>
            <w:r w:rsidRPr="004E1AE4">
              <w:rPr>
                <w:sz w:val="22"/>
                <w:szCs w:val="22"/>
              </w:rPr>
              <w:t>PCM storage tanks with HVAC</w:t>
            </w:r>
          </w:p>
        </w:tc>
        <w:tc>
          <w:tcPr>
            <w:tcW w:w="1003" w:type="pct"/>
            <w:vAlign w:val="center"/>
          </w:tcPr>
          <w:p w14:paraId="3DAABED2" w14:textId="77777777" w:rsidR="00B17E5F" w:rsidRPr="004E1AE4" w:rsidRDefault="00B17E5F" w:rsidP="004E1AE4">
            <w:pPr>
              <w:pStyle w:val="NoSpacing"/>
              <w:rPr>
                <w:sz w:val="22"/>
                <w:szCs w:val="22"/>
              </w:rPr>
            </w:pPr>
            <w:r w:rsidRPr="004E1AE4">
              <w:rPr>
                <w:sz w:val="22"/>
                <w:szCs w:val="22"/>
              </w:rPr>
              <w:t>18.97% energy saved</w:t>
            </w:r>
          </w:p>
        </w:tc>
        <w:tc>
          <w:tcPr>
            <w:tcW w:w="828" w:type="pct"/>
            <w:vAlign w:val="center"/>
          </w:tcPr>
          <w:p w14:paraId="5A6750C9" w14:textId="77777777" w:rsidR="00B17E5F" w:rsidRPr="004E1AE4" w:rsidRDefault="00B17E5F" w:rsidP="004E1AE4">
            <w:pPr>
              <w:pStyle w:val="NoSpacing"/>
              <w:rPr>
                <w:sz w:val="22"/>
                <w:szCs w:val="22"/>
              </w:rPr>
            </w:pPr>
            <w:r w:rsidRPr="004E1AE4">
              <w:rPr>
                <w:sz w:val="22"/>
                <w:szCs w:val="22"/>
              </w:rPr>
              <w:t>Not reported</w:t>
            </w:r>
          </w:p>
        </w:tc>
      </w:tr>
      <w:tr w:rsidR="00B17E5F" w:rsidRPr="004E1AE4" w14:paraId="4A4E1124" w14:textId="77777777" w:rsidTr="00DA6BA6">
        <w:trPr>
          <w:trHeight w:val="472"/>
          <w:jc w:val="center"/>
        </w:trPr>
        <w:tc>
          <w:tcPr>
            <w:tcW w:w="1019" w:type="pct"/>
            <w:vAlign w:val="center"/>
          </w:tcPr>
          <w:sdt>
            <w:sdtPr>
              <w:rPr>
                <w:color w:val="000000"/>
              </w:rPr>
              <w:tag w:val="MENDELEY_CITATION_v3_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"/>
              <w:id w:val="1070313568"/>
              <w:placeholder>
                <w:docPart w:val="DefaultPlaceholder_-1854013440"/>
              </w:placeholder>
            </w:sdtPr>
            <w:sdtContent>
              <w:p w14:paraId="4BB39280" w14:textId="537D24F2" w:rsidR="00B17E5F" w:rsidRPr="004E1AE4" w:rsidRDefault="001E7ECF" w:rsidP="004E1AE4">
                <w:pPr>
                  <w:pStyle w:val="NoSpacing"/>
                  <w:rPr>
                    <w:sz w:val="22"/>
                    <w:szCs w:val="22"/>
                  </w:rPr>
                </w:pPr>
                <w:r w:rsidRPr="001E7ECF">
                  <w:rPr>
                    <w:color w:val="000000"/>
                  </w:rPr>
                  <w:t>Chaiyat, 2015</w:t>
                </w:r>
              </w:p>
            </w:sdtContent>
          </w:sdt>
        </w:tc>
        <w:tc>
          <w:tcPr>
            <w:tcW w:w="812" w:type="pct"/>
            <w:vAlign w:val="center"/>
          </w:tcPr>
          <w:p w14:paraId="43080860" w14:textId="77777777" w:rsidR="00B17E5F" w:rsidRPr="004E1AE4" w:rsidRDefault="00B17E5F" w:rsidP="004E1AE4">
            <w:pPr>
              <w:pStyle w:val="NoSpacing"/>
              <w:rPr>
                <w:sz w:val="22"/>
                <w:szCs w:val="22"/>
              </w:rPr>
            </w:pPr>
            <w:r w:rsidRPr="004E1AE4">
              <w:rPr>
                <w:sz w:val="22"/>
                <w:szCs w:val="22"/>
              </w:rPr>
              <w:t>Chiang Mai,</w:t>
            </w:r>
          </w:p>
          <w:p w14:paraId="2636167B" w14:textId="77777777" w:rsidR="00B17E5F" w:rsidRPr="004E1AE4" w:rsidRDefault="00B17E5F" w:rsidP="004E1AE4">
            <w:pPr>
              <w:pStyle w:val="NoSpacing"/>
              <w:rPr>
                <w:sz w:val="22"/>
                <w:szCs w:val="22"/>
              </w:rPr>
            </w:pPr>
            <w:r w:rsidRPr="004E1AE4">
              <w:rPr>
                <w:sz w:val="22"/>
                <w:szCs w:val="22"/>
              </w:rPr>
              <w:t>Thailand</w:t>
            </w:r>
          </w:p>
        </w:tc>
        <w:tc>
          <w:tcPr>
            <w:tcW w:w="1338" w:type="pct"/>
            <w:vAlign w:val="center"/>
          </w:tcPr>
          <w:p w14:paraId="04092ABA" w14:textId="77777777" w:rsidR="00B17E5F" w:rsidRPr="004E1AE4" w:rsidRDefault="00B17E5F" w:rsidP="004E1AE4">
            <w:pPr>
              <w:pStyle w:val="NoSpacing"/>
              <w:rPr>
                <w:sz w:val="22"/>
                <w:szCs w:val="22"/>
              </w:rPr>
            </w:pPr>
            <w:r w:rsidRPr="004E1AE4">
              <w:rPr>
                <w:sz w:val="22"/>
                <w:szCs w:val="22"/>
              </w:rPr>
              <w:t>PCM integrated in conventional HVAC system</w:t>
            </w:r>
          </w:p>
        </w:tc>
        <w:tc>
          <w:tcPr>
            <w:tcW w:w="1003" w:type="pct"/>
            <w:vAlign w:val="center"/>
          </w:tcPr>
          <w:p w14:paraId="6EB8E454" w14:textId="77777777" w:rsidR="00B17E5F" w:rsidRPr="004E1AE4" w:rsidRDefault="00B17E5F" w:rsidP="004E1AE4">
            <w:pPr>
              <w:pStyle w:val="NoSpacing"/>
              <w:rPr>
                <w:sz w:val="22"/>
                <w:szCs w:val="22"/>
              </w:rPr>
            </w:pPr>
            <w:r w:rsidRPr="004E1AE4">
              <w:rPr>
                <w:sz w:val="22"/>
                <w:szCs w:val="22"/>
              </w:rPr>
              <w:t>Load decreased by 3.09 kWh/d</w:t>
            </w:r>
          </w:p>
        </w:tc>
        <w:tc>
          <w:tcPr>
            <w:tcW w:w="828" w:type="pct"/>
            <w:vAlign w:val="center"/>
          </w:tcPr>
          <w:p w14:paraId="461C64A6" w14:textId="77777777" w:rsidR="00B17E5F" w:rsidRPr="004E1AE4" w:rsidRDefault="00B17E5F" w:rsidP="004E1AE4">
            <w:pPr>
              <w:pStyle w:val="NoSpacing"/>
              <w:rPr>
                <w:sz w:val="22"/>
                <w:szCs w:val="22"/>
              </w:rPr>
            </w:pPr>
            <w:r w:rsidRPr="004E1AE4">
              <w:rPr>
                <w:sz w:val="22"/>
                <w:szCs w:val="22"/>
              </w:rPr>
              <w:t>9.1% cost saved, 4.15 yr payback</w:t>
            </w:r>
          </w:p>
        </w:tc>
      </w:tr>
      <w:tr w:rsidR="00B17E5F" w:rsidRPr="004E1AE4" w14:paraId="69678009" w14:textId="77777777" w:rsidTr="00DA6BA6">
        <w:trPr>
          <w:trHeight w:val="472"/>
          <w:jc w:val="center"/>
        </w:trPr>
        <w:tc>
          <w:tcPr>
            <w:tcW w:w="1019" w:type="pct"/>
            <w:vAlign w:val="center"/>
          </w:tcPr>
          <w:sdt>
            <w:sdtPr>
              <w:rPr>
                <w:color w:val="000000"/>
              </w:rPr>
              <w:tag w:val="MENDELEY_CITATION_v3_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"/>
              <w:id w:val="-913768301"/>
              <w:placeholder>
                <w:docPart w:val="DefaultPlaceholder_-1854013440"/>
              </w:placeholder>
            </w:sdtPr>
            <w:sdtContent>
              <w:p w14:paraId="2FF46DF1" w14:textId="0FCE6092" w:rsidR="00B17E5F" w:rsidRPr="004E1AE4" w:rsidRDefault="001E7ECF" w:rsidP="004E1AE4">
                <w:pPr>
                  <w:pStyle w:val="NoSpacing"/>
                  <w:rPr>
                    <w:sz w:val="22"/>
                    <w:szCs w:val="22"/>
                  </w:rPr>
                </w:pPr>
                <w:r w:rsidRPr="001E7ECF">
                  <w:rPr>
                    <w:color w:val="000000"/>
                  </w:rPr>
                  <w:t>Pop et al., 2018</w:t>
                </w:r>
              </w:p>
            </w:sdtContent>
          </w:sdt>
        </w:tc>
        <w:tc>
          <w:tcPr>
            <w:tcW w:w="812" w:type="pct"/>
            <w:vAlign w:val="center"/>
          </w:tcPr>
          <w:p w14:paraId="4F2A848D" w14:textId="77777777" w:rsidR="00B17E5F" w:rsidRPr="004E1AE4" w:rsidRDefault="00B17E5F" w:rsidP="004E1AE4">
            <w:pPr>
              <w:pStyle w:val="NoSpacing"/>
              <w:rPr>
                <w:sz w:val="22"/>
                <w:szCs w:val="22"/>
              </w:rPr>
            </w:pPr>
            <w:r w:rsidRPr="004E1AE4">
              <w:rPr>
                <w:sz w:val="22"/>
                <w:szCs w:val="22"/>
              </w:rPr>
              <w:t>Variable (12 global climates)</w:t>
            </w:r>
          </w:p>
        </w:tc>
        <w:tc>
          <w:tcPr>
            <w:tcW w:w="1338" w:type="pct"/>
            <w:vAlign w:val="center"/>
          </w:tcPr>
          <w:p w14:paraId="2D2BF26F" w14:textId="77777777" w:rsidR="00B17E5F" w:rsidRPr="004E1AE4" w:rsidRDefault="00B17E5F" w:rsidP="004E1AE4">
            <w:pPr>
              <w:pStyle w:val="NoSpacing"/>
              <w:rPr>
                <w:sz w:val="22"/>
                <w:szCs w:val="22"/>
              </w:rPr>
            </w:pPr>
            <w:r w:rsidRPr="004E1AE4">
              <w:rPr>
                <w:sz w:val="22"/>
                <w:szCs w:val="22"/>
              </w:rPr>
              <w:t>PCM integrated in fresh air-cooling system</w:t>
            </w:r>
          </w:p>
        </w:tc>
        <w:tc>
          <w:tcPr>
            <w:tcW w:w="1003" w:type="pct"/>
            <w:vAlign w:val="center"/>
          </w:tcPr>
          <w:p w14:paraId="0A0064AB" w14:textId="77777777" w:rsidR="00B17E5F" w:rsidRPr="004E1AE4" w:rsidRDefault="00B17E5F" w:rsidP="004E1AE4">
            <w:pPr>
              <w:pStyle w:val="NoSpacing"/>
              <w:rPr>
                <w:sz w:val="22"/>
                <w:szCs w:val="22"/>
              </w:rPr>
            </w:pPr>
            <w:r w:rsidRPr="004E1AE4">
              <w:rPr>
                <w:sz w:val="22"/>
                <w:szCs w:val="22"/>
              </w:rPr>
              <w:t>7-41% energy saved</w:t>
            </w:r>
          </w:p>
        </w:tc>
        <w:tc>
          <w:tcPr>
            <w:tcW w:w="828" w:type="pct"/>
            <w:vAlign w:val="center"/>
          </w:tcPr>
          <w:p w14:paraId="4C22AD84" w14:textId="77777777" w:rsidR="00B17E5F" w:rsidRPr="004E1AE4" w:rsidRDefault="00B17E5F" w:rsidP="004E1AE4">
            <w:pPr>
              <w:pStyle w:val="NoSpacing"/>
              <w:rPr>
                <w:sz w:val="22"/>
                <w:szCs w:val="22"/>
              </w:rPr>
            </w:pPr>
            <w:r w:rsidRPr="004E1AE4">
              <w:rPr>
                <w:sz w:val="22"/>
                <w:szCs w:val="22"/>
              </w:rPr>
              <w:t>Not reported</w:t>
            </w:r>
          </w:p>
        </w:tc>
      </w:tr>
      <w:tr w:rsidR="00B17E5F" w:rsidRPr="004E1AE4" w14:paraId="41D680E2" w14:textId="77777777" w:rsidTr="00DA6BA6">
        <w:trPr>
          <w:trHeight w:val="472"/>
          <w:jc w:val="center"/>
        </w:trPr>
        <w:tc>
          <w:tcPr>
            <w:tcW w:w="1019" w:type="pct"/>
            <w:vAlign w:val="center"/>
          </w:tcPr>
          <w:sdt>
            <w:sdtPr>
              <w:rPr>
                <w:color w:val="000000"/>
              </w:rPr>
              <w:tag w:val="MENDELEY_CITATION_v3_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"/>
              <w:id w:val="-1864053318"/>
              <w:placeholder>
                <w:docPart w:val="DefaultPlaceholder_-1854013440"/>
              </w:placeholder>
            </w:sdtPr>
            <w:sdtContent>
              <w:p w14:paraId="42A7C65E" w14:textId="6577C970" w:rsidR="00B17E5F" w:rsidRPr="004E1AE4" w:rsidRDefault="001E7ECF" w:rsidP="004E1AE4">
                <w:pPr>
                  <w:pStyle w:val="NoSpacing"/>
                  <w:rPr>
                    <w:sz w:val="22"/>
                    <w:szCs w:val="22"/>
                  </w:rPr>
                </w:pPr>
                <w:r w:rsidRPr="001E7ECF">
                  <w:rPr>
                    <w:color w:val="000000"/>
                  </w:rPr>
                  <w:t>Hirmiz et al., 2019</w:t>
                </w:r>
              </w:p>
            </w:sdtContent>
          </w:sdt>
        </w:tc>
        <w:tc>
          <w:tcPr>
            <w:tcW w:w="812" w:type="pct"/>
            <w:vAlign w:val="center"/>
          </w:tcPr>
          <w:p w14:paraId="3971C99C" w14:textId="77777777" w:rsidR="00B17E5F" w:rsidRPr="004E1AE4" w:rsidRDefault="00B17E5F" w:rsidP="004E1AE4">
            <w:pPr>
              <w:pStyle w:val="NoSpacing"/>
              <w:rPr>
                <w:sz w:val="22"/>
                <w:szCs w:val="22"/>
              </w:rPr>
            </w:pPr>
            <w:r w:rsidRPr="004E1AE4">
              <w:rPr>
                <w:sz w:val="22"/>
                <w:szCs w:val="22"/>
              </w:rPr>
              <w:t>UK</w:t>
            </w:r>
          </w:p>
        </w:tc>
        <w:tc>
          <w:tcPr>
            <w:tcW w:w="1338" w:type="pct"/>
            <w:vAlign w:val="center"/>
          </w:tcPr>
          <w:p w14:paraId="5D5027C2" w14:textId="77777777" w:rsidR="00B17E5F" w:rsidRPr="004E1AE4" w:rsidRDefault="00B17E5F" w:rsidP="004E1AE4">
            <w:pPr>
              <w:pStyle w:val="NoSpacing"/>
              <w:rPr>
                <w:sz w:val="22"/>
                <w:szCs w:val="22"/>
              </w:rPr>
            </w:pPr>
            <w:r w:rsidRPr="004E1AE4">
              <w:rPr>
                <w:sz w:val="22"/>
                <w:szCs w:val="22"/>
              </w:rPr>
              <w:t>Heat pump integrated PCM</w:t>
            </w:r>
          </w:p>
        </w:tc>
        <w:tc>
          <w:tcPr>
            <w:tcW w:w="1003" w:type="pct"/>
            <w:vAlign w:val="center"/>
          </w:tcPr>
          <w:p w14:paraId="67121F42" w14:textId="77777777" w:rsidR="00B17E5F" w:rsidRPr="004E1AE4" w:rsidRDefault="00B17E5F" w:rsidP="004E1AE4">
            <w:pPr>
              <w:pStyle w:val="NoSpacing"/>
              <w:rPr>
                <w:sz w:val="22"/>
                <w:szCs w:val="22"/>
              </w:rPr>
            </w:pPr>
            <w:r w:rsidRPr="004E1AE4">
              <w:rPr>
                <w:sz w:val="22"/>
                <w:szCs w:val="22"/>
              </w:rPr>
              <w:t>Load shift of 6 hr., COP increased</w:t>
            </w:r>
          </w:p>
        </w:tc>
        <w:tc>
          <w:tcPr>
            <w:tcW w:w="828" w:type="pct"/>
            <w:vAlign w:val="center"/>
          </w:tcPr>
          <w:p w14:paraId="3D460264" w14:textId="77777777" w:rsidR="00B17E5F" w:rsidRPr="004E1AE4" w:rsidRDefault="00B17E5F" w:rsidP="004E1AE4">
            <w:pPr>
              <w:pStyle w:val="NoSpacing"/>
              <w:rPr>
                <w:sz w:val="22"/>
                <w:szCs w:val="22"/>
              </w:rPr>
            </w:pPr>
            <w:r w:rsidRPr="004E1AE4">
              <w:rPr>
                <w:sz w:val="22"/>
                <w:szCs w:val="22"/>
              </w:rPr>
              <w:t>Not reported</w:t>
            </w:r>
          </w:p>
        </w:tc>
      </w:tr>
      <w:tr w:rsidR="00B17E5F" w:rsidRPr="004E1AE4" w14:paraId="04BACCCF" w14:textId="77777777" w:rsidTr="00DA6BA6">
        <w:trPr>
          <w:trHeight w:val="472"/>
          <w:jc w:val="center"/>
        </w:trPr>
        <w:tc>
          <w:tcPr>
            <w:tcW w:w="1019" w:type="pct"/>
            <w:vAlign w:val="center"/>
          </w:tcPr>
          <w:sdt>
            <w:sdtPr>
              <w:rPr>
                <w:color w:val="000000"/>
              </w:rPr>
              <w:tag w:val="MENDELEY_CITATION_v3_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"/>
              <w:id w:val="1848747908"/>
              <w:placeholder>
                <w:docPart w:val="DefaultPlaceholder_-1854013440"/>
              </w:placeholder>
            </w:sdtPr>
            <w:sdtContent>
              <w:p w14:paraId="5D1B2DAD" w14:textId="2A9FC79A" w:rsidR="00B17E5F" w:rsidRPr="004E1AE4" w:rsidRDefault="001E7ECF" w:rsidP="004E1AE4">
                <w:pPr>
                  <w:pStyle w:val="NoSpacing"/>
                  <w:rPr>
                    <w:sz w:val="22"/>
                    <w:szCs w:val="22"/>
                  </w:rPr>
                </w:pPr>
                <w:r w:rsidRPr="001E7ECF">
                  <w:rPr>
                    <w:color w:val="000000"/>
                  </w:rPr>
                  <w:t>Dong et al., 2019</w:t>
                </w:r>
              </w:p>
            </w:sdtContent>
          </w:sdt>
        </w:tc>
        <w:tc>
          <w:tcPr>
            <w:tcW w:w="812" w:type="pct"/>
            <w:vAlign w:val="center"/>
          </w:tcPr>
          <w:p w14:paraId="76B41BF0" w14:textId="77777777" w:rsidR="00B17E5F" w:rsidRPr="004E1AE4" w:rsidRDefault="00B17E5F" w:rsidP="004E1AE4">
            <w:pPr>
              <w:pStyle w:val="NoSpacing"/>
              <w:rPr>
                <w:sz w:val="22"/>
                <w:szCs w:val="22"/>
              </w:rPr>
            </w:pPr>
            <w:r w:rsidRPr="004E1AE4">
              <w:rPr>
                <w:sz w:val="22"/>
                <w:szCs w:val="22"/>
              </w:rPr>
              <w:t>Knoxville, TN, USA</w:t>
            </w:r>
          </w:p>
        </w:tc>
        <w:tc>
          <w:tcPr>
            <w:tcW w:w="1338" w:type="pct"/>
            <w:vAlign w:val="center"/>
          </w:tcPr>
          <w:p w14:paraId="76A0BB13" w14:textId="77777777" w:rsidR="00B17E5F" w:rsidRPr="004E1AE4" w:rsidRDefault="00B17E5F" w:rsidP="004E1AE4">
            <w:pPr>
              <w:pStyle w:val="NoSpacing"/>
              <w:rPr>
                <w:sz w:val="22"/>
                <w:szCs w:val="22"/>
              </w:rPr>
            </w:pPr>
            <w:r w:rsidRPr="004E1AE4">
              <w:rPr>
                <w:sz w:val="22"/>
                <w:szCs w:val="22"/>
              </w:rPr>
              <w:t>PCM integrated with electrical Heat Pump</w:t>
            </w:r>
          </w:p>
        </w:tc>
        <w:tc>
          <w:tcPr>
            <w:tcW w:w="1003" w:type="pct"/>
            <w:vAlign w:val="center"/>
          </w:tcPr>
          <w:p w14:paraId="0F35AF88" w14:textId="77777777" w:rsidR="00B17E5F" w:rsidRPr="004E1AE4" w:rsidRDefault="00B17E5F" w:rsidP="004E1AE4">
            <w:pPr>
              <w:pStyle w:val="NoSpacing"/>
              <w:rPr>
                <w:sz w:val="22"/>
                <w:szCs w:val="22"/>
              </w:rPr>
            </w:pPr>
            <w:r w:rsidRPr="004E1AE4">
              <w:rPr>
                <w:sz w:val="22"/>
                <w:szCs w:val="22"/>
              </w:rPr>
              <w:t>13% less power consumed</w:t>
            </w:r>
          </w:p>
        </w:tc>
        <w:tc>
          <w:tcPr>
            <w:tcW w:w="828" w:type="pct"/>
            <w:vAlign w:val="center"/>
          </w:tcPr>
          <w:p w14:paraId="199BAFFA" w14:textId="77777777" w:rsidR="00B17E5F" w:rsidRPr="004E1AE4" w:rsidRDefault="00B17E5F" w:rsidP="004E1AE4">
            <w:pPr>
              <w:pStyle w:val="NoSpacing"/>
              <w:rPr>
                <w:sz w:val="22"/>
                <w:szCs w:val="22"/>
              </w:rPr>
            </w:pPr>
            <w:r w:rsidRPr="004E1AE4">
              <w:rPr>
                <w:sz w:val="22"/>
                <w:szCs w:val="22"/>
              </w:rPr>
              <w:t>Electricity cost saved 19%</w:t>
            </w:r>
          </w:p>
        </w:tc>
      </w:tr>
    </w:tbl>
    <w:p w14:paraId="0D4FE384" w14:textId="77777777" w:rsidR="00B17E5F" w:rsidRPr="00322E56" w:rsidRDefault="00B17E5F" w:rsidP="00C71683">
      <w:pPr>
        <w:rPr>
          <w:rFonts w:cs="Times New Roman"/>
        </w:rPr>
      </w:pPr>
    </w:p>
    <w:p w14:paraId="4CD7E8EA" w14:textId="77777777" w:rsidR="00B17E5F" w:rsidRPr="00322E56" w:rsidRDefault="00B17E5F">
      <w:pPr>
        <w:spacing w:line="240" w:lineRule="auto"/>
        <w:rPr>
          <w:rFonts w:cs="Times New Roman"/>
        </w:rPr>
      </w:pPr>
      <w:r w:rsidRPr="00322E56">
        <w:rPr>
          <w:rFonts w:cs="Times New Roman"/>
        </w:rPr>
        <w:br w:type="page"/>
      </w:r>
    </w:p>
    <w:p w14:paraId="075C09A4" w14:textId="19DE69CB" w:rsidR="00DA6BA6" w:rsidRDefault="00DA6BA6" w:rsidP="00DA6BA6">
      <w:pPr>
        <w:rPr>
          <w:rFonts w:cs="Times New Roman"/>
        </w:rPr>
      </w:pPr>
      <w:r w:rsidRPr="00322E56">
        <w:rPr>
          <w:rFonts w:cs="Times New Roman"/>
        </w:rPr>
        <w:lastRenderedPageBreak/>
        <w:t xml:space="preserve">The PCM embedded in the TES for this analysis is ice/water with a phase change temperature of 0°C, and only interacts with VCS, not directly with the building.  A residential TOU utility rate from a utility provider in California, corresponding to the climate zone 3B, is used to assess the potential economic savings for the customer. The VCS was modeled using Engineering Equation Solver (EES). </w:t>
      </w:r>
    </w:p>
    <w:p w14:paraId="61991DFF" w14:textId="5E51E8C7" w:rsidR="00B17E5F" w:rsidRPr="00322E56" w:rsidRDefault="00B17E5F" w:rsidP="003C3867">
      <w:pPr>
        <w:pStyle w:val="Heading2"/>
        <w:rPr>
          <w:rFonts w:cs="Times New Roman"/>
        </w:rPr>
      </w:pPr>
      <w:bookmarkStart w:id="134" w:name="_Toc140399858"/>
      <w:r w:rsidRPr="00322E56">
        <w:rPr>
          <w:rFonts w:cs="Times New Roman"/>
        </w:rPr>
        <w:t>Methodology</w:t>
      </w:r>
      <w:bookmarkEnd w:id="134"/>
    </w:p>
    <w:p w14:paraId="4A20A4A4" w14:textId="77777777" w:rsidR="00B17E5F" w:rsidRPr="00322E56" w:rsidRDefault="00B17E5F" w:rsidP="0078264C">
      <w:pPr>
        <w:rPr>
          <w:rFonts w:cs="Times New Roman"/>
        </w:rPr>
      </w:pPr>
      <w:r w:rsidRPr="00322E56">
        <w:rPr>
          <w:rFonts w:cs="Times New Roman"/>
        </w:rPr>
        <w:t>The complete modeled system is modular with several models converging including a simplified building, an R410A vapor compression system (VCS), TES with embedded PCM and heat exchanger, thermostatic controls, and a TES control strategy. The thermostat monitors the building indoor temperature and dispatches a call for cooling to the VCS system.  The TES control strategy determines if the cooling is provided from the TES or by traditional VCS operation coupled to the ambient based on the time of day and utility electrical rate.  The TES control strategy uses this same data to recharge the TES system using the same VCS, coupling the TES to the ambient when appropriate.  The PCM used in this study is water/ice. The ambient weather data and TOU utility rate structure are from the same geographic region, ASHRAE climate zone 3B.  The system is simulated for one week with a time step of one minute.</w:t>
      </w:r>
    </w:p>
    <w:p w14:paraId="6158FBB9" w14:textId="77777777" w:rsidR="00B17E5F" w:rsidRPr="00322E56" w:rsidRDefault="00B17E5F" w:rsidP="003C3867">
      <w:pPr>
        <w:pStyle w:val="Heading3"/>
        <w:rPr>
          <w:rFonts w:cs="Times New Roman"/>
        </w:rPr>
      </w:pPr>
      <w:bookmarkStart w:id="135" w:name="_Toc140399859"/>
      <w:r w:rsidRPr="00322E56">
        <w:rPr>
          <w:rFonts w:cs="Times New Roman"/>
        </w:rPr>
        <w:t>System Overview</w:t>
      </w:r>
      <w:bookmarkEnd w:id="135"/>
    </w:p>
    <w:p w14:paraId="2DBDC160" w14:textId="77777777" w:rsidR="00B17E5F" w:rsidRPr="00322E56" w:rsidRDefault="00B17E5F" w:rsidP="003C3867">
      <w:pPr>
        <w:rPr>
          <w:rFonts w:cs="Times New Roman"/>
        </w:rPr>
      </w:pPr>
      <w:r w:rsidRPr="00322E56">
        <w:rPr>
          <w:rFonts w:cs="Times New Roman"/>
        </w:rPr>
        <w:t xml:space="preserve">A basic vapor compression system (VCS) is coupled to the water/ice-embedded TES. The TES heat exchanger is assumed to have infinite heat transfer coefficient and is at 0°C at all times.  The PCM heat exchanger can serve as either evaporator or condenser in the VCS, depending on the mode of operation. </w:t>
      </w:r>
    </w:p>
    <w:p w14:paraId="63B03931" w14:textId="77777777" w:rsidR="00B17E5F" w:rsidRPr="00322E56" w:rsidRDefault="00B17E5F" w:rsidP="00BD7BFD">
      <w:pPr>
        <w:rPr>
          <w:rFonts w:cs="Times New Roman"/>
        </w:rPr>
      </w:pPr>
      <w:r w:rsidRPr="00322E56">
        <w:rPr>
          <w:rFonts w:cs="Times New Roman"/>
        </w:rPr>
        <w:t>The coefficient of performance (COP) of a VCS is a measure of the desired heat moved to the electrical energy expended and is written as Equation 1 where Q is the heat removed for cooling as in refrigeration.</w:t>
      </w:r>
    </w:p>
    <w:p w14:paraId="7A8F0B47" w14:textId="77777777" w:rsidR="00B17E5F" w:rsidRPr="00322E56" w:rsidRDefault="00B17E5F" w:rsidP="004E1AE4">
      <w:pPr>
        <w:tabs>
          <w:tab w:val="center" w:pos="4680"/>
          <w:tab w:val="right" w:pos="9360"/>
        </w:tabs>
        <w:rPr>
          <w:rFonts w:cs="Times New Roman"/>
        </w:rPr>
      </w:pPr>
      <w:r w:rsidRPr="00322E56">
        <w:rPr>
          <w:rFonts w:cs="Times New Roman"/>
        </w:rPr>
        <w:tab/>
      </w:r>
      <m:oMath>
        <m:sSub>
          <m:sSubPr>
            <m:ctrlPr>
              <w:rPr>
                <w:rFonts w:ascii="Cambria Math" w:eastAsia="Calibri" w:hAnsi="Cambria Math" w:cs="Times New Roman"/>
                <w:i/>
                <w:sz w:val="22"/>
                <w:szCs w:val="22"/>
              </w:rPr>
            </m:ctrlPr>
          </m:sSubPr>
          <m:e>
            <m:r>
              <w:rPr>
                <w:rFonts w:ascii="Cambria Math" w:hAnsi="Cambria Math" w:cs="Times New Roman"/>
              </w:rPr>
              <m:t>COP</m:t>
            </m:r>
          </m:e>
          <m:sub>
            <m:r>
              <w:rPr>
                <w:rFonts w:ascii="Cambria Math" w:hAnsi="Cambria Math" w:cs="Times New Roman"/>
              </w:rPr>
              <m:t>c</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evap</m:t>
                </m:r>
              </m:sub>
            </m:sSub>
          </m:num>
          <m:den>
            <m:sSub>
              <m:sSubPr>
                <m:ctrlPr>
                  <w:rPr>
                    <w:rFonts w:ascii="Cambria Math" w:eastAsia="Calibri" w:hAnsi="Cambria Math" w:cs="Times New Roman"/>
                    <w:i/>
                    <w:sz w:val="22"/>
                    <w:szCs w:val="22"/>
                  </w:rPr>
                </m:ctrlPr>
              </m:sSubPr>
              <m:e>
                <m:r>
                  <w:rPr>
                    <w:rFonts w:ascii="Cambria Math" w:hAnsi="Cambria Math" w:cs="Times New Roman"/>
                  </w:rPr>
                  <m:t>W</m:t>
                </m:r>
              </m:e>
              <m:sub>
                <m:r>
                  <w:rPr>
                    <w:rFonts w:ascii="Cambria Math" w:hAnsi="Cambria Math" w:cs="Times New Roman"/>
                  </w:rPr>
                  <m:t>comp</m:t>
                </m:r>
              </m:sub>
            </m:sSub>
          </m:den>
        </m:f>
      </m:oMath>
      <w:r w:rsidRPr="00322E56">
        <w:rPr>
          <w:rFonts w:cs="Times New Roman"/>
        </w:rPr>
        <w:tab/>
        <w:t>(1)</w:t>
      </w:r>
    </w:p>
    <w:p w14:paraId="5CB09402" w14:textId="77777777" w:rsidR="00B17E5F" w:rsidRPr="00322E56" w:rsidRDefault="00B17E5F" w:rsidP="003C3867">
      <w:pPr>
        <w:rPr>
          <w:rFonts w:cs="Times New Roman"/>
        </w:rPr>
      </w:pPr>
      <w:r w:rsidRPr="00322E56">
        <w:rPr>
          <w:rFonts w:cs="Times New Roman"/>
        </w:rPr>
        <w:lastRenderedPageBreak/>
        <w:t>Figure 20a shows the baseline system whereby the building is cooled with VCS acting as a conventional air conditioning system. The building air is cooled by the VCS evaporator and heat expelled into the ambient at the condenser.  The VCS moves heat from the building to the ambient across a positive temperature gradient. The increasing width of arrows represent added heat.</w:t>
      </w:r>
    </w:p>
    <w:p w14:paraId="7D2AFC3F" w14:textId="77777777" w:rsidR="00B17E5F" w:rsidRPr="00322E56" w:rsidRDefault="00B17E5F" w:rsidP="00BD7BFD">
      <w:pPr>
        <w:rPr>
          <w:rFonts w:cs="Times New Roman"/>
        </w:rPr>
      </w:pPr>
      <w:r w:rsidRPr="00322E56">
        <w:rPr>
          <w:rFonts w:cs="Times New Roman"/>
        </w:rPr>
        <w:t xml:space="preserve">The building cooling performance can be improved with PCM-embedded TES, using negative temperature lift to introduce a more favorable gradient for which the VCS to operate, as illustrated in the Figure 20b.  In this mode, the VCS condenser is coupled to the colder temperature of the PCM, 0°C in this system. Thus, the VCS has a negative temperature gradient to move the building thermal load.  This allows the VCS to operate at a much higher performance as compared to the baseline. The TES can only operate when there exists some frozen PCM inside.  Once all the PCM is melted, the TES can no longer absorb isothermal heat and the baseline VCS operation must be used to cool the building.  </w:t>
      </w:r>
    </w:p>
    <w:p w14:paraId="69C5895D" w14:textId="5F8B585D" w:rsidR="00DA6BA6" w:rsidRPr="00322E56" w:rsidRDefault="00DA6BA6" w:rsidP="00DA6BA6">
      <w:pPr>
        <w:pStyle w:val="Heading3"/>
        <w:rPr>
          <w:rFonts w:cs="Times New Roman"/>
        </w:rPr>
      </w:pPr>
      <w:bookmarkStart w:id="136" w:name="_Toc140399860"/>
      <w:r w:rsidRPr="00322E56">
        <w:rPr>
          <w:rFonts w:cs="Times New Roman"/>
        </w:rPr>
        <w:t>System Operating Modes and Controls</w:t>
      </w:r>
      <w:bookmarkEnd w:id="136"/>
    </w:p>
    <w:p w14:paraId="5A33A327" w14:textId="77777777" w:rsidR="00DA6BA6" w:rsidRPr="00322E56" w:rsidRDefault="00DA6BA6" w:rsidP="00DA6BA6">
      <w:pPr>
        <w:rPr>
          <w:rFonts w:cs="Times New Roman"/>
        </w:rPr>
      </w:pPr>
      <w:r w:rsidRPr="00322E56">
        <w:rPr>
          <w:rFonts w:cs="Times New Roman"/>
        </w:rPr>
        <w:t xml:space="preserve">There are four operating modes (0,1,2,3, respectively) of the system as shown in Figure 21. </w:t>
      </w:r>
    </w:p>
    <w:p w14:paraId="0A06FE5D" w14:textId="77777777" w:rsidR="00DA6BA6" w:rsidRPr="00322E56" w:rsidRDefault="00DA6BA6" w:rsidP="00DA6BA6">
      <w:pPr>
        <w:numPr>
          <w:ilvl w:val="0"/>
          <w:numId w:val="6"/>
        </w:numPr>
        <w:rPr>
          <w:rFonts w:cs="Times New Roman"/>
        </w:rPr>
      </w:pPr>
      <w:r w:rsidRPr="00322E56">
        <w:rPr>
          <w:rFonts w:cs="Times New Roman"/>
        </w:rPr>
        <w:t>In standby mode (0), the VCS is off the building responds to ambient thermal loads and solar heat gains.</w:t>
      </w:r>
    </w:p>
    <w:p w14:paraId="4958FE8A" w14:textId="77777777" w:rsidR="00DA6BA6" w:rsidRDefault="00DA6BA6" w:rsidP="00DA6BA6">
      <w:pPr>
        <w:numPr>
          <w:ilvl w:val="0"/>
          <w:numId w:val="6"/>
        </w:numPr>
        <w:rPr>
          <w:rFonts w:cs="Times New Roman"/>
        </w:rPr>
      </w:pPr>
      <w:r w:rsidRPr="00322E56">
        <w:rPr>
          <w:rFonts w:cs="Times New Roman"/>
        </w:rPr>
        <w:t>In the normal operating mode (1), the building is cooled by conventional VCS refrigeration with no TES involvement. The condenser heat, Q</w:t>
      </w:r>
      <w:r w:rsidRPr="00322E56">
        <w:rPr>
          <w:rFonts w:cs="Times New Roman"/>
          <w:vertAlign w:val="subscript"/>
        </w:rPr>
        <w:t>cond,</w:t>
      </w:r>
      <w:r w:rsidRPr="00322E56">
        <w:rPr>
          <w:rFonts w:cs="Times New Roman"/>
        </w:rPr>
        <w:t xml:space="preserve"> is the heat being dumped to the ambient and the evaporator heat, Q</w:t>
      </w:r>
      <w:r w:rsidRPr="00322E56">
        <w:rPr>
          <w:rFonts w:cs="Times New Roman"/>
          <w:vertAlign w:val="subscript"/>
        </w:rPr>
        <w:t>evap,</w:t>
      </w:r>
      <w:r w:rsidRPr="00322E56">
        <w:rPr>
          <w:rFonts w:cs="Times New Roman"/>
        </w:rPr>
        <w:t xml:space="preserve"> is the heat removed from the building and directed to the heat pump. </w:t>
      </w:r>
    </w:p>
    <w:p w14:paraId="4BB2277D" w14:textId="09913A05" w:rsidR="00DA6BA6" w:rsidRPr="00DA6BA6" w:rsidRDefault="00DA6BA6" w:rsidP="00DA6BA6">
      <w:pPr>
        <w:numPr>
          <w:ilvl w:val="0"/>
          <w:numId w:val="6"/>
        </w:numPr>
        <w:rPr>
          <w:rFonts w:cs="Times New Roman"/>
        </w:rPr>
      </w:pPr>
      <w:r w:rsidRPr="00322E56">
        <w:rPr>
          <w:rFonts w:cs="Times New Roman"/>
        </w:rPr>
        <w:t>In charging mode (2), the PCM HX operates as the evaporator and the latent heat of freezing is removed from the PCM. The VCS condenser heat is rejected to the ambient.</w:t>
      </w:r>
    </w:p>
    <w:p w14:paraId="751BEFD3" w14:textId="09913A05" w:rsidR="00B17E5F" w:rsidRPr="00322E56" w:rsidRDefault="00B17E5F" w:rsidP="004E1AE4">
      <w:pPr>
        <w:spacing w:line="240" w:lineRule="auto"/>
        <w:ind w:firstLine="0"/>
        <w:rPr>
          <w:rFonts w:cs="Times New Roman"/>
        </w:rPr>
      </w:pPr>
    </w:p>
    <w:p w14:paraId="4BCC6411" w14:textId="77777777" w:rsidR="00B17E5F" w:rsidRPr="00322E56" w:rsidRDefault="00B17E5F" w:rsidP="00BD7BFD">
      <w:pPr>
        <w:keepNext/>
        <w:jc w:val="center"/>
        <w:rPr>
          <w:rFonts w:cs="Times New Roman"/>
        </w:rPr>
      </w:pPr>
      <w:r w:rsidRPr="00322E56">
        <w:rPr>
          <w:rFonts w:cs="Times New Roman"/>
          <w:noProof/>
        </w:rPr>
        <w:lastRenderedPageBreak/>
        <w:drawing>
          <wp:inline distT="0" distB="0" distL="0" distR="0" wp14:anchorId="3230C56E" wp14:editId="1412DDD0">
            <wp:extent cx="5113176" cy="276540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200599" cy="2812685"/>
                    </a:xfrm>
                    <a:prstGeom prst="rect">
                      <a:avLst/>
                    </a:prstGeom>
                    <a:noFill/>
                  </pic:spPr>
                </pic:pic>
              </a:graphicData>
            </a:graphic>
          </wp:inline>
        </w:drawing>
      </w:r>
    </w:p>
    <w:p w14:paraId="7B27C819" w14:textId="35ABB49B" w:rsidR="00DA6BA6" w:rsidRDefault="00B17E5F" w:rsidP="00BD7BFD">
      <w:pPr>
        <w:pStyle w:val="Caption"/>
        <w:jc w:val="center"/>
        <w:rPr>
          <w:rFonts w:cs="Times New Roman"/>
        </w:rPr>
      </w:pPr>
      <w:bookmarkStart w:id="137" w:name="_Toc140403886"/>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20</w:t>
      </w:r>
      <w:r w:rsidRPr="00322E56">
        <w:rPr>
          <w:rFonts w:cs="Times New Roman"/>
        </w:rPr>
        <w:fldChar w:fldCharType="end"/>
      </w:r>
      <w:r w:rsidRPr="00322E56">
        <w:rPr>
          <w:rFonts w:cs="Times New Roman"/>
        </w:rPr>
        <w:t>: Comparison of temperature gradients for a) normal VCS operation and b) TES-assisted cooling</w:t>
      </w:r>
      <w:bookmarkEnd w:id="137"/>
    </w:p>
    <w:p w14:paraId="78535550" w14:textId="77777777" w:rsidR="00DA6BA6" w:rsidRDefault="00DA6BA6">
      <w:pPr>
        <w:spacing w:before="0" w:line="240" w:lineRule="auto"/>
        <w:ind w:firstLine="0"/>
        <w:jc w:val="left"/>
        <w:rPr>
          <w:rFonts w:cs="Times New Roman"/>
          <w:b/>
          <w:bCs/>
        </w:rPr>
      </w:pPr>
      <w:r>
        <w:rPr>
          <w:rFonts w:cs="Times New Roman"/>
        </w:rPr>
        <w:br w:type="page"/>
      </w:r>
    </w:p>
    <w:p w14:paraId="2FFCE29D" w14:textId="77777777" w:rsidR="00DA6BA6" w:rsidRPr="00322E56" w:rsidRDefault="00DA6BA6" w:rsidP="00DA6BA6">
      <w:pPr>
        <w:keepNext/>
        <w:jc w:val="center"/>
        <w:rPr>
          <w:rFonts w:cs="Times New Roman"/>
        </w:rPr>
      </w:pPr>
      <w:r w:rsidRPr="00322E56">
        <w:rPr>
          <w:rFonts w:cs="Times New Roman"/>
          <w:noProof/>
        </w:rPr>
        <w:lastRenderedPageBreak/>
        <w:drawing>
          <wp:anchor distT="0" distB="0" distL="114300" distR="114300" simplePos="0" relativeHeight="251665408" behindDoc="0" locked="0" layoutInCell="1" allowOverlap="1" wp14:anchorId="582A21CB" wp14:editId="5190651B">
            <wp:simplePos x="0" y="0"/>
            <wp:positionH relativeFrom="margin">
              <wp:align>center</wp:align>
            </wp:positionH>
            <wp:positionV relativeFrom="margin">
              <wp:align>top</wp:align>
            </wp:positionV>
            <wp:extent cx="5592445" cy="3631565"/>
            <wp:effectExtent l="0" t="0" r="0" b="635"/>
            <wp:wrapSquare wrapText="bothSides"/>
            <wp:docPr id="9" name="Picture 9" descr="A diagram of different types of electrical compon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diagram of different types of electrical components&#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592445" cy="3631565"/>
                    </a:xfrm>
                    <a:prstGeom prst="rect">
                      <a:avLst/>
                    </a:prstGeom>
                    <a:noFill/>
                  </pic:spPr>
                </pic:pic>
              </a:graphicData>
            </a:graphic>
            <wp14:sizeRelH relativeFrom="margin">
              <wp14:pctWidth>0</wp14:pctWidth>
            </wp14:sizeRelH>
            <wp14:sizeRelV relativeFrom="margin">
              <wp14:pctHeight>0</wp14:pctHeight>
            </wp14:sizeRelV>
          </wp:anchor>
        </w:drawing>
      </w:r>
    </w:p>
    <w:p w14:paraId="138E60F4" w14:textId="0477375F" w:rsidR="00DA6BA6" w:rsidRPr="00322E56" w:rsidRDefault="00DA6BA6" w:rsidP="00DA6BA6">
      <w:pPr>
        <w:pStyle w:val="Caption"/>
        <w:jc w:val="center"/>
        <w:rPr>
          <w:rFonts w:cs="Times New Roman"/>
        </w:rPr>
      </w:pPr>
      <w:bookmarkStart w:id="138" w:name="_Toc140403887"/>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21</w:t>
      </w:r>
      <w:r w:rsidRPr="00322E56">
        <w:rPr>
          <w:rFonts w:cs="Times New Roman"/>
        </w:rPr>
        <w:fldChar w:fldCharType="end"/>
      </w:r>
      <w:r w:rsidRPr="00322E56">
        <w:rPr>
          <w:rFonts w:cs="Times New Roman"/>
        </w:rPr>
        <w:t>: Energy flows in the four operating modes for summer (cooling only)</w:t>
      </w:r>
      <w:bookmarkEnd w:id="138"/>
    </w:p>
    <w:p w14:paraId="13A00F54" w14:textId="77777777" w:rsidR="00B17E5F" w:rsidRPr="00322E56" w:rsidRDefault="00B17E5F" w:rsidP="00BD7BFD">
      <w:pPr>
        <w:pStyle w:val="Caption"/>
        <w:jc w:val="center"/>
        <w:rPr>
          <w:rFonts w:cs="Times New Roman"/>
        </w:rPr>
      </w:pPr>
    </w:p>
    <w:p w14:paraId="403464D0" w14:textId="77777777" w:rsidR="00B17E5F" w:rsidRPr="00322E56" w:rsidRDefault="00B17E5F">
      <w:pPr>
        <w:spacing w:line="240" w:lineRule="auto"/>
        <w:rPr>
          <w:rFonts w:cs="Times New Roman"/>
        </w:rPr>
      </w:pPr>
      <w:r w:rsidRPr="00322E56">
        <w:rPr>
          <w:rFonts w:cs="Times New Roman"/>
        </w:rPr>
        <w:br w:type="page"/>
      </w:r>
    </w:p>
    <w:p w14:paraId="2C9D1287" w14:textId="4171490C" w:rsidR="00B17E5F" w:rsidRPr="00DA6BA6" w:rsidRDefault="00B17E5F" w:rsidP="00DA6BA6">
      <w:pPr>
        <w:numPr>
          <w:ilvl w:val="0"/>
          <w:numId w:val="6"/>
        </w:numPr>
        <w:rPr>
          <w:rFonts w:cs="Times New Roman"/>
        </w:rPr>
      </w:pPr>
      <w:r w:rsidRPr="00322E56">
        <w:rPr>
          <w:rFonts w:cs="Times New Roman"/>
        </w:rPr>
        <w:lastRenderedPageBreak/>
        <w:t>In discharging mode (3), the PCM HX is the condenser and the heat, Q</w:t>
      </w:r>
      <w:r w:rsidRPr="00322E56">
        <w:rPr>
          <w:rFonts w:cs="Times New Roman"/>
          <w:vertAlign w:val="subscript"/>
        </w:rPr>
        <w:t>cond</w:t>
      </w:r>
      <w:r w:rsidRPr="00322E56">
        <w:rPr>
          <w:rFonts w:cs="Times New Roman"/>
        </w:rPr>
        <w:t xml:space="preserve">, is absorbed by the PCM through the latent heat of melting. In this mode, the COP is higher than in normal operation. </w:t>
      </w:r>
    </w:p>
    <w:p w14:paraId="20DC9272" w14:textId="77777777" w:rsidR="00B17E5F" w:rsidRPr="00322E56" w:rsidRDefault="00B17E5F" w:rsidP="0078264C">
      <w:pPr>
        <w:rPr>
          <w:rFonts w:cs="Times New Roman"/>
        </w:rPr>
      </w:pPr>
      <w:r w:rsidRPr="00322E56">
        <w:rPr>
          <w:rFonts w:cs="Times New Roman"/>
        </w:rPr>
        <w:t>The operating mode of VCS-TES system is selected by the controls decision tree shown in Figure 22. The selection depends on the on-peak/off-peak time, the need to cool the building, and PCM state of charge (SOC). When the thermostat calls for cooling during off-peak times, the VCS will enter normal mode operation.  Normal mode is conventional HVAC operation.  Charging mode restores the energy stored in the TES by refreezing any melted PCM and is only activated during off-peak times when the thermostat is not calling for building cooling to take advantage of the lower electrical cost and, incidentally, usually lower ambient temperatures.  Charging mode can be interrupted by the thermostat if the building requires cooling and the system will enter normal mode, maintaining building indoor comfort.  During on-peak time, when the thermostat calls for cooling, discharging mode will activate which cools the building with the TES.  During discharging, the PCM in the TES is being melted and the latent heat associated with melting maintains a constant cold TES temperature.  The TES can only operate when there exists some frozen PCM inside.  Once all the PCM is melted, the TES can no longer absorb isothermal heat and the normal mode must be used to cool the building.  All other times the VCS is in standby mode.</w:t>
      </w:r>
    </w:p>
    <w:p w14:paraId="48EAEB3E" w14:textId="77777777" w:rsidR="00B17E5F" w:rsidRPr="00322E56" w:rsidRDefault="00B17E5F" w:rsidP="0078264C">
      <w:pPr>
        <w:rPr>
          <w:rFonts w:cs="Times New Roman"/>
        </w:rPr>
      </w:pPr>
      <w:r w:rsidRPr="00043073">
        <w:rPr>
          <w:rFonts w:cs="Times New Roman"/>
        </w:rPr>
        <w:t>The overall flow of information in the model is depicted in Figure 23. The decision tree works as the main control to coordinate all these components. The feedback arrows represent the updated (i+1) values being fed back to the main models.</w:t>
      </w:r>
      <w:r w:rsidRPr="00322E56">
        <w:rPr>
          <w:rFonts w:cs="Times New Roman"/>
        </w:rPr>
        <w:t xml:space="preserve"> </w:t>
      </w:r>
    </w:p>
    <w:p w14:paraId="774F7C77" w14:textId="77777777" w:rsidR="00B17E5F" w:rsidRPr="00322E56" w:rsidRDefault="00B17E5F">
      <w:pPr>
        <w:spacing w:line="240" w:lineRule="auto"/>
        <w:rPr>
          <w:rFonts w:cs="Times New Roman"/>
        </w:rPr>
      </w:pPr>
      <w:r w:rsidRPr="00322E56">
        <w:rPr>
          <w:rFonts w:cs="Times New Roman"/>
        </w:rPr>
        <w:br w:type="page"/>
      </w:r>
    </w:p>
    <w:p w14:paraId="3F66E45B" w14:textId="77777777" w:rsidR="00B17E5F" w:rsidRPr="00322E56" w:rsidRDefault="00B17E5F" w:rsidP="00417005">
      <w:pPr>
        <w:keepNext/>
        <w:ind w:firstLine="0"/>
        <w:jc w:val="center"/>
        <w:rPr>
          <w:rFonts w:cs="Times New Roman"/>
        </w:rPr>
      </w:pPr>
      <w:r w:rsidRPr="00322E56">
        <w:rPr>
          <w:rFonts w:cs="Times New Roman"/>
          <w:noProof/>
        </w:rPr>
        <w:lastRenderedPageBreak/>
        <w:drawing>
          <wp:inline distT="0" distB="0" distL="0" distR="0" wp14:anchorId="4A0D4D46" wp14:editId="7B5A42C7">
            <wp:extent cx="5486400" cy="309197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486400" cy="3091972"/>
                    </a:xfrm>
                    <a:prstGeom prst="rect">
                      <a:avLst/>
                    </a:prstGeom>
                    <a:noFill/>
                    <a:ln>
                      <a:noFill/>
                    </a:ln>
                  </pic:spPr>
                </pic:pic>
              </a:graphicData>
            </a:graphic>
          </wp:inline>
        </w:drawing>
      </w:r>
    </w:p>
    <w:p w14:paraId="69534C1A" w14:textId="50144743" w:rsidR="00B17E5F" w:rsidRPr="00322E56" w:rsidRDefault="00B17E5F" w:rsidP="0078264C">
      <w:pPr>
        <w:pStyle w:val="Caption"/>
        <w:jc w:val="center"/>
        <w:rPr>
          <w:rFonts w:cs="Times New Roman"/>
        </w:rPr>
      </w:pPr>
      <w:bookmarkStart w:id="139" w:name="_Toc140403888"/>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22</w:t>
      </w:r>
      <w:r w:rsidRPr="00322E56">
        <w:rPr>
          <w:rFonts w:cs="Times New Roman"/>
        </w:rPr>
        <w:fldChar w:fldCharType="end"/>
      </w:r>
      <w:r w:rsidRPr="00322E56">
        <w:rPr>
          <w:rFonts w:cs="Times New Roman"/>
        </w:rPr>
        <w:t>: Controls decision tree</w:t>
      </w:r>
      <w:bookmarkEnd w:id="139"/>
    </w:p>
    <w:p w14:paraId="3A2535F1" w14:textId="77777777" w:rsidR="00C42B07" w:rsidRPr="00322E56" w:rsidRDefault="00C42B07" w:rsidP="00C42B07">
      <w:pPr>
        <w:spacing w:line="240" w:lineRule="auto"/>
        <w:ind w:firstLine="0"/>
        <w:rPr>
          <w:rFonts w:cs="Times New Roman"/>
        </w:rPr>
      </w:pPr>
    </w:p>
    <w:p w14:paraId="52F86675" w14:textId="77777777" w:rsidR="00B17E5F" w:rsidRPr="00322E56" w:rsidRDefault="00B17E5F" w:rsidP="00417005">
      <w:pPr>
        <w:keepNext/>
        <w:ind w:firstLine="0"/>
        <w:jc w:val="center"/>
        <w:rPr>
          <w:rFonts w:cs="Times New Roman"/>
        </w:rPr>
      </w:pPr>
      <w:r w:rsidRPr="00322E56">
        <w:rPr>
          <w:rFonts w:cs="Times New Roman"/>
          <w:noProof/>
        </w:rPr>
        <w:drawing>
          <wp:inline distT="0" distB="0" distL="0" distR="0" wp14:anchorId="50C0D004" wp14:editId="0FF90FE2">
            <wp:extent cx="5486400" cy="2812684"/>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486400" cy="2812684"/>
                    </a:xfrm>
                    <a:prstGeom prst="rect">
                      <a:avLst/>
                    </a:prstGeom>
                    <a:noFill/>
                  </pic:spPr>
                </pic:pic>
              </a:graphicData>
            </a:graphic>
          </wp:inline>
        </w:drawing>
      </w:r>
    </w:p>
    <w:p w14:paraId="1E7F731E" w14:textId="072AF4FF" w:rsidR="00B17E5F" w:rsidRPr="00322E56" w:rsidRDefault="00B17E5F" w:rsidP="0078264C">
      <w:pPr>
        <w:pStyle w:val="Caption"/>
        <w:jc w:val="center"/>
        <w:rPr>
          <w:rFonts w:cs="Times New Roman"/>
        </w:rPr>
      </w:pPr>
      <w:bookmarkStart w:id="140" w:name="_Toc140403889"/>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23</w:t>
      </w:r>
      <w:r w:rsidRPr="00322E56">
        <w:rPr>
          <w:rFonts w:cs="Times New Roman"/>
        </w:rPr>
        <w:fldChar w:fldCharType="end"/>
      </w:r>
      <w:r w:rsidRPr="00322E56">
        <w:rPr>
          <w:rFonts w:cs="Times New Roman"/>
        </w:rPr>
        <w:t>: Total system information flow and relation between sub-models</w:t>
      </w:r>
      <w:bookmarkEnd w:id="140"/>
    </w:p>
    <w:p w14:paraId="1A700CDC" w14:textId="77777777" w:rsidR="00B17E5F" w:rsidRPr="00322E56" w:rsidRDefault="00B17E5F">
      <w:pPr>
        <w:spacing w:line="240" w:lineRule="auto"/>
        <w:rPr>
          <w:rFonts w:cs="Times New Roman"/>
        </w:rPr>
      </w:pPr>
      <w:r w:rsidRPr="00322E56">
        <w:rPr>
          <w:rFonts w:cs="Times New Roman"/>
        </w:rPr>
        <w:br w:type="page"/>
      </w:r>
    </w:p>
    <w:p w14:paraId="57AA07EC" w14:textId="77777777" w:rsidR="00B17E5F" w:rsidRPr="00322E56" w:rsidRDefault="00B17E5F" w:rsidP="00850A74">
      <w:pPr>
        <w:pStyle w:val="Heading2"/>
        <w:rPr>
          <w:rFonts w:cs="Times New Roman"/>
        </w:rPr>
      </w:pPr>
      <w:bookmarkStart w:id="141" w:name="_Toc140399861"/>
      <w:r w:rsidRPr="00322E56">
        <w:rPr>
          <w:rFonts w:cs="Times New Roman"/>
        </w:rPr>
        <w:lastRenderedPageBreak/>
        <w:t>Component Models</w:t>
      </w:r>
      <w:bookmarkEnd w:id="141"/>
    </w:p>
    <w:p w14:paraId="30FEC4D3" w14:textId="77777777" w:rsidR="00B17E5F" w:rsidRPr="00322E56" w:rsidRDefault="00B17E5F" w:rsidP="00850A74">
      <w:pPr>
        <w:pStyle w:val="Heading3"/>
        <w:rPr>
          <w:rFonts w:cs="Times New Roman"/>
        </w:rPr>
      </w:pPr>
      <w:bookmarkStart w:id="142" w:name="_Toc140399862"/>
      <w:r w:rsidRPr="00322E56">
        <w:rPr>
          <w:rFonts w:cs="Times New Roman"/>
        </w:rPr>
        <w:t>Weather Data</w:t>
      </w:r>
      <w:bookmarkEnd w:id="142"/>
    </w:p>
    <w:p w14:paraId="38D18F32" w14:textId="77777777" w:rsidR="00B17E5F" w:rsidRDefault="00B17E5F" w:rsidP="0078264C">
      <w:pPr>
        <w:widowControl w:val="0"/>
        <w:rPr>
          <w:rFonts w:cs="Times New Roman"/>
        </w:rPr>
      </w:pPr>
      <w:r w:rsidRPr="00322E56">
        <w:rPr>
          <w:rFonts w:cs="Times New Roman"/>
        </w:rPr>
        <w:t>The system’s performance is evaluated for a hot week in a dry climate of southern California, ASHRAE climate zone 3B, June 24-30, 1994. TMY 3 weather data for Fresno County, CA was used. The location correlates to the utility pricing. The dry bulb temperature is shown in Figure 24 with the indoor comfort temperature range shown for reference.</w:t>
      </w:r>
    </w:p>
    <w:p w14:paraId="674CCDDE" w14:textId="77777777" w:rsidR="003677ED" w:rsidRPr="00322E56" w:rsidRDefault="003677ED" w:rsidP="003677ED">
      <w:pPr>
        <w:pStyle w:val="Heading3"/>
        <w:rPr>
          <w:rFonts w:cs="Times New Roman"/>
        </w:rPr>
      </w:pPr>
      <w:bookmarkStart w:id="143" w:name="_Toc140399863"/>
      <w:r w:rsidRPr="00322E56">
        <w:rPr>
          <w:rFonts w:cs="Times New Roman"/>
        </w:rPr>
        <w:t>Building Model</w:t>
      </w:r>
      <w:bookmarkEnd w:id="143"/>
    </w:p>
    <w:p w14:paraId="08829CD0" w14:textId="77777777" w:rsidR="003677ED" w:rsidRPr="00322E56" w:rsidRDefault="003677ED" w:rsidP="003677ED">
      <w:pPr>
        <w:rPr>
          <w:rFonts w:cs="Times New Roman"/>
        </w:rPr>
      </w:pPr>
      <w:r w:rsidRPr="00322E56">
        <w:rPr>
          <w:rFonts w:cs="Times New Roman"/>
        </w:rPr>
        <w:t xml:space="preserve">A simplified building model is used to simulate the thermal response of the building. The simplified model calculates the indoor temperature depending on the ambient heat load, VCS heat load, and the building thermal capacitance. The ambient heat load is modeled by using an assumed building balance point temperature of 18°C with the heat exchange from the ambient proportional to the difference between the outdoor ambient temperature and the point balance temperature, as shown in Equation (2).  The effective heat transfer coefficient, </w:t>
      </w:r>
      <w:r w:rsidRPr="00322E56">
        <w:rPr>
          <w:rFonts w:cs="Times New Roman"/>
          <w:i/>
          <w:iCs/>
        </w:rPr>
        <w:t>U</w:t>
      </w:r>
      <w:r w:rsidRPr="00322E56">
        <w:rPr>
          <w:rFonts w:cs="Times New Roman"/>
        </w:rPr>
        <w:t>, was estimated to be 0.21 kW-K</w:t>
      </w:r>
      <w:r w:rsidRPr="00322E56">
        <w:rPr>
          <w:rFonts w:cs="Times New Roman"/>
          <w:vertAlign w:val="superscript"/>
        </w:rPr>
        <w:t>-1</w:t>
      </w:r>
      <w:r w:rsidRPr="00322E56">
        <w:rPr>
          <w:rFonts w:cs="Times New Roman"/>
        </w:rPr>
        <w:t>.</w:t>
      </w:r>
    </w:p>
    <w:p w14:paraId="15C67EE7" w14:textId="77777777" w:rsidR="003677ED" w:rsidRPr="00322E56" w:rsidRDefault="003677ED" w:rsidP="003677ED">
      <w:pPr>
        <w:tabs>
          <w:tab w:val="center" w:pos="4680"/>
          <w:tab w:val="right" w:pos="9360"/>
        </w:tabs>
        <w:rPr>
          <w:rFonts w:cs="Times New Roman"/>
        </w:rPr>
      </w:pPr>
      <w:r w:rsidRPr="00322E56">
        <w:rPr>
          <w:rFonts w:cs="Times New Roman"/>
        </w:rPr>
        <w:tab/>
      </w:r>
      <m:oMath>
        <m:sSub>
          <m:sSubPr>
            <m:ctrlPr>
              <w:rPr>
                <w:rFonts w:ascii="Cambria Math" w:eastAsia="Calibri" w:hAnsi="Cambria Math" w:cs="Times New Roman"/>
                <w:i/>
                <w:sz w:val="22"/>
                <w:szCs w:val="22"/>
              </w:rPr>
            </m:ctrlPr>
          </m:sSubPr>
          <m:e>
            <m:r>
              <w:rPr>
                <w:rFonts w:ascii="Cambria Math" w:hAnsi="Cambria Math" w:cs="Times New Roman"/>
              </w:rPr>
              <m:t>Q</m:t>
            </m:r>
          </m:e>
          <m:sub>
            <m:r>
              <w:rPr>
                <w:rFonts w:ascii="Cambria Math" w:hAnsi="Cambria Math" w:cs="Times New Roman"/>
              </w:rPr>
              <m:t>amb</m:t>
            </m:r>
          </m:sub>
        </m:sSub>
        <m:r>
          <w:rPr>
            <w:rFonts w:ascii="Cambria Math" w:hAnsi="Cambria Math" w:cs="Times New Roman"/>
          </w:rPr>
          <m:t>=U*</m:t>
        </m:r>
        <m:d>
          <m:dPr>
            <m:ctrlPr>
              <w:rPr>
                <w:rFonts w:ascii="Cambria Math" w:hAnsi="Cambria Math" w:cs="Times New Roman"/>
                <w:i/>
              </w:rPr>
            </m:ctrlPr>
          </m:dPr>
          <m:e>
            <m:sSub>
              <m:sSubPr>
                <m:ctrlPr>
                  <w:rPr>
                    <w:rFonts w:ascii="Cambria Math" w:eastAsia="Calibri" w:hAnsi="Cambria Math" w:cs="Times New Roman"/>
                    <w:i/>
                    <w:sz w:val="22"/>
                    <w:szCs w:val="22"/>
                  </w:rPr>
                </m:ctrlPr>
              </m:sSubPr>
              <m:e>
                <m:r>
                  <w:rPr>
                    <w:rFonts w:ascii="Cambria Math" w:hAnsi="Cambria Math" w:cs="Times New Roman"/>
                  </w:rPr>
                  <m:t>T</m:t>
                </m:r>
              </m:e>
              <m:sub>
                <m:r>
                  <w:rPr>
                    <w:rFonts w:ascii="Cambria Math" w:hAnsi="Cambria Math" w:cs="Times New Roman"/>
                  </w:rPr>
                  <m:t>amb</m:t>
                </m:r>
              </m:sub>
            </m:sSub>
            <m:r>
              <w:rPr>
                <w:rFonts w:ascii="Cambria Math" w:hAnsi="Cambria Math" w:cs="Times New Roman"/>
              </w:rPr>
              <m:t>-</m:t>
            </m:r>
            <m:sSub>
              <m:sSubPr>
                <m:ctrlPr>
                  <w:rPr>
                    <w:rFonts w:ascii="Cambria Math" w:eastAsia="Calibri" w:hAnsi="Cambria Math" w:cs="Times New Roman"/>
                    <w:i/>
                    <w:sz w:val="22"/>
                    <w:szCs w:val="22"/>
                  </w:rPr>
                </m:ctrlPr>
              </m:sSubPr>
              <m:e>
                <m:r>
                  <w:rPr>
                    <w:rFonts w:ascii="Cambria Math" w:hAnsi="Cambria Math" w:cs="Times New Roman"/>
                  </w:rPr>
                  <m:t>T</m:t>
                </m:r>
              </m:e>
              <m:sub>
                <m:r>
                  <w:rPr>
                    <w:rFonts w:ascii="Cambria Math" w:hAnsi="Cambria Math" w:cs="Times New Roman"/>
                  </w:rPr>
                  <m:t>bal</m:t>
                </m:r>
              </m:sub>
            </m:sSub>
          </m:e>
        </m:d>
      </m:oMath>
      <w:r w:rsidRPr="00322E56">
        <w:rPr>
          <w:rFonts w:cs="Times New Roman"/>
        </w:rPr>
        <w:tab/>
        <w:t>(2)</w:t>
      </w:r>
    </w:p>
    <w:p w14:paraId="7AFF2541" w14:textId="77777777" w:rsidR="003677ED" w:rsidRPr="00322E56" w:rsidRDefault="003677ED" w:rsidP="003677ED">
      <w:pPr>
        <w:rPr>
          <w:rFonts w:cs="Times New Roman"/>
        </w:rPr>
      </w:pPr>
      <w:r w:rsidRPr="00322E56">
        <w:rPr>
          <w:rFonts w:cs="Times New Roman"/>
        </w:rPr>
        <w:t>The indoor temperature is determined based on the heat balance according to Equation (3) where Q</w:t>
      </w:r>
      <w:r w:rsidRPr="00322E56">
        <w:rPr>
          <w:rFonts w:cs="Times New Roman"/>
          <w:vertAlign w:val="subscript"/>
        </w:rPr>
        <w:t>VCS</w:t>
      </w:r>
      <w:r w:rsidRPr="00322E56">
        <w:rPr>
          <w:rFonts w:cs="Times New Roman"/>
        </w:rPr>
        <w:t xml:space="preserve"> is the cooling load provided from the VCS in either normal or discharging modes dependent on the controls in Figure 4.  The time step, dt, in this simulation is one minute. An overall effective building thermal capacitance, C, of 16459 J/K was chosen to represent a typical single-family house with 223 m</w:t>
      </w:r>
      <w:r w:rsidRPr="00322E56">
        <w:rPr>
          <w:rFonts w:cs="Times New Roman"/>
          <w:vertAlign w:val="superscript"/>
        </w:rPr>
        <w:t>2</w:t>
      </w:r>
      <w:r w:rsidRPr="00322E56">
        <w:rPr>
          <w:rFonts w:cs="Times New Roman"/>
        </w:rPr>
        <w:t xml:space="preserve"> (2400 ft</w:t>
      </w:r>
      <w:r w:rsidRPr="00322E56">
        <w:rPr>
          <w:rFonts w:cs="Times New Roman"/>
          <w:vertAlign w:val="superscript"/>
        </w:rPr>
        <w:t>2</w:t>
      </w:r>
      <w:r w:rsidRPr="00322E56">
        <w:rPr>
          <w:rFonts w:cs="Times New Roman"/>
        </w:rPr>
        <w:t xml:space="preserve">) area </w:t>
      </w:r>
      <w:sdt>
        <w:sdtPr>
          <w:rPr>
            <w:rFonts w:cs="Times New Roman"/>
            <w:color w:val="000000"/>
          </w:rPr>
          <w:tag w:val="MENDELEY_CITATION_v3_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"/>
          <w:id w:val="478283085"/>
          <w:placeholder>
            <w:docPart w:val="B184BA98A7FEA241AECE0B90580BD794"/>
          </w:placeholder>
        </w:sdtPr>
        <w:sdtEndPr>
          <w:rPr>
            <w:rFonts w:cs="Arial"/>
          </w:rPr>
        </w:sdtEndPr>
        <w:sdtContent>
          <w:r w:rsidRPr="001E7ECF">
            <w:rPr>
              <w:color w:val="000000"/>
            </w:rPr>
            <w:t>[3]</w:t>
          </w:r>
        </w:sdtContent>
      </w:sdt>
      <w:r w:rsidRPr="00322E56">
        <w:rPr>
          <w:rFonts w:cs="Times New Roman"/>
        </w:rPr>
        <w:t>.</w:t>
      </w:r>
      <w:bookmarkStart w:id="144" w:name="_Hlk61340896"/>
    </w:p>
    <w:bookmarkEnd w:id="144"/>
    <w:p w14:paraId="29451771" w14:textId="77777777" w:rsidR="003677ED" w:rsidRPr="00322E56" w:rsidRDefault="003677ED" w:rsidP="003677ED">
      <w:pPr>
        <w:tabs>
          <w:tab w:val="center" w:pos="4680"/>
          <w:tab w:val="right" w:pos="9360"/>
        </w:tabs>
        <w:jc w:val="center"/>
        <w:rPr>
          <w:rFonts w:cs="Times New Roman"/>
        </w:rPr>
      </w:pPr>
      <w:r w:rsidRPr="00322E56">
        <w:rPr>
          <w:rFonts w:cs="Times New Roman"/>
        </w:rPr>
        <w:tab/>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indoor,i+1</m:t>
            </m:r>
          </m:sub>
        </m:sSub>
        <m:r>
          <w:rPr>
            <w:rFonts w:ascii="Cambria Math" w:hAnsi="Cambria Math" w:cs="Times New Roman"/>
          </w:rPr>
          <m:t>=</m:t>
        </m:r>
        <m:f>
          <m:fPr>
            <m:ctrlPr>
              <w:rPr>
                <w:rFonts w:ascii="Cambria Math" w:eastAsia="Calibri" w:hAnsi="Cambria Math" w:cs="Times New Roman"/>
                <w:i/>
                <w:sz w:val="22"/>
                <w:szCs w:val="22"/>
              </w:rPr>
            </m:ctrlPr>
          </m:fPr>
          <m:num>
            <m:r>
              <w:rPr>
                <w:rFonts w:ascii="Cambria Math" w:hAnsi="Cambria Math" w:cs="Times New Roman"/>
              </w:rPr>
              <m:t>-</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VCS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amb</m:t>
                    </m:r>
                  </m:sub>
                </m:sSub>
              </m:e>
            </m:d>
            <m:r>
              <w:rPr>
                <w:rFonts w:ascii="Cambria Math" w:hAnsi="Cambria Math" w:cs="Times New Roman"/>
              </w:rPr>
              <m:t>*dt</m:t>
            </m:r>
          </m:num>
          <m:den>
            <m:r>
              <w:rPr>
                <w:rFonts w:ascii="Cambria Math" w:hAnsi="Cambria Math" w:cs="Times New Roman"/>
              </w:rPr>
              <m:t>C</m:t>
            </m:r>
          </m:den>
        </m:f>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indoor,i</m:t>
            </m:r>
          </m:sub>
        </m:sSub>
      </m:oMath>
      <w:r w:rsidRPr="00322E56">
        <w:rPr>
          <w:rFonts w:cs="Times New Roman"/>
        </w:rPr>
        <w:tab/>
        <w:t>(3)</w:t>
      </w:r>
    </w:p>
    <w:p w14:paraId="2CAC5A95" w14:textId="77777777" w:rsidR="003677ED" w:rsidRPr="00322E56" w:rsidRDefault="003677ED" w:rsidP="0078264C">
      <w:pPr>
        <w:widowControl w:val="0"/>
        <w:rPr>
          <w:rFonts w:cs="Times New Roman"/>
        </w:rPr>
      </w:pPr>
    </w:p>
    <w:p w14:paraId="5A6F4203" w14:textId="77777777" w:rsidR="00B17E5F" w:rsidRPr="00322E56" w:rsidRDefault="00B17E5F">
      <w:pPr>
        <w:spacing w:line="240" w:lineRule="auto"/>
        <w:rPr>
          <w:rFonts w:cs="Times New Roman"/>
        </w:rPr>
      </w:pPr>
      <w:r w:rsidRPr="00322E56">
        <w:rPr>
          <w:rFonts w:cs="Times New Roman"/>
        </w:rPr>
        <w:br w:type="page"/>
      </w:r>
    </w:p>
    <w:p w14:paraId="7944468D" w14:textId="77777777" w:rsidR="00B17E5F" w:rsidRPr="00322E56" w:rsidRDefault="00B17E5F" w:rsidP="00850A74">
      <w:pPr>
        <w:widowControl w:val="0"/>
        <w:rPr>
          <w:rFonts w:cs="Times New Roman"/>
        </w:rPr>
      </w:pPr>
    </w:p>
    <w:p w14:paraId="4B538AC7" w14:textId="77777777" w:rsidR="00B17E5F" w:rsidRPr="00322E56" w:rsidRDefault="00B17E5F" w:rsidP="00335B9C">
      <w:pPr>
        <w:keepNext/>
        <w:ind w:firstLine="0"/>
        <w:jc w:val="center"/>
        <w:rPr>
          <w:rFonts w:cs="Times New Roman"/>
        </w:rPr>
      </w:pPr>
      <w:r w:rsidRPr="00322E56">
        <w:rPr>
          <w:rFonts w:cs="Times New Roman"/>
          <w:noProof/>
        </w:rPr>
        <w:drawing>
          <wp:inline distT="0" distB="0" distL="0" distR="0" wp14:anchorId="60E31031" wp14:editId="01F0FF65">
            <wp:extent cx="5029200" cy="2454685"/>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029200" cy="2454685"/>
                    </a:xfrm>
                    <a:prstGeom prst="rect">
                      <a:avLst/>
                    </a:prstGeom>
                    <a:noFill/>
                  </pic:spPr>
                </pic:pic>
              </a:graphicData>
            </a:graphic>
          </wp:inline>
        </w:drawing>
      </w:r>
    </w:p>
    <w:p w14:paraId="5EFFE25C" w14:textId="23E70B6C" w:rsidR="00B17E5F" w:rsidRPr="00322E56" w:rsidRDefault="00B17E5F" w:rsidP="0078264C">
      <w:pPr>
        <w:pStyle w:val="Caption"/>
        <w:jc w:val="center"/>
        <w:rPr>
          <w:rFonts w:cs="Times New Roman"/>
        </w:rPr>
      </w:pPr>
      <w:bookmarkStart w:id="145" w:name="_Toc140403890"/>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24</w:t>
      </w:r>
      <w:r w:rsidRPr="00322E56">
        <w:rPr>
          <w:rFonts w:cs="Times New Roman"/>
        </w:rPr>
        <w:fldChar w:fldCharType="end"/>
      </w:r>
      <w:r w:rsidRPr="00322E56">
        <w:rPr>
          <w:rFonts w:cs="Times New Roman"/>
        </w:rPr>
        <w:t>: Ambient dry bulb temperature for the simulated week</w:t>
      </w:r>
      <w:bookmarkEnd w:id="145"/>
    </w:p>
    <w:p w14:paraId="199BDD1C" w14:textId="77777777" w:rsidR="00B17E5F" w:rsidRPr="00322E56" w:rsidRDefault="00B17E5F">
      <w:pPr>
        <w:spacing w:line="240" w:lineRule="auto"/>
        <w:rPr>
          <w:rFonts w:cs="Times New Roman"/>
        </w:rPr>
      </w:pPr>
      <w:r w:rsidRPr="00322E56">
        <w:rPr>
          <w:rFonts w:cs="Times New Roman"/>
        </w:rPr>
        <w:br w:type="page"/>
      </w:r>
    </w:p>
    <w:p w14:paraId="46836DBB" w14:textId="77777777" w:rsidR="00B17E5F" w:rsidRPr="00322E56" w:rsidRDefault="00B17E5F" w:rsidP="00B613B5">
      <w:pPr>
        <w:pStyle w:val="Heading3"/>
        <w:rPr>
          <w:rFonts w:cs="Times New Roman"/>
        </w:rPr>
      </w:pPr>
      <w:bookmarkStart w:id="146" w:name="_Toc140399864"/>
      <w:r w:rsidRPr="00322E56">
        <w:rPr>
          <w:rFonts w:cs="Times New Roman"/>
        </w:rPr>
        <w:lastRenderedPageBreak/>
        <w:t>Building Thermostat Model</w:t>
      </w:r>
      <w:bookmarkEnd w:id="146"/>
    </w:p>
    <w:p w14:paraId="3B1571A8" w14:textId="7D98C734" w:rsidR="00B17E5F" w:rsidRPr="00322E56" w:rsidRDefault="00B17E5F" w:rsidP="0078264C">
      <w:pPr>
        <w:rPr>
          <w:rFonts w:cs="Times New Roman"/>
        </w:rPr>
      </w:pPr>
      <w:r w:rsidRPr="00322E56">
        <w:rPr>
          <w:rFonts w:cs="Times New Roman"/>
        </w:rPr>
        <w:t>The thermostat control has a constant setpoint of 21.1°C (70°F) and a deadband of ±0.5°C (±1.8°F). When the building temperature rises above the setpoint temperature plus the deadband, the VCS will be activated to cool the building in either normal or discharging mode dependent on the decision tree of Figure 22. The building will cool until the temperature falls below the setpoint temperature minus the deadband where the VCS will be shut off for direct building cooling.</w:t>
      </w:r>
    </w:p>
    <w:p w14:paraId="40B601E3" w14:textId="77777777" w:rsidR="00B17E5F" w:rsidRPr="00322E56" w:rsidRDefault="00B17E5F" w:rsidP="00B613B5">
      <w:pPr>
        <w:pStyle w:val="Heading3"/>
        <w:rPr>
          <w:rFonts w:cs="Times New Roman"/>
        </w:rPr>
      </w:pPr>
      <w:bookmarkStart w:id="147" w:name="_Toc140399865"/>
      <w:r w:rsidRPr="00322E56">
        <w:rPr>
          <w:rFonts w:cs="Times New Roman"/>
        </w:rPr>
        <w:t>VCS Model</w:t>
      </w:r>
      <w:bookmarkEnd w:id="147"/>
    </w:p>
    <w:p w14:paraId="217342B9" w14:textId="4A4CC194" w:rsidR="00B17E5F" w:rsidRPr="00322E56" w:rsidRDefault="00B17E5F" w:rsidP="0078264C">
      <w:pPr>
        <w:rPr>
          <w:rFonts w:cs="Times New Roman"/>
        </w:rPr>
      </w:pPr>
      <w:r w:rsidRPr="00322E56">
        <w:rPr>
          <w:rFonts w:cs="Times New Roman"/>
        </w:rPr>
        <w:t xml:space="preserve">The VCS was modeled in Engineering Equation Solver </w:t>
      </w:r>
      <w:sdt>
        <w:sdtPr>
          <w:rPr>
            <w:rFonts w:cs="Times New Roman"/>
            <w:color w:val="000000"/>
          </w:rPr>
          <w:tag w:val="MENDELEY_CITATION_v3_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"/>
          <w:id w:val="-1720502463"/>
          <w:placeholder>
            <w:docPart w:val="DefaultPlaceholder_-1854013440"/>
          </w:placeholder>
        </w:sdtPr>
        <w:sdtEndPr>
          <w:rPr>
            <w:rFonts w:cs="Arial"/>
          </w:rPr>
        </w:sdtEndPr>
        <w:sdtContent>
          <w:r w:rsidR="001E7ECF" w:rsidRPr="001E7ECF">
            <w:rPr>
              <w:color w:val="000000"/>
            </w:rPr>
            <w:t>[187]</w:t>
          </w:r>
        </w:sdtContent>
      </w:sdt>
      <w:r w:rsidRPr="00322E56">
        <w:rPr>
          <w:rFonts w:cs="Times New Roman"/>
        </w:rPr>
        <w:t xml:space="preserve"> to model a 2-ton HVAC system and couple it with PCM TES. The VCS uses R410a as the refrigerant with a constant volumetric flow through the compressor. The VCS modeled is ideal: the compressor undergoes isentropic compression, the expansion valve sees isenthalpic expansion, and there is no pressure drop across either the condenser or evaporator. In normal operation, the dry bulb temperature is taken as evaporator temperature. An approach temperature of 5 deg was fixed. The discharging, charging, and normal modes were modeled independently, and lookup tables developed.  </w:t>
      </w:r>
    </w:p>
    <w:p w14:paraId="5DD38434" w14:textId="77777777" w:rsidR="00B17E5F" w:rsidRPr="00322E56" w:rsidRDefault="00B17E5F" w:rsidP="0078264C">
      <w:pPr>
        <w:rPr>
          <w:rFonts w:cs="Times New Roman"/>
        </w:rPr>
      </w:pPr>
      <w:r w:rsidRPr="00322E56">
        <w:rPr>
          <w:rFonts w:cs="Times New Roman"/>
        </w:rPr>
        <w:t>For all modes the compressor has the same constant volumetric flow rate, 2.5e-6 m</w:t>
      </w:r>
      <w:r w:rsidRPr="00322E56">
        <w:rPr>
          <w:rFonts w:cs="Times New Roman"/>
          <w:vertAlign w:val="superscript"/>
        </w:rPr>
        <w:t>3</w:t>
      </w:r>
      <w:r w:rsidRPr="00322E56">
        <w:rPr>
          <w:rFonts w:cs="Times New Roman"/>
        </w:rPr>
        <w:t xml:space="preserve">.  In the normal and discharging modes, the VCS interfaces with the building with an evaporator at a near constant 15°C temperature.  In the normal mode the condenser is coupled to the ambient, thus the ambient temperature, as shown in Figure 5, was used as an input.  In discharging mode, the condenser is coupled to the TES, kept at a constant 0°C.  Fans with a power draw of 0.585 kW are present only in the building air handling unit and the outdoor condensing unit and are activated when the operating mode dictates.  The TES does not have a fan. While in charging mode, the VCS evaporator interfaces with the TES and the condenser to the ambient.  Thus, the TES heat exchanger must be able to be switched from a condensing mode to evaporating mode.  For a real system of this type, controllable valves, check valves, switches, and other special components may be </w:t>
      </w:r>
      <w:r w:rsidRPr="00322E56">
        <w:rPr>
          <w:rFonts w:cs="Times New Roman"/>
        </w:rPr>
        <w:lastRenderedPageBreak/>
        <w:t>necessary for the TES system to make this switch.  The simplicity of this model assumes these challenges can be met.</w:t>
      </w:r>
    </w:p>
    <w:p w14:paraId="1683A64B" w14:textId="483C64AD" w:rsidR="003677ED" w:rsidRDefault="00B17E5F" w:rsidP="005E13E0">
      <w:pPr>
        <w:rPr>
          <w:rFonts w:cs="Times New Roman"/>
        </w:rPr>
      </w:pPr>
      <w:r w:rsidRPr="00322E56">
        <w:rPr>
          <w:rFonts w:cs="Times New Roman"/>
        </w:rPr>
        <w:t>The work and heat for all modes was calculated and called upon by the building and thermostat models as determined by the decision tree of Figure 22 and the information flow of Figure 23.  The values of work and heat are shown in Figure 25 plotted against the ambient temperature where applicable.  The discharging mode has no external temperature dependence and thus its operating parameters are constant.</w:t>
      </w:r>
    </w:p>
    <w:p w14:paraId="7A2A0A68" w14:textId="77777777" w:rsidR="003677ED" w:rsidRPr="00322E56" w:rsidRDefault="003677ED" w:rsidP="003677ED">
      <w:pPr>
        <w:pStyle w:val="Heading3"/>
        <w:rPr>
          <w:rFonts w:cs="Times New Roman"/>
        </w:rPr>
      </w:pPr>
      <w:bookmarkStart w:id="148" w:name="_Toc140399866"/>
      <w:r w:rsidRPr="00322E56">
        <w:rPr>
          <w:rFonts w:cs="Times New Roman"/>
        </w:rPr>
        <w:t>TES Model</w:t>
      </w:r>
      <w:bookmarkEnd w:id="148"/>
    </w:p>
    <w:p w14:paraId="39DE4060" w14:textId="77777777" w:rsidR="003677ED" w:rsidRDefault="003677ED" w:rsidP="003677ED">
      <w:pPr>
        <w:rPr>
          <w:rFonts w:cs="Times New Roman"/>
          <w:color w:val="0D0D0D"/>
        </w:rPr>
      </w:pPr>
      <w:r w:rsidRPr="00322E56">
        <w:rPr>
          <w:rFonts w:cs="Times New Roman"/>
        </w:rPr>
        <w:t xml:space="preserve">The VCS is coupled to the TES system; the TES does not interact with the building directly and is insulated from ambient exposure. The PCM embedded in the TES is water/ice with a melting temperature of 0°C, </w:t>
      </w:r>
      <w:r w:rsidRPr="00322E56">
        <w:rPr>
          <w:rFonts w:cs="Times New Roman"/>
          <w:color w:val="0D0D0D"/>
        </w:rPr>
        <w:t>in an assumed 80-gallon tank, which provides nearly 27.8 kWh of cooling capacity.  The necessary heat exchanger in the TES is assumed to have near infinite heat transfer rate such that the temperature within the TES is constant at 0°C.  The state of charge (SOC) is the percentage of maximum energy stored within the TES.  When the TES is operated in the discharging or charging modes, the energy contained and SOC are reduced or increased, respectively, by the amount of heat determined by the VCS model.</w:t>
      </w:r>
    </w:p>
    <w:p w14:paraId="4B896C52" w14:textId="77777777" w:rsidR="003677ED" w:rsidRDefault="003677ED" w:rsidP="003677ED">
      <w:pPr>
        <w:rPr>
          <w:rFonts w:cs="Times New Roman"/>
        </w:rPr>
      </w:pPr>
      <w:r w:rsidRPr="00322E56">
        <w:rPr>
          <w:rFonts w:cs="Times New Roman"/>
          <w:color w:val="0D0D0D"/>
        </w:rPr>
        <w:t xml:space="preserve">This model only charges the TES between the hours of 1am and 7am.  Different time controls or schedules may be utilized in real systems to avoid off-peak power demand spikes as predicted by </w:t>
      </w:r>
      <w:sdt>
        <w:sdtPr>
          <w:rPr>
            <w:rFonts w:cs="Times New Roman"/>
            <w:color w:val="000000"/>
          </w:rPr>
          <w:tag w:val="MENDELEY_CITATION_v3_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"/>
          <w:id w:val="2126416149"/>
          <w:placeholder>
            <w:docPart w:val="A1BD4A1185242E4A84CFBE65FCBBF3C6"/>
          </w:placeholder>
        </w:sdtPr>
        <w:sdtEndPr>
          <w:rPr>
            <w:rFonts w:cs="Arial"/>
          </w:rPr>
        </w:sdtEndPr>
        <w:sdtContent>
          <w:r w:rsidRPr="001E7ECF">
            <w:rPr>
              <w:color w:val="000000"/>
            </w:rPr>
            <w:t>Gottwalt et al., (2011)</w:t>
          </w:r>
        </w:sdtContent>
      </w:sdt>
      <w:r w:rsidRPr="00322E56">
        <w:rPr>
          <w:rFonts w:cs="Times New Roman"/>
        </w:rPr>
        <w:t xml:space="preserve"> or to take advantage of abundant energy on the grid from daytime solar or heavy wind periods, depending on the energy portfolio of the utility provider or any off-grid energy sources a customer may have.</w:t>
      </w:r>
    </w:p>
    <w:p w14:paraId="0F622911" w14:textId="77777777" w:rsidR="003677ED" w:rsidRPr="00322E56" w:rsidRDefault="003677ED" w:rsidP="003677ED">
      <w:pPr>
        <w:pStyle w:val="Heading3"/>
        <w:rPr>
          <w:rFonts w:cs="Times New Roman"/>
        </w:rPr>
      </w:pPr>
      <w:bookmarkStart w:id="149" w:name="_Toc140399867"/>
      <w:r w:rsidRPr="00322E56">
        <w:rPr>
          <w:rFonts w:cs="Times New Roman"/>
        </w:rPr>
        <w:t>Utility Rate Analysis</w:t>
      </w:r>
      <w:bookmarkEnd w:id="149"/>
    </w:p>
    <w:p w14:paraId="140E9B22" w14:textId="43CE301E" w:rsidR="003677ED" w:rsidRPr="00322E56" w:rsidRDefault="003677ED" w:rsidP="003677ED">
      <w:pPr>
        <w:rPr>
          <w:rFonts w:cs="Times New Roman"/>
        </w:rPr>
      </w:pPr>
      <w:r w:rsidRPr="00322E56">
        <w:rPr>
          <w:rFonts w:cs="Times New Roman"/>
        </w:rPr>
        <w:t xml:space="preserve">The TOU utility tariff used in this analysis is Pacific Gas and Electric (PG&amp;E) Electric Schedule E-TOU-B (Pacific Gas and Electric, 2020).  </w:t>
      </w:r>
    </w:p>
    <w:p w14:paraId="69C1BB54" w14:textId="5818B88D" w:rsidR="00B17E5F" w:rsidRPr="00322E56" w:rsidRDefault="00B17E5F" w:rsidP="003677ED">
      <w:pPr>
        <w:spacing w:before="0" w:line="240" w:lineRule="auto"/>
        <w:ind w:firstLine="0"/>
        <w:jc w:val="left"/>
        <w:rPr>
          <w:rFonts w:cs="Times New Roman"/>
        </w:rPr>
      </w:pPr>
    </w:p>
    <w:p w14:paraId="538F5832" w14:textId="77777777" w:rsidR="00B17E5F" w:rsidRPr="00322E56" w:rsidRDefault="00B17E5F" w:rsidP="005E13E0">
      <w:pPr>
        <w:rPr>
          <w:rFonts w:cs="Times New Roman"/>
        </w:rPr>
      </w:pPr>
    </w:p>
    <w:p w14:paraId="3D3764E9" w14:textId="77777777" w:rsidR="00B17E5F" w:rsidRPr="00322E56" w:rsidRDefault="00B17E5F" w:rsidP="00417005">
      <w:pPr>
        <w:keepNext/>
        <w:ind w:firstLine="0"/>
        <w:jc w:val="center"/>
        <w:rPr>
          <w:rFonts w:cs="Times New Roman"/>
        </w:rPr>
      </w:pPr>
      <w:r w:rsidRPr="00322E56">
        <w:rPr>
          <w:rFonts w:cs="Times New Roman"/>
          <w:noProof/>
        </w:rPr>
        <w:drawing>
          <wp:inline distT="0" distB="0" distL="0" distR="0" wp14:anchorId="15828622" wp14:editId="4B6081EC">
            <wp:extent cx="5766319" cy="1548912"/>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80575" cy="1552741"/>
                    </a:xfrm>
                    <a:prstGeom prst="rect">
                      <a:avLst/>
                    </a:prstGeom>
                    <a:noFill/>
                  </pic:spPr>
                </pic:pic>
              </a:graphicData>
            </a:graphic>
          </wp:inline>
        </w:drawing>
      </w:r>
    </w:p>
    <w:p w14:paraId="112703F5" w14:textId="0814D3B7" w:rsidR="00B17E5F" w:rsidRPr="00322E56" w:rsidRDefault="00B17E5F" w:rsidP="0091763B">
      <w:pPr>
        <w:pStyle w:val="Caption"/>
        <w:jc w:val="center"/>
        <w:rPr>
          <w:rFonts w:cs="Times New Roman"/>
        </w:rPr>
      </w:pPr>
      <w:bookmarkStart w:id="150" w:name="_Toc140403891"/>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25</w:t>
      </w:r>
      <w:r w:rsidRPr="00322E56">
        <w:rPr>
          <w:rFonts w:cs="Times New Roman"/>
        </w:rPr>
        <w:fldChar w:fldCharType="end"/>
      </w:r>
      <w:r w:rsidRPr="00322E56">
        <w:rPr>
          <w:rFonts w:cs="Times New Roman"/>
        </w:rPr>
        <w:t>: VCS operating power for normal, charging, and discharging modes.</w:t>
      </w:r>
      <w:bookmarkEnd w:id="150"/>
    </w:p>
    <w:p w14:paraId="20CF8228" w14:textId="77777777" w:rsidR="00B17E5F" w:rsidRPr="00322E56" w:rsidRDefault="00B17E5F">
      <w:pPr>
        <w:spacing w:line="240" w:lineRule="auto"/>
        <w:rPr>
          <w:rFonts w:cs="Times New Roman"/>
        </w:rPr>
      </w:pPr>
      <w:r w:rsidRPr="00322E56">
        <w:rPr>
          <w:rFonts w:cs="Times New Roman"/>
        </w:rPr>
        <w:br w:type="page"/>
      </w:r>
    </w:p>
    <w:p w14:paraId="68BF8208" w14:textId="46584D10" w:rsidR="00B17E5F" w:rsidRPr="00322E56" w:rsidRDefault="00B17E5F" w:rsidP="003677ED">
      <w:pPr>
        <w:ind w:firstLine="0"/>
        <w:rPr>
          <w:rFonts w:cs="Times New Roman"/>
        </w:rPr>
      </w:pPr>
      <w:r w:rsidRPr="00322E56">
        <w:rPr>
          <w:rFonts w:cs="Times New Roman"/>
        </w:rPr>
        <w:lastRenderedPageBreak/>
        <w:t>This is a legacy tariff as of May 1, 2020, no longer accepting new customers, but the pricing structure is representative of the difference between on-peak and off-peak prices for current tariffs in the region (California Public Utilities Commission, 2019).  The tariff is priced as follows: from June 1 to Sep 30, peak hours are 4pm to 9pm, Monday through Friday with a rate of $0.39689/kWh; all other hours, including all weekend hours, are off peak rates of $0.29383/kWh. Winter rates (Oct 1 – May 31) differ.</w:t>
      </w:r>
    </w:p>
    <w:p w14:paraId="15EC5EA6" w14:textId="72E0237E" w:rsidR="003677ED" w:rsidRDefault="00B17E5F" w:rsidP="004C6510">
      <w:pPr>
        <w:rPr>
          <w:rFonts w:cs="Times New Roman"/>
        </w:rPr>
      </w:pPr>
      <w:r w:rsidRPr="00322E56">
        <w:rPr>
          <w:rFonts w:cs="Times New Roman"/>
        </w:rPr>
        <w:t>Ambient dry bulb temperature is plotted against utility rate in figure 26. Peak time also occurs when cooling demand is higher, so the control strategy is designed to shift the load from high demand period at extreme ambient temperatures.</w:t>
      </w:r>
    </w:p>
    <w:p w14:paraId="7A861B19" w14:textId="77777777" w:rsidR="003677ED" w:rsidRPr="00322E56" w:rsidRDefault="003677ED" w:rsidP="003677ED">
      <w:pPr>
        <w:pStyle w:val="Heading2"/>
        <w:rPr>
          <w:rFonts w:cs="Times New Roman"/>
        </w:rPr>
      </w:pPr>
      <w:bookmarkStart w:id="151" w:name="_Toc140399868"/>
      <w:r w:rsidRPr="00322E56">
        <w:rPr>
          <w:rFonts w:cs="Times New Roman"/>
        </w:rPr>
        <w:t>Results and Discussion</w:t>
      </w:r>
      <w:bookmarkEnd w:id="151"/>
    </w:p>
    <w:p w14:paraId="05CA9A20" w14:textId="77777777" w:rsidR="003677ED" w:rsidRDefault="003677ED" w:rsidP="003677ED">
      <w:pPr>
        <w:rPr>
          <w:rFonts w:cs="Times New Roman"/>
        </w:rPr>
      </w:pPr>
      <w:r w:rsidRPr="00322E56">
        <w:rPr>
          <w:rFonts w:cs="Times New Roman"/>
        </w:rPr>
        <w:t>For the simulated 7-day period, the electric consumption of the HVAC system and the total utility cost are compared for systems with and without water/ice-based TES.  Figure 27 shows the total electric consumption as well as the on-peak hour consumption.  Note that only the first five days (weekdays) have on-peak pricing; weekends are considered off-peak.  The baseline system without TES used 353.2 kWh total with 98.1 kWh used during on-peak hours: weekdays, 4pm – 9pm.  With the TES system, the total electrical usage was reduced 14.5% to 302.1 kWh including an 87.5% reduction of on-peak usage to 12.3 kWh.</w:t>
      </w:r>
    </w:p>
    <w:p w14:paraId="1BBE844C" w14:textId="3F95EA3B" w:rsidR="003677ED" w:rsidRDefault="003677ED" w:rsidP="003677ED">
      <w:pPr>
        <w:rPr>
          <w:rFonts w:cs="Times New Roman"/>
        </w:rPr>
      </w:pPr>
      <w:r w:rsidRPr="00322E56">
        <w:rPr>
          <w:rFonts w:cs="Times New Roman"/>
        </w:rPr>
        <w:t>The utility cost to run the VCS on a hot summer day increases as a function of outdoor dry bulb temperature. During the utility rate peak hours, 4 PM to 9 PM on weekdays, the cost spikes in the base case. The utility cost to cool the building is shown in Figure 28.  The baseline model without the TES resulted in $112.52 but use of the TES system cost nearly 20% less at $90.04 for this simulated week. It should be noted that California has some of the highest utility costs in the US and this week simulated has particularly hot temperatures.  These results should neither be extrapolated to yearly savings nor may be representative of other climates or regions.  However, this does show that during extreme heat events, TES will be a crucial energy saving mechanism, reduce on-peak energy demand, and may be economically beneficial for the customer.</w:t>
      </w:r>
    </w:p>
    <w:p w14:paraId="381759E3" w14:textId="77777777" w:rsidR="00B17E5F" w:rsidRPr="00322E56" w:rsidRDefault="00B17E5F" w:rsidP="004C6510">
      <w:pPr>
        <w:rPr>
          <w:rFonts w:cs="Times New Roman"/>
        </w:rPr>
      </w:pPr>
    </w:p>
    <w:p w14:paraId="27F7D5CE" w14:textId="77777777" w:rsidR="00B17E5F" w:rsidRPr="00322E56" w:rsidRDefault="00B17E5F" w:rsidP="004C6510">
      <w:pPr>
        <w:keepNext/>
        <w:ind w:firstLine="0"/>
        <w:jc w:val="center"/>
        <w:rPr>
          <w:rFonts w:cs="Times New Roman"/>
        </w:rPr>
      </w:pPr>
      <w:r w:rsidRPr="00322E56">
        <w:rPr>
          <w:rFonts w:cs="Times New Roman"/>
          <w:noProof/>
        </w:rPr>
        <w:drawing>
          <wp:inline distT="0" distB="0" distL="0" distR="0" wp14:anchorId="506514B9" wp14:editId="50D8DCD1">
            <wp:extent cx="5029200" cy="2529270"/>
            <wp:effectExtent l="0" t="0" r="0" b="4445"/>
            <wp:docPr id="48" name="Picture 48" descr="Chart, line chart&#10;&#10;Description automatically generated">
              <a:extLst xmlns:a="http://schemas.openxmlformats.org/drawingml/2006/main">
                <a:ext uri="{FF2B5EF4-FFF2-40B4-BE49-F238E27FC236}">
                  <a16:creationId xmlns:a16="http://schemas.microsoft.com/office/drawing/2014/main" id="{B29D9E08-7E08-4E04-971F-8527F08ECB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Chart, line chart&#10;&#10;Description automatically generated">
                      <a:extLst>
                        <a:ext uri="{FF2B5EF4-FFF2-40B4-BE49-F238E27FC236}">
                          <a16:creationId xmlns:a16="http://schemas.microsoft.com/office/drawing/2014/main" id="{B29D9E08-7E08-4E04-971F-8527F08ECB29}"/>
                        </a:ext>
                      </a:extLst>
                    </pic:cNvPr>
                    <pic:cNvPicPr>
                      <a:picLocks noChangeAspect="1"/>
                    </pic:cNvPicPr>
                  </pic:nvPicPr>
                  <pic:blipFill>
                    <a:blip r:embed="rId43"/>
                    <a:stretch>
                      <a:fillRect/>
                    </a:stretch>
                  </pic:blipFill>
                  <pic:spPr>
                    <a:xfrm>
                      <a:off x="0" y="0"/>
                      <a:ext cx="5029200" cy="2529270"/>
                    </a:xfrm>
                    <a:prstGeom prst="rect">
                      <a:avLst/>
                    </a:prstGeom>
                  </pic:spPr>
                </pic:pic>
              </a:graphicData>
            </a:graphic>
          </wp:inline>
        </w:drawing>
      </w:r>
    </w:p>
    <w:p w14:paraId="69D20EF5" w14:textId="5A519505" w:rsidR="003677ED" w:rsidRDefault="00B17E5F" w:rsidP="00274DAD">
      <w:pPr>
        <w:pStyle w:val="Caption"/>
        <w:jc w:val="center"/>
        <w:rPr>
          <w:rFonts w:cs="Times New Roman"/>
        </w:rPr>
      </w:pPr>
      <w:bookmarkStart w:id="152" w:name="_Toc140403892"/>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26</w:t>
      </w:r>
      <w:r w:rsidRPr="00322E56">
        <w:rPr>
          <w:rFonts w:cs="Times New Roman"/>
        </w:rPr>
        <w:fldChar w:fldCharType="end"/>
      </w:r>
      <w:r w:rsidRPr="00322E56">
        <w:rPr>
          <w:rFonts w:cs="Times New Roman"/>
        </w:rPr>
        <w:t>: Ambient Temperature and Utility Data</w:t>
      </w:r>
      <w:bookmarkEnd w:id="152"/>
    </w:p>
    <w:p w14:paraId="2E47E488" w14:textId="091A04F0" w:rsidR="00B17E5F" w:rsidRPr="003677ED" w:rsidRDefault="003677ED" w:rsidP="003677ED">
      <w:pPr>
        <w:spacing w:before="0" w:line="240" w:lineRule="auto"/>
        <w:ind w:firstLine="0"/>
        <w:jc w:val="left"/>
        <w:rPr>
          <w:rFonts w:cs="Times New Roman"/>
          <w:b/>
          <w:bCs/>
        </w:rPr>
      </w:pPr>
      <w:r>
        <w:rPr>
          <w:rFonts w:cs="Times New Roman"/>
        </w:rPr>
        <w:br w:type="page"/>
      </w:r>
    </w:p>
    <w:p w14:paraId="214AB494" w14:textId="77777777" w:rsidR="003677ED" w:rsidRPr="00322E56" w:rsidRDefault="003677ED" w:rsidP="003677ED">
      <w:pPr>
        <w:keepNext/>
        <w:ind w:firstLine="0"/>
        <w:jc w:val="center"/>
        <w:rPr>
          <w:rFonts w:cs="Times New Roman"/>
        </w:rPr>
      </w:pPr>
      <w:r w:rsidRPr="00322E56">
        <w:rPr>
          <w:rFonts w:cs="Times New Roman"/>
          <w:noProof/>
        </w:rPr>
        <w:lastRenderedPageBreak/>
        <w:drawing>
          <wp:inline distT="0" distB="0" distL="0" distR="0" wp14:anchorId="053C8006" wp14:editId="7D080B31">
            <wp:extent cx="5303520" cy="2673858"/>
            <wp:effectExtent l="0" t="0" r="0" b="0"/>
            <wp:docPr id="13" name="Picture 13" descr="A graph showing the number of patients with different levels of bl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graph showing the number of patients with different levels of blood&#10;&#10;Description automatically generate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03520" cy="2673858"/>
                    </a:xfrm>
                    <a:prstGeom prst="rect">
                      <a:avLst/>
                    </a:prstGeom>
                    <a:noFill/>
                    <a:ln>
                      <a:noFill/>
                    </a:ln>
                  </pic:spPr>
                </pic:pic>
              </a:graphicData>
            </a:graphic>
          </wp:inline>
        </w:drawing>
      </w:r>
    </w:p>
    <w:p w14:paraId="49FE556D" w14:textId="1FCD76D2" w:rsidR="003677ED" w:rsidRPr="00322E56" w:rsidRDefault="003677ED" w:rsidP="003677ED">
      <w:pPr>
        <w:pStyle w:val="Caption"/>
        <w:jc w:val="center"/>
        <w:rPr>
          <w:rFonts w:cs="Times New Roman"/>
        </w:rPr>
      </w:pPr>
      <w:bookmarkStart w:id="153" w:name="_Toc140403893"/>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27</w:t>
      </w:r>
      <w:r w:rsidRPr="00322E56">
        <w:rPr>
          <w:rFonts w:cs="Times New Roman"/>
        </w:rPr>
        <w:fldChar w:fldCharType="end"/>
      </w:r>
      <w:r w:rsidRPr="00322E56">
        <w:rPr>
          <w:rFonts w:cs="Times New Roman"/>
        </w:rPr>
        <w:t>: Electric Consumption comparison with and without TES</w:t>
      </w:r>
      <w:bookmarkEnd w:id="153"/>
    </w:p>
    <w:p w14:paraId="3D201143" w14:textId="77777777" w:rsidR="003677ED" w:rsidRPr="00322E56" w:rsidRDefault="003677ED" w:rsidP="003677ED">
      <w:pPr>
        <w:spacing w:line="240" w:lineRule="auto"/>
        <w:ind w:firstLine="0"/>
        <w:rPr>
          <w:rFonts w:cs="Times New Roman"/>
        </w:rPr>
      </w:pPr>
    </w:p>
    <w:p w14:paraId="124308F1" w14:textId="77777777" w:rsidR="003677ED" w:rsidRPr="00322E56" w:rsidRDefault="003677ED" w:rsidP="003677ED">
      <w:pPr>
        <w:keepNext/>
        <w:ind w:firstLine="0"/>
        <w:jc w:val="center"/>
        <w:rPr>
          <w:rFonts w:cs="Times New Roman"/>
        </w:rPr>
      </w:pPr>
      <w:r w:rsidRPr="00322E56">
        <w:rPr>
          <w:rFonts w:cs="Times New Roman"/>
          <w:noProof/>
        </w:rPr>
        <w:drawing>
          <wp:inline distT="0" distB="0" distL="0" distR="0" wp14:anchorId="38A24CAA" wp14:editId="4563E4F5">
            <wp:extent cx="5303520" cy="2396711"/>
            <wp:effectExtent l="0" t="0" r="0" b="3810"/>
            <wp:docPr id="17" name="Picture 17" descr="A graph of a graph showing the growth of a pati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graph of a graph showing the growth of a patient&#10;&#10;Description automatically generate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303520" cy="2396711"/>
                    </a:xfrm>
                    <a:prstGeom prst="rect">
                      <a:avLst/>
                    </a:prstGeom>
                    <a:noFill/>
                    <a:ln>
                      <a:noFill/>
                    </a:ln>
                  </pic:spPr>
                </pic:pic>
              </a:graphicData>
            </a:graphic>
          </wp:inline>
        </w:drawing>
      </w:r>
    </w:p>
    <w:p w14:paraId="30BAB19C" w14:textId="7561A323" w:rsidR="003677ED" w:rsidRPr="00322E56" w:rsidRDefault="003677ED" w:rsidP="003677ED">
      <w:pPr>
        <w:pStyle w:val="Caption"/>
        <w:jc w:val="center"/>
        <w:rPr>
          <w:rFonts w:cs="Times New Roman"/>
        </w:rPr>
      </w:pPr>
      <w:bookmarkStart w:id="154" w:name="_Toc140403894"/>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28</w:t>
      </w:r>
      <w:r w:rsidRPr="00322E56">
        <w:rPr>
          <w:rFonts w:cs="Times New Roman"/>
        </w:rPr>
        <w:fldChar w:fldCharType="end"/>
      </w:r>
      <w:r w:rsidRPr="00322E56">
        <w:rPr>
          <w:rFonts w:cs="Times New Roman"/>
        </w:rPr>
        <w:t>: Total electrical utility cost with and without TES</w:t>
      </w:r>
      <w:bookmarkEnd w:id="154"/>
    </w:p>
    <w:p w14:paraId="36818150" w14:textId="77777777" w:rsidR="003677ED" w:rsidRPr="003677ED" w:rsidRDefault="003677ED" w:rsidP="003677ED"/>
    <w:p w14:paraId="3A94C604" w14:textId="77777777" w:rsidR="00B17E5F" w:rsidRPr="00322E56" w:rsidRDefault="00B17E5F">
      <w:pPr>
        <w:spacing w:line="240" w:lineRule="auto"/>
        <w:rPr>
          <w:rFonts w:cs="Times New Roman"/>
          <w:b/>
          <w:bCs/>
          <w:iCs/>
          <w:szCs w:val="28"/>
        </w:rPr>
      </w:pPr>
      <w:r w:rsidRPr="00322E56">
        <w:rPr>
          <w:rFonts w:cs="Times New Roman"/>
        </w:rPr>
        <w:br w:type="page"/>
      </w:r>
    </w:p>
    <w:p w14:paraId="0F32467E" w14:textId="77777777" w:rsidR="00B17E5F" w:rsidRPr="00322E56" w:rsidRDefault="00B17E5F" w:rsidP="0078264C">
      <w:pPr>
        <w:rPr>
          <w:rFonts w:cs="Times New Roman"/>
          <w:color w:val="0D0D0D"/>
        </w:rPr>
      </w:pPr>
      <w:r w:rsidRPr="00322E56">
        <w:rPr>
          <w:rFonts w:cs="Times New Roman"/>
          <w:color w:val="0D0D0D"/>
        </w:rPr>
        <w:lastRenderedPageBreak/>
        <w:t>Figure 29 shows the PCM state of charge (SOC) during the modeled time. The PCM is fully charged during off-peak hours and is discharged during peak times. Only on two days does the PCM fully discharge causing the VCS to revert to normal mode operation during peak hours. Despite this, the 100 gallon ice PCM is able to provide adequate energy for cooling for peak utility rate hours on a typical summer day in this climate.</w:t>
      </w:r>
    </w:p>
    <w:p w14:paraId="16C70DD1" w14:textId="77777777" w:rsidR="00B17E5F" w:rsidRPr="00322E56" w:rsidRDefault="00B17E5F" w:rsidP="00274DAD">
      <w:pPr>
        <w:rPr>
          <w:rFonts w:cs="Times New Roman"/>
        </w:rPr>
      </w:pPr>
      <w:r w:rsidRPr="00322E56">
        <w:rPr>
          <w:rFonts w:cs="Times New Roman"/>
        </w:rPr>
        <w:t>Figure 30 shows indoor temperature profile with and without PCM. It can be seen that the occupant comfort was successfully maintained at 20°C for all the operating modes.</w:t>
      </w:r>
    </w:p>
    <w:p w14:paraId="6D69CDAF" w14:textId="77777777" w:rsidR="00B17E5F" w:rsidRPr="00322E56" w:rsidRDefault="00B17E5F" w:rsidP="00274DAD">
      <w:pPr>
        <w:rPr>
          <w:rFonts w:cs="Times New Roman"/>
        </w:rPr>
      </w:pPr>
    </w:p>
    <w:p w14:paraId="7E619750" w14:textId="0CE120E1" w:rsidR="00B17E5F" w:rsidRPr="00322E56" w:rsidRDefault="00B17E5F" w:rsidP="003677ED">
      <w:pPr>
        <w:spacing w:line="240" w:lineRule="auto"/>
        <w:ind w:firstLine="0"/>
        <w:rPr>
          <w:rFonts w:cs="Times New Roman"/>
        </w:rPr>
      </w:pPr>
      <w:r w:rsidRPr="00322E56">
        <w:rPr>
          <w:rFonts w:cs="Times New Roman"/>
        </w:rPr>
        <w:br w:type="page"/>
      </w:r>
      <w:r w:rsidRPr="00322E56">
        <w:rPr>
          <w:rFonts w:cs="Times New Roman"/>
          <w:noProof/>
        </w:rPr>
        <w:lastRenderedPageBreak/>
        <w:drawing>
          <wp:inline distT="0" distB="0" distL="0" distR="0" wp14:anchorId="70F1FAE8" wp14:editId="0E339450">
            <wp:extent cx="5303520" cy="2455947"/>
            <wp:effectExtent l="0" t="0" r="0" b="1905"/>
            <wp:docPr id="47" name="Picture 47" descr="Timeli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Timeline&#10;&#10;Description automatically generated with low confidence"/>
                    <pic:cNvPicPr/>
                  </pic:nvPicPr>
                  <pic:blipFill>
                    <a:blip r:embed="rId46"/>
                    <a:stretch>
                      <a:fillRect/>
                    </a:stretch>
                  </pic:blipFill>
                  <pic:spPr>
                    <a:xfrm>
                      <a:off x="0" y="0"/>
                      <a:ext cx="5303520" cy="2455947"/>
                    </a:xfrm>
                    <a:prstGeom prst="rect">
                      <a:avLst/>
                    </a:prstGeom>
                  </pic:spPr>
                </pic:pic>
              </a:graphicData>
            </a:graphic>
          </wp:inline>
        </w:drawing>
      </w:r>
    </w:p>
    <w:p w14:paraId="00F6E395" w14:textId="22FA87EA" w:rsidR="00B17E5F" w:rsidRPr="00322E56" w:rsidRDefault="00B17E5F" w:rsidP="00911B73">
      <w:pPr>
        <w:pStyle w:val="Caption"/>
        <w:jc w:val="center"/>
        <w:rPr>
          <w:rFonts w:cs="Times New Roman"/>
        </w:rPr>
      </w:pPr>
      <w:bookmarkStart w:id="155" w:name="_Toc140403895"/>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29</w:t>
      </w:r>
      <w:r w:rsidRPr="00322E56">
        <w:rPr>
          <w:rFonts w:cs="Times New Roman"/>
        </w:rPr>
        <w:fldChar w:fldCharType="end"/>
      </w:r>
      <w:r w:rsidRPr="00322E56">
        <w:rPr>
          <w:rFonts w:cs="Times New Roman"/>
        </w:rPr>
        <w:t>: PCM SOC</w:t>
      </w:r>
      <w:bookmarkEnd w:id="155"/>
    </w:p>
    <w:p w14:paraId="1A858700" w14:textId="705FF7BD" w:rsidR="00B17E5F" w:rsidRDefault="00B17E5F" w:rsidP="00C42B07">
      <w:pPr>
        <w:spacing w:line="240" w:lineRule="auto"/>
        <w:ind w:firstLine="0"/>
        <w:rPr>
          <w:rFonts w:cs="Times New Roman"/>
        </w:rPr>
      </w:pPr>
    </w:p>
    <w:p w14:paraId="2CAFF4B0" w14:textId="77777777" w:rsidR="00C42B07" w:rsidRPr="00322E56" w:rsidRDefault="00C42B07" w:rsidP="00C42B07">
      <w:pPr>
        <w:spacing w:line="240" w:lineRule="auto"/>
        <w:ind w:firstLine="0"/>
        <w:rPr>
          <w:rFonts w:cs="Times New Roman"/>
        </w:rPr>
      </w:pPr>
    </w:p>
    <w:p w14:paraId="0F98C380" w14:textId="77777777" w:rsidR="00B17E5F" w:rsidRPr="00322E56" w:rsidRDefault="00B17E5F" w:rsidP="004C6510">
      <w:pPr>
        <w:keepNext/>
        <w:ind w:firstLine="0"/>
        <w:jc w:val="center"/>
        <w:rPr>
          <w:rFonts w:cs="Times New Roman"/>
        </w:rPr>
      </w:pPr>
      <w:r w:rsidRPr="00322E56">
        <w:rPr>
          <w:rFonts w:cs="Times New Roman"/>
          <w:noProof/>
        </w:rPr>
        <w:drawing>
          <wp:inline distT="0" distB="0" distL="0" distR="0" wp14:anchorId="6BCD889E" wp14:editId="46FF0125">
            <wp:extent cx="5303520" cy="2788484"/>
            <wp:effectExtent l="0" t="0" r="0" b="0"/>
            <wp:docPr id="1026" name="Picture 2" descr="Chart&#10;&#10;Description automatically generated">
              <a:extLst xmlns:a="http://schemas.openxmlformats.org/drawingml/2006/main">
                <a:ext uri="{FF2B5EF4-FFF2-40B4-BE49-F238E27FC236}">
                  <a16:creationId xmlns:a16="http://schemas.microsoft.com/office/drawing/2014/main" id="{65B6F1CD-2DCC-4742-BBA4-9920B957043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6" name="Picture 2" descr="Chart&#10;&#10;Description automatically generated">
                      <a:extLst>
                        <a:ext uri="{FF2B5EF4-FFF2-40B4-BE49-F238E27FC236}">
                          <a16:creationId xmlns:a16="http://schemas.microsoft.com/office/drawing/2014/main" id="{65B6F1CD-2DCC-4742-BBA4-9920B957043B}"/>
                        </a:ext>
                      </a:extLst>
                    </pic:cNvPr>
                    <pic:cNvPicPr>
                      <a:picLocks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03520" cy="2788484"/>
                    </a:xfrm>
                    <a:prstGeom prst="rect">
                      <a:avLst/>
                    </a:prstGeom>
                    <a:noFill/>
                    <a:ln>
                      <a:noFill/>
                    </a:ln>
                  </pic:spPr>
                </pic:pic>
              </a:graphicData>
            </a:graphic>
          </wp:inline>
        </w:drawing>
      </w:r>
    </w:p>
    <w:p w14:paraId="7290C2D3" w14:textId="5E97E9B1" w:rsidR="00B17E5F" w:rsidRPr="00322E56" w:rsidRDefault="00B17E5F" w:rsidP="00274DAD">
      <w:pPr>
        <w:pStyle w:val="Caption"/>
        <w:jc w:val="center"/>
        <w:rPr>
          <w:rFonts w:cs="Times New Roman"/>
        </w:rPr>
      </w:pPr>
      <w:bookmarkStart w:id="156" w:name="_Toc140403896"/>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30</w:t>
      </w:r>
      <w:r w:rsidRPr="00322E56">
        <w:rPr>
          <w:rFonts w:cs="Times New Roman"/>
        </w:rPr>
        <w:fldChar w:fldCharType="end"/>
      </w:r>
      <w:r w:rsidRPr="00322E56">
        <w:rPr>
          <w:rFonts w:cs="Times New Roman"/>
        </w:rPr>
        <w:t>: Indoor Temperature Profile</w:t>
      </w:r>
      <w:bookmarkEnd w:id="156"/>
    </w:p>
    <w:p w14:paraId="368F1F7D" w14:textId="77777777" w:rsidR="00B17E5F" w:rsidRPr="00322E56" w:rsidRDefault="00B17E5F">
      <w:pPr>
        <w:spacing w:line="240" w:lineRule="auto"/>
        <w:rPr>
          <w:rFonts w:cs="Times New Roman"/>
          <w:b/>
          <w:bCs/>
          <w:iCs/>
          <w:szCs w:val="28"/>
        </w:rPr>
      </w:pPr>
      <w:r w:rsidRPr="00322E56">
        <w:rPr>
          <w:rFonts w:cs="Times New Roman"/>
        </w:rPr>
        <w:br w:type="page"/>
      </w:r>
    </w:p>
    <w:p w14:paraId="2BB7BFD3" w14:textId="77777777" w:rsidR="00B17E5F" w:rsidRPr="00322E56" w:rsidRDefault="00B17E5F" w:rsidP="003677ED">
      <w:pPr>
        <w:pStyle w:val="Heading1"/>
      </w:pPr>
      <w:bookmarkStart w:id="157" w:name="_Toc140399869"/>
      <w:r w:rsidRPr="00322E56">
        <w:lastRenderedPageBreak/>
        <w:t>Conclusions</w:t>
      </w:r>
      <w:bookmarkEnd w:id="157"/>
    </w:p>
    <w:p w14:paraId="4346CB15" w14:textId="77777777" w:rsidR="00B17E5F" w:rsidRPr="00322E56" w:rsidRDefault="00B17E5F" w:rsidP="0078264C">
      <w:pPr>
        <w:rPr>
          <w:rFonts w:cs="Times New Roman"/>
        </w:rPr>
      </w:pPr>
      <w:r w:rsidRPr="00322E56">
        <w:rPr>
          <w:rFonts w:cs="Times New Roman"/>
        </w:rPr>
        <w:t>A residential building was modeled with PCM-based TES and the economic and energy savings were estimated under a TOU rate structure with a rate difference of 0.103$/kWh between on-peak and off-peak. The TMY3 weather data was used for ASHRAE climate zone 3B. The analysis showed that the total energy used to cool the space was reduced from 353.2 kWh without TES to 302.1 kWh with TES, a 14.5% reduction.  The on-peak energy usage was reduced by 87.5%, from 98.1 kWh without TES to 12.3 kWh with TES.  In addition, the cost to the customer was reduced by nearly 20%, from $112.52 without TES to $90.04 with TES.</w:t>
      </w:r>
    </w:p>
    <w:p w14:paraId="0DE9BEC5" w14:textId="77777777" w:rsidR="00B17E5F" w:rsidRPr="00322E56" w:rsidRDefault="00B17E5F" w:rsidP="0078264C">
      <w:pPr>
        <w:rPr>
          <w:rFonts w:cs="Times New Roman"/>
        </w:rPr>
      </w:pPr>
      <w:r w:rsidRPr="00322E56">
        <w:rPr>
          <w:rFonts w:cs="Times New Roman"/>
        </w:rPr>
        <w:t>Since only 7 days were simulated, the results should not be extrapolated for annual savings, but highlights the potential for reducing peak energy demand during weather extremes. This work also suggests that the demand side management systems, including TES, with on time-based electricity prices may create an economic advantage for residential customers to shift peak energy loads without compromising comfort. TES are a valuable tool to level out electrical grid demand and add stability to the grid.</w:t>
      </w:r>
    </w:p>
    <w:p w14:paraId="5B4852BF" w14:textId="77777777" w:rsidR="00B17E5F" w:rsidRPr="00322E56" w:rsidRDefault="00B17E5F" w:rsidP="00D40B3D">
      <w:pPr>
        <w:rPr>
          <w:rFonts w:cs="Times New Roman"/>
        </w:rPr>
      </w:pPr>
    </w:p>
    <w:p w14:paraId="009B58A9" w14:textId="77777777" w:rsidR="00B17E5F" w:rsidRPr="00322E56" w:rsidRDefault="00B17E5F" w:rsidP="00B613B5">
      <w:pPr>
        <w:rPr>
          <w:rFonts w:cs="Times New Roman"/>
        </w:rPr>
      </w:pPr>
    </w:p>
    <w:p w14:paraId="62A4F4C1" w14:textId="77777777" w:rsidR="00B17E5F" w:rsidRPr="00322E56" w:rsidRDefault="00B17E5F" w:rsidP="00416D80">
      <w:pPr>
        <w:rPr>
          <w:rFonts w:cs="Times New Roman"/>
        </w:rPr>
      </w:pPr>
    </w:p>
    <w:p w14:paraId="6D4E7424" w14:textId="77777777" w:rsidR="00B17E5F" w:rsidRPr="00322E56" w:rsidRDefault="00B17E5F">
      <w:pPr>
        <w:rPr>
          <w:rFonts w:cs="Times New Roman"/>
        </w:rPr>
      </w:pPr>
      <w:r w:rsidRPr="00322E56">
        <w:rPr>
          <w:rFonts w:cs="Times New Roman"/>
        </w:rPr>
        <w:br w:type="page"/>
      </w:r>
    </w:p>
    <w:p w14:paraId="75CA812F" w14:textId="77777777" w:rsidR="00B17E5F" w:rsidRPr="00322E56" w:rsidRDefault="00B17E5F" w:rsidP="00416D80">
      <w:pPr>
        <w:pStyle w:val="Heading1"/>
        <w:rPr>
          <w:rFonts w:cs="Times New Roman"/>
          <w:szCs w:val="28"/>
        </w:rPr>
      </w:pPr>
      <w:bookmarkStart w:id="158" w:name="_Toc140399870"/>
      <w:r w:rsidRPr="00322E56">
        <w:rPr>
          <w:rFonts w:cs="Times New Roman"/>
          <w:szCs w:val="28"/>
        </w:rPr>
        <w:lastRenderedPageBreak/>
        <w:t>CHAPTER IV</w:t>
      </w:r>
      <w:r w:rsidRPr="00322E56">
        <w:rPr>
          <w:rFonts w:cs="Times New Roman"/>
          <w:szCs w:val="28"/>
        </w:rPr>
        <w:br/>
      </w:r>
      <w:r w:rsidRPr="00322E56">
        <w:rPr>
          <w:rFonts w:cs="Times New Roman"/>
          <w:caps w:val="0"/>
          <w:szCs w:val="28"/>
        </w:rPr>
        <w:t>OPTIMISING PHASE CHANGE TEMPERATURE FOR HEAT PUMP INTEGRATED WITH TES</w:t>
      </w:r>
      <w:bookmarkEnd w:id="158"/>
    </w:p>
    <w:p w14:paraId="74CAEEDE" w14:textId="77777777" w:rsidR="00B17E5F" w:rsidRPr="00322E56" w:rsidRDefault="00B17E5F" w:rsidP="00416D80">
      <w:pPr>
        <w:rPr>
          <w:rFonts w:cs="Times New Roman"/>
          <w:sz w:val="28"/>
          <w:szCs w:val="28"/>
        </w:rPr>
      </w:pPr>
      <w:r w:rsidRPr="00322E56">
        <w:rPr>
          <w:rFonts w:cs="Times New Roman"/>
          <w:sz w:val="28"/>
          <w:szCs w:val="28"/>
        </w:rPr>
        <w:br w:type="page"/>
      </w:r>
    </w:p>
    <w:p w14:paraId="16895C3C" w14:textId="77777777" w:rsidR="000B7687" w:rsidRDefault="00B17E5F" w:rsidP="000B7687">
      <w:pPr>
        <w:ind w:firstLine="720"/>
        <w:rPr>
          <w:rFonts w:cs="Times New Roman"/>
        </w:rPr>
      </w:pPr>
      <w:r w:rsidRPr="00322E56">
        <w:rPr>
          <w:rFonts w:cs="Times New Roman"/>
        </w:rPr>
        <w:lastRenderedPageBreak/>
        <w:t xml:space="preserve">A version of this chapter </w:t>
      </w:r>
      <w:r>
        <w:rPr>
          <w:rFonts w:cs="Times New Roman"/>
        </w:rPr>
        <w:t>is submitted for publication</w:t>
      </w:r>
      <w:r w:rsidRPr="00322E56">
        <w:rPr>
          <w:rFonts w:cs="Times New Roman"/>
        </w:rPr>
        <w:t xml:space="preserve"> by S. Sultan </w:t>
      </w:r>
      <w:r w:rsidRPr="00322E56">
        <w:rPr>
          <w:rFonts w:cs="Times New Roman"/>
          <w:i/>
          <w:iCs/>
        </w:rPr>
        <w:t>et al</w:t>
      </w:r>
      <w:r w:rsidRPr="00322E56">
        <w:rPr>
          <w:rFonts w:cs="Times New Roman"/>
        </w:rPr>
        <w:t>:</w:t>
      </w:r>
    </w:p>
    <w:p w14:paraId="3BD9BA52" w14:textId="161C999E" w:rsidR="000B7687" w:rsidRPr="000B7687" w:rsidRDefault="000B7687" w:rsidP="000B7687">
      <w:pPr>
        <w:ind w:firstLine="720"/>
        <w:rPr>
          <w:rFonts w:cs="Times New Roman"/>
          <w:i/>
          <w:iCs/>
        </w:rPr>
      </w:pPr>
      <w:r w:rsidRPr="00322E56">
        <w:rPr>
          <w:rFonts w:cs="Times New Roman"/>
        </w:rPr>
        <w:t>Sultan, S</w:t>
      </w:r>
      <w:r>
        <w:rPr>
          <w:rFonts w:cs="Times New Roman"/>
        </w:rPr>
        <w:t>.,</w:t>
      </w:r>
      <w:r w:rsidRPr="00322E56">
        <w:rPr>
          <w:rFonts w:cs="Times New Roman"/>
        </w:rPr>
        <w:t xml:space="preserve"> </w:t>
      </w:r>
      <w:r w:rsidRPr="00AE72D0">
        <w:rPr>
          <w:rFonts w:cs="Times New Roman"/>
        </w:rPr>
        <w:t>Hirschey</w:t>
      </w:r>
      <w:r>
        <w:rPr>
          <w:rFonts w:cs="Times New Roman"/>
        </w:rPr>
        <w:t xml:space="preserve"> J.</w:t>
      </w:r>
      <w:r w:rsidRPr="00AE72D0">
        <w:rPr>
          <w:rFonts w:cs="Times New Roman"/>
        </w:rPr>
        <w:t>, Kumar</w:t>
      </w:r>
      <w:r>
        <w:rPr>
          <w:rFonts w:cs="Times New Roman"/>
        </w:rPr>
        <w:t xml:space="preserve"> N.</w:t>
      </w:r>
      <w:r w:rsidRPr="00AE72D0">
        <w:rPr>
          <w:rFonts w:cs="Times New Roman"/>
        </w:rPr>
        <w:t xml:space="preserve">, </w:t>
      </w:r>
      <w:r>
        <w:rPr>
          <w:rFonts w:cs="Times New Roman"/>
        </w:rPr>
        <w:t>Cui B.</w:t>
      </w:r>
      <w:r w:rsidRPr="00AE72D0">
        <w:rPr>
          <w:rFonts w:cs="Times New Roman"/>
        </w:rPr>
        <w:t>, Liu</w:t>
      </w:r>
      <w:r>
        <w:rPr>
          <w:rFonts w:cs="Times New Roman"/>
        </w:rPr>
        <w:t xml:space="preserve"> X.</w:t>
      </w:r>
      <w:r w:rsidRPr="00AE72D0">
        <w:rPr>
          <w:rFonts w:cs="Times New Roman"/>
        </w:rPr>
        <w:t>,</w:t>
      </w:r>
      <w:r>
        <w:rPr>
          <w:rFonts w:cs="Times New Roman"/>
        </w:rPr>
        <w:t xml:space="preserve"> </w:t>
      </w:r>
      <w:r w:rsidRPr="00AE72D0">
        <w:rPr>
          <w:rFonts w:cs="Times New Roman"/>
        </w:rPr>
        <w:t>LaClair</w:t>
      </w:r>
      <w:r>
        <w:rPr>
          <w:rFonts w:cs="Times New Roman"/>
        </w:rPr>
        <w:t xml:space="preserve"> T.</w:t>
      </w:r>
      <w:r w:rsidRPr="00AE72D0">
        <w:rPr>
          <w:rFonts w:cs="Times New Roman"/>
        </w:rPr>
        <w:t xml:space="preserve">, </w:t>
      </w:r>
      <w:r w:rsidRPr="00322E56">
        <w:rPr>
          <w:rFonts w:cs="Times New Roman"/>
        </w:rPr>
        <w:t>&amp; Gluesenkamp, K. R. (202</w:t>
      </w:r>
      <w:r>
        <w:rPr>
          <w:rFonts w:cs="Times New Roman"/>
        </w:rPr>
        <w:t>3</w:t>
      </w:r>
      <w:r w:rsidRPr="00322E56">
        <w:rPr>
          <w:rFonts w:cs="Times New Roman"/>
        </w:rPr>
        <w:t>). “</w:t>
      </w:r>
      <w:r w:rsidR="00B3664F" w:rsidRPr="00B3664F">
        <w:rPr>
          <w:rFonts w:cs="Times New Roman"/>
        </w:rPr>
        <w:t>Techno-Economic Assessment of Residential Heat Pump Integrated with Thermal Energy Storage</w:t>
      </w:r>
      <w:r w:rsidRPr="00322E56">
        <w:rPr>
          <w:rFonts w:cs="Times New Roman"/>
        </w:rPr>
        <w:t xml:space="preserve">.” </w:t>
      </w:r>
      <w:r>
        <w:rPr>
          <w:rFonts w:cs="Times New Roman"/>
          <w:i/>
          <w:iCs/>
        </w:rPr>
        <w:t>Energies</w:t>
      </w:r>
    </w:p>
    <w:p w14:paraId="17793BE9" w14:textId="4AC2CD0A" w:rsidR="000B7687" w:rsidRPr="00322E56" w:rsidRDefault="000B7687" w:rsidP="000B7687">
      <w:pPr>
        <w:ind w:firstLine="720"/>
        <w:rPr>
          <w:rFonts w:cs="Times New Roman"/>
        </w:rPr>
      </w:pPr>
      <w:r w:rsidRPr="00AE72D0">
        <w:t>Conceptualization</w:t>
      </w:r>
      <w:r>
        <w:t xml:space="preserve">, data collection, methodology and </w:t>
      </w:r>
      <w:r w:rsidRPr="00AE72D0">
        <w:t xml:space="preserve">original </w:t>
      </w:r>
      <w:r>
        <w:t xml:space="preserve">manuscript </w:t>
      </w:r>
      <w:r w:rsidRPr="00AE72D0">
        <w:t xml:space="preserve">draft </w:t>
      </w:r>
      <w:r>
        <w:t xml:space="preserve">was </w:t>
      </w:r>
      <w:r w:rsidRPr="00AE72D0">
        <w:t>prepar</w:t>
      </w:r>
      <w:r>
        <w:t>ed by</w:t>
      </w:r>
      <w:r w:rsidRPr="00AE72D0">
        <w:t xml:space="preserve"> Sara Sultan</w:t>
      </w:r>
      <w:r>
        <w:t xml:space="preserve">, </w:t>
      </w:r>
      <w:r w:rsidRPr="00AE72D0">
        <w:t xml:space="preserve">Jason Hirschey, </w:t>
      </w:r>
      <w:r>
        <w:t>and</w:t>
      </w:r>
      <w:r w:rsidRPr="00AE72D0">
        <w:t xml:space="preserve"> Navin Kumar</w:t>
      </w:r>
      <w:r>
        <w:t xml:space="preserve">. Borui Cui, </w:t>
      </w:r>
      <w:r w:rsidR="00B3664F" w:rsidRPr="00AE72D0">
        <w:t xml:space="preserve">Tim LaClair, </w:t>
      </w:r>
      <w:r w:rsidR="00B3664F">
        <w:t xml:space="preserve">and </w:t>
      </w:r>
      <w:r w:rsidR="00B3664F" w:rsidRPr="00AE72D0">
        <w:t xml:space="preserve">Xiaobing Liu </w:t>
      </w:r>
      <w:r>
        <w:t xml:space="preserve">provided help with </w:t>
      </w:r>
      <w:r w:rsidRPr="00AE72D0">
        <w:t>editing</w:t>
      </w:r>
      <w:r>
        <w:t xml:space="preserve"> and analysis.</w:t>
      </w:r>
      <w:r w:rsidRPr="00AE72D0">
        <w:t xml:space="preserve"> </w:t>
      </w:r>
      <w:r>
        <w:t xml:space="preserve">Review and </w:t>
      </w:r>
      <w:r w:rsidRPr="00AE72D0">
        <w:t>supervision</w:t>
      </w:r>
      <w:r>
        <w:t xml:space="preserve"> by</w:t>
      </w:r>
      <w:r w:rsidRPr="00AE72D0">
        <w:t xml:space="preserve"> Kyle</w:t>
      </w:r>
      <w:r>
        <w:t xml:space="preserve"> R.</w:t>
      </w:r>
      <w:r w:rsidRPr="00AE72D0">
        <w:t xml:space="preserve"> Gluesenkamp</w:t>
      </w:r>
      <w:r>
        <w:t>.</w:t>
      </w:r>
    </w:p>
    <w:p w14:paraId="542509E4" w14:textId="77777777" w:rsidR="00B17E5F" w:rsidRPr="00322E56" w:rsidRDefault="00B17E5F" w:rsidP="00416D80">
      <w:pPr>
        <w:pStyle w:val="Heading2"/>
        <w:rPr>
          <w:rFonts w:cs="Times New Roman"/>
          <w:szCs w:val="24"/>
        </w:rPr>
      </w:pPr>
      <w:bookmarkStart w:id="159" w:name="_Toc140399871"/>
      <w:r w:rsidRPr="00322E56">
        <w:rPr>
          <w:rFonts w:cs="Times New Roman"/>
          <w:szCs w:val="24"/>
        </w:rPr>
        <w:t>Abstract</w:t>
      </w:r>
      <w:bookmarkEnd w:id="159"/>
    </w:p>
    <w:p w14:paraId="2BF942B3" w14:textId="77777777" w:rsidR="00B17E5F" w:rsidRPr="00322E56" w:rsidRDefault="00B17E5F" w:rsidP="00416D80">
      <w:pPr>
        <w:rPr>
          <w:rFonts w:cs="Times New Roman"/>
          <w:lang w:val="en-GB"/>
        </w:rPr>
      </w:pPr>
      <w:r w:rsidRPr="00322E56">
        <w:rPr>
          <w:rFonts w:cs="Times New Roman"/>
          <w:lang w:val="en-GB"/>
        </w:rPr>
        <w:t xml:space="preserve">Phase change material (PCM)-based thermal energy storage (TES) can provide energy and cost savings and peak demand reduction benefits for grid-interactive residential buildings. Researchers established that these benefits vary greatly depending on the PCM phase change temperature (PCT), total TES storage capacity, system configuration and location and climate of the building. </w:t>
      </w:r>
      <w:bookmarkStart w:id="160" w:name="_Hlk133413288"/>
      <w:r w:rsidRPr="00322E56">
        <w:rPr>
          <w:rFonts w:cs="Times New Roman"/>
          <w:lang w:val="en-GB"/>
        </w:rPr>
        <w:t xml:space="preserve">In this study, preliminary techno-economic performance is reported for a novel heat pump (HP)-integrated TES system using idealized approach. </w:t>
      </w:r>
      <w:bookmarkEnd w:id="160"/>
      <w:r w:rsidRPr="00322E56">
        <w:rPr>
          <w:rFonts w:cs="Times New Roman"/>
          <w:lang w:val="en-GB"/>
        </w:rPr>
        <w:t xml:space="preserve">A simplified HP-TES was modeled for 1 year of space heating and cooling loads for a residential building in three different climates in the United States. The vapor compression system of the HP was modified to integrate with TES, and all heat transfer to and from the TES was mediated by the HP. A single PCM was used for heating and cooling, and the PCT and TES capacity were varied to observe their effects on the building’s energy consumption, peak load shifting and cost savings. The maximum reduction in electric consumption, utility cost and peak electric demand were achieved at a PCT of 30°C for New York City and 20°C for Houston and Birmingham. Peak energy consumption in Houston, New York City, and Birmingham was reduced by 47%, 53%, and 70%, respectively, by shifting peak load using a time-of-use utility schedule. TES with 170 MJ storage capacity allowed for maximum demand shift from on-peak to off-peak hours, with </w:t>
      </w:r>
      <w:r w:rsidRPr="00322E56">
        <w:rPr>
          <w:rFonts w:cs="Times New Roman"/>
          <w:lang w:val="en-GB"/>
        </w:rPr>
        <w:lastRenderedPageBreak/>
        <w:t>diminishing returns once the TES capacity equalled the daily building thermal loads experienced during the most extreme ambient conditions.</w:t>
      </w:r>
    </w:p>
    <w:p w14:paraId="1480A2D3" w14:textId="77777777" w:rsidR="00B17E5F" w:rsidRPr="00322E56" w:rsidRDefault="00B17E5F" w:rsidP="00416D80">
      <w:pPr>
        <w:pStyle w:val="Heading2"/>
        <w:rPr>
          <w:rFonts w:cs="Times New Roman"/>
          <w:szCs w:val="24"/>
        </w:rPr>
      </w:pPr>
      <w:bookmarkStart w:id="161" w:name="_Toc140399872"/>
      <w:r w:rsidRPr="00322E56">
        <w:rPr>
          <w:rFonts w:cs="Times New Roman"/>
          <w:szCs w:val="24"/>
        </w:rPr>
        <w:t>Research Question</w:t>
      </w:r>
      <w:bookmarkEnd w:id="161"/>
    </w:p>
    <w:p w14:paraId="25F32B4E" w14:textId="77777777" w:rsidR="00B17E5F" w:rsidRPr="00322E56" w:rsidRDefault="00B17E5F" w:rsidP="00416D80">
      <w:pPr>
        <w:rPr>
          <w:rFonts w:cs="Times New Roman"/>
          <w:i/>
          <w:iCs/>
        </w:rPr>
      </w:pPr>
      <w:r w:rsidRPr="00322E56">
        <w:rPr>
          <w:rFonts w:cs="Times New Roman"/>
          <w:i/>
          <w:iCs/>
        </w:rPr>
        <w:t>What is the optimum PCM temperature and heat pump configuration for maximum economic and grid benefits of heat pump integrated TES?</w:t>
      </w:r>
    </w:p>
    <w:p w14:paraId="7CD12114" w14:textId="77777777" w:rsidR="00B17E5F" w:rsidRPr="00322E56" w:rsidRDefault="00B17E5F" w:rsidP="00416D80">
      <w:pPr>
        <w:pStyle w:val="Heading2"/>
        <w:rPr>
          <w:rFonts w:cs="Times New Roman"/>
          <w:szCs w:val="24"/>
        </w:rPr>
      </w:pPr>
      <w:bookmarkStart w:id="162" w:name="_Toc140399873"/>
      <w:r w:rsidRPr="00322E56">
        <w:rPr>
          <w:rFonts w:cs="Times New Roman"/>
          <w:szCs w:val="24"/>
        </w:rPr>
        <w:t>Background</w:t>
      </w:r>
      <w:bookmarkEnd w:id="162"/>
    </w:p>
    <w:p w14:paraId="7DEF02FC" w14:textId="1E6DA840" w:rsidR="00B17E5F" w:rsidRPr="00322E56" w:rsidRDefault="00B17E5F" w:rsidP="00C75EBB">
      <w:pPr>
        <w:rPr>
          <w:rFonts w:cs="Times New Roman"/>
          <w:lang w:val="en-GB"/>
        </w:rPr>
      </w:pPr>
      <w:r w:rsidRPr="00322E56">
        <w:rPr>
          <w:rFonts w:cs="Times New Roman"/>
          <w:lang w:val="en-GB"/>
        </w:rPr>
        <w:t xml:space="preserve">Buildings are responsible for about 40% of the total energy consumed in the United States </w:t>
      </w:r>
      <w:sdt>
        <w:sdtPr>
          <w:rPr>
            <w:rFonts w:cs="Times New Roman"/>
            <w:color w:val="000000"/>
            <w:lang w:val="en-GB"/>
          </w:rPr>
          <w:tag w:val="MENDELEY_CITATION_v3_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"/>
          <w:id w:val="-1256740260"/>
          <w:placeholder>
            <w:docPart w:val="C226BBE7F1FF443E970DEB669469C6BB"/>
          </w:placeholder>
        </w:sdtPr>
        <w:sdtContent>
          <w:r w:rsidR="001E7ECF" w:rsidRPr="001E7ECF">
            <w:rPr>
              <w:rFonts w:cs="Times New Roman"/>
              <w:color w:val="000000"/>
              <w:lang w:val="en-GB"/>
            </w:rPr>
            <w:t>[1]</w:t>
          </w:r>
        </w:sdtContent>
      </w:sdt>
      <w:r w:rsidRPr="00322E56">
        <w:rPr>
          <w:rFonts w:cs="Times New Roman"/>
          <w:lang w:val="en-GB"/>
        </w:rPr>
        <w:t xml:space="preserve">, accounting for 75% of the total electricity consumption and 78% of the 2:00–8:00 p.m. peak period of electricity use </w:t>
      </w:r>
      <w:sdt>
        <w:sdtPr>
          <w:rPr>
            <w:rFonts w:cs="Times New Roman"/>
            <w:color w:val="000000"/>
            <w:lang w:val="en-GB"/>
          </w:rPr>
          <w:tag w:val="MENDELEY_CITATION_v3_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"/>
          <w:id w:val="-1089471930"/>
          <w:placeholder>
            <w:docPart w:val="C226BBE7F1FF443E970DEB669469C6BB"/>
          </w:placeholder>
        </w:sdtPr>
        <w:sdtContent>
          <w:r w:rsidR="001E7ECF" w:rsidRPr="001E7ECF">
            <w:rPr>
              <w:rFonts w:cs="Times New Roman"/>
              <w:color w:val="000000"/>
              <w:lang w:val="en-GB"/>
            </w:rPr>
            <w:t>[2, 3]</w:t>
          </w:r>
        </w:sdtContent>
      </w:sdt>
      <w:r w:rsidRPr="00322E56">
        <w:rPr>
          <w:rFonts w:cs="Times New Roman"/>
          <w:lang w:val="en-GB"/>
        </w:rPr>
        <w:t xml:space="preserve">. As of 2020, 75% of the homes in the United States use central air conditioning </w:t>
      </w:r>
      <w:sdt>
        <w:sdtPr>
          <w:rPr>
            <w:rFonts w:cs="Times New Roman"/>
            <w:color w:val="000000"/>
            <w:lang w:val="en-GB"/>
          </w:rPr>
          <w:tag w:val="MENDELEY_CITATION_v3_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"/>
          <w:id w:val="-129710669"/>
          <w:placeholder>
            <w:docPart w:val="C226BBE7F1FF443E970DEB669469C6BB"/>
          </w:placeholder>
        </w:sdtPr>
        <w:sdtContent>
          <w:r w:rsidR="001E7ECF" w:rsidRPr="001E7ECF">
            <w:rPr>
              <w:rFonts w:cs="Times New Roman"/>
              <w:color w:val="000000"/>
              <w:lang w:val="en-GB"/>
            </w:rPr>
            <w:t>[190]</w:t>
          </w:r>
        </w:sdtContent>
      </w:sdt>
      <w:r w:rsidRPr="00322E56">
        <w:rPr>
          <w:rFonts w:cs="Times New Roman"/>
          <w:lang w:val="en-GB"/>
        </w:rPr>
        <w:t xml:space="preserve">. Since space conditioning loads comprise about half of the total building’s load </w:t>
      </w:r>
      <w:sdt>
        <w:sdtPr>
          <w:rPr>
            <w:rFonts w:cs="Times New Roman"/>
            <w:color w:val="000000"/>
            <w:lang w:val="en-GB"/>
          </w:rPr>
          <w:tag w:val="MENDELEY_CITATION_v3_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"/>
          <w:id w:val="-1942285482"/>
          <w:placeholder>
            <w:docPart w:val="C226BBE7F1FF443E970DEB669469C6BB"/>
          </w:placeholder>
        </w:sdtPr>
        <w:sdtContent>
          <w:r w:rsidR="001E7ECF" w:rsidRPr="001E7ECF">
            <w:rPr>
              <w:rFonts w:cs="Times New Roman"/>
              <w:color w:val="000000"/>
              <w:lang w:val="en-GB"/>
            </w:rPr>
            <w:t>[188]</w:t>
          </w:r>
        </w:sdtContent>
      </w:sdt>
      <w:r w:rsidRPr="00322E56">
        <w:rPr>
          <w:rFonts w:cs="Times New Roman"/>
          <w:lang w:val="en-GB"/>
        </w:rPr>
        <w:t xml:space="preserve">, residential buildings present an opportunity to reduce peak energy demands by managing building’s heating and cooling demand and can relieve stress on the electric grid during peak times by shifting the peak loads </w:t>
      </w:r>
      <w:bookmarkStart w:id="163" w:name="_Hlk133394273"/>
      <w:sdt>
        <w:sdtPr>
          <w:rPr>
            <w:rFonts w:cs="Times New Roman"/>
            <w:color w:val="000000"/>
            <w:lang w:val="en-GB"/>
          </w:rPr>
          <w:tag w:val="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"/>
          <w:id w:val="622500265"/>
          <w:placeholder>
            <w:docPart w:val="C226BBE7F1FF443E970DEB669469C6BB"/>
          </w:placeholder>
        </w:sdtPr>
        <w:sdtContent>
          <w:r w:rsidR="001E7ECF" w:rsidRPr="001E7ECF">
            <w:rPr>
              <w:rFonts w:cs="Times New Roman"/>
              <w:color w:val="000000"/>
              <w:lang w:val="en-GB"/>
            </w:rPr>
            <w:t>[5, 6, 7, 8]</w:t>
          </w:r>
        </w:sdtContent>
      </w:sdt>
      <w:bookmarkEnd w:id="163"/>
      <w:r w:rsidRPr="00322E56">
        <w:rPr>
          <w:rFonts w:cs="Times New Roman"/>
          <w:lang w:val="en-GB"/>
        </w:rPr>
        <w:t>.</w:t>
      </w:r>
    </w:p>
    <w:p w14:paraId="55526E2A" w14:textId="3F102CBB" w:rsidR="00B17E5F" w:rsidRPr="00322E56" w:rsidRDefault="00B17E5F" w:rsidP="00C75EBB">
      <w:pPr>
        <w:rPr>
          <w:rFonts w:cs="Times New Roman"/>
          <w:lang w:val="en-GB"/>
        </w:rPr>
      </w:pPr>
      <w:r w:rsidRPr="00322E56">
        <w:rPr>
          <w:rFonts w:cs="Times New Roman"/>
          <w:lang w:val="en-GB"/>
        </w:rPr>
        <w:t xml:space="preserve">Thermal energy storage (TES) has been identified as a key enabler for reducing peak demand and providing resilience for reliable operation during power outages, as described in the US Department of Energy’s </w:t>
      </w:r>
      <w:r w:rsidRPr="00322E56">
        <w:rPr>
          <w:rFonts w:cs="Times New Roman"/>
          <w:i/>
          <w:iCs/>
          <w:lang w:val="en-GB"/>
        </w:rPr>
        <w:t>Grid-interactive Efficient Buildings</w:t>
      </w:r>
      <w:r w:rsidRPr="00322E56">
        <w:rPr>
          <w:rFonts w:cs="Times New Roman"/>
          <w:lang w:val="en-GB"/>
        </w:rPr>
        <w:t xml:space="preserve"> report </w:t>
      </w:r>
      <w:sdt>
        <w:sdtPr>
          <w:rPr>
            <w:rFonts w:cs="Times New Roman"/>
            <w:color w:val="000000"/>
            <w:lang w:val="en-GB"/>
          </w:rPr>
          <w:tag w:val="MENDELEY_CITATION_v3_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"/>
          <w:id w:val="522135117"/>
          <w:placeholder>
            <w:docPart w:val="C226BBE7F1FF443E970DEB669469C6BB"/>
          </w:placeholder>
        </w:sdtPr>
        <w:sdtContent>
          <w:r w:rsidR="001E7ECF" w:rsidRPr="001E7ECF">
            <w:rPr>
              <w:rFonts w:cs="Times New Roman"/>
              <w:color w:val="000000"/>
              <w:lang w:val="en-GB"/>
            </w:rPr>
            <w:t>[188]</w:t>
          </w:r>
        </w:sdtContent>
      </w:sdt>
      <w:r w:rsidRPr="00322E56">
        <w:rPr>
          <w:rFonts w:cs="Times New Roman"/>
          <w:lang w:val="en-GB"/>
        </w:rPr>
        <w:t xml:space="preserve">. According to the report </w:t>
      </w:r>
      <w:sdt>
        <w:sdtPr>
          <w:rPr>
            <w:rFonts w:cs="Times New Roman"/>
            <w:color w:val="000000"/>
            <w:lang w:val="en-GB"/>
          </w:rPr>
          <w:tag w:val="MENDELEY_CITATION_v3_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"/>
          <w:id w:val="-259991466"/>
          <w:placeholder>
            <w:docPart w:val="C226BBE7F1FF443E970DEB669469C6BB"/>
          </w:placeholder>
        </w:sdtPr>
        <w:sdtContent>
          <w:r w:rsidR="001E7ECF" w:rsidRPr="001E7ECF">
            <w:rPr>
              <w:rFonts w:cs="Times New Roman"/>
              <w:color w:val="000000"/>
              <w:lang w:val="en-GB"/>
            </w:rPr>
            <w:t>[188]</w:t>
          </w:r>
        </w:sdtContent>
      </w:sdt>
      <w:r w:rsidRPr="00322E56">
        <w:rPr>
          <w:rFonts w:cs="Times New Roman"/>
          <w:lang w:val="en-GB"/>
        </w:rPr>
        <w:t xml:space="preserve">, consumers who pay demand charges or time-of-use (TOU) rates are generally the most financially driven to adopt the technology because TES is beneficial for shifting predictable daily loads for demand response. </w:t>
      </w:r>
    </w:p>
    <w:p w14:paraId="56591B65" w14:textId="47BD7D3C" w:rsidR="00B17E5F" w:rsidRPr="00322E56" w:rsidRDefault="00B17E5F" w:rsidP="00C75EBB">
      <w:pPr>
        <w:rPr>
          <w:rFonts w:cs="Times New Roman"/>
          <w:lang w:val="en-GB"/>
        </w:rPr>
      </w:pPr>
      <w:r w:rsidRPr="00322E56">
        <w:rPr>
          <w:rFonts w:cs="Times New Roman"/>
          <w:lang w:val="en-GB"/>
        </w:rPr>
        <w:t xml:space="preserve">The US Census Bureau reports that more than 44% of US houses were built before 1970 and were constructed according to outdated standards </w:t>
      </w:r>
      <w:sdt>
        <w:sdtPr>
          <w:rPr>
            <w:rFonts w:cs="Times New Roman"/>
            <w:color w:val="000000"/>
            <w:lang w:val="en-GB"/>
          </w:rPr>
          <w:tag w:val="MENDELEY_CITATION_v3_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"/>
          <w:id w:val="-730771772"/>
          <w:placeholder>
            <w:docPart w:val="C226BBE7F1FF443E970DEB669469C6BB"/>
          </w:placeholder>
        </w:sdtPr>
        <w:sdtContent>
          <w:r w:rsidR="001E7ECF" w:rsidRPr="001E7ECF">
            <w:rPr>
              <w:rFonts w:cs="Times New Roman"/>
              <w:color w:val="000000"/>
              <w:lang w:val="en-GB"/>
            </w:rPr>
            <w:t>[191]</w:t>
          </w:r>
        </w:sdtContent>
      </w:sdt>
      <w:r w:rsidRPr="00322E56">
        <w:rPr>
          <w:rFonts w:cs="Times New Roman"/>
          <w:lang w:val="en-GB"/>
        </w:rPr>
        <w:t xml:space="preserve">. </w:t>
      </w:r>
      <w:r w:rsidRPr="00322E56">
        <w:rPr>
          <w:rFonts w:cs="Times New Roman"/>
          <w:lang w:bidi="en-US"/>
        </w:rPr>
        <w:t xml:space="preserve">As a result, oversized heat pumps (HPs) are essential for regulating humidity and temperature inside the house. </w:t>
      </w:r>
      <w:r w:rsidRPr="00322E56">
        <w:rPr>
          <w:rFonts w:cs="Times New Roman"/>
          <w:lang w:val="en-GB"/>
        </w:rPr>
        <w:t xml:space="preserve">Although renovating the house or fully upgrading the conventional HVAC equipment can be costly, heat pump (HP) systems are adaptable because they are able to respond smartly to the fluctuations in peak demand. The capabilities of HPs and TES can be combined by integrating these technologies. This integration allows the use of already-established </w:t>
      </w:r>
      <w:r w:rsidRPr="00322E56">
        <w:rPr>
          <w:rFonts w:cs="Times New Roman"/>
          <w:lang w:val="en-GB"/>
        </w:rPr>
        <w:lastRenderedPageBreak/>
        <w:t xml:space="preserve">technology and resources with minimal equipment to reduce the installation complexity and TES footprint </w:t>
      </w:r>
      <w:sdt>
        <w:sdtPr>
          <w:rPr>
            <w:rFonts w:cs="Times New Roman"/>
            <w:color w:val="000000"/>
            <w:lang w:val="en-GB"/>
          </w:rPr>
          <w:tag w:val="MENDELEY_CITATION_v3_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"/>
          <w:id w:val="2146703319"/>
          <w:placeholder>
            <w:docPart w:val="C226BBE7F1FF443E970DEB669469C6BB"/>
          </w:placeholder>
        </w:sdtPr>
        <w:sdtContent>
          <w:r w:rsidR="001E7ECF" w:rsidRPr="001E7ECF">
            <w:rPr>
              <w:rFonts w:cs="Times New Roman"/>
              <w:color w:val="000000"/>
              <w:lang w:val="en-GB"/>
            </w:rPr>
            <w:t>[2, 10]</w:t>
          </w:r>
        </w:sdtContent>
      </w:sdt>
    </w:p>
    <w:p w14:paraId="337CDF3D" w14:textId="0BA29652" w:rsidR="00B17E5F" w:rsidRPr="00322E56" w:rsidRDefault="00B17E5F" w:rsidP="00C75EBB">
      <w:pPr>
        <w:rPr>
          <w:rFonts w:cs="Times New Roman"/>
          <w:lang w:val="en-GB"/>
        </w:rPr>
      </w:pPr>
      <w:r w:rsidRPr="00322E56">
        <w:rPr>
          <w:rFonts w:cs="Times New Roman"/>
          <w:lang w:val="en-GB"/>
        </w:rPr>
        <w:t xml:space="preserve">Many possibilities exist for packaging phase change material (PCM)-TES in various configurations. Passive TES configurations, in which TES charging and discharging occur according to an uncontrolled independent variable such as ambient temperature and PCM melting temperature, are more common in literature. Passive TES may provide energy and cost saving benefits, but they </w:t>
      </w:r>
      <w:r w:rsidRPr="00322E56">
        <w:rPr>
          <w:rFonts w:cs="Times New Roman"/>
          <w:lang w:bidi="en-US"/>
        </w:rPr>
        <w:t xml:space="preserve">pose challenges such as complex installation, material encapsulation, space constraints, and additional controls and components. Furthermore, passive TES are not ideal for peak demand reduction because they do not have control over TES operation </w:t>
      </w:r>
      <w:bookmarkStart w:id="164" w:name="_Hlk133394317"/>
      <w:sdt>
        <w:sdtPr>
          <w:rPr>
            <w:rFonts w:cs="Times New Roman"/>
            <w:color w:val="000000"/>
            <w:lang w:bidi="en-US"/>
          </w:rPr>
          <w:tag w:val="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"/>
          <w:id w:val="-909074552"/>
          <w:placeholder>
            <w:docPart w:val="C226BBE7F1FF443E970DEB669469C6BB"/>
          </w:placeholder>
        </w:sdtPr>
        <w:sdtContent>
          <w:r w:rsidR="001E7ECF" w:rsidRPr="001E7ECF">
            <w:rPr>
              <w:rFonts w:cs="Times New Roman"/>
              <w:color w:val="000000"/>
              <w:lang w:bidi="en-US"/>
            </w:rPr>
            <w:t>[11, 12, 13, 14, 15, 16]</w:t>
          </w:r>
        </w:sdtContent>
      </w:sdt>
      <w:bookmarkEnd w:id="164"/>
      <w:r w:rsidRPr="00322E56">
        <w:rPr>
          <w:rFonts w:cs="Times New Roman"/>
          <w:lang w:bidi="en-US"/>
        </w:rPr>
        <w:t>.</w:t>
      </w:r>
      <w:r w:rsidRPr="00322E56">
        <w:rPr>
          <w:rFonts w:cs="Times New Roman"/>
          <w:lang w:val="en-GB"/>
        </w:rPr>
        <w:t xml:space="preserve"> In active TES configurations, the decision of when to charge and discharge is determined by controller hardware. The major benefit of active TES configurations is the flexibility to be installed in an existing building infrastructure without needing a significant construction—the TES may be separate and removed from the space and simply integrated into existing HP equipment. The heat transfer is mediated by the HP in active HP–integrated TES (HP-TES) configurations, and the user can control the charging and discharging process based on cooling or heating demand because HP-TES is programable with the thermostat </w:t>
      </w:r>
      <w:sdt>
        <w:sdtPr>
          <w:rPr>
            <w:rFonts w:cs="Times New Roman"/>
            <w:color w:val="000000"/>
            <w:lang w:val="en-GB"/>
          </w:rPr>
          <w:tag w:val="MENDELEY_CITATION_v3_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"/>
          <w:id w:val="-1347557024"/>
          <w:placeholder>
            <w:docPart w:val="C226BBE7F1FF443E970DEB669469C6BB"/>
          </w:placeholder>
        </w:sdtPr>
        <w:sdtContent>
          <w:r w:rsidR="001E7ECF" w:rsidRPr="001E7ECF">
            <w:rPr>
              <w:rFonts w:cs="Times New Roman"/>
              <w:color w:val="000000"/>
              <w:lang w:val="en-GB"/>
            </w:rPr>
            <w:t>[23]</w:t>
          </w:r>
        </w:sdtContent>
      </w:sdt>
      <w:r w:rsidRPr="00322E56">
        <w:rPr>
          <w:rFonts w:cs="Times New Roman"/>
          <w:lang w:val="en-GB"/>
        </w:rPr>
        <w:t>.</w:t>
      </w:r>
    </w:p>
    <w:p w14:paraId="588CF010" w14:textId="77777777" w:rsidR="00B17E5F" w:rsidRPr="00322E56" w:rsidRDefault="00B17E5F" w:rsidP="008D3E33">
      <w:pPr>
        <w:pStyle w:val="Heading3"/>
        <w:rPr>
          <w:rFonts w:cs="Times New Roman"/>
          <w:lang w:val="en-GB"/>
        </w:rPr>
      </w:pPr>
      <w:bookmarkStart w:id="165" w:name="_Toc140399874"/>
      <w:r w:rsidRPr="00322E56">
        <w:rPr>
          <w:rFonts w:cs="Times New Roman"/>
          <w:lang w:val="en-GB"/>
        </w:rPr>
        <w:t>State of the art</w:t>
      </w:r>
      <w:bookmarkEnd w:id="165"/>
    </w:p>
    <w:p w14:paraId="31E28BE7" w14:textId="6240C126" w:rsidR="00B17E5F" w:rsidRPr="00322E56" w:rsidRDefault="00B17E5F" w:rsidP="00C75EBB">
      <w:pPr>
        <w:rPr>
          <w:rFonts w:cs="Times New Roman"/>
          <w:lang w:val="en-GB"/>
        </w:rPr>
      </w:pPr>
      <w:r w:rsidRPr="00322E56">
        <w:rPr>
          <w:rFonts w:cs="Times New Roman"/>
          <w:lang w:val="en-GB"/>
        </w:rPr>
        <w:t xml:space="preserve">Researchers have installed PCM via passive TES configurations in walls, ceilings, windows, or embedded directly into building materials such as concrete </w:t>
      </w:r>
      <w:sdt>
        <w:sdtPr>
          <w:rPr>
            <w:rFonts w:cs="Times New Roman"/>
            <w:color w:val="000000"/>
            <w:lang w:val="en-GB"/>
          </w:rPr>
          <w:tag w:val="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"/>
          <w:id w:val="951452137"/>
          <w:placeholder>
            <w:docPart w:val="C226BBE7F1FF443E970DEB669469C6BB"/>
          </w:placeholder>
        </w:sdtPr>
        <w:sdtContent>
          <w:r w:rsidR="001E7ECF" w:rsidRPr="001E7ECF">
            <w:rPr>
              <w:rFonts w:cs="Times New Roman"/>
              <w:color w:val="000000"/>
              <w:lang w:val="en-GB"/>
            </w:rPr>
            <w:t>[17, 18, 19, 20, 21, 22]</w:t>
          </w:r>
        </w:sdtContent>
      </w:sdt>
      <w:r w:rsidRPr="00322E56">
        <w:rPr>
          <w:rFonts w:cs="Times New Roman"/>
          <w:lang w:val="en-GB"/>
        </w:rPr>
        <w:t xml:space="preserve">. HP-integrated active TES, where TES has been coupled to or installed in HP components such as an evaporator or condenser </w:t>
      </w:r>
      <w:sdt>
        <w:sdtPr>
          <w:rPr>
            <w:rFonts w:cs="Times New Roman"/>
            <w:color w:val="000000"/>
            <w:lang w:val="en-GB"/>
          </w:rPr>
          <w:tag w:val="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"/>
          <w:id w:val="-1320411737"/>
          <w:placeholder>
            <w:docPart w:val="C226BBE7F1FF443E970DEB669469C6BB"/>
          </w:placeholder>
        </w:sdtPr>
        <w:sdtContent>
          <w:r w:rsidR="001E7ECF" w:rsidRPr="001E7ECF">
            <w:rPr>
              <w:rFonts w:cs="Times New Roman"/>
              <w:color w:val="000000"/>
              <w:lang w:val="en-GB"/>
            </w:rPr>
            <w:t>[23, 24, 25, 26, 27, 28]</w:t>
          </w:r>
        </w:sdtContent>
      </w:sdt>
      <w:r w:rsidRPr="00322E56">
        <w:rPr>
          <w:rFonts w:cs="Times New Roman"/>
          <w:lang w:val="en-GB"/>
        </w:rPr>
        <w:t xml:space="preserve"> is the focus of this paper. The techno-economic value for each configuration varies by charging and discharging operation, storage capacity and the material used. A previous review </w:t>
      </w:r>
      <w:sdt>
        <w:sdtPr>
          <w:rPr>
            <w:rFonts w:cs="Times New Roman"/>
            <w:color w:val="000000"/>
            <w:lang w:val="en-GB"/>
          </w:rPr>
          <w:tag w:val="MENDELEY_CITATION_v3_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"/>
          <w:id w:val="-170105897"/>
          <w:placeholder>
            <w:docPart w:val="C226BBE7F1FF443E970DEB669469C6BB"/>
          </w:placeholder>
        </w:sdtPr>
        <w:sdtContent>
          <w:r w:rsidR="001E7ECF" w:rsidRPr="001E7ECF">
            <w:rPr>
              <w:rFonts w:cs="Times New Roman"/>
              <w:color w:val="000000"/>
              <w:lang w:val="en-GB"/>
            </w:rPr>
            <w:t>[23]</w:t>
          </w:r>
        </w:sdtContent>
      </w:sdt>
      <w:r w:rsidRPr="00322E56">
        <w:rPr>
          <w:rFonts w:cs="Times New Roman"/>
          <w:lang w:val="en-GB"/>
        </w:rPr>
        <w:t xml:space="preserve"> pointed out that researchers have shown energy savings of 9%–62% when using TES, but the PCM temperature and storage varies in each study </w:t>
      </w:r>
      <w:sdt>
        <w:sdtPr>
          <w:rPr>
            <w:rFonts w:cs="Times New Roman"/>
            <w:color w:val="000000"/>
            <w:lang w:val="en-GB"/>
          </w:rPr>
          <w:tag w:val="MENDELEY_CITATION_v3_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"/>
          <w:id w:val="-791750811"/>
          <w:placeholder>
            <w:docPart w:val="C226BBE7F1FF443E970DEB669469C6BB"/>
          </w:placeholder>
        </w:sdtPr>
        <w:sdtContent>
          <w:r w:rsidR="001E7ECF" w:rsidRPr="001E7ECF">
            <w:rPr>
              <w:rFonts w:cs="Times New Roman"/>
              <w:color w:val="000000"/>
              <w:lang w:val="en-GB"/>
            </w:rPr>
            <w:t>[23]</w:t>
          </w:r>
        </w:sdtContent>
      </w:sdt>
      <w:r w:rsidRPr="00322E56">
        <w:rPr>
          <w:rFonts w:cs="Times New Roman"/>
          <w:lang w:val="en-GB"/>
        </w:rPr>
        <w:t xml:space="preserve">. </w:t>
      </w:r>
    </w:p>
    <w:p w14:paraId="5B1DDA95" w14:textId="6A01AA97" w:rsidR="00B17E5F" w:rsidRPr="00322E56" w:rsidRDefault="00B17E5F" w:rsidP="00C75EBB">
      <w:pPr>
        <w:rPr>
          <w:rFonts w:cs="Times New Roman"/>
          <w:lang w:val="en-GB"/>
        </w:rPr>
      </w:pPr>
      <w:r w:rsidRPr="00322E56">
        <w:rPr>
          <w:rFonts w:cs="Times New Roman"/>
          <w:lang w:val="en-GB"/>
        </w:rPr>
        <w:lastRenderedPageBreak/>
        <w:t xml:space="preserve">A particularly promising active HP-TES configuration by Dong et al. </w:t>
      </w:r>
      <w:sdt>
        <w:sdtPr>
          <w:rPr>
            <w:rFonts w:cs="Times New Roman"/>
            <w:color w:val="000000"/>
            <w:lang w:val="en-GB"/>
          </w:rPr>
          <w:tag w:val="MENDELEY_CITATION_v3_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"/>
          <w:id w:val="-1392036157"/>
          <w:placeholder>
            <w:docPart w:val="C226BBE7F1FF443E970DEB669469C6BB"/>
          </w:placeholder>
        </w:sdtPr>
        <w:sdtContent>
          <w:r w:rsidR="001E7ECF" w:rsidRPr="001E7ECF">
            <w:rPr>
              <w:rFonts w:cs="Times New Roman"/>
              <w:color w:val="000000"/>
              <w:lang w:val="en-GB"/>
            </w:rPr>
            <w:t>[3]</w:t>
          </w:r>
        </w:sdtContent>
      </w:sdt>
      <w:r w:rsidRPr="00322E56">
        <w:rPr>
          <w:rFonts w:cs="Times New Roman"/>
          <w:lang w:val="en-GB"/>
        </w:rPr>
        <w:t xml:space="preserve"> offers large performance improvement with minimum modification while reducing the TES footprint. The ice-based TES system simulated for 100 residential buildings in Tennessee was mediated by HP and absorbs the air conditioner’s condenser heat during peak hours. Peak load of 12.7% was shifted, saving 19% of winter electricity cost and 13% of electric consumption for space heating on a winter day in Nashville.</w:t>
      </w:r>
    </w:p>
    <w:p w14:paraId="235772C7" w14:textId="2296332B" w:rsidR="00B17E5F" w:rsidRPr="00322E56" w:rsidRDefault="00B17E5F" w:rsidP="00C75EBB">
      <w:pPr>
        <w:rPr>
          <w:rFonts w:cs="Times New Roman"/>
          <w:lang w:val="en-GB"/>
        </w:rPr>
      </w:pPr>
      <w:r w:rsidRPr="00322E56">
        <w:rPr>
          <w:rFonts w:cs="Times New Roman"/>
          <w:lang w:val="en-GB"/>
        </w:rPr>
        <w:t xml:space="preserve">The selection of PCM, phase change temperature (PCT) and storage capacity are important to design the appropriate TES </w:t>
      </w:r>
      <w:sdt>
        <w:sdtPr>
          <w:rPr>
            <w:rFonts w:cs="Times New Roman"/>
            <w:color w:val="000000"/>
            <w:lang w:val="en-GB"/>
          </w:rPr>
          <w:tag w:val="MENDELEY_CITATION_v3_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"/>
          <w:id w:val="-2076271006"/>
          <w:placeholder>
            <w:docPart w:val="C226BBE7F1FF443E970DEB669469C6BB"/>
          </w:placeholder>
        </w:sdtPr>
        <w:sdtContent>
          <w:r w:rsidR="001E7ECF" w:rsidRPr="001E7ECF">
            <w:rPr>
              <w:rFonts w:cs="Times New Roman"/>
              <w:color w:val="000000"/>
              <w:lang w:val="en-GB"/>
            </w:rPr>
            <w:t>[192]</w:t>
          </w:r>
        </w:sdtContent>
      </w:sdt>
      <w:r w:rsidRPr="00322E56">
        <w:rPr>
          <w:rFonts w:cs="Times New Roman"/>
          <w:lang w:val="en-GB"/>
        </w:rPr>
        <w:t xml:space="preserve">. Various approaches can be found in literature that choose the PCT to maximize their performance for space conditioning in buildings. Waqas et al. </w:t>
      </w:r>
      <w:sdt>
        <w:sdtPr>
          <w:rPr>
            <w:rFonts w:cs="Times New Roman"/>
            <w:color w:val="000000"/>
            <w:lang w:val="en-GB"/>
          </w:rPr>
          <w:tag w:val="MENDELEY_CITATION_v3_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"/>
          <w:id w:val="-1495335041"/>
          <w:placeholder>
            <w:docPart w:val="C226BBE7F1FF443E970DEB669469C6BB"/>
          </w:placeholder>
        </w:sdtPr>
        <w:sdtContent>
          <w:r w:rsidR="001E7ECF" w:rsidRPr="001E7ECF">
            <w:rPr>
              <w:rFonts w:cs="Times New Roman"/>
              <w:color w:val="000000"/>
              <w:lang w:val="en-GB"/>
            </w:rPr>
            <w:t>[192]</w:t>
          </w:r>
        </w:sdtContent>
      </w:sdt>
      <w:r w:rsidRPr="00322E56">
        <w:rPr>
          <w:rFonts w:cs="Times New Roman"/>
          <w:lang w:val="en-GB"/>
        </w:rPr>
        <w:t xml:space="preserve"> argued that PCM temperature selection should be close to the comfort temperature of the chosen climate location. Medved and Arkar </w:t>
      </w:r>
      <w:sdt>
        <w:sdtPr>
          <w:rPr>
            <w:rFonts w:cs="Times New Roman"/>
            <w:color w:val="000000"/>
            <w:lang w:val="en-GB"/>
          </w:rPr>
          <w:tag w:val="MENDELEY_CITATION_v3_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"/>
          <w:id w:val="-1999181789"/>
          <w:placeholder>
            <w:docPart w:val="C226BBE7F1FF443E970DEB669469C6BB"/>
          </w:placeholder>
        </w:sdtPr>
        <w:sdtContent>
          <w:r w:rsidR="001E7ECF" w:rsidRPr="001E7ECF">
            <w:rPr>
              <w:rFonts w:cs="Times New Roman"/>
              <w:color w:val="000000"/>
              <w:lang w:val="en-GB"/>
            </w:rPr>
            <w:t>[121]</w:t>
          </w:r>
        </w:sdtContent>
      </w:sdt>
      <w:r w:rsidRPr="00322E56">
        <w:rPr>
          <w:rFonts w:cs="Times New Roman"/>
          <w:lang w:val="en-GB"/>
        </w:rPr>
        <w:t xml:space="preserve"> studied passive cooling for continental climates and found the PCM with a melting point equal to the average temperature of hottest month was the most appropriate choice (i.e., 20°C–22°C). Waqas and Kumar </w:t>
      </w:r>
      <w:sdt>
        <w:sdtPr>
          <w:rPr>
            <w:rFonts w:cs="Times New Roman"/>
            <w:color w:val="000000"/>
            <w:lang w:val="en-GB"/>
          </w:rPr>
          <w:tag w:val="MENDELEY_CITATION_v3_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"/>
          <w:id w:val="869274293"/>
          <w:placeholder>
            <w:docPart w:val="C226BBE7F1FF443E970DEB669469C6BB"/>
          </w:placeholder>
        </w:sdtPr>
        <w:sdtContent>
          <w:r w:rsidR="001E7ECF" w:rsidRPr="001E7ECF">
            <w:rPr>
              <w:rFonts w:cs="Times New Roman"/>
              <w:color w:val="000000"/>
              <w:lang w:val="en-GB"/>
            </w:rPr>
            <w:t>[160]</w:t>
          </w:r>
        </w:sdtContent>
      </w:sdt>
      <w:r w:rsidRPr="00322E56">
        <w:rPr>
          <w:rFonts w:cs="Times New Roman"/>
          <w:lang w:val="en-GB"/>
        </w:rPr>
        <w:t xml:space="preserve"> demonstrated optimum PCM storage unit performance by selecting a PCM with the melting point equal to the comfort temperature of hottest month for free cooling. </w:t>
      </w:r>
    </w:p>
    <w:p w14:paraId="6CDAFE4D" w14:textId="45477825" w:rsidR="00B17E5F" w:rsidRPr="00322E56" w:rsidRDefault="00B17E5F" w:rsidP="00C75EBB">
      <w:pPr>
        <w:rPr>
          <w:rFonts w:cs="Times New Roman"/>
          <w:lang w:val="en-GB"/>
        </w:rPr>
      </w:pPr>
      <w:r w:rsidRPr="00322E56">
        <w:rPr>
          <w:rFonts w:cs="Times New Roman"/>
          <w:lang w:val="en-GB"/>
        </w:rPr>
        <w:t xml:space="preserve">A single PCM unit for heating and cooling was analysed for the subtropical humid climate of Islamabad, Pakistan, which observes large variations in summer and winter temperatures </w:t>
      </w:r>
      <w:sdt>
        <w:sdtPr>
          <w:rPr>
            <w:rFonts w:cs="Times New Roman"/>
            <w:color w:val="000000"/>
            <w:lang w:val="en-GB"/>
          </w:rPr>
          <w:tag w:val="MENDELEY_CITATION_v3_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"/>
          <w:id w:val="-1707787994"/>
          <w:placeholder>
            <w:docPart w:val="C226BBE7F1FF443E970DEB669469C6BB"/>
          </w:placeholder>
        </w:sdtPr>
        <w:sdtContent>
          <w:r w:rsidR="001E7ECF" w:rsidRPr="001E7ECF">
            <w:rPr>
              <w:rFonts w:cs="Times New Roman"/>
              <w:color w:val="000000"/>
              <w:lang w:val="en-GB"/>
            </w:rPr>
            <w:t>[193]</w:t>
          </w:r>
        </w:sdtContent>
      </w:sdt>
      <w:r w:rsidRPr="00322E56">
        <w:rPr>
          <w:rFonts w:cs="Times New Roman"/>
          <w:lang w:val="en-GB"/>
        </w:rPr>
        <w:t xml:space="preserve">. A commercial PCM (salt and paraffin blend) was used, and a parametric study was performed. The optimum melting point was approximately 29°C for summer and approximately 21°C for winter. Both seasons could have optimized performance at approximately 27.5°C, but the cooling capacity drastically drops below this point. The study concluded that to choose a single melting temperature for both applications, the PCM melting point that maximized summer cooling could be used for winter heating but not vice versa </w:t>
      </w:r>
      <w:sdt>
        <w:sdtPr>
          <w:rPr>
            <w:rFonts w:cs="Times New Roman"/>
            <w:color w:val="000000"/>
            <w:lang w:val="en-GB"/>
          </w:rPr>
          <w:tag w:val="MENDELEY_CITATION_v3_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"/>
          <w:id w:val="-1316328988"/>
          <w:placeholder>
            <w:docPart w:val="C226BBE7F1FF443E970DEB669469C6BB"/>
          </w:placeholder>
        </w:sdtPr>
        <w:sdtContent>
          <w:r w:rsidR="001E7ECF" w:rsidRPr="001E7ECF">
            <w:rPr>
              <w:rFonts w:cs="Times New Roman"/>
              <w:color w:val="000000"/>
              <w:lang w:val="en-GB"/>
            </w:rPr>
            <w:t>[193]</w:t>
          </w:r>
        </w:sdtContent>
      </w:sdt>
      <w:r w:rsidRPr="00322E56">
        <w:rPr>
          <w:rFonts w:cs="Times New Roman"/>
          <w:lang w:val="en-GB"/>
        </w:rPr>
        <w:t>.</w:t>
      </w:r>
    </w:p>
    <w:p w14:paraId="285AD127" w14:textId="2D14F31D" w:rsidR="00B17E5F" w:rsidRPr="00322E56" w:rsidRDefault="00B17E5F" w:rsidP="00C75EBB">
      <w:pPr>
        <w:rPr>
          <w:rFonts w:cs="Times New Roman"/>
          <w:lang w:val="en-GB"/>
        </w:rPr>
      </w:pPr>
      <w:r w:rsidRPr="00322E56">
        <w:rPr>
          <w:rFonts w:cs="Times New Roman"/>
          <w:lang w:val="en-GB"/>
        </w:rPr>
        <w:t xml:space="preserve">Passive PCM-TES is proven to be effective for space cooling in literature, but for the climates with less significant diurnal or annual temperature variations, passive systems may not be beneficial </w:t>
      </w:r>
      <w:sdt>
        <w:sdtPr>
          <w:rPr>
            <w:rFonts w:cs="Times New Roman"/>
            <w:color w:val="000000"/>
            <w:lang w:val="en-GB"/>
          </w:rPr>
          <w:tag w:val="MENDELEY_CITATION_v3_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"/>
          <w:id w:val="1629820147"/>
          <w:placeholder>
            <w:docPart w:val="C226BBE7F1FF443E970DEB669469C6BB"/>
          </w:placeholder>
        </w:sdtPr>
        <w:sdtContent>
          <w:r w:rsidR="001E7ECF" w:rsidRPr="001E7ECF">
            <w:rPr>
              <w:rFonts w:cs="Times New Roman"/>
              <w:color w:val="000000"/>
              <w:lang w:val="en-GB"/>
            </w:rPr>
            <w:t>[29, 32]</w:t>
          </w:r>
        </w:sdtContent>
      </w:sdt>
      <w:r w:rsidRPr="00322E56">
        <w:rPr>
          <w:rFonts w:cs="Times New Roman"/>
          <w:lang w:val="en-GB"/>
        </w:rPr>
        <w:t>.</w:t>
      </w:r>
    </w:p>
    <w:p w14:paraId="3F167E57" w14:textId="77777777" w:rsidR="00B17E5F" w:rsidRPr="00322E56" w:rsidRDefault="00B17E5F" w:rsidP="00C75EBB">
      <w:pPr>
        <w:rPr>
          <w:rFonts w:cs="Times New Roman"/>
          <w:lang w:val="en-GB"/>
        </w:rPr>
      </w:pPr>
      <w:r w:rsidRPr="00322E56">
        <w:rPr>
          <w:rFonts w:cs="Times New Roman"/>
          <w:lang w:val="en-GB"/>
        </w:rPr>
        <w:lastRenderedPageBreak/>
        <w:t>PCM temperature optimization has been studied by various researchers and is briefly discussed in Table 14. The table summarizes the range of PCTs used in each paper, with the optimized PCT for respective application. Notably, PCM is mostly used passively and is integrated in the building envelope.</w:t>
      </w:r>
    </w:p>
    <w:p w14:paraId="5CF999C8" w14:textId="4F6FC47D" w:rsidR="00B17E5F" w:rsidRPr="00322E56" w:rsidRDefault="00B17E5F" w:rsidP="00F25351">
      <w:pPr>
        <w:rPr>
          <w:rFonts w:cs="Times New Roman"/>
          <w:lang w:val="en-GB"/>
        </w:rPr>
      </w:pPr>
      <w:r w:rsidRPr="00322E56">
        <w:rPr>
          <w:rFonts w:cs="Times New Roman"/>
          <w:lang w:val="en-GB"/>
        </w:rPr>
        <w:t xml:space="preserve">The literature survey on optimization studies suggests that only passive systems have been investigated to find optimum PCT, which is room temperature for the majority of cases. Different PCM materials and melting temperatures have been selected for heating and cooling applications for a given TES </w:t>
      </w:r>
      <w:sdt>
        <w:sdtPr>
          <w:rPr>
            <w:rFonts w:cs="Times New Roman"/>
            <w:color w:val="000000"/>
            <w:lang w:val="en-GB"/>
          </w:rPr>
          <w:tag w:val="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"/>
          <w:id w:val="782076066"/>
          <w:placeholder>
            <w:docPart w:val="F6D002DCA3D04B7BB9AF4036A862D868"/>
          </w:placeholder>
        </w:sdtPr>
        <w:sdtContent>
          <w:r w:rsidR="001E7ECF" w:rsidRPr="001E7ECF">
            <w:rPr>
              <w:rFonts w:cs="Times New Roman"/>
              <w:color w:val="000000"/>
              <w:lang w:val="en-GB"/>
            </w:rPr>
            <w:t>[33, 34, 35, 36, 37, 38, 39, 40, 41, 42]</w:t>
          </w:r>
        </w:sdtContent>
      </w:sdt>
      <w:r w:rsidRPr="00322E56">
        <w:rPr>
          <w:rFonts w:cs="Times New Roman"/>
          <w:lang w:val="en-GB"/>
        </w:rPr>
        <w:t>.</w:t>
      </w:r>
    </w:p>
    <w:p w14:paraId="6E8D871D" w14:textId="106ACBED" w:rsidR="00B17E5F" w:rsidRDefault="00B17E5F" w:rsidP="00F25351">
      <w:pPr>
        <w:rPr>
          <w:rFonts w:cs="Times New Roman"/>
          <w:lang w:val="en-GB"/>
        </w:rPr>
      </w:pPr>
      <w:r w:rsidRPr="00322E56">
        <w:rPr>
          <w:rFonts w:cs="Times New Roman"/>
          <w:lang w:val="en-GB"/>
        </w:rPr>
        <w:t xml:space="preserve">For the configuration chosen for this study, PCM-TES was not directly used to cool or heat the building but was coupled to the HP to provide a heat sink/source. This type of system can be integrated with the existing HP via active configuration and is beneficial for residential buildings </w:t>
      </w:r>
      <w:sdt>
        <w:sdtPr>
          <w:rPr>
            <w:rFonts w:cs="Times New Roman"/>
            <w:color w:val="000000"/>
            <w:lang w:val="en-GB"/>
          </w:rPr>
          <w:tag w:val="MENDELEY_CITATION_v3_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"/>
          <w:id w:val="1847596184"/>
          <w:placeholder>
            <w:docPart w:val="F6D002DCA3D04B7BB9AF4036A862D868"/>
          </w:placeholder>
        </w:sdtPr>
        <w:sdtContent>
          <w:r w:rsidR="001E7ECF" w:rsidRPr="001E7ECF">
            <w:rPr>
              <w:rFonts w:cs="Times New Roman"/>
              <w:color w:val="000000"/>
              <w:lang w:val="en-GB"/>
            </w:rPr>
            <w:t>[23]</w:t>
          </w:r>
        </w:sdtContent>
      </w:sdt>
      <w:r w:rsidRPr="00322E56">
        <w:rPr>
          <w:rFonts w:cs="Times New Roman"/>
          <w:lang w:val="en-GB"/>
        </w:rPr>
        <w:t>, where even small TES can provide peak energy savings.</w:t>
      </w:r>
    </w:p>
    <w:p w14:paraId="29FFC5BA" w14:textId="77777777" w:rsidR="00B46509" w:rsidRPr="00322E56" w:rsidRDefault="00B46509" w:rsidP="00B46509">
      <w:pPr>
        <w:pStyle w:val="Heading3"/>
        <w:rPr>
          <w:rFonts w:cs="Times New Roman"/>
          <w:lang w:val="en-GB"/>
        </w:rPr>
      </w:pPr>
      <w:bookmarkStart w:id="166" w:name="_Toc140399875"/>
      <w:r w:rsidRPr="00322E56">
        <w:rPr>
          <w:rFonts w:cs="Times New Roman"/>
          <w:lang w:val="en-GB"/>
        </w:rPr>
        <w:t>Research Gap and Objectives</w:t>
      </w:r>
      <w:bookmarkEnd w:id="166"/>
    </w:p>
    <w:p w14:paraId="5451380D" w14:textId="77777777" w:rsidR="00B46509" w:rsidRDefault="00B46509" w:rsidP="00B46509">
      <w:pPr>
        <w:rPr>
          <w:rFonts w:cs="Times New Roman"/>
          <w:lang w:val="en-GB"/>
        </w:rPr>
      </w:pPr>
      <w:r w:rsidRPr="00322E56">
        <w:rPr>
          <w:rFonts w:cs="Times New Roman"/>
          <w:lang w:val="en-GB"/>
        </w:rPr>
        <w:t>This study fills a gap in the literature by modeling a single PCM characterized by a single PCT in HP-TES configuration for heating and cooling. This study evaluated the economic and grid benefits of HP-TES using time-based utility rates in three climates and performed parametric analysis. The PCM was installed in a heat exchanger coupled to the HP, with heat transfer to and from the TES always mediated by the HP. The HP model, building model and PCM model were simplified to show the promise of such HP-TES configurations. The scope of this study was to determine the optimum PCT and storage capacity for maximum energy savings, cost savings and peak load shifting benefits of the said configuration of HP-integrated TES.</w:t>
      </w:r>
    </w:p>
    <w:p w14:paraId="508C3C11" w14:textId="77777777" w:rsidR="00B46509" w:rsidRPr="00322E56" w:rsidRDefault="00B46509" w:rsidP="00B46509">
      <w:pPr>
        <w:rPr>
          <w:rFonts w:cs="Times New Roman"/>
          <w:lang w:val="en-GB"/>
        </w:rPr>
      </w:pPr>
      <w:r w:rsidRPr="00322E56">
        <w:rPr>
          <w:rFonts w:cs="Times New Roman"/>
          <w:lang w:val="en-GB"/>
        </w:rPr>
        <w:t>The novelty of this research is:</w:t>
      </w:r>
    </w:p>
    <w:p w14:paraId="2EE93158" w14:textId="77777777" w:rsidR="00B46509" w:rsidRPr="00322E56" w:rsidRDefault="00B46509" w:rsidP="00B46509">
      <w:pPr>
        <w:pStyle w:val="ListParagraph"/>
        <w:numPr>
          <w:ilvl w:val="0"/>
          <w:numId w:val="8"/>
        </w:numPr>
        <w:rPr>
          <w:rFonts w:cs="Times New Roman"/>
          <w:sz w:val="24"/>
          <w:szCs w:val="24"/>
          <w:lang w:val="en-GB"/>
        </w:rPr>
      </w:pPr>
      <w:r w:rsidRPr="00322E56">
        <w:rPr>
          <w:rFonts w:cs="Times New Roman"/>
          <w:sz w:val="24"/>
          <w:szCs w:val="24"/>
          <w:lang w:val="en-GB"/>
        </w:rPr>
        <w:t>Evaluating a novel configuration of HP-TES and determining economic value of the system.</w:t>
      </w:r>
    </w:p>
    <w:p w14:paraId="03172074" w14:textId="28202A03" w:rsidR="00B17E5F" w:rsidRPr="00322E56" w:rsidRDefault="00B17E5F" w:rsidP="00DB094E">
      <w:pPr>
        <w:spacing w:line="240" w:lineRule="auto"/>
        <w:ind w:firstLine="0"/>
        <w:rPr>
          <w:rFonts w:cs="Times New Roman"/>
          <w:lang w:val="en-GB"/>
        </w:rPr>
      </w:pPr>
    </w:p>
    <w:p w14:paraId="2944AEA6" w14:textId="40855E3F" w:rsidR="00B17E5F" w:rsidRPr="00322E56" w:rsidRDefault="00B17E5F" w:rsidP="00050E36">
      <w:pPr>
        <w:pStyle w:val="Caption"/>
        <w:jc w:val="center"/>
        <w:rPr>
          <w:rFonts w:cs="Times New Roman"/>
        </w:rPr>
      </w:pPr>
      <w:bookmarkStart w:id="167" w:name="_Toc140399954"/>
      <w:r w:rsidRPr="00322E56">
        <w:rPr>
          <w:rFonts w:cs="Times New Roman"/>
        </w:rPr>
        <w:lastRenderedPageBreak/>
        <w:t xml:space="preserve">Table </w:t>
      </w:r>
      <w:r w:rsidRPr="00322E56">
        <w:rPr>
          <w:rFonts w:cs="Times New Roman"/>
        </w:rPr>
        <w:fldChar w:fldCharType="begin"/>
      </w:r>
      <w:r w:rsidRPr="00322E56">
        <w:rPr>
          <w:rFonts w:cs="Times New Roman"/>
        </w:rPr>
        <w:instrText xml:space="preserve"> SEQ Table \* ARABIC </w:instrText>
      </w:r>
      <w:r w:rsidRPr="00322E56">
        <w:rPr>
          <w:rFonts w:cs="Times New Roman"/>
        </w:rPr>
        <w:fldChar w:fldCharType="separate"/>
      </w:r>
      <w:r w:rsidR="00FC25C0">
        <w:rPr>
          <w:rFonts w:cs="Times New Roman"/>
          <w:noProof/>
        </w:rPr>
        <w:t>14</w:t>
      </w:r>
      <w:r w:rsidRPr="00322E56">
        <w:rPr>
          <w:rFonts w:cs="Times New Roman"/>
        </w:rPr>
        <w:fldChar w:fldCharType="end"/>
      </w:r>
      <w:r w:rsidRPr="00322E56">
        <w:rPr>
          <w:rFonts w:cs="Times New Roman"/>
        </w:rPr>
        <w:t>: Literature review on PCM temperature optimization</w:t>
      </w:r>
      <w:bookmarkEnd w:id="167"/>
    </w:p>
    <w:tbl>
      <w:tblPr>
        <w:tblStyle w:val="TableGrid"/>
        <w:tblW w:w="8438" w:type="dxa"/>
        <w:tblLook w:val="04A0" w:firstRow="1" w:lastRow="0" w:firstColumn="1" w:lastColumn="0" w:noHBand="0" w:noVBand="1"/>
      </w:tblPr>
      <w:tblGrid>
        <w:gridCol w:w="1255"/>
        <w:gridCol w:w="2103"/>
        <w:gridCol w:w="1442"/>
        <w:gridCol w:w="1626"/>
        <w:gridCol w:w="2012"/>
      </w:tblGrid>
      <w:tr w:rsidR="00B17E5F" w:rsidRPr="005D7869" w14:paraId="6314705F" w14:textId="77777777" w:rsidTr="00B46509">
        <w:trPr>
          <w:trHeight w:val="680"/>
        </w:trPr>
        <w:tc>
          <w:tcPr>
            <w:tcW w:w="1255" w:type="dxa"/>
          </w:tcPr>
          <w:p w14:paraId="4AECEC19" w14:textId="77777777" w:rsidR="00B17E5F" w:rsidRPr="005D7869" w:rsidRDefault="00B17E5F" w:rsidP="005D7869">
            <w:pPr>
              <w:pStyle w:val="NoSpacing"/>
              <w:rPr>
                <w:rFonts w:cs="Times New Roman"/>
                <w:b/>
                <w:bCs/>
                <w:sz w:val="22"/>
                <w:szCs w:val="22"/>
                <w:lang w:val="en-GB"/>
              </w:rPr>
            </w:pPr>
            <w:r w:rsidRPr="005D7869">
              <w:rPr>
                <w:rFonts w:cs="Times New Roman"/>
                <w:b/>
                <w:bCs/>
                <w:sz w:val="22"/>
                <w:szCs w:val="22"/>
                <w:lang w:val="en-GB"/>
              </w:rPr>
              <w:t>References</w:t>
            </w:r>
          </w:p>
        </w:tc>
        <w:tc>
          <w:tcPr>
            <w:tcW w:w="2103" w:type="dxa"/>
          </w:tcPr>
          <w:p w14:paraId="7E2A6B19" w14:textId="77777777" w:rsidR="00B17E5F" w:rsidRPr="005D7869" w:rsidRDefault="00B17E5F" w:rsidP="005D7869">
            <w:pPr>
              <w:pStyle w:val="NoSpacing"/>
              <w:rPr>
                <w:rFonts w:cs="Times New Roman"/>
                <w:b/>
                <w:bCs/>
                <w:sz w:val="22"/>
                <w:szCs w:val="22"/>
                <w:lang w:val="en-GB"/>
              </w:rPr>
            </w:pPr>
            <w:r w:rsidRPr="005D7869">
              <w:rPr>
                <w:rFonts w:cs="Times New Roman"/>
                <w:b/>
                <w:bCs/>
                <w:sz w:val="22"/>
                <w:szCs w:val="22"/>
                <w:lang w:val="en-GB"/>
              </w:rPr>
              <w:t>PCM material &amp; melting range</w:t>
            </w:r>
          </w:p>
        </w:tc>
        <w:tc>
          <w:tcPr>
            <w:tcW w:w="1442" w:type="dxa"/>
          </w:tcPr>
          <w:p w14:paraId="3C5B8D20" w14:textId="77777777" w:rsidR="00B17E5F" w:rsidRPr="005D7869" w:rsidRDefault="00B17E5F" w:rsidP="005D7869">
            <w:pPr>
              <w:pStyle w:val="NoSpacing"/>
              <w:rPr>
                <w:rFonts w:cs="Times New Roman"/>
                <w:b/>
                <w:bCs/>
                <w:sz w:val="22"/>
                <w:szCs w:val="22"/>
                <w:lang w:val="en-GB"/>
              </w:rPr>
            </w:pPr>
            <w:r w:rsidRPr="005D7869">
              <w:rPr>
                <w:rFonts w:cs="Times New Roman"/>
                <w:b/>
                <w:bCs/>
                <w:sz w:val="22"/>
                <w:szCs w:val="22"/>
                <w:lang w:val="en-GB"/>
              </w:rPr>
              <w:t>Optimized PCM temperature</w:t>
            </w:r>
          </w:p>
        </w:tc>
        <w:tc>
          <w:tcPr>
            <w:tcW w:w="1626" w:type="dxa"/>
          </w:tcPr>
          <w:p w14:paraId="1F41E5F6" w14:textId="77777777" w:rsidR="00B17E5F" w:rsidRPr="005D7869" w:rsidRDefault="00B17E5F" w:rsidP="005D7869">
            <w:pPr>
              <w:pStyle w:val="NoSpacing"/>
              <w:rPr>
                <w:rFonts w:cs="Times New Roman"/>
                <w:b/>
                <w:bCs/>
                <w:sz w:val="22"/>
                <w:szCs w:val="22"/>
                <w:lang w:val="en-GB"/>
              </w:rPr>
            </w:pPr>
            <w:r w:rsidRPr="005D7869">
              <w:rPr>
                <w:rFonts w:cs="Times New Roman"/>
                <w:b/>
                <w:bCs/>
                <w:sz w:val="22"/>
                <w:szCs w:val="22"/>
                <w:lang w:val="en-GB"/>
              </w:rPr>
              <w:t>Methodology (Simulation based studies)</w:t>
            </w:r>
          </w:p>
        </w:tc>
        <w:tc>
          <w:tcPr>
            <w:tcW w:w="2012" w:type="dxa"/>
          </w:tcPr>
          <w:p w14:paraId="3E1FBFF8" w14:textId="77777777" w:rsidR="00B17E5F" w:rsidRPr="005D7869" w:rsidRDefault="00B17E5F" w:rsidP="005D7869">
            <w:pPr>
              <w:pStyle w:val="NoSpacing"/>
              <w:rPr>
                <w:rFonts w:cs="Times New Roman"/>
                <w:b/>
                <w:bCs/>
                <w:sz w:val="22"/>
                <w:szCs w:val="22"/>
                <w:lang w:val="en-GB"/>
              </w:rPr>
            </w:pPr>
            <w:r w:rsidRPr="005D7869">
              <w:rPr>
                <w:rFonts w:cs="Times New Roman"/>
                <w:b/>
                <w:bCs/>
                <w:sz w:val="22"/>
                <w:szCs w:val="22"/>
                <w:lang w:val="en-GB"/>
              </w:rPr>
              <w:t xml:space="preserve">Application and PCM integration </w:t>
            </w:r>
          </w:p>
        </w:tc>
      </w:tr>
      <w:tr w:rsidR="00B17E5F" w:rsidRPr="005D7869" w14:paraId="7D301CB9" w14:textId="77777777" w:rsidTr="00B46509">
        <w:trPr>
          <w:trHeight w:val="642"/>
        </w:trPr>
        <w:sdt>
          <w:sdtPr>
            <w:rPr>
              <w:rFonts w:cs="Times New Roman"/>
              <w:color w:val="000000"/>
              <w:sz w:val="22"/>
              <w:szCs w:val="22"/>
              <w:lang w:val="en-GB"/>
            </w:rPr>
            <w:tag w:val="MENDELEY_CITATION_v3_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"/>
            <w:id w:val="-1698456157"/>
            <w:placeholder>
              <w:docPart w:val="6E877B9BE428406BAEF2EFA934C54E8F"/>
            </w:placeholder>
          </w:sdtPr>
          <w:sdtContent>
            <w:tc>
              <w:tcPr>
                <w:tcW w:w="1255" w:type="dxa"/>
              </w:tcPr>
              <w:p w14:paraId="2227E034" w14:textId="452FB45D" w:rsidR="00B17E5F" w:rsidRPr="005D7869" w:rsidRDefault="001E7ECF" w:rsidP="005D7869">
                <w:pPr>
                  <w:pStyle w:val="NoSpacing"/>
                  <w:rPr>
                    <w:rFonts w:cs="Times New Roman"/>
                    <w:sz w:val="22"/>
                    <w:szCs w:val="22"/>
                    <w:lang w:val="en-GB"/>
                  </w:rPr>
                </w:pPr>
                <w:r w:rsidRPr="001E7ECF">
                  <w:rPr>
                    <w:rFonts w:cs="Times New Roman"/>
                    <w:color w:val="000000"/>
                    <w:sz w:val="22"/>
                    <w:szCs w:val="22"/>
                    <w:lang w:val="en-GB"/>
                  </w:rPr>
                  <w:t>[161]</w:t>
                </w:r>
              </w:p>
            </w:tc>
          </w:sdtContent>
        </w:sdt>
        <w:tc>
          <w:tcPr>
            <w:tcW w:w="2103" w:type="dxa"/>
          </w:tcPr>
          <w:p w14:paraId="6ED0EFBF"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Honeycomb PCM</w:t>
            </w:r>
          </w:p>
          <w:p w14:paraId="608A6FD1"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(26°C–29°C)</w:t>
            </w:r>
          </w:p>
        </w:tc>
        <w:tc>
          <w:tcPr>
            <w:tcW w:w="1442" w:type="dxa"/>
          </w:tcPr>
          <w:p w14:paraId="39F08177"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29°C (cooling)</w:t>
            </w:r>
          </w:p>
        </w:tc>
        <w:tc>
          <w:tcPr>
            <w:tcW w:w="1626" w:type="dxa"/>
          </w:tcPr>
          <w:p w14:paraId="5AA37238"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Numerical, EnergyPlus (E+)</w:t>
            </w:r>
          </w:p>
        </w:tc>
        <w:tc>
          <w:tcPr>
            <w:tcW w:w="2012" w:type="dxa"/>
          </w:tcPr>
          <w:p w14:paraId="4B61ACD4"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PCM-enhanced envelopes</w:t>
            </w:r>
          </w:p>
        </w:tc>
      </w:tr>
      <w:tr w:rsidR="00B17E5F" w:rsidRPr="005D7869" w14:paraId="773EA167" w14:textId="77777777" w:rsidTr="00B46509">
        <w:trPr>
          <w:trHeight w:val="642"/>
        </w:trPr>
        <w:sdt>
          <w:sdtPr>
            <w:rPr>
              <w:rFonts w:cs="Times New Roman"/>
              <w:color w:val="000000"/>
              <w:sz w:val="22"/>
              <w:szCs w:val="22"/>
              <w:lang w:val="en-GB"/>
            </w:rPr>
            <w:tag w:val="MENDELEY_CITATION_v3_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"/>
            <w:id w:val="568382275"/>
            <w:placeholder>
              <w:docPart w:val="6E877B9BE428406BAEF2EFA934C54E8F"/>
            </w:placeholder>
          </w:sdtPr>
          <w:sdtContent>
            <w:tc>
              <w:tcPr>
                <w:tcW w:w="1255" w:type="dxa"/>
              </w:tcPr>
              <w:p w14:paraId="39CAF1FF" w14:textId="78006560" w:rsidR="00B17E5F" w:rsidRPr="005D7869" w:rsidRDefault="001E7ECF" w:rsidP="005D7869">
                <w:pPr>
                  <w:pStyle w:val="NoSpacing"/>
                  <w:rPr>
                    <w:rFonts w:cs="Times New Roman"/>
                    <w:sz w:val="22"/>
                    <w:szCs w:val="22"/>
                    <w:lang w:val="en-GB"/>
                  </w:rPr>
                </w:pPr>
                <w:r w:rsidRPr="001E7ECF">
                  <w:rPr>
                    <w:rFonts w:cs="Times New Roman"/>
                    <w:color w:val="000000"/>
                    <w:sz w:val="22"/>
                    <w:szCs w:val="22"/>
                    <w:lang w:val="en-GB"/>
                  </w:rPr>
                  <w:t>[162]</w:t>
                </w:r>
              </w:p>
            </w:tc>
          </w:sdtContent>
        </w:sdt>
        <w:tc>
          <w:tcPr>
            <w:tcW w:w="2103" w:type="dxa"/>
          </w:tcPr>
          <w:p w14:paraId="39B2A92A"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Bio PCM</w:t>
            </w:r>
          </w:p>
          <w:p w14:paraId="16108ED2"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(20°C–25°C)</w:t>
            </w:r>
          </w:p>
        </w:tc>
        <w:tc>
          <w:tcPr>
            <w:tcW w:w="1442" w:type="dxa"/>
          </w:tcPr>
          <w:p w14:paraId="1443CA9C"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25°C (cooling)</w:t>
            </w:r>
          </w:p>
          <w:p w14:paraId="07C07E9E"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20°C (heating)</w:t>
            </w:r>
          </w:p>
        </w:tc>
        <w:tc>
          <w:tcPr>
            <w:tcW w:w="1626" w:type="dxa"/>
          </w:tcPr>
          <w:p w14:paraId="7EC632DC"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ConFD in E+</w:t>
            </w:r>
          </w:p>
        </w:tc>
        <w:tc>
          <w:tcPr>
            <w:tcW w:w="2012" w:type="dxa"/>
          </w:tcPr>
          <w:p w14:paraId="149A1C5C"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In building envelope coupled to HVAC</w:t>
            </w:r>
          </w:p>
        </w:tc>
      </w:tr>
      <w:tr w:rsidR="00B17E5F" w:rsidRPr="005D7869" w14:paraId="7FDFFBC6" w14:textId="77777777" w:rsidTr="00B46509">
        <w:trPr>
          <w:trHeight w:val="642"/>
        </w:trPr>
        <w:sdt>
          <w:sdtPr>
            <w:rPr>
              <w:rFonts w:cs="Times New Roman"/>
              <w:color w:val="000000"/>
              <w:sz w:val="22"/>
              <w:szCs w:val="22"/>
              <w:lang w:val="en-GB"/>
            </w:rPr>
            <w:tag w:val="MENDELEY_CITATION_v3_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"/>
            <w:id w:val="308060728"/>
            <w:placeholder>
              <w:docPart w:val="6E877B9BE428406BAEF2EFA934C54E8F"/>
            </w:placeholder>
          </w:sdtPr>
          <w:sdtContent>
            <w:tc>
              <w:tcPr>
                <w:tcW w:w="1255" w:type="dxa"/>
              </w:tcPr>
              <w:p w14:paraId="38C2DE29" w14:textId="451554BB" w:rsidR="00B17E5F" w:rsidRPr="005D7869" w:rsidRDefault="001E7ECF" w:rsidP="005D7869">
                <w:pPr>
                  <w:pStyle w:val="NoSpacing"/>
                  <w:rPr>
                    <w:rFonts w:cs="Times New Roman"/>
                    <w:sz w:val="22"/>
                    <w:szCs w:val="22"/>
                    <w:lang w:val="en-GB"/>
                  </w:rPr>
                </w:pPr>
                <w:r w:rsidRPr="001E7ECF">
                  <w:rPr>
                    <w:rFonts w:cs="Times New Roman"/>
                    <w:color w:val="000000"/>
                    <w:sz w:val="22"/>
                    <w:szCs w:val="22"/>
                    <w:lang w:val="en-GB"/>
                  </w:rPr>
                  <w:t>[163]</w:t>
                </w:r>
              </w:p>
            </w:tc>
          </w:sdtContent>
        </w:sdt>
        <w:tc>
          <w:tcPr>
            <w:tcW w:w="2103" w:type="dxa"/>
          </w:tcPr>
          <w:p w14:paraId="26D19A8C"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n-Octadecane PCM</w:t>
            </w:r>
          </w:p>
          <w:p w14:paraId="5222A38E"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(22°C–32°C)</w:t>
            </w:r>
          </w:p>
        </w:tc>
        <w:tc>
          <w:tcPr>
            <w:tcW w:w="1442" w:type="dxa"/>
          </w:tcPr>
          <w:p w14:paraId="15E96F5B"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28°C (cooling)</w:t>
            </w:r>
          </w:p>
        </w:tc>
        <w:tc>
          <w:tcPr>
            <w:tcW w:w="1626" w:type="dxa"/>
          </w:tcPr>
          <w:p w14:paraId="3761B7B2"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Temperature controlled, E+</w:t>
            </w:r>
          </w:p>
        </w:tc>
        <w:tc>
          <w:tcPr>
            <w:tcW w:w="2012" w:type="dxa"/>
          </w:tcPr>
          <w:p w14:paraId="3AD10600"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In wall coupled to HVAC, Benchmark cubic model</w:t>
            </w:r>
          </w:p>
        </w:tc>
      </w:tr>
      <w:tr w:rsidR="00B17E5F" w:rsidRPr="005D7869" w14:paraId="28812920" w14:textId="77777777" w:rsidTr="00B46509">
        <w:trPr>
          <w:trHeight w:val="1192"/>
        </w:trPr>
        <w:sdt>
          <w:sdtPr>
            <w:rPr>
              <w:rFonts w:cs="Times New Roman"/>
              <w:color w:val="000000"/>
              <w:sz w:val="22"/>
              <w:szCs w:val="22"/>
              <w:lang w:val="en-GB"/>
            </w:rPr>
            <w:tag w:val="MENDELEY_CITATION_v3_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"/>
            <w:id w:val="1314907036"/>
            <w:placeholder>
              <w:docPart w:val="6E877B9BE428406BAEF2EFA934C54E8F"/>
            </w:placeholder>
          </w:sdtPr>
          <w:sdtContent>
            <w:tc>
              <w:tcPr>
                <w:tcW w:w="1255" w:type="dxa"/>
              </w:tcPr>
              <w:p w14:paraId="4ECAC999" w14:textId="6CE214C6" w:rsidR="00B17E5F" w:rsidRPr="005D7869" w:rsidRDefault="001E7ECF" w:rsidP="005D7869">
                <w:pPr>
                  <w:pStyle w:val="NoSpacing"/>
                  <w:rPr>
                    <w:rFonts w:cs="Times New Roman"/>
                    <w:sz w:val="22"/>
                    <w:szCs w:val="22"/>
                    <w:lang w:val="en-GB"/>
                  </w:rPr>
                </w:pPr>
                <w:r w:rsidRPr="001E7ECF">
                  <w:rPr>
                    <w:rFonts w:cs="Times New Roman"/>
                    <w:color w:val="000000"/>
                    <w:sz w:val="22"/>
                    <w:szCs w:val="22"/>
                    <w:lang w:val="en-GB"/>
                  </w:rPr>
                  <w:t>[164]</w:t>
                </w:r>
              </w:p>
            </w:tc>
          </w:sdtContent>
        </w:sdt>
        <w:tc>
          <w:tcPr>
            <w:tcW w:w="2103" w:type="dxa"/>
          </w:tcPr>
          <w:p w14:paraId="54A4D75C"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30 wt % paraffin PCM</w:t>
            </w:r>
          </w:p>
          <w:p w14:paraId="52E6CA06"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(23°C–26°C)</w:t>
            </w:r>
          </w:p>
        </w:tc>
        <w:tc>
          <w:tcPr>
            <w:tcW w:w="1442" w:type="dxa"/>
          </w:tcPr>
          <w:p w14:paraId="7AE12DB4"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26°C (cooling)</w:t>
            </w:r>
          </w:p>
          <w:p w14:paraId="2BA35751"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20°C (heating)</w:t>
            </w:r>
          </w:p>
        </w:tc>
        <w:tc>
          <w:tcPr>
            <w:tcW w:w="1626" w:type="dxa"/>
          </w:tcPr>
          <w:p w14:paraId="34597AE5"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Optimization using h-T function in E+ and GenOpt</w:t>
            </w:r>
          </w:p>
        </w:tc>
        <w:tc>
          <w:tcPr>
            <w:tcW w:w="2012" w:type="dxa"/>
          </w:tcPr>
          <w:p w14:paraId="67CC6D12"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Microencapsulated PCM direct integration in building envelope (inner surface of the exterior walls and roof)</w:t>
            </w:r>
          </w:p>
        </w:tc>
      </w:tr>
      <w:tr w:rsidR="00B17E5F" w:rsidRPr="005D7869" w14:paraId="2711433A" w14:textId="77777777" w:rsidTr="00B46509">
        <w:trPr>
          <w:trHeight w:val="652"/>
        </w:trPr>
        <w:sdt>
          <w:sdtPr>
            <w:rPr>
              <w:rFonts w:cs="Times New Roman"/>
              <w:color w:val="000000"/>
              <w:sz w:val="22"/>
              <w:szCs w:val="22"/>
              <w:lang w:val="en-GB"/>
            </w:rPr>
            <w:tag w:val="MENDELEY_CITATION_v3_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"/>
            <w:id w:val="1586267942"/>
            <w:placeholder>
              <w:docPart w:val="6E877B9BE428406BAEF2EFA934C54E8F"/>
            </w:placeholder>
          </w:sdtPr>
          <w:sdtContent>
            <w:tc>
              <w:tcPr>
                <w:tcW w:w="1255" w:type="dxa"/>
              </w:tcPr>
              <w:p w14:paraId="7E138571" w14:textId="45EA119E" w:rsidR="00B17E5F" w:rsidRPr="005D7869" w:rsidRDefault="001E7ECF" w:rsidP="005D7869">
                <w:pPr>
                  <w:pStyle w:val="NoSpacing"/>
                  <w:rPr>
                    <w:rFonts w:cs="Times New Roman"/>
                    <w:sz w:val="22"/>
                    <w:szCs w:val="22"/>
                    <w:lang w:val="en-GB"/>
                  </w:rPr>
                </w:pPr>
                <w:r w:rsidRPr="001E7ECF">
                  <w:rPr>
                    <w:rFonts w:cs="Times New Roman"/>
                    <w:color w:val="000000"/>
                    <w:sz w:val="22"/>
                    <w:szCs w:val="22"/>
                    <w:lang w:val="en-GB"/>
                  </w:rPr>
                  <w:t>[194]</w:t>
                </w:r>
              </w:p>
            </w:tc>
          </w:sdtContent>
        </w:sdt>
        <w:tc>
          <w:tcPr>
            <w:tcW w:w="2103" w:type="dxa"/>
          </w:tcPr>
          <w:p w14:paraId="4DF33191"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 xml:space="preserve">Various Bio PCMs </w:t>
            </w:r>
          </w:p>
          <w:p w14:paraId="05C168B6"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(21°C–29°C)</w:t>
            </w:r>
          </w:p>
        </w:tc>
        <w:tc>
          <w:tcPr>
            <w:tcW w:w="1442" w:type="dxa"/>
          </w:tcPr>
          <w:p w14:paraId="67DACA35"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25°C (cooling)</w:t>
            </w:r>
          </w:p>
          <w:p w14:paraId="4F8C4704"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21°C (heating)</w:t>
            </w:r>
          </w:p>
        </w:tc>
        <w:tc>
          <w:tcPr>
            <w:tcW w:w="1626" w:type="dxa"/>
          </w:tcPr>
          <w:p w14:paraId="538D56A5"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Optimized PCM performance in E+</w:t>
            </w:r>
          </w:p>
        </w:tc>
        <w:tc>
          <w:tcPr>
            <w:tcW w:w="2012" w:type="dxa"/>
          </w:tcPr>
          <w:p w14:paraId="7041CAE2"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Various configurations with integration in wall</w:t>
            </w:r>
          </w:p>
        </w:tc>
      </w:tr>
      <w:tr w:rsidR="00B17E5F" w:rsidRPr="005D7869" w14:paraId="379867E8" w14:textId="77777777" w:rsidTr="00B46509">
        <w:trPr>
          <w:trHeight w:val="1025"/>
        </w:trPr>
        <w:sdt>
          <w:sdtPr>
            <w:rPr>
              <w:rFonts w:cs="Times New Roman"/>
              <w:color w:val="000000"/>
              <w:sz w:val="22"/>
              <w:szCs w:val="22"/>
              <w:lang w:val="en-GB"/>
            </w:rPr>
            <w:tag w:val="MENDELEY_CITATION_v3_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"/>
            <w:id w:val="1918205597"/>
            <w:placeholder>
              <w:docPart w:val="6E877B9BE428406BAEF2EFA934C54E8F"/>
            </w:placeholder>
          </w:sdtPr>
          <w:sdtContent>
            <w:tc>
              <w:tcPr>
                <w:tcW w:w="1255" w:type="dxa"/>
              </w:tcPr>
              <w:p w14:paraId="5C4CDD1D" w14:textId="3CCF3498" w:rsidR="00B17E5F" w:rsidRPr="005D7869" w:rsidRDefault="001E7ECF" w:rsidP="005D7869">
                <w:pPr>
                  <w:pStyle w:val="NoSpacing"/>
                  <w:rPr>
                    <w:rFonts w:cs="Times New Roman"/>
                    <w:sz w:val="22"/>
                    <w:szCs w:val="22"/>
                    <w:lang w:val="en-GB"/>
                  </w:rPr>
                </w:pPr>
                <w:r w:rsidRPr="001E7ECF">
                  <w:rPr>
                    <w:rFonts w:cs="Times New Roman"/>
                    <w:color w:val="000000"/>
                    <w:sz w:val="22"/>
                    <w:szCs w:val="22"/>
                    <w:lang w:val="en-GB"/>
                  </w:rPr>
                  <w:t>[168]</w:t>
                </w:r>
              </w:p>
            </w:tc>
          </w:sdtContent>
        </w:sdt>
        <w:tc>
          <w:tcPr>
            <w:tcW w:w="2103" w:type="dxa"/>
          </w:tcPr>
          <w:p w14:paraId="0BCB8199"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Knauf PCM, 30% microencapsulated paraffin</w:t>
            </w:r>
          </w:p>
          <w:p w14:paraId="193778D1"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(23°C–26°C)</w:t>
            </w:r>
          </w:p>
        </w:tc>
        <w:tc>
          <w:tcPr>
            <w:tcW w:w="1442" w:type="dxa"/>
          </w:tcPr>
          <w:p w14:paraId="0022A02E"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25°C–25.9 °C</w:t>
            </w:r>
          </w:p>
          <w:p w14:paraId="4B67A54E"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(cooling)</w:t>
            </w:r>
          </w:p>
        </w:tc>
        <w:tc>
          <w:tcPr>
            <w:tcW w:w="1626" w:type="dxa"/>
          </w:tcPr>
          <w:p w14:paraId="623D7BB3"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10 scenarios in 4 climates, E+,</w:t>
            </w:r>
          </w:p>
          <w:p w14:paraId="6BBF6C80"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shifted peak demand</w:t>
            </w:r>
          </w:p>
        </w:tc>
        <w:tc>
          <w:tcPr>
            <w:tcW w:w="2012" w:type="dxa"/>
          </w:tcPr>
          <w:p w14:paraId="29B2489D"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Building envelope coupled to HVAC with controlled ventilation for charging</w:t>
            </w:r>
          </w:p>
        </w:tc>
      </w:tr>
      <w:tr w:rsidR="00B17E5F" w:rsidRPr="005D7869" w14:paraId="396C5DED" w14:textId="77777777" w:rsidTr="00B46509">
        <w:trPr>
          <w:trHeight w:val="1100"/>
        </w:trPr>
        <w:sdt>
          <w:sdtPr>
            <w:rPr>
              <w:rFonts w:cs="Times New Roman"/>
              <w:color w:val="000000"/>
              <w:sz w:val="22"/>
              <w:szCs w:val="22"/>
              <w:lang w:val="en-GB"/>
            </w:rPr>
            <w:tag w:val="MENDELEY_CITATION_v3_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"/>
            <w:id w:val="-73140053"/>
            <w:placeholder>
              <w:docPart w:val="6E877B9BE428406BAEF2EFA934C54E8F"/>
            </w:placeholder>
          </w:sdtPr>
          <w:sdtContent>
            <w:tc>
              <w:tcPr>
                <w:tcW w:w="1255" w:type="dxa"/>
              </w:tcPr>
              <w:p w14:paraId="6CD703F3" w14:textId="38B34273" w:rsidR="00B17E5F" w:rsidRPr="005D7869" w:rsidRDefault="001E7ECF" w:rsidP="005D7869">
                <w:pPr>
                  <w:pStyle w:val="NoSpacing"/>
                  <w:rPr>
                    <w:rFonts w:cs="Times New Roman"/>
                    <w:sz w:val="22"/>
                    <w:szCs w:val="22"/>
                    <w:lang w:val="en-GB"/>
                  </w:rPr>
                </w:pPr>
                <w:r w:rsidRPr="001E7ECF">
                  <w:rPr>
                    <w:rFonts w:cs="Times New Roman"/>
                    <w:color w:val="000000"/>
                    <w:sz w:val="22"/>
                    <w:szCs w:val="22"/>
                    <w:lang w:val="en-GB"/>
                  </w:rPr>
                  <w:t>[170]</w:t>
                </w:r>
              </w:p>
            </w:tc>
          </w:sdtContent>
        </w:sdt>
        <w:tc>
          <w:tcPr>
            <w:tcW w:w="2103" w:type="dxa"/>
          </w:tcPr>
          <w:p w14:paraId="0FBF64DC"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Paraffin with EG and polyethylene</w:t>
            </w:r>
          </w:p>
          <w:p w14:paraId="3C8D0ED5"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1.(20°C–45°C)</w:t>
            </w:r>
          </w:p>
          <w:p w14:paraId="0A7EE317"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2.(5°C–30°C)</w:t>
            </w:r>
          </w:p>
        </w:tc>
        <w:tc>
          <w:tcPr>
            <w:tcW w:w="1442" w:type="dxa"/>
          </w:tcPr>
          <w:p w14:paraId="40DA9770"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27.5°C (cooling)</w:t>
            </w:r>
          </w:p>
          <w:p w14:paraId="1CF0725D"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16.5°C (heating)</w:t>
            </w:r>
          </w:p>
        </w:tc>
        <w:tc>
          <w:tcPr>
            <w:tcW w:w="1626" w:type="dxa"/>
          </w:tcPr>
          <w:p w14:paraId="4F6028FC"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TRNSYS heat transfer model and GenOpt optimization</w:t>
            </w:r>
          </w:p>
        </w:tc>
        <w:tc>
          <w:tcPr>
            <w:tcW w:w="2012" w:type="dxa"/>
          </w:tcPr>
          <w:p w14:paraId="37112529"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Double layer PCM Trombe wall</w:t>
            </w:r>
          </w:p>
          <w:p w14:paraId="27CB7907"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PCM1: heat insulation</w:t>
            </w:r>
          </w:p>
          <w:p w14:paraId="43EEC0EF" w14:textId="77777777" w:rsidR="00B17E5F" w:rsidRPr="005D7869" w:rsidRDefault="00B17E5F" w:rsidP="005D7869">
            <w:pPr>
              <w:pStyle w:val="NoSpacing"/>
              <w:rPr>
                <w:rFonts w:cs="Times New Roman"/>
                <w:sz w:val="22"/>
                <w:szCs w:val="22"/>
                <w:lang w:val="en-GB"/>
              </w:rPr>
            </w:pPr>
            <w:r w:rsidRPr="005D7869">
              <w:rPr>
                <w:rFonts w:cs="Times New Roman"/>
                <w:sz w:val="22"/>
                <w:szCs w:val="22"/>
                <w:lang w:val="en-GB"/>
              </w:rPr>
              <w:t>PCM2: preservation</w:t>
            </w:r>
          </w:p>
        </w:tc>
      </w:tr>
    </w:tbl>
    <w:p w14:paraId="0D5C236B" w14:textId="77777777" w:rsidR="00B17E5F" w:rsidRPr="00322E56" w:rsidRDefault="00B17E5F" w:rsidP="00C75EBB">
      <w:pPr>
        <w:rPr>
          <w:rFonts w:cs="Times New Roman"/>
          <w:lang w:val="en-GB"/>
        </w:rPr>
      </w:pPr>
    </w:p>
    <w:p w14:paraId="22C77CF1" w14:textId="77777777" w:rsidR="00B17E5F" w:rsidRPr="00322E56" w:rsidRDefault="00B17E5F">
      <w:pPr>
        <w:spacing w:line="240" w:lineRule="auto"/>
        <w:rPr>
          <w:rFonts w:cs="Times New Roman"/>
          <w:lang w:val="en-GB"/>
        </w:rPr>
      </w:pPr>
      <w:r w:rsidRPr="00322E56">
        <w:rPr>
          <w:rFonts w:cs="Times New Roman"/>
          <w:lang w:val="en-GB"/>
        </w:rPr>
        <w:br w:type="page"/>
      </w:r>
    </w:p>
    <w:p w14:paraId="26AE2DA5" w14:textId="6EE37C30" w:rsidR="00B46509" w:rsidRPr="00DB094E" w:rsidRDefault="00B46509" w:rsidP="00DB094E">
      <w:pPr>
        <w:pStyle w:val="ListParagraph"/>
        <w:numPr>
          <w:ilvl w:val="0"/>
          <w:numId w:val="8"/>
        </w:numPr>
        <w:rPr>
          <w:rFonts w:cs="Times New Roman"/>
          <w:sz w:val="24"/>
          <w:szCs w:val="24"/>
          <w:lang w:val="en-GB"/>
        </w:rPr>
      </w:pPr>
      <w:r w:rsidRPr="00322E56">
        <w:rPr>
          <w:rFonts w:cs="Times New Roman"/>
          <w:sz w:val="24"/>
          <w:szCs w:val="24"/>
          <w:lang w:val="en-GB"/>
        </w:rPr>
        <w:lastRenderedPageBreak/>
        <w:t>Using single PCM for both heating and cooling for an active HP-TES, and determining optimum phase change temperature and storage capacity.</w:t>
      </w:r>
    </w:p>
    <w:p w14:paraId="02A2AFB6" w14:textId="3B6B83DB" w:rsidR="00B17E5F" w:rsidRPr="00322E56" w:rsidRDefault="00B17E5F" w:rsidP="00F25351">
      <w:pPr>
        <w:pStyle w:val="Heading2"/>
        <w:rPr>
          <w:rFonts w:cs="Times New Roman"/>
          <w:lang w:val="en-GB"/>
        </w:rPr>
      </w:pPr>
      <w:bookmarkStart w:id="168" w:name="_Toc140399876"/>
      <w:r w:rsidRPr="00322E56">
        <w:rPr>
          <w:rFonts w:cs="Times New Roman"/>
          <w:lang w:val="en-GB"/>
        </w:rPr>
        <w:t>Methodology</w:t>
      </w:r>
      <w:bookmarkEnd w:id="168"/>
    </w:p>
    <w:p w14:paraId="363B90DD" w14:textId="77777777" w:rsidR="00B17E5F" w:rsidRPr="00322E56" w:rsidRDefault="00B17E5F" w:rsidP="00F25351">
      <w:pPr>
        <w:rPr>
          <w:rFonts w:cs="Times New Roman"/>
          <w:lang w:val="en-GB"/>
        </w:rPr>
      </w:pPr>
      <w:r w:rsidRPr="00322E56">
        <w:rPr>
          <w:rFonts w:cs="Times New Roman"/>
          <w:lang w:val="en-GB"/>
        </w:rPr>
        <w:t>The modeled system was composed of several models that operate simultaneously, including a simplified building model, vapor compression HP model, TES with embedded PCM as a heat exchanger, and thermostat model that monitors the building’s indoor temperature and implements rule-based controls based on a fixed TOU pricing schedule. The HP-TES system was modeled using MATLAB.</w:t>
      </w:r>
    </w:p>
    <w:p w14:paraId="26314D86" w14:textId="77777777" w:rsidR="00B17E5F" w:rsidRPr="00322E56" w:rsidRDefault="00B17E5F" w:rsidP="00F25351">
      <w:pPr>
        <w:rPr>
          <w:rFonts w:cs="Times New Roman"/>
          <w:lang w:val="en-GB"/>
        </w:rPr>
      </w:pPr>
      <w:r w:rsidRPr="00322E56">
        <w:rPr>
          <w:rFonts w:cs="Times New Roman"/>
          <w:lang w:val="en-GB"/>
        </w:rPr>
        <w:t>The TES consists of an arbitrary PCM; the PCT does not correspond to any specific PCMs. The TES only interacts with the HP, and no direct heat transfer occurred between the TES and building. In this configuration, the TES was coupled to the vapor compression system (VCS) and absorbed the condenser heat during summer peak hours; the TES provided the evaporator heat during winter peak hours.</w:t>
      </w:r>
    </w:p>
    <w:p w14:paraId="4C77D2FD" w14:textId="77777777" w:rsidR="00B17E5F" w:rsidRPr="00322E56" w:rsidRDefault="00B17E5F" w:rsidP="00F25351">
      <w:pPr>
        <w:rPr>
          <w:rFonts w:cs="Times New Roman"/>
          <w:lang w:val="en-GB"/>
        </w:rPr>
      </w:pPr>
      <w:r w:rsidRPr="00322E56">
        <w:rPr>
          <w:rFonts w:cs="Times New Roman"/>
          <w:lang w:val="en-GB"/>
        </w:rPr>
        <w:t>The focus of this study was to evaluate the effect of HP-integrated PCM-TES using simple, rule-based controls with time-based, predefined utility rates. The effects on peak energy consumption, annual energy consumption, and energy cost were calculated. A simple building model and control strategy were used, and these can be further improved in future studies to achieve more accurate results.</w:t>
      </w:r>
    </w:p>
    <w:p w14:paraId="2BE60E6D" w14:textId="4AE982B8" w:rsidR="00B17E5F" w:rsidRPr="00322E56" w:rsidRDefault="00B17E5F" w:rsidP="00F25351">
      <w:pPr>
        <w:rPr>
          <w:rFonts w:cs="Times New Roman"/>
          <w:lang w:val="en-GB"/>
        </w:rPr>
      </w:pPr>
      <w:r w:rsidRPr="00322E56">
        <w:rPr>
          <w:rFonts w:cs="Times New Roman"/>
          <w:lang w:val="en-GB"/>
        </w:rPr>
        <w:t xml:space="preserve">The building and TES-integrated HP was modeled for 1 calendar year using a minute time step. For each minute, the thermal profile of the building, the operation of the HP, and the cumulative electrical energy usage of the HP were determined. The temperature and energy storage capacity of TES were parametrically varied. Three different climate locations within the United States were examined: Birmingham, Alabama (ASHRAE climate zone 3A, mixed humid); Houston, Texas (2A, hot humid); and New York City, New York (4A, mixed humid) </w:t>
      </w:r>
      <w:sdt>
        <w:sdtPr>
          <w:rPr>
            <w:rFonts w:cs="Times New Roman"/>
            <w:color w:val="000000"/>
            <w:lang w:val="en-GB"/>
          </w:rPr>
          <w:tag w:val="MENDELEY_CITATION_v3_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"/>
          <w:id w:val="-2062241452"/>
          <w:placeholder>
            <w:docPart w:val="BF83C226CC9B481B93DC3812290CE76B"/>
          </w:placeholder>
        </w:sdtPr>
        <w:sdtContent>
          <w:r w:rsidR="001E7ECF" w:rsidRPr="001E7ECF">
            <w:rPr>
              <w:rFonts w:cs="Times New Roman"/>
              <w:color w:val="000000"/>
              <w:lang w:val="en-GB"/>
            </w:rPr>
            <w:t>[195]</w:t>
          </w:r>
        </w:sdtContent>
      </w:sdt>
      <w:r w:rsidRPr="00322E56">
        <w:rPr>
          <w:rFonts w:cs="Times New Roman"/>
          <w:lang w:val="en-GB"/>
        </w:rPr>
        <w:t xml:space="preserve">. Each of these geographical locations requires summertime cooling and wintertime heating, but the amount of each varies. </w:t>
      </w:r>
    </w:p>
    <w:p w14:paraId="33C42F42" w14:textId="77777777" w:rsidR="00B17E5F" w:rsidRPr="00322E56" w:rsidRDefault="00B17E5F" w:rsidP="00F25351">
      <w:pPr>
        <w:rPr>
          <w:rFonts w:cs="Times New Roman"/>
          <w:lang w:val="en-GB"/>
        </w:rPr>
      </w:pPr>
      <w:r w:rsidRPr="00322E56">
        <w:rPr>
          <w:rFonts w:cs="Times New Roman"/>
          <w:lang w:val="en-GB"/>
        </w:rPr>
        <w:lastRenderedPageBreak/>
        <w:t>With this model, the TES temperature corresponding to the lowest annual HP energy consumption was determined, which helped identify which PCMs may be integrated into TES systems for each location. The model also identified the minimum TES energy storage capacity necessary to see these energy savings for the building size and type modeled. This informed the total system sizing, which can be used in future work to determine associated manufacturing and installation costs.</w:t>
      </w:r>
    </w:p>
    <w:p w14:paraId="0855D1A5" w14:textId="77777777" w:rsidR="00B17E5F" w:rsidRPr="00322E56" w:rsidRDefault="00B17E5F" w:rsidP="00F25351">
      <w:pPr>
        <w:pStyle w:val="Heading3"/>
        <w:rPr>
          <w:rFonts w:cs="Times New Roman"/>
          <w:lang w:val="en-GB"/>
        </w:rPr>
      </w:pPr>
      <w:bookmarkStart w:id="169" w:name="_Toc140399877"/>
      <w:r w:rsidRPr="00322E56">
        <w:rPr>
          <w:rFonts w:cs="Times New Roman"/>
          <w:lang w:val="en-GB"/>
        </w:rPr>
        <w:t>System Overview</w:t>
      </w:r>
      <w:bookmarkEnd w:id="169"/>
    </w:p>
    <w:p w14:paraId="5F58522C" w14:textId="77777777" w:rsidR="00B17E5F" w:rsidRPr="00322E56" w:rsidRDefault="00B17E5F" w:rsidP="00F25351">
      <w:pPr>
        <w:rPr>
          <w:rFonts w:cs="Times New Roman"/>
          <w:lang w:val="en-GB"/>
        </w:rPr>
      </w:pPr>
      <w:r w:rsidRPr="00322E56">
        <w:rPr>
          <w:rFonts w:cs="Times New Roman"/>
          <w:lang w:val="en-GB"/>
        </w:rPr>
        <w:t>Two cases were compared using TOU rates: baseline and TES. The baseline system did not include TES, and the heating or cooling was provided by air source HP via a vapor compression refrigeration system. The scope is limited to space conditioning only and this paper does not consider hot water preparation.</w:t>
      </w:r>
    </w:p>
    <w:p w14:paraId="5A555AC4" w14:textId="77777777" w:rsidR="00B17E5F" w:rsidRPr="00322E56" w:rsidRDefault="00B17E5F" w:rsidP="00F25351">
      <w:pPr>
        <w:rPr>
          <w:rFonts w:cs="Times New Roman"/>
          <w:lang w:val="en-GB"/>
        </w:rPr>
      </w:pPr>
      <w:r w:rsidRPr="00322E56">
        <w:rPr>
          <w:rFonts w:cs="Times New Roman"/>
          <w:lang w:val="en-GB"/>
        </w:rPr>
        <w:t>In the TES case, the basic VCS was modified to enhance its performance by coupling it to PCM-TES. The TES was assumed to have an infinite heat transfer coefficient and was always at a constant temperature. Depending on the mode of operation, the PCM heat exchanger can function either as an evaporator or condenser in the HP.</w:t>
      </w:r>
    </w:p>
    <w:p w14:paraId="178809EA" w14:textId="21CAC9F0" w:rsidR="00B17E5F" w:rsidRPr="00322E56" w:rsidRDefault="00B17E5F" w:rsidP="00F25351">
      <w:pPr>
        <w:rPr>
          <w:rFonts w:cs="Times New Roman"/>
          <w:lang w:val="en-GB"/>
        </w:rPr>
      </w:pPr>
      <w:r w:rsidRPr="00322E56">
        <w:rPr>
          <w:rFonts w:cs="Times New Roman"/>
          <w:lang w:val="en-GB"/>
        </w:rPr>
        <w:t xml:space="preserve">Figure 31 compares the temperature </w:t>
      </w:r>
      <w:r w:rsidRPr="00322E56">
        <w:rPr>
          <w:rFonts w:cs="Times New Roman"/>
          <w:lang w:val="en-GB" w:bidi="en-US"/>
        </w:rPr>
        <w:t>gradient</w:t>
      </w:r>
      <w:r w:rsidRPr="00322E56">
        <w:rPr>
          <w:rFonts w:cs="Times New Roman"/>
          <w:lang w:val="en-GB"/>
        </w:rPr>
        <w:t xml:space="preserve"> for normal VCS operation (baseline system) for primary modes and TES-assisted cooling or heating. The baseline system for the primary cooling mode is shown in Figure 31a, where the building was cooled with VCS acting as conventional air conditioning system </w:t>
      </w:r>
      <w:sdt>
        <w:sdtPr>
          <w:rPr>
            <w:rFonts w:cs="Times New Roman"/>
            <w:color w:val="000000"/>
            <w:lang w:val="en-GB"/>
          </w:rPr>
          <w:tag w:val="MENDELEY_CITATION_v3_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"/>
          <w:id w:val="-1324889154"/>
          <w:placeholder>
            <w:docPart w:val="BF83C226CC9B481B93DC3812290CE76B"/>
          </w:placeholder>
        </w:sdtPr>
        <w:sdtContent>
          <w:r w:rsidR="001E7ECF" w:rsidRPr="001E7ECF">
            <w:rPr>
              <w:rFonts w:cs="Times New Roman"/>
              <w:color w:val="000000"/>
              <w:lang w:val="en-GB"/>
            </w:rPr>
            <w:t>[154]</w:t>
          </w:r>
        </w:sdtContent>
      </w:sdt>
      <w:r w:rsidRPr="00322E56">
        <w:rPr>
          <w:rFonts w:cs="Times New Roman"/>
          <w:lang w:val="en-GB"/>
        </w:rPr>
        <w:t>. The VCS evaporator cooled the building air, and the condenser dispersed the heat into the ambient. A positive temperature gradient allowed the VCS to transfer heat between the building and the ambient. A similar positive gradient is illustrated in Figure 31c, representing a baseline system for the primary heating mode. The increasing width of arrows indicates added heat.</w:t>
      </w:r>
    </w:p>
    <w:p w14:paraId="359AA277" w14:textId="34E4C70A" w:rsidR="00B17E5F" w:rsidRPr="00322E56" w:rsidRDefault="00B17E5F" w:rsidP="00DB094E">
      <w:pPr>
        <w:rPr>
          <w:rFonts w:cs="Times New Roman"/>
          <w:lang w:val="en-GB"/>
        </w:rPr>
      </w:pPr>
      <w:r w:rsidRPr="00322E56">
        <w:rPr>
          <w:rFonts w:cs="Times New Roman"/>
          <w:lang w:val="en-GB"/>
        </w:rPr>
        <w:t xml:space="preserve">PCM-embedded TES can improve the building cooling and heating performance by introducing a more favorable temperature gradient for the operation of the VCS. Figure 31b shows the TES-assisted cooling, where the condenser was coupled to the colder temperature of the TES </w:t>
      </w:r>
      <w:sdt>
        <w:sdtPr>
          <w:rPr>
            <w:rFonts w:cs="Times New Roman"/>
            <w:color w:val="000000"/>
            <w:lang w:val="en-GB"/>
          </w:rPr>
          <w:tag w:val="MENDELEY_CITATION_v3_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"/>
          <w:id w:val="-599729230"/>
          <w:placeholder>
            <w:docPart w:val="BF83C226CC9B481B93DC3812290CE76B"/>
          </w:placeholder>
        </w:sdtPr>
        <w:sdtContent>
          <w:r w:rsidR="001E7ECF" w:rsidRPr="001E7ECF">
            <w:rPr>
              <w:rFonts w:cs="Times New Roman"/>
              <w:color w:val="000000"/>
              <w:lang w:val="en-GB"/>
            </w:rPr>
            <w:t>[154]</w:t>
          </w:r>
        </w:sdtContent>
      </w:sdt>
      <w:r w:rsidRPr="00322E56">
        <w:rPr>
          <w:rFonts w:cs="Times New Roman"/>
          <w:lang w:val="en-GB"/>
        </w:rPr>
        <w:t xml:space="preserve">. </w:t>
      </w:r>
    </w:p>
    <w:p w14:paraId="08577E5C" w14:textId="77777777" w:rsidR="00B17E5F" w:rsidRPr="00322E56" w:rsidRDefault="00B17E5F" w:rsidP="005D7869">
      <w:pPr>
        <w:keepNext/>
        <w:ind w:firstLine="0"/>
        <w:jc w:val="center"/>
        <w:rPr>
          <w:rFonts w:cs="Times New Roman"/>
        </w:rPr>
      </w:pPr>
      <w:r w:rsidRPr="00322E56">
        <w:rPr>
          <w:rFonts w:cs="Times New Roman"/>
          <w:noProof/>
          <w:lang w:val="en-GB"/>
        </w:rPr>
        <w:lastRenderedPageBreak/>
        <w:drawing>
          <wp:inline distT="0" distB="0" distL="0" distR="0" wp14:anchorId="3FDBCA13" wp14:editId="6DE40860">
            <wp:extent cx="5486400" cy="1403838"/>
            <wp:effectExtent l="0" t="0" r="0" b="6350"/>
            <wp:docPr id="18" name="Picture 18"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Graphical user interface, application, Teams&#10;&#10;Description automatically generated"/>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486400" cy="1403838"/>
                    </a:xfrm>
                    <a:prstGeom prst="rect">
                      <a:avLst/>
                    </a:prstGeom>
                    <a:noFill/>
                  </pic:spPr>
                </pic:pic>
              </a:graphicData>
            </a:graphic>
          </wp:inline>
        </w:drawing>
      </w:r>
    </w:p>
    <w:p w14:paraId="1F973BB5" w14:textId="6CC5825A" w:rsidR="00B17E5F" w:rsidRPr="00322E56" w:rsidRDefault="00B17E5F" w:rsidP="00050E36">
      <w:pPr>
        <w:pStyle w:val="Caption"/>
        <w:jc w:val="center"/>
        <w:rPr>
          <w:rFonts w:cs="Times New Roman"/>
        </w:rPr>
      </w:pPr>
      <w:bookmarkStart w:id="170" w:name="_Toc140403897"/>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31</w:t>
      </w:r>
      <w:r w:rsidRPr="00322E56">
        <w:rPr>
          <w:rFonts w:cs="Times New Roman"/>
        </w:rPr>
        <w:fldChar w:fldCharType="end"/>
      </w:r>
      <w:r w:rsidRPr="00322E56">
        <w:rPr>
          <w:rFonts w:cs="Times New Roman"/>
        </w:rPr>
        <w:t>: Comparison of temperature gradients for baseline and TES cases.</w:t>
      </w:r>
      <w:bookmarkEnd w:id="170"/>
    </w:p>
    <w:p w14:paraId="07DA4FA5" w14:textId="77777777" w:rsidR="00B17E5F" w:rsidRPr="00322E56" w:rsidRDefault="00B17E5F">
      <w:pPr>
        <w:spacing w:line="240" w:lineRule="auto"/>
        <w:rPr>
          <w:rFonts w:cs="Times New Roman"/>
          <w:lang w:val="en-GB"/>
        </w:rPr>
      </w:pPr>
      <w:r w:rsidRPr="00322E56">
        <w:rPr>
          <w:rFonts w:cs="Times New Roman"/>
          <w:lang w:val="en-GB"/>
        </w:rPr>
        <w:br w:type="page"/>
      </w:r>
    </w:p>
    <w:p w14:paraId="4447EEEA" w14:textId="77777777" w:rsidR="00DB094E" w:rsidRDefault="00DB094E" w:rsidP="00DB094E">
      <w:pPr>
        <w:rPr>
          <w:rFonts w:cs="Times New Roman"/>
          <w:lang w:val="en-GB"/>
        </w:rPr>
      </w:pPr>
      <w:r w:rsidRPr="00322E56">
        <w:rPr>
          <w:rFonts w:cs="Times New Roman"/>
          <w:lang w:val="en-GB"/>
        </w:rPr>
        <w:lastRenderedPageBreak/>
        <w:t>Therefore, to move the building’s cooling load, the VCS had a negative temperature gradient. Similarly, for the TES-assisted heating, the evaporator was coupled to the hotter temperature of the PCM and moved the heating load using a negative gradient. This gradient enabled the VCS to operate at a much higher performance compared with the baseline.</w:t>
      </w:r>
    </w:p>
    <w:p w14:paraId="16A55D07" w14:textId="77777777" w:rsidR="00DB094E" w:rsidRPr="00322E56" w:rsidRDefault="00DB094E" w:rsidP="00DB094E">
      <w:pPr>
        <w:pStyle w:val="Heading3"/>
        <w:rPr>
          <w:rFonts w:cs="Times New Roman"/>
          <w:lang w:val="en-GB"/>
        </w:rPr>
      </w:pPr>
      <w:bookmarkStart w:id="171" w:name="_Toc140399878"/>
      <w:r w:rsidRPr="00322E56">
        <w:rPr>
          <w:rFonts w:cs="Times New Roman"/>
          <w:lang w:val="en-GB"/>
        </w:rPr>
        <w:t>Operating Modes</w:t>
      </w:r>
      <w:bookmarkEnd w:id="171"/>
    </w:p>
    <w:p w14:paraId="60EE9D19" w14:textId="77777777" w:rsidR="00DB094E" w:rsidRPr="00322E56" w:rsidRDefault="00DB094E" w:rsidP="00DB094E">
      <w:pPr>
        <w:rPr>
          <w:rFonts w:cs="Times New Roman"/>
          <w:lang w:val="en-GB"/>
        </w:rPr>
      </w:pPr>
      <w:r w:rsidRPr="00322E56">
        <w:rPr>
          <w:rFonts w:cs="Times New Roman"/>
          <w:lang w:val="en-GB"/>
        </w:rPr>
        <w:t xml:space="preserve">The system had two primary modes: a primary cooling mode and primary heating mode. Each primary mode had four operational modes: normal mode, charging mode, discharging mode, and standby. The TES was not involved in the standby and normal modes. </w:t>
      </w:r>
    </w:p>
    <w:p w14:paraId="1CF02854" w14:textId="47B4A5AC" w:rsidR="00DB094E" w:rsidRDefault="00DB094E" w:rsidP="00DB094E">
      <w:pPr>
        <w:rPr>
          <w:rFonts w:cs="Times New Roman"/>
          <w:lang w:val="en-GB"/>
        </w:rPr>
      </w:pPr>
      <w:r w:rsidRPr="00322E56">
        <w:rPr>
          <w:rFonts w:cs="Times New Roman"/>
          <w:lang w:val="en-GB"/>
        </w:rPr>
        <w:t>Standby mode is when the HP is off, and no cooling or heating is provided. The ambient thermal loads and solar heat is gained passively during the standby cooling mode. In the normal mode, the building is cooled or heated by conventional HP operation only. In the primary cooling mode, the vapor compression cycle operates such that the condenser moves heat (</w:t>
      </w:r>
      <w:r w:rsidRPr="00322E56">
        <w:rPr>
          <w:rFonts w:cs="Times New Roman"/>
          <w:i/>
          <w:iCs/>
          <w:lang w:val="en-GB"/>
        </w:rPr>
        <w:t>Q</w:t>
      </w:r>
      <w:r w:rsidRPr="00322E56">
        <w:rPr>
          <w:rFonts w:cs="Times New Roman"/>
          <w:vertAlign w:val="subscript"/>
          <w:lang w:val="en-GB"/>
        </w:rPr>
        <w:t>cond</w:t>
      </w:r>
      <w:r w:rsidRPr="00322E56">
        <w:rPr>
          <w:rFonts w:cs="Times New Roman"/>
          <w:lang w:val="en-GB"/>
        </w:rPr>
        <w:t>) to the ambient, and the evaporator removes heat (</w:t>
      </w:r>
      <w:r w:rsidRPr="00322E56">
        <w:rPr>
          <w:rFonts w:cs="Times New Roman"/>
          <w:i/>
          <w:iCs/>
          <w:lang w:val="en-GB"/>
        </w:rPr>
        <w:t>Q</w:t>
      </w:r>
      <w:r w:rsidRPr="00322E56">
        <w:rPr>
          <w:rFonts w:cs="Times New Roman"/>
          <w:vertAlign w:val="subscript"/>
          <w:lang w:val="en-GB"/>
        </w:rPr>
        <w:t>evap</w:t>
      </w:r>
      <w:r w:rsidRPr="00322E56">
        <w:rPr>
          <w:rFonts w:cs="Times New Roman"/>
          <w:lang w:val="en-GB"/>
        </w:rPr>
        <w:t>) from the building. In the primary heating mode, the vapor compression cycle is reversed; the evaporator extracts energy from the ambient, and the condenser delivers heat to the building.</w:t>
      </w:r>
    </w:p>
    <w:p w14:paraId="6980B4EA" w14:textId="366006C3" w:rsidR="00B17E5F" w:rsidRPr="00322E56" w:rsidRDefault="00B17E5F" w:rsidP="001772F2">
      <w:pPr>
        <w:rPr>
          <w:rFonts w:cs="Times New Roman"/>
          <w:lang w:val="en-GB"/>
        </w:rPr>
      </w:pPr>
      <w:r w:rsidRPr="00322E56">
        <w:rPr>
          <w:rFonts w:cs="Times New Roman"/>
          <w:lang w:val="en-GB"/>
        </w:rPr>
        <w:t xml:space="preserve">For discharging operation in primary cooling mode, the evaporator is coupled to the building to provide space cooling, and the condenser is coupled to the TES. The heat, </w:t>
      </w:r>
      <w:r w:rsidRPr="00322E56">
        <w:rPr>
          <w:rFonts w:cs="Times New Roman"/>
          <w:i/>
          <w:iCs/>
          <w:lang w:val="en-GB"/>
        </w:rPr>
        <w:t>Q</w:t>
      </w:r>
      <w:r w:rsidRPr="00322E56">
        <w:rPr>
          <w:rFonts w:cs="Times New Roman"/>
          <w:vertAlign w:val="subscript"/>
          <w:lang w:val="en-GB"/>
        </w:rPr>
        <w:t>cond</w:t>
      </w:r>
      <w:r w:rsidRPr="00322E56">
        <w:rPr>
          <w:rFonts w:cs="Times New Roman"/>
          <w:lang w:val="en-GB"/>
        </w:rPr>
        <w:t xml:space="preserve">, is absorbed by the PCM through latent heat of melting. Likewise, for discharging operation in primary heating mode, the HP condenser is coupled to the building to provide space heating, and the evaporator is coupled to the TES. The PCM releases heat, </w:t>
      </w:r>
      <w:r w:rsidRPr="00322E56">
        <w:rPr>
          <w:rFonts w:cs="Times New Roman"/>
          <w:i/>
          <w:iCs/>
          <w:lang w:val="en-GB"/>
        </w:rPr>
        <w:t>Q</w:t>
      </w:r>
      <w:r w:rsidRPr="00322E56">
        <w:rPr>
          <w:rFonts w:cs="Times New Roman"/>
          <w:vertAlign w:val="subscript"/>
          <w:lang w:val="en-GB"/>
        </w:rPr>
        <w:t>evap</w:t>
      </w:r>
      <w:r w:rsidRPr="00322E56">
        <w:rPr>
          <w:rFonts w:cs="Times New Roman"/>
          <w:lang w:val="en-GB"/>
        </w:rPr>
        <w:t>. The coefficient of performance (COP) is higher than in the normal operation during discharging.</w:t>
      </w:r>
    </w:p>
    <w:p w14:paraId="09A961E2" w14:textId="77777777" w:rsidR="00B17E5F" w:rsidRPr="00322E56" w:rsidRDefault="00B17E5F" w:rsidP="001772F2">
      <w:pPr>
        <w:rPr>
          <w:rFonts w:cs="Times New Roman"/>
          <w:lang w:val="en-GB"/>
        </w:rPr>
      </w:pPr>
      <w:r w:rsidRPr="00322E56">
        <w:rPr>
          <w:rFonts w:cs="Times New Roman"/>
          <w:lang w:val="en-GB"/>
        </w:rPr>
        <w:t xml:space="preserve">The PCM heat exchanger operates as the evaporator in the charging mode for cooling. The latent heat of freezing is removed from the PCM, and the condenser heat is rejected to </w:t>
      </w:r>
      <w:r w:rsidRPr="00322E56">
        <w:rPr>
          <w:rFonts w:cs="Times New Roman"/>
          <w:lang w:val="en-GB"/>
        </w:rPr>
        <w:lastRenderedPageBreak/>
        <w:t xml:space="preserve">the ambient. In the charging heating mode, the PCM operates as the condenser and absorbs </w:t>
      </w:r>
      <w:r w:rsidRPr="00322E56">
        <w:rPr>
          <w:rFonts w:cs="Times New Roman"/>
          <w:i/>
          <w:iCs/>
          <w:lang w:val="en-GB"/>
        </w:rPr>
        <w:t>Q</w:t>
      </w:r>
      <w:r w:rsidRPr="00322E56">
        <w:rPr>
          <w:rFonts w:cs="Times New Roman"/>
          <w:vertAlign w:val="subscript"/>
          <w:lang w:val="en-GB"/>
        </w:rPr>
        <w:t>cond</w:t>
      </w:r>
      <w:r w:rsidRPr="00322E56">
        <w:rPr>
          <w:rFonts w:cs="Times New Roman"/>
          <w:lang w:val="en-GB"/>
        </w:rPr>
        <w:t xml:space="preserve"> through the latent heat of melting.</w:t>
      </w:r>
    </w:p>
    <w:p w14:paraId="421CCBA8" w14:textId="268FE2C1" w:rsidR="00B17E5F" w:rsidRDefault="00DB094E" w:rsidP="001772F2">
      <w:pPr>
        <w:rPr>
          <w:rFonts w:cs="Times New Roman"/>
          <w:lang w:val="en-GB"/>
        </w:rPr>
      </w:pPr>
      <w:r w:rsidRPr="00322E56">
        <w:rPr>
          <w:rFonts w:cs="Times New Roman"/>
          <w:lang w:val="en-GB"/>
        </w:rPr>
        <w:t>Figures</w:t>
      </w:r>
      <w:r w:rsidR="00B17E5F" w:rsidRPr="00322E56">
        <w:rPr>
          <w:rFonts w:cs="Times New Roman"/>
          <w:lang w:val="en-GB"/>
        </w:rPr>
        <w:t xml:space="preserve"> 32 and 33 show the configurations in all operating modes.</w:t>
      </w:r>
    </w:p>
    <w:p w14:paraId="081B8FD5" w14:textId="77777777" w:rsidR="00DB094E" w:rsidRPr="00322E56" w:rsidRDefault="00DB094E" w:rsidP="00DB094E">
      <w:pPr>
        <w:pStyle w:val="Heading3"/>
        <w:rPr>
          <w:rFonts w:cs="Times New Roman"/>
          <w:lang w:val="en-GB"/>
        </w:rPr>
      </w:pPr>
      <w:bookmarkStart w:id="172" w:name="_Toc140399879"/>
      <w:r w:rsidRPr="00322E56">
        <w:rPr>
          <w:rFonts w:cs="Times New Roman"/>
          <w:lang w:val="en-GB"/>
        </w:rPr>
        <w:t>Component Models</w:t>
      </w:r>
      <w:bookmarkEnd w:id="172"/>
    </w:p>
    <w:p w14:paraId="24699587" w14:textId="77777777" w:rsidR="00DB094E" w:rsidRPr="00322E56" w:rsidRDefault="00DB094E" w:rsidP="00DB094E">
      <w:pPr>
        <w:rPr>
          <w:rFonts w:cs="Times New Roman"/>
          <w:lang w:val="en-GB"/>
        </w:rPr>
      </w:pPr>
      <w:r w:rsidRPr="00322E56">
        <w:rPr>
          <w:rFonts w:cs="Times New Roman"/>
          <w:lang w:val="en-GB"/>
        </w:rPr>
        <w:t>The total model was a collection of submodels that operated together to maintain indoor building temperature at comfortable levels at each 1-minute time step of the simulation. Figure 34 shows the general operating schematic of the total model and the exchange of information between submodels. All models were written in MATLAB. The following sections describe each submodel in detail.</w:t>
      </w:r>
    </w:p>
    <w:p w14:paraId="019A29E6" w14:textId="77777777" w:rsidR="00DB094E" w:rsidRPr="00322E56" w:rsidRDefault="00DB094E" w:rsidP="00DB094E">
      <w:pPr>
        <w:pStyle w:val="Heading3"/>
        <w:rPr>
          <w:rFonts w:cs="Times New Roman"/>
          <w:lang w:val="en-GB"/>
        </w:rPr>
      </w:pPr>
      <w:bookmarkStart w:id="173" w:name="_Toc140399880"/>
      <w:r w:rsidRPr="00322E56">
        <w:rPr>
          <w:rFonts w:cs="Times New Roman"/>
          <w:lang w:val="en-GB"/>
        </w:rPr>
        <w:t>Weather Data</w:t>
      </w:r>
      <w:bookmarkEnd w:id="173"/>
    </w:p>
    <w:p w14:paraId="12460578" w14:textId="77777777" w:rsidR="00DB094E" w:rsidRDefault="00DB094E" w:rsidP="00DB094E">
      <w:pPr>
        <w:rPr>
          <w:rFonts w:cs="Times New Roman"/>
          <w:lang w:val="en-GB"/>
        </w:rPr>
      </w:pPr>
      <w:r w:rsidRPr="00322E56">
        <w:rPr>
          <w:rFonts w:cs="Times New Roman"/>
          <w:lang w:val="en-GB"/>
        </w:rPr>
        <w:t xml:space="preserve">Typical meteorological year (TMY3) data was used for this analysis </w:t>
      </w:r>
      <w:sdt>
        <w:sdtPr>
          <w:rPr>
            <w:rFonts w:cs="Times New Roman"/>
            <w:color w:val="000000"/>
            <w:lang w:val="en-GB"/>
          </w:rPr>
          <w:tag w:val="MENDELEY_CITATION_v3_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"/>
          <w:id w:val="1176317161"/>
          <w:placeholder>
            <w:docPart w:val="D29A95A90AF7EB4DA28F5B0D98583A68"/>
          </w:placeholder>
        </w:sdtPr>
        <w:sdtContent>
          <w:r w:rsidRPr="001E7ECF">
            <w:rPr>
              <w:rFonts w:cs="Times New Roman"/>
              <w:color w:val="000000"/>
              <w:lang w:val="en-GB"/>
            </w:rPr>
            <w:t>[196]</w:t>
          </w:r>
        </w:sdtContent>
      </w:sdt>
      <w:r w:rsidRPr="00322E56">
        <w:rPr>
          <w:rFonts w:cs="Times New Roman"/>
          <w:lang w:val="en-GB"/>
        </w:rPr>
        <w:t xml:space="preserve">. This TMY3 data is hourly in its raw form with each temperature corresponding to the end of the hour. It was interpolated using a spline fit to expand to minute time step resolution. Only the ambient temperature was used. This model did not include solar irradiation or wind on the building. This information can be included in future model iterations. Considering the solar irradiation in building model would be expected to change the building loads. Specifically, solar gain in winters would decrease the winter daytime building load (with limited effect on the electricity demand during the morning grid peak time) while solar gain in summer would increase the summer peak load. This may increase the importance of summer load, and require larger cooling capacity. Potentially, our load shifting controls will then also generate higher benefits. </w:t>
      </w:r>
    </w:p>
    <w:p w14:paraId="65BDBA7B" w14:textId="0BC8B39E" w:rsidR="00B17E5F" w:rsidRPr="00322E56" w:rsidRDefault="00DB094E" w:rsidP="00DB094E">
      <w:pPr>
        <w:rPr>
          <w:rFonts w:cs="Times New Roman"/>
          <w:lang w:val="en-GB"/>
        </w:rPr>
      </w:pPr>
      <w:r w:rsidRPr="00322E56">
        <w:rPr>
          <w:rFonts w:cs="Times New Roman"/>
          <w:lang w:val="en-GB"/>
        </w:rPr>
        <w:t xml:space="preserve">The climate locations studied were Birmingham, Houston, and New York City, corresponding to ASHRAE climate zones 3A (mixed humid), 2A (hot humid), and 4A (mixed humid), respectively </w:t>
      </w:r>
      <w:sdt>
        <w:sdtPr>
          <w:rPr>
            <w:rFonts w:cs="Times New Roman"/>
            <w:color w:val="000000"/>
            <w:lang w:val="en-GB"/>
          </w:rPr>
          <w:tag w:val="MENDELEY_CITATION_v3_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"/>
          <w:id w:val="608937657"/>
          <w:placeholder>
            <w:docPart w:val="75B30E075EAC1242AA3E5FB4EE8FD5B0"/>
          </w:placeholder>
        </w:sdtPr>
        <w:sdtContent>
          <w:r w:rsidRPr="001E7ECF">
            <w:rPr>
              <w:rFonts w:cs="Times New Roman"/>
              <w:color w:val="000000"/>
              <w:lang w:val="en-GB"/>
            </w:rPr>
            <w:t>[195]</w:t>
          </w:r>
        </w:sdtContent>
      </w:sdt>
      <w:r w:rsidRPr="00322E56">
        <w:rPr>
          <w:rFonts w:cs="Times New Roman"/>
          <w:lang w:val="en-GB"/>
        </w:rPr>
        <w:t>. These are the representative climate zones from both cooling and heating dominated regions and should have different performance affected by the weather.</w:t>
      </w:r>
    </w:p>
    <w:p w14:paraId="3AA7E157" w14:textId="77777777" w:rsidR="00B17E5F" w:rsidRPr="00322E56" w:rsidRDefault="00B17E5F" w:rsidP="008736B7">
      <w:pPr>
        <w:keepNext/>
        <w:rPr>
          <w:rFonts w:cs="Times New Roman"/>
        </w:rPr>
      </w:pPr>
      <w:r w:rsidRPr="00322E56">
        <w:rPr>
          <w:rFonts w:cs="Times New Roman"/>
          <w:noProof/>
          <w:lang w:val="en-GB"/>
        </w:rPr>
        <w:lastRenderedPageBreak/>
        <mc:AlternateContent>
          <mc:Choice Requires="wps">
            <w:drawing>
              <wp:inline distT="0" distB="0" distL="0" distR="0" wp14:anchorId="60224408" wp14:editId="55AB18E2">
                <wp:extent cx="5445888" cy="3255264"/>
                <wp:effectExtent l="0" t="0" r="2540" b="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5888" cy="3255264"/>
                        </a:xfrm>
                        <a:prstGeom prst="rect">
                          <a:avLst/>
                        </a:prstGeom>
                        <a:solidFill>
                          <a:srgbClr val="FFFFFF"/>
                        </a:solidFill>
                        <a:ln w="9525">
                          <a:noFill/>
                          <a:miter lim="800000"/>
                          <a:headEnd/>
                          <a:tailEnd/>
                        </a:ln>
                      </wps:spPr>
                      <wps:txbx>
                        <w:txbxContent>
                          <w:p w14:paraId="2B4C3EFC" w14:textId="77777777" w:rsidR="00B17E5F" w:rsidRDefault="00B17E5F">
                            <w:r w:rsidRPr="000962ED">
                              <w:rPr>
                                <w:noProof/>
                              </w:rPr>
                              <w:drawing>
                                <wp:inline distT="0" distB="0" distL="0" distR="0" wp14:anchorId="7B9957B1" wp14:editId="44C6088D">
                                  <wp:extent cx="2377440" cy="1156321"/>
                                  <wp:effectExtent l="0" t="0" r="3810" b="6350"/>
                                  <wp:docPr id="965898901" name="Picture 965898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377440" cy="1156321"/>
                                          </a:xfrm>
                                          <a:prstGeom prst="rect">
                                            <a:avLst/>
                                          </a:prstGeom>
                                          <a:noFill/>
                                          <a:ln>
                                            <a:noFill/>
                                          </a:ln>
                                        </pic:spPr>
                                      </pic:pic>
                                    </a:graphicData>
                                  </a:graphic>
                                </wp:inline>
                              </w:drawing>
                            </w:r>
                            <w:r>
                              <w:t xml:space="preserve">   </w:t>
                            </w:r>
                            <w:r w:rsidRPr="000962ED">
                              <w:rPr>
                                <w:noProof/>
                              </w:rPr>
                              <w:drawing>
                                <wp:inline distT="0" distB="0" distL="0" distR="0" wp14:anchorId="7C42EEBF" wp14:editId="2ECE1A50">
                                  <wp:extent cx="2377440" cy="955333"/>
                                  <wp:effectExtent l="0" t="0" r="3810" b="0"/>
                                  <wp:docPr id="1191875299" name="Picture 1191875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377440" cy="955333"/>
                                          </a:xfrm>
                                          <a:prstGeom prst="rect">
                                            <a:avLst/>
                                          </a:prstGeom>
                                          <a:noFill/>
                                          <a:ln>
                                            <a:noFill/>
                                          </a:ln>
                                        </pic:spPr>
                                      </pic:pic>
                                    </a:graphicData>
                                  </a:graphic>
                                </wp:inline>
                              </w:drawing>
                            </w:r>
                          </w:p>
                          <w:p w14:paraId="2719190C" w14:textId="77777777" w:rsidR="00B17E5F" w:rsidRDefault="00B17E5F"/>
                          <w:p w14:paraId="08E2B07D" w14:textId="77777777" w:rsidR="00B17E5F" w:rsidRDefault="00B17E5F">
                            <w:r w:rsidRPr="006D2F7C">
                              <w:rPr>
                                <w:noProof/>
                              </w:rPr>
                              <w:drawing>
                                <wp:inline distT="0" distB="0" distL="0" distR="0" wp14:anchorId="33D42B88" wp14:editId="6D96CA48">
                                  <wp:extent cx="2286000" cy="1286527"/>
                                  <wp:effectExtent l="0" t="0" r="0" b="8890"/>
                                  <wp:docPr id="1112582403" name="Picture 1112582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1">
                                            <a:extLst>
                                              <a:ext uri="{28A0092B-C50C-407E-A947-70E740481C1C}">
                                                <a14:useLocalDpi xmlns:a14="http://schemas.microsoft.com/office/drawing/2010/main" val="0"/>
                                              </a:ext>
                                            </a:extLst>
                                          </a:blip>
                                          <a:srcRect l="14015"/>
                                          <a:stretch/>
                                        </pic:blipFill>
                                        <pic:spPr bwMode="auto">
                                          <a:xfrm>
                                            <a:off x="0" y="0"/>
                                            <a:ext cx="2286000" cy="1286527"/>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Pr="006D2F7C">
                              <w:rPr>
                                <w:noProof/>
                              </w:rPr>
                              <w:drawing>
                                <wp:inline distT="0" distB="0" distL="0" distR="0" wp14:anchorId="4CDB301B" wp14:editId="0FD150B5">
                                  <wp:extent cx="2217299" cy="1155700"/>
                                  <wp:effectExtent l="0" t="0" r="0" b="6350"/>
                                  <wp:docPr id="663552135" name="Picture 663552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2">
                                            <a:extLst>
                                              <a:ext uri="{28A0092B-C50C-407E-A947-70E740481C1C}">
                                                <a14:useLocalDpi xmlns:a14="http://schemas.microsoft.com/office/drawing/2010/main" val="0"/>
                                              </a:ext>
                                            </a:extLst>
                                          </a:blip>
                                          <a:srcRect l="2995" r="-1"/>
                                          <a:stretch/>
                                        </pic:blipFill>
                                        <pic:spPr bwMode="auto">
                                          <a:xfrm>
                                            <a:off x="0" y="0"/>
                                            <a:ext cx="2217535" cy="1155823"/>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inline>
            </w:drawing>
          </mc:Choice>
          <mc:Fallback>
            <w:pict>
              <v:shapetype w14:anchorId="60224408" id="_x0000_t202" coordsize="21600,21600" o:spt="202" path="m,l,21600r21600,l21600,xe">
                <v:stroke joinstyle="miter"/>
                <v:path gradientshapeok="t" o:connecttype="rect"/>
              </v:shapetype>
              <v:shape id="Text Box 2" o:spid="_x0000_s1026" type="#_x0000_t202" style="width:428.8pt;height:25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" stroked="f">
                <v:textbox>
                  <w:txbxContent>
                    <w:p w14:paraId="2B4C3EFC" w14:textId="77777777" w:rsidR="00B17E5F" w:rsidRDefault="00B17E5F">
                      <w:r w:rsidRPr="000962ED">
                        <w:rPr>
                          <w:noProof/>
                        </w:rPr>
                        <w:drawing>
                          <wp:inline distT="0" distB="0" distL="0" distR="0" wp14:anchorId="7B9957B1" wp14:editId="44C6088D">
                            <wp:extent cx="2377440" cy="1156321"/>
                            <wp:effectExtent l="0" t="0" r="3810" b="6350"/>
                            <wp:docPr id="965898901" name="Picture 965898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377440" cy="1156321"/>
                                    </a:xfrm>
                                    <a:prstGeom prst="rect">
                                      <a:avLst/>
                                    </a:prstGeom>
                                    <a:noFill/>
                                    <a:ln>
                                      <a:noFill/>
                                    </a:ln>
                                  </pic:spPr>
                                </pic:pic>
                              </a:graphicData>
                            </a:graphic>
                          </wp:inline>
                        </w:drawing>
                      </w:r>
                      <w:r>
                        <w:t xml:space="preserve">   </w:t>
                      </w:r>
                      <w:r w:rsidRPr="000962ED">
                        <w:rPr>
                          <w:noProof/>
                        </w:rPr>
                        <w:drawing>
                          <wp:inline distT="0" distB="0" distL="0" distR="0" wp14:anchorId="7C42EEBF" wp14:editId="2ECE1A50">
                            <wp:extent cx="2377440" cy="955333"/>
                            <wp:effectExtent l="0" t="0" r="3810" b="0"/>
                            <wp:docPr id="1191875299" name="Picture 1191875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377440" cy="955333"/>
                                    </a:xfrm>
                                    <a:prstGeom prst="rect">
                                      <a:avLst/>
                                    </a:prstGeom>
                                    <a:noFill/>
                                    <a:ln>
                                      <a:noFill/>
                                    </a:ln>
                                  </pic:spPr>
                                </pic:pic>
                              </a:graphicData>
                            </a:graphic>
                          </wp:inline>
                        </w:drawing>
                      </w:r>
                    </w:p>
                    <w:p w14:paraId="2719190C" w14:textId="77777777" w:rsidR="00B17E5F" w:rsidRDefault="00B17E5F"/>
                    <w:p w14:paraId="08E2B07D" w14:textId="77777777" w:rsidR="00B17E5F" w:rsidRDefault="00B17E5F">
                      <w:r w:rsidRPr="006D2F7C">
                        <w:rPr>
                          <w:noProof/>
                        </w:rPr>
                        <w:drawing>
                          <wp:inline distT="0" distB="0" distL="0" distR="0" wp14:anchorId="33D42B88" wp14:editId="6D96CA48">
                            <wp:extent cx="2286000" cy="1286527"/>
                            <wp:effectExtent l="0" t="0" r="0" b="8890"/>
                            <wp:docPr id="1112582403" name="Picture 1112582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5">
                                      <a:extLst>
                                        <a:ext uri="{28A0092B-C50C-407E-A947-70E740481C1C}">
                                          <a14:useLocalDpi xmlns:a14="http://schemas.microsoft.com/office/drawing/2010/main" val="0"/>
                                        </a:ext>
                                      </a:extLst>
                                    </a:blip>
                                    <a:srcRect l="14015"/>
                                    <a:stretch/>
                                  </pic:blipFill>
                                  <pic:spPr bwMode="auto">
                                    <a:xfrm>
                                      <a:off x="0" y="0"/>
                                      <a:ext cx="2286000" cy="1286527"/>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Pr="006D2F7C">
                        <w:rPr>
                          <w:noProof/>
                        </w:rPr>
                        <w:drawing>
                          <wp:inline distT="0" distB="0" distL="0" distR="0" wp14:anchorId="4CDB301B" wp14:editId="0FD150B5">
                            <wp:extent cx="2217299" cy="1155700"/>
                            <wp:effectExtent l="0" t="0" r="0" b="6350"/>
                            <wp:docPr id="663552135" name="Picture 663552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6">
                                      <a:extLst>
                                        <a:ext uri="{28A0092B-C50C-407E-A947-70E740481C1C}">
                                          <a14:useLocalDpi xmlns:a14="http://schemas.microsoft.com/office/drawing/2010/main" val="0"/>
                                        </a:ext>
                                      </a:extLst>
                                    </a:blip>
                                    <a:srcRect l="2995" r="-1"/>
                                    <a:stretch/>
                                  </pic:blipFill>
                                  <pic:spPr bwMode="auto">
                                    <a:xfrm>
                                      <a:off x="0" y="0"/>
                                      <a:ext cx="2217535" cy="1155823"/>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anchorlock/>
              </v:shape>
            </w:pict>
          </mc:Fallback>
        </mc:AlternateContent>
      </w:r>
    </w:p>
    <w:p w14:paraId="557CAC95" w14:textId="1585ADE7" w:rsidR="00B17E5F" w:rsidRPr="00322E56" w:rsidRDefault="00B17E5F" w:rsidP="008736B7">
      <w:pPr>
        <w:pStyle w:val="Caption"/>
        <w:jc w:val="center"/>
        <w:rPr>
          <w:rFonts w:cs="Times New Roman"/>
          <w:noProof/>
        </w:rPr>
      </w:pPr>
      <w:bookmarkStart w:id="174" w:name="_Toc140403898"/>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32</w:t>
      </w:r>
      <w:r w:rsidRPr="00322E56">
        <w:rPr>
          <w:rFonts w:cs="Times New Roman"/>
        </w:rPr>
        <w:fldChar w:fldCharType="end"/>
      </w:r>
      <w:r w:rsidRPr="00322E56">
        <w:rPr>
          <w:rFonts w:cs="Times New Roman"/>
        </w:rPr>
        <w:t>: Cooling Operating modes</w:t>
      </w:r>
      <w:r w:rsidRPr="00322E56">
        <w:rPr>
          <w:rFonts w:cs="Times New Roman"/>
          <w:noProof/>
        </w:rPr>
        <w:t xml:space="preserve"> with TES.</w:t>
      </w:r>
      <w:bookmarkEnd w:id="174"/>
    </w:p>
    <w:p w14:paraId="2AF5B223" w14:textId="77777777" w:rsidR="00B17E5F" w:rsidRPr="00322E56" w:rsidRDefault="00B17E5F" w:rsidP="008736B7">
      <w:pPr>
        <w:keepNext/>
        <w:rPr>
          <w:rFonts w:cs="Times New Roman"/>
        </w:rPr>
      </w:pPr>
      <w:r w:rsidRPr="00322E56">
        <w:rPr>
          <w:rFonts w:cs="Times New Roman"/>
          <w:noProof/>
          <w:lang w:val="en-GB"/>
        </w:rPr>
        <mc:AlternateContent>
          <mc:Choice Requires="wps">
            <w:drawing>
              <wp:inline distT="0" distB="0" distL="0" distR="0" wp14:anchorId="0C4341BB" wp14:editId="0B3D49D3">
                <wp:extent cx="5445888" cy="3276192"/>
                <wp:effectExtent l="0" t="0" r="2540" b="635"/>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5888" cy="3276192"/>
                        </a:xfrm>
                        <a:prstGeom prst="rect">
                          <a:avLst/>
                        </a:prstGeom>
                        <a:solidFill>
                          <a:srgbClr val="FFFFFF"/>
                        </a:solidFill>
                        <a:ln w="9525">
                          <a:noFill/>
                          <a:miter lim="800000"/>
                          <a:headEnd/>
                          <a:tailEnd/>
                        </a:ln>
                      </wps:spPr>
                      <wps:txbx>
                        <w:txbxContent>
                          <w:p w14:paraId="6C11DB82" w14:textId="77777777" w:rsidR="00B17E5F" w:rsidRDefault="00B17E5F" w:rsidP="008736B7">
                            <w:r w:rsidRPr="009E1703">
                              <w:rPr>
                                <w:noProof/>
                              </w:rPr>
                              <w:drawing>
                                <wp:inline distT="0" distB="0" distL="0" distR="0" wp14:anchorId="25FC5EBD" wp14:editId="5DCB51C0">
                                  <wp:extent cx="2377440" cy="1108839"/>
                                  <wp:effectExtent l="0" t="0" r="3810" b="0"/>
                                  <wp:docPr id="1863851149" name="Picture 186385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377440" cy="1108839"/>
                                          </a:xfrm>
                                          <a:prstGeom prst="rect">
                                            <a:avLst/>
                                          </a:prstGeom>
                                          <a:noFill/>
                                          <a:ln>
                                            <a:noFill/>
                                          </a:ln>
                                        </pic:spPr>
                                      </pic:pic>
                                    </a:graphicData>
                                  </a:graphic>
                                </wp:inline>
                              </w:drawing>
                            </w:r>
                            <w:r>
                              <w:t xml:space="preserve">   </w:t>
                            </w:r>
                            <w:r w:rsidRPr="009E1703">
                              <w:rPr>
                                <w:noProof/>
                              </w:rPr>
                              <w:drawing>
                                <wp:inline distT="0" distB="0" distL="0" distR="0" wp14:anchorId="5C0C0B77" wp14:editId="5520B077">
                                  <wp:extent cx="2377440" cy="1056167"/>
                                  <wp:effectExtent l="0" t="0" r="3810" b="0"/>
                                  <wp:docPr id="1680179210" name="Picture 1680179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8">
                                            <a:extLst>
                                              <a:ext uri="{28A0092B-C50C-407E-A947-70E740481C1C}">
                                                <a14:useLocalDpi xmlns:a14="http://schemas.microsoft.com/office/drawing/2010/main" val="0"/>
                                              </a:ext>
                                            </a:extLst>
                                          </a:blip>
                                          <a:srcRect l="9269"/>
                                          <a:stretch/>
                                        </pic:blipFill>
                                        <pic:spPr bwMode="auto">
                                          <a:xfrm>
                                            <a:off x="0" y="0"/>
                                            <a:ext cx="2377440" cy="1056167"/>
                                          </a:xfrm>
                                          <a:prstGeom prst="rect">
                                            <a:avLst/>
                                          </a:prstGeom>
                                          <a:noFill/>
                                          <a:ln>
                                            <a:noFill/>
                                          </a:ln>
                                          <a:extLst>
                                            <a:ext uri="{53640926-AAD7-44D8-BBD7-CCE9431645EC}">
                                              <a14:shadowObscured xmlns:a14="http://schemas.microsoft.com/office/drawing/2010/main"/>
                                            </a:ext>
                                          </a:extLst>
                                        </pic:spPr>
                                      </pic:pic>
                                    </a:graphicData>
                                  </a:graphic>
                                </wp:inline>
                              </w:drawing>
                            </w:r>
                          </w:p>
                          <w:p w14:paraId="041F0D6E" w14:textId="77777777" w:rsidR="00B17E5F" w:rsidRDefault="00B17E5F" w:rsidP="008736B7"/>
                          <w:p w14:paraId="3652EA89" w14:textId="77777777" w:rsidR="00B17E5F" w:rsidRDefault="00B17E5F" w:rsidP="008736B7">
                            <w:r>
                              <w:t xml:space="preserve"> </w:t>
                            </w:r>
                            <w:r w:rsidRPr="00186901">
                              <w:rPr>
                                <w:noProof/>
                              </w:rPr>
                              <w:drawing>
                                <wp:inline distT="0" distB="0" distL="0" distR="0" wp14:anchorId="621EB612" wp14:editId="4F3BBF82">
                                  <wp:extent cx="2377440" cy="1444601"/>
                                  <wp:effectExtent l="0" t="0" r="3810" b="0"/>
                                  <wp:docPr id="366390115" name="Picture 36639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59">
                                            <a:extLst>
                                              <a:ext uri="{28A0092B-C50C-407E-A947-70E740481C1C}">
                                                <a14:useLocalDpi xmlns:a14="http://schemas.microsoft.com/office/drawing/2010/main" val="0"/>
                                              </a:ext>
                                            </a:extLst>
                                          </a:blip>
                                          <a:srcRect l="4296"/>
                                          <a:stretch/>
                                        </pic:blipFill>
                                        <pic:spPr bwMode="auto">
                                          <a:xfrm>
                                            <a:off x="0" y="0"/>
                                            <a:ext cx="2377440" cy="1444601"/>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Pr="00186901">
                              <w:rPr>
                                <w:noProof/>
                              </w:rPr>
                              <w:drawing>
                                <wp:inline distT="0" distB="0" distL="0" distR="0" wp14:anchorId="422EB871" wp14:editId="15669534">
                                  <wp:extent cx="2194560" cy="1127708"/>
                                  <wp:effectExtent l="0" t="0" r="0" b="0"/>
                                  <wp:docPr id="1533347933" name="Picture 1533347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60">
                                            <a:extLst>
                                              <a:ext uri="{28A0092B-C50C-407E-A947-70E740481C1C}">
                                                <a14:useLocalDpi xmlns:a14="http://schemas.microsoft.com/office/drawing/2010/main" val="0"/>
                                              </a:ext>
                                            </a:extLst>
                                          </a:blip>
                                          <a:srcRect l="23067" r="-1"/>
                                          <a:stretch/>
                                        </pic:blipFill>
                                        <pic:spPr bwMode="auto">
                                          <a:xfrm>
                                            <a:off x="0" y="0"/>
                                            <a:ext cx="2194560" cy="1127708"/>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inline>
            </w:drawing>
          </mc:Choice>
          <mc:Fallback>
            <w:pict>
              <v:shape w14:anchorId="0C4341BB" id="_x0000_s1027" type="#_x0000_t202" style="width:428.8pt;height:25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" stroked="f">
                <v:textbox>
                  <w:txbxContent>
                    <w:p w14:paraId="6C11DB82" w14:textId="77777777" w:rsidR="00B17E5F" w:rsidRDefault="00B17E5F" w:rsidP="008736B7">
                      <w:r w:rsidRPr="009E1703">
                        <w:rPr>
                          <w:noProof/>
                        </w:rPr>
                        <w:drawing>
                          <wp:inline distT="0" distB="0" distL="0" distR="0" wp14:anchorId="25FC5EBD" wp14:editId="5DCB51C0">
                            <wp:extent cx="2377440" cy="1108839"/>
                            <wp:effectExtent l="0" t="0" r="3810" b="0"/>
                            <wp:docPr id="1863851149" name="Picture 186385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377440" cy="1108839"/>
                                    </a:xfrm>
                                    <a:prstGeom prst="rect">
                                      <a:avLst/>
                                    </a:prstGeom>
                                    <a:noFill/>
                                    <a:ln>
                                      <a:noFill/>
                                    </a:ln>
                                  </pic:spPr>
                                </pic:pic>
                              </a:graphicData>
                            </a:graphic>
                          </wp:inline>
                        </w:drawing>
                      </w:r>
                      <w:r>
                        <w:t xml:space="preserve">   </w:t>
                      </w:r>
                      <w:r w:rsidRPr="009E1703">
                        <w:rPr>
                          <w:noProof/>
                        </w:rPr>
                        <w:drawing>
                          <wp:inline distT="0" distB="0" distL="0" distR="0" wp14:anchorId="5C0C0B77" wp14:editId="5520B077">
                            <wp:extent cx="2377440" cy="1056167"/>
                            <wp:effectExtent l="0" t="0" r="3810" b="0"/>
                            <wp:docPr id="1680179210" name="Picture 1680179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62">
                                      <a:extLst>
                                        <a:ext uri="{28A0092B-C50C-407E-A947-70E740481C1C}">
                                          <a14:useLocalDpi xmlns:a14="http://schemas.microsoft.com/office/drawing/2010/main" val="0"/>
                                        </a:ext>
                                      </a:extLst>
                                    </a:blip>
                                    <a:srcRect l="9269"/>
                                    <a:stretch/>
                                  </pic:blipFill>
                                  <pic:spPr bwMode="auto">
                                    <a:xfrm>
                                      <a:off x="0" y="0"/>
                                      <a:ext cx="2377440" cy="1056167"/>
                                    </a:xfrm>
                                    <a:prstGeom prst="rect">
                                      <a:avLst/>
                                    </a:prstGeom>
                                    <a:noFill/>
                                    <a:ln>
                                      <a:noFill/>
                                    </a:ln>
                                    <a:extLst>
                                      <a:ext uri="{53640926-AAD7-44D8-BBD7-CCE9431645EC}">
                                        <a14:shadowObscured xmlns:a14="http://schemas.microsoft.com/office/drawing/2010/main"/>
                                      </a:ext>
                                    </a:extLst>
                                  </pic:spPr>
                                </pic:pic>
                              </a:graphicData>
                            </a:graphic>
                          </wp:inline>
                        </w:drawing>
                      </w:r>
                    </w:p>
                    <w:p w14:paraId="041F0D6E" w14:textId="77777777" w:rsidR="00B17E5F" w:rsidRDefault="00B17E5F" w:rsidP="008736B7"/>
                    <w:p w14:paraId="3652EA89" w14:textId="77777777" w:rsidR="00B17E5F" w:rsidRDefault="00B17E5F" w:rsidP="008736B7">
                      <w:r>
                        <w:t xml:space="preserve"> </w:t>
                      </w:r>
                      <w:r w:rsidRPr="00186901">
                        <w:rPr>
                          <w:noProof/>
                        </w:rPr>
                        <w:drawing>
                          <wp:inline distT="0" distB="0" distL="0" distR="0" wp14:anchorId="621EB612" wp14:editId="4F3BBF82">
                            <wp:extent cx="2377440" cy="1444601"/>
                            <wp:effectExtent l="0" t="0" r="3810" b="0"/>
                            <wp:docPr id="366390115" name="Picture 36639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63">
                                      <a:extLst>
                                        <a:ext uri="{28A0092B-C50C-407E-A947-70E740481C1C}">
                                          <a14:useLocalDpi xmlns:a14="http://schemas.microsoft.com/office/drawing/2010/main" val="0"/>
                                        </a:ext>
                                      </a:extLst>
                                    </a:blip>
                                    <a:srcRect l="4296"/>
                                    <a:stretch/>
                                  </pic:blipFill>
                                  <pic:spPr bwMode="auto">
                                    <a:xfrm>
                                      <a:off x="0" y="0"/>
                                      <a:ext cx="2377440" cy="1444601"/>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Pr="00186901">
                        <w:rPr>
                          <w:noProof/>
                        </w:rPr>
                        <w:drawing>
                          <wp:inline distT="0" distB="0" distL="0" distR="0" wp14:anchorId="422EB871" wp14:editId="15669534">
                            <wp:extent cx="2194560" cy="1127708"/>
                            <wp:effectExtent l="0" t="0" r="0" b="0"/>
                            <wp:docPr id="1533347933" name="Picture 1533347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64">
                                      <a:extLst>
                                        <a:ext uri="{28A0092B-C50C-407E-A947-70E740481C1C}">
                                          <a14:useLocalDpi xmlns:a14="http://schemas.microsoft.com/office/drawing/2010/main" val="0"/>
                                        </a:ext>
                                      </a:extLst>
                                    </a:blip>
                                    <a:srcRect l="23067" r="-1"/>
                                    <a:stretch/>
                                  </pic:blipFill>
                                  <pic:spPr bwMode="auto">
                                    <a:xfrm>
                                      <a:off x="0" y="0"/>
                                      <a:ext cx="2194560" cy="1127708"/>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anchorlock/>
              </v:shape>
            </w:pict>
          </mc:Fallback>
        </mc:AlternateContent>
      </w:r>
    </w:p>
    <w:p w14:paraId="38B9C15B" w14:textId="0432B52E" w:rsidR="00B17E5F" w:rsidRPr="00B25AF0" w:rsidRDefault="00B17E5F" w:rsidP="00B25AF0">
      <w:pPr>
        <w:pStyle w:val="Caption"/>
        <w:jc w:val="center"/>
        <w:rPr>
          <w:rFonts w:cs="Times New Roman"/>
        </w:rPr>
      </w:pPr>
      <w:bookmarkStart w:id="175" w:name="_Toc140403899"/>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33</w:t>
      </w:r>
      <w:r w:rsidRPr="00322E56">
        <w:rPr>
          <w:rFonts w:cs="Times New Roman"/>
        </w:rPr>
        <w:fldChar w:fldCharType="end"/>
      </w:r>
      <w:r w:rsidRPr="00322E56">
        <w:rPr>
          <w:rFonts w:cs="Times New Roman"/>
        </w:rPr>
        <w:t>: Heating Operating modes with TES.</w:t>
      </w:r>
      <w:bookmarkEnd w:id="175"/>
    </w:p>
    <w:p w14:paraId="493BA297" w14:textId="77777777" w:rsidR="00B17E5F" w:rsidRPr="00322E56" w:rsidRDefault="00B17E5F" w:rsidP="00B82798">
      <w:pPr>
        <w:keepNext/>
        <w:ind w:firstLine="0"/>
        <w:jc w:val="center"/>
        <w:rPr>
          <w:rFonts w:cs="Times New Roman"/>
        </w:rPr>
      </w:pPr>
      <w:r w:rsidRPr="00322E56">
        <w:rPr>
          <w:rFonts w:cs="Times New Roman"/>
          <w:noProof/>
          <w:lang w:val="en-GB"/>
        </w:rPr>
        <w:lastRenderedPageBreak/>
        <w:drawing>
          <wp:inline distT="0" distB="0" distL="0" distR="0" wp14:anchorId="4945E18B" wp14:editId="18EA6CB0">
            <wp:extent cx="5665153" cy="1343608"/>
            <wp:effectExtent l="0" t="0" r="0" b="9525"/>
            <wp:docPr id="19" name="Picture 1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10;&#10;Description automatically generated with medium confidence"/>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688809" cy="1349218"/>
                    </a:xfrm>
                    <a:prstGeom prst="rect">
                      <a:avLst/>
                    </a:prstGeom>
                    <a:noFill/>
                  </pic:spPr>
                </pic:pic>
              </a:graphicData>
            </a:graphic>
          </wp:inline>
        </w:drawing>
      </w:r>
    </w:p>
    <w:p w14:paraId="0FD94F3A" w14:textId="556A7177" w:rsidR="00B17E5F" w:rsidRDefault="00B17E5F" w:rsidP="00050E36">
      <w:pPr>
        <w:pStyle w:val="Caption"/>
        <w:jc w:val="center"/>
        <w:rPr>
          <w:rFonts w:cs="Times New Roman"/>
        </w:rPr>
      </w:pPr>
      <w:bookmarkStart w:id="176" w:name="_Toc140403900"/>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34</w:t>
      </w:r>
      <w:r w:rsidRPr="00322E56">
        <w:rPr>
          <w:rFonts w:cs="Times New Roman"/>
        </w:rPr>
        <w:fldChar w:fldCharType="end"/>
      </w:r>
      <w:r w:rsidRPr="00322E56">
        <w:rPr>
          <w:rFonts w:cs="Times New Roman"/>
        </w:rPr>
        <w:t>: Operation flow chart showing the submodels and direction of information flow.</w:t>
      </w:r>
      <w:bookmarkEnd w:id="176"/>
    </w:p>
    <w:p w14:paraId="3BDAC298" w14:textId="77777777" w:rsidR="00B25AF0" w:rsidRDefault="00B25AF0">
      <w:pPr>
        <w:spacing w:before="0" w:line="240" w:lineRule="auto"/>
        <w:ind w:firstLine="0"/>
        <w:jc w:val="left"/>
        <w:rPr>
          <w:rFonts w:cs="Times New Roman"/>
          <w:lang w:val="en-GB"/>
        </w:rPr>
      </w:pPr>
      <w:r>
        <w:rPr>
          <w:rFonts w:cs="Times New Roman"/>
          <w:lang w:val="en-GB"/>
        </w:rPr>
        <w:br w:type="page"/>
      </w:r>
    </w:p>
    <w:p w14:paraId="5BFAADB3" w14:textId="3AE69B26" w:rsidR="00B25AF0" w:rsidRDefault="00B25AF0" w:rsidP="00B25AF0">
      <w:pPr>
        <w:rPr>
          <w:rFonts w:cs="Times New Roman"/>
          <w:lang w:val="en-GB"/>
        </w:rPr>
      </w:pPr>
      <w:r w:rsidRPr="00322E56">
        <w:rPr>
          <w:rFonts w:cs="Times New Roman"/>
          <w:lang w:val="en-GB"/>
        </w:rPr>
        <w:lastRenderedPageBreak/>
        <w:t>Figure 35 shows the average ambient dry-bulb temperature during each month for all three locations.</w:t>
      </w:r>
    </w:p>
    <w:p w14:paraId="33AB3077" w14:textId="77777777" w:rsidR="00B25AF0" w:rsidRPr="00322E56" w:rsidRDefault="00B25AF0" w:rsidP="00B25AF0">
      <w:pPr>
        <w:pStyle w:val="Heading3"/>
        <w:rPr>
          <w:rFonts w:cs="Times New Roman"/>
          <w:lang w:val="en-GB"/>
        </w:rPr>
      </w:pPr>
      <w:bookmarkStart w:id="177" w:name="_Toc140399881"/>
      <w:r w:rsidRPr="00322E56">
        <w:rPr>
          <w:rFonts w:cs="Times New Roman"/>
          <w:lang w:val="en-GB"/>
        </w:rPr>
        <w:t>Utility Data</w:t>
      </w:r>
      <w:bookmarkEnd w:id="177"/>
    </w:p>
    <w:p w14:paraId="496F048B" w14:textId="77777777" w:rsidR="00B25AF0" w:rsidRPr="00322E56" w:rsidRDefault="00B25AF0" w:rsidP="00B25AF0">
      <w:pPr>
        <w:rPr>
          <w:rFonts w:cs="Times New Roman"/>
          <w:lang w:val="en-GB"/>
        </w:rPr>
      </w:pPr>
      <w:r w:rsidRPr="00322E56">
        <w:rPr>
          <w:rFonts w:cs="Times New Roman"/>
          <w:lang w:val="en-GB"/>
        </w:rPr>
        <w:t xml:space="preserve">For this model, the on-peak periods were determined using TOU utility rates available to a residential consumer in each geographic location. TOU rates price the cost of electricity differently depending on the time of day and the month. In this analysis, only energy-based TOU rates were used—that is, the electricity is priced per kilowatt hour. Other TOU rates may have limitations on the instantaneous demand, but this factor was not considered here. </w:t>
      </w:r>
    </w:p>
    <w:p w14:paraId="430E34FE" w14:textId="77777777" w:rsidR="00B25AF0" w:rsidRDefault="00B25AF0" w:rsidP="00B25AF0">
      <w:pPr>
        <w:rPr>
          <w:rFonts w:cs="Times New Roman"/>
          <w:lang w:val="en-GB"/>
        </w:rPr>
      </w:pPr>
      <w:r w:rsidRPr="00322E56">
        <w:rPr>
          <w:rFonts w:cs="Times New Roman"/>
          <w:lang w:val="en-GB"/>
        </w:rPr>
        <w:t xml:space="preserve">TOU rates were found for each location, and the model was run such that the on-peak times were determined when the cost of electricity was higher than the baseline. Table 15 shows the utility cost information during 2020 for all locations, which demonstrates the disparity in electrical pricing across the United States and highlights the different financial incentives that TES may offer. </w:t>
      </w:r>
    </w:p>
    <w:p w14:paraId="1D4AD0B5" w14:textId="77777777" w:rsidR="00B25AF0" w:rsidRPr="00322E56" w:rsidRDefault="00B25AF0" w:rsidP="00B25AF0">
      <w:pPr>
        <w:pStyle w:val="Heading3"/>
        <w:rPr>
          <w:rFonts w:cs="Times New Roman"/>
          <w:lang w:val="en-GB"/>
        </w:rPr>
      </w:pPr>
      <w:bookmarkStart w:id="178" w:name="_Toc140399882"/>
      <w:r w:rsidRPr="00322E56">
        <w:rPr>
          <w:rFonts w:cs="Times New Roman"/>
          <w:lang w:val="en-GB"/>
        </w:rPr>
        <w:t>TES Model</w:t>
      </w:r>
      <w:bookmarkEnd w:id="178"/>
    </w:p>
    <w:p w14:paraId="5A3564E0" w14:textId="77777777" w:rsidR="00B25AF0" w:rsidRDefault="00B25AF0" w:rsidP="00B25AF0">
      <w:pPr>
        <w:rPr>
          <w:rFonts w:cs="Times New Roman"/>
          <w:lang w:val="en-GB"/>
        </w:rPr>
      </w:pPr>
      <w:r w:rsidRPr="00322E56">
        <w:rPr>
          <w:rFonts w:cs="Times New Roman"/>
          <w:lang w:val="en-GB"/>
        </w:rPr>
        <w:t xml:space="preserve">The TES model was simplified for ease in analysis with only energy balance performed; no considerations were made to the inner workings of the TES system. The TES was assumed to be a heat exchanger with embedded PCM, which enabled isothermal operation. In this analysis, the TES heat exchanger was considered to have an infinite heat transfer coefficient; thus, the TES was maintained at the PCM PCT, </w:t>
      </w:r>
      <w:r w:rsidRPr="00322E56">
        <w:rPr>
          <w:rFonts w:cs="Times New Roman"/>
          <w:i/>
          <w:iCs/>
          <w:lang w:val="en-GB"/>
        </w:rPr>
        <w:t>T</w:t>
      </w:r>
      <w:r w:rsidRPr="00322E56">
        <w:rPr>
          <w:rFonts w:cs="Times New Roman"/>
          <w:vertAlign w:val="subscript"/>
          <w:lang w:val="en-GB"/>
        </w:rPr>
        <w:t>TES</w:t>
      </w:r>
      <w:r w:rsidRPr="00322E56">
        <w:rPr>
          <w:rFonts w:cs="Times New Roman"/>
          <w:lang w:val="en-GB"/>
        </w:rPr>
        <w:t xml:space="preserve">. The model was simplified to assume that </w:t>
      </w:r>
      <w:r w:rsidRPr="00322E56">
        <w:rPr>
          <w:rFonts w:cs="Times New Roman"/>
          <w:i/>
          <w:iCs/>
          <w:lang w:val="en-GB"/>
        </w:rPr>
        <w:t>T</w:t>
      </w:r>
      <w:r w:rsidRPr="00322E56">
        <w:rPr>
          <w:rFonts w:cs="Times New Roman"/>
          <w:vertAlign w:val="subscript"/>
          <w:lang w:val="en-GB"/>
        </w:rPr>
        <w:t>evap</w:t>
      </w:r>
      <w:r w:rsidRPr="00322E56">
        <w:rPr>
          <w:rFonts w:cs="Times New Roman"/>
          <w:lang w:val="en-GB"/>
        </w:rPr>
        <w:t xml:space="preserve"> and </w:t>
      </w:r>
      <w:r w:rsidRPr="00322E56">
        <w:rPr>
          <w:rFonts w:cs="Times New Roman"/>
          <w:i/>
          <w:iCs/>
          <w:lang w:val="en-GB"/>
        </w:rPr>
        <w:t>T</w:t>
      </w:r>
      <w:r w:rsidRPr="00322E56">
        <w:rPr>
          <w:rFonts w:cs="Times New Roman"/>
          <w:vertAlign w:val="subscript"/>
          <w:lang w:val="en-GB"/>
        </w:rPr>
        <w:t>cond</w:t>
      </w:r>
      <w:r w:rsidRPr="00322E56">
        <w:rPr>
          <w:rFonts w:cs="Times New Roman"/>
          <w:lang w:val="en-GB"/>
        </w:rPr>
        <w:t xml:space="preserve"> were equal to </w:t>
      </w:r>
      <w:r w:rsidRPr="00322E56">
        <w:rPr>
          <w:rFonts w:cs="Times New Roman"/>
          <w:i/>
          <w:iCs/>
          <w:lang w:val="en-GB"/>
        </w:rPr>
        <w:t>T</w:t>
      </w:r>
      <w:r w:rsidRPr="00322E56">
        <w:rPr>
          <w:rFonts w:cs="Times New Roman"/>
          <w:vertAlign w:val="subscript"/>
          <w:lang w:val="en-GB"/>
        </w:rPr>
        <w:t>TES</w:t>
      </w:r>
      <w:r w:rsidRPr="00322E56">
        <w:rPr>
          <w:rFonts w:cs="Times New Roman"/>
          <w:lang w:val="en-GB"/>
        </w:rPr>
        <w:t xml:space="preserve"> during charging and discharging modes, respectively, when TES was coupled to HP.</w:t>
      </w:r>
    </w:p>
    <w:p w14:paraId="462906BF" w14:textId="3C6CCD53" w:rsidR="00B25AF0" w:rsidRDefault="00B25AF0" w:rsidP="00B25AF0">
      <w:pPr>
        <w:rPr>
          <w:rFonts w:cs="Times New Roman"/>
          <w:lang w:val="en-GB"/>
        </w:rPr>
      </w:pPr>
      <w:bookmarkStart w:id="179" w:name="_Hlk133314062"/>
      <w:r w:rsidRPr="00322E56">
        <w:rPr>
          <w:rFonts w:cs="Times New Roman"/>
          <w:lang w:val="en-GB"/>
        </w:rPr>
        <w:t xml:space="preserve">The PCM is idealized in this model, leading to more favorable results. Zero glid and zero super cooling were assumed </w:t>
      </w:r>
      <w:sdt>
        <w:sdtPr>
          <w:rPr>
            <w:rFonts w:cs="Times New Roman"/>
            <w:color w:val="000000"/>
            <w:lang w:val="en-GB"/>
          </w:rPr>
          <w:tag w:val="MENDELEY_CITATION_v3_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"/>
          <w:id w:val="-1436358949"/>
          <w:placeholder>
            <w:docPart w:val="2EC25C77E39E5A4A94DFBCA2C8143088"/>
          </w:placeholder>
        </w:sdtPr>
        <w:sdtContent>
          <w:r w:rsidRPr="001E7ECF">
            <w:rPr>
              <w:rFonts w:cs="Times New Roman"/>
              <w:color w:val="000000"/>
              <w:lang w:val="en-GB"/>
            </w:rPr>
            <w:t>[45, 46]</w:t>
          </w:r>
        </w:sdtContent>
      </w:sdt>
      <w:r w:rsidRPr="00322E56">
        <w:rPr>
          <w:rFonts w:cs="Times New Roman"/>
          <w:lang w:val="en-GB"/>
        </w:rPr>
        <w:t>.</w:t>
      </w:r>
    </w:p>
    <w:p w14:paraId="1EC12BC7" w14:textId="5B9013EF" w:rsidR="00B17E5F" w:rsidRDefault="00B25AF0" w:rsidP="00B25AF0">
      <w:pPr>
        <w:rPr>
          <w:rFonts w:cs="Times New Roman"/>
          <w:lang w:val="en-GB"/>
        </w:rPr>
      </w:pPr>
      <w:r w:rsidRPr="00322E56">
        <w:rPr>
          <w:rFonts w:cs="Times New Roman"/>
          <w:lang w:val="en-GB"/>
        </w:rPr>
        <w:t>The TES stored the thermal energy desirable for the primary space conditioning mode, which defines the state of charge (SOC).</w:t>
      </w:r>
      <w:bookmarkEnd w:id="179"/>
    </w:p>
    <w:p w14:paraId="4A98F84D" w14:textId="77777777" w:rsidR="001E6DCD" w:rsidRPr="00322E56" w:rsidRDefault="001E6DCD" w:rsidP="001E6DCD">
      <w:pPr>
        <w:spacing w:line="240" w:lineRule="auto"/>
        <w:ind w:firstLine="0"/>
        <w:rPr>
          <w:rFonts w:cs="Times New Roman"/>
          <w:lang w:val="en-GB"/>
        </w:rPr>
      </w:pPr>
    </w:p>
    <w:p w14:paraId="73B9449C" w14:textId="77777777" w:rsidR="00B17E5F" w:rsidRPr="00322E56" w:rsidRDefault="00B17E5F" w:rsidP="00B82798">
      <w:pPr>
        <w:keepNext/>
        <w:ind w:firstLine="0"/>
        <w:jc w:val="center"/>
        <w:rPr>
          <w:rFonts w:cs="Times New Roman"/>
        </w:rPr>
      </w:pPr>
      <w:r w:rsidRPr="00322E56">
        <w:rPr>
          <w:rFonts w:cs="Times New Roman"/>
          <w:noProof/>
          <w:color w:val="0D0D0D" w:themeColor="text1" w:themeTint="F2"/>
          <w:lang w:val="en-GB"/>
        </w:rPr>
        <w:drawing>
          <wp:inline distT="0" distB="0" distL="0" distR="0" wp14:anchorId="74585195" wp14:editId="7B3EC36D">
            <wp:extent cx="5303520" cy="3359932"/>
            <wp:effectExtent l="0" t="0" r="0" b="0"/>
            <wp:docPr id="20" name="Picture 2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line chart&#10;&#10;Description automatically generated"/>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303520" cy="3359932"/>
                    </a:xfrm>
                    <a:prstGeom prst="rect">
                      <a:avLst/>
                    </a:prstGeom>
                    <a:noFill/>
                  </pic:spPr>
                </pic:pic>
              </a:graphicData>
            </a:graphic>
          </wp:inline>
        </w:drawing>
      </w:r>
    </w:p>
    <w:p w14:paraId="258A1447" w14:textId="59580358" w:rsidR="00B17E5F" w:rsidRPr="00322E56" w:rsidRDefault="00B17E5F" w:rsidP="00050E36">
      <w:pPr>
        <w:pStyle w:val="Caption"/>
        <w:jc w:val="center"/>
        <w:rPr>
          <w:rFonts w:cs="Times New Roman"/>
        </w:rPr>
      </w:pPr>
      <w:bookmarkStart w:id="180" w:name="_Toc140403901"/>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35</w:t>
      </w:r>
      <w:r w:rsidRPr="00322E56">
        <w:rPr>
          <w:rFonts w:cs="Times New Roman"/>
        </w:rPr>
        <w:fldChar w:fldCharType="end"/>
      </w:r>
      <w:r w:rsidRPr="00322E56">
        <w:rPr>
          <w:rFonts w:cs="Times New Roman"/>
        </w:rPr>
        <w:t>: Average dry-bulb temperature.</w:t>
      </w:r>
      <w:bookmarkEnd w:id="180"/>
    </w:p>
    <w:p w14:paraId="5934887F" w14:textId="79EDFF2B" w:rsidR="00B17E5F" w:rsidRPr="00322E56" w:rsidRDefault="00B17E5F" w:rsidP="00B25AF0">
      <w:pPr>
        <w:spacing w:line="240" w:lineRule="auto"/>
        <w:rPr>
          <w:rFonts w:cs="Times New Roman"/>
          <w:lang w:val="en-GB"/>
        </w:rPr>
      </w:pPr>
      <w:r w:rsidRPr="00322E56">
        <w:rPr>
          <w:rFonts w:cs="Times New Roman"/>
          <w:lang w:val="en-GB"/>
        </w:rPr>
        <w:br w:type="page"/>
      </w:r>
    </w:p>
    <w:p w14:paraId="4F6553CA" w14:textId="41B70A4C" w:rsidR="00B17E5F" w:rsidRPr="00322E56" w:rsidRDefault="00B17E5F" w:rsidP="00050E36">
      <w:pPr>
        <w:pStyle w:val="Caption"/>
        <w:jc w:val="center"/>
        <w:rPr>
          <w:rFonts w:cs="Times New Roman"/>
        </w:rPr>
      </w:pPr>
      <w:bookmarkStart w:id="181" w:name="_Toc140399955"/>
      <w:r w:rsidRPr="00322E56">
        <w:rPr>
          <w:rFonts w:cs="Times New Roman"/>
        </w:rPr>
        <w:lastRenderedPageBreak/>
        <w:t xml:space="preserve">Table </w:t>
      </w:r>
      <w:r w:rsidRPr="00322E56">
        <w:rPr>
          <w:rFonts w:cs="Times New Roman"/>
        </w:rPr>
        <w:fldChar w:fldCharType="begin"/>
      </w:r>
      <w:r w:rsidRPr="00322E56">
        <w:rPr>
          <w:rFonts w:cs="Times New Roman"/>
        </w:rPr>
        <w:instrText xml:space="preserve"> SEQ Table \* ARABIC </w:instrText>
      </w:r>
      <w:r w:rsidRPr="00322E56">
        <w:rPr>
          <w:rFonts w:cs="Times New Roman"/>
        </w:rPr>
        <w:fldChar w:fldCharType="separate"/>
      </w:r>
      <w:r w:rsidR="00FC25C0">
        <w:rPr>
          <w:rFonts w:cs="Times New Roman"/>
          <w:noProof/>
        </w:rPr>
        <w:t>15</w:t>
      </w:r>
      <w:r w:rsidRPr="00322E56">
        <w:rPr>
          <w:rFonts w:cs="Times New Roman"/>
        </w:rPr>
        <w:fldChar w:fldCharType="end"/>
      </w:r>
      <w:r w:rsidRPr="00322E56">
        <w:rPr>
          <w:rFonts w:cs="Times New Roman"/>
        </w:rPr>
        <w:t>: Electric utility rates</w:t>
      </w:r>
      <w:bookmarkEnd w:id="181"/>
    </w:p>
    <w:tbl>
      <w:tblPr>
        <w:tblStyle w:val="TableGrid1"/>
        <w:tblW w:w="8255" w:type="dxa"/>
        <w:tblLayout w:type="fixed"/>
        <w:tblLook w:val="04A0" w:firstRow="1" w:lastRow="0" w:firstColumn="1" w:lastColumn="0" w:noHBand="0" w:noVBand="1"/>
      </w:tblPr>
      <w:tblGrid>
        <w:gridCol w:w="1254"/>
        <w:gridCol w:w="1101"/>
        <w:gridCol w:w="1101"/>
        <w:gridCol w:w="1258"/>
        <w:gridCol w:w="1260"/>
        <w:gridCol w:w="1258"/>
        <w:gridCol w:w="1023"/>
      </w:tblGrid>
      <w:tr w:rsidR="00B17E5F" w:rsidRPr="00D94F75" w14:paraId="0EB82611" w14:textId="77777777" w:rsidTr="00B25AF0">
        <w:trPr>
          <w:trHeight w:val="162"/>
        </w:trPr>
        <w:tc>
          <w:tcPr>
            <w:tcW w:w="1254" w:type="dxa"/>
            <w:vMerge w:val="restart"/>
          </w:tcPr>
          <w:p w14:paraId="7D4C5C8C" w14:textId="77777777" w:rsidR="00B17E5F" w:rsidRPr="00D94F75" w:rsidRDefault="00B17E5F" w:rsidP="00D94F75">
            <w:pPr>
              <w:pStyle w:val="NoSpacing"/>
              <w:rPr>
                <w:rFonts w:eastAsia="Calibri"/>
                <w:b/>
                <w:bCs/>
                <w:sz w:val="22"/>
                <w:szCs w:val="22"/>
                <w:lang w:val="en-GB"/>
              </w:rPr>
            </w:pPr>
            <w:r w:rsidRPr="00D94F75">
              <w:rPr>
                <w:rFonts w:eastAsia="Calibri"/>
                <w:b/>
                <w:bCs/>
                <w:sz w:val="22"/>
                <w:szCs w:val="22"/>
                <w:lang w:val="en-GB"/>
              </w:rPr>
              <w:t>Location</w:t>
            </w:r>
          </w:p>
        </w:tc>
        <w:tc>
          <w:tcPr>
            <w:tcW w:w="1101" w:type="dxa"/>
            <w:vMerge w:val="restart"/>
          </w:tcPr>
          <w:p w14:paraId="758763D6" w14:textId="77777777" w:rsidR="00B17E5F" w:rsidRPr="00D94F75" w:rsidRDefault="00B17E5F" w:rsidP="00D94F75">
            <w:pPr>
              <w:pStyle w:val="NoSpacing"/>
              <w:rPr>
                <w:rFonts w:eastAsia="Calibri"/>
                <w:b/>
                <w:bCs/>
                <w:sz w:val="22"/>
                <w:szCs w:val="22"/>
                <w:lang w:val="en-GB"/>
              </w:rPr>
            </w:pPr>
            <w:r w:rsidRPr="00D94F75">
              <w:rPr>
                <w:rFonts w:eastAsia="Calibri"/>
                <w:b/>
                <w:bCs/>
                <w:sz w:val="22"/>
                <w:szCs w:val="22"/>
                <w:lang w:val="en-GB"/>
              </w:rPr>
              <w:t xml:space="preserve">Utility </w:t>
            </w:r>
          </w:p>
        </w:tc>
        <w:tc>
          <w:tcPr>
            <w:tcW w:w="3619" w:type="dxa"/>
            <w:gridSpan w:val="3"/>
          </w:tcPr>
          <w:p w14:paraId="660E080B" w14:textId="77777777" w:rsidR="00B17E5F" w:rsidRPr="00D94F75" w:rsidRDefault="00B17E5F" w:rsidP="00D94F75">
            <w:pPr>
              <w:pStyle w:val="NoSpacing"/>
              <w:rPr>
                <w:rFonts w:eastAsia="Calibri"/>
                <w:b/>
                <w:bCs/>
                <w:sz w:val="22"/>
                <w:szCs w:val="22"/>
                <w:lang w:val="en-GB"/>
              </w:rPr>
            </w:pPr>
            <w:r w:rsidRPr="00D94F75">
              <w:rPr>
                <w:rFonts w:eastAsia="Calibri"/>
                <w:b/>
                <w:bCs/>
                <w:sz w:val="22"/>
                <w:szCs w:val="22"/>
                <w:lang w:val="en-GB"/>
              </w:rPr>
              <w:t>TOU tariff</w:t>
            </w:r>
          </w:p>
        </w:tc>
        <w:tc>
          <w:tcPr>
            <w:tcW w:w="2281" w:type="dxa"/>
            <w:gridSpan w:val="2"/>
          </w:tcPr>
          <w:p w14:paraId="43577F36" w14:textId="77777777" w:rsidR="00B17E5F" w:rsidRPr="00D94F75" w:rsidRDefault="00B17E5F" w:rsidP="00D94F75">
            <w:pPr>
              <w:pStyle w:val="NoSpacing"/>
              <w:rPr>
                <w:rFonts w:eastAsia="Calibri"/>
                <w:b/>
                <w:bCs/>
                <w:sz w:val="22"/>
                <w:szCs w:val="22"/>
                <w:lang w:val="en-GB"/>
              </w:rPr>
            </w:pPr>
            <w:r w:rsidRPr="00D94F75">
              <w:rPr>
                <w:rFonts w:eastAsia="Calibri"/>
                <w:b/>
                <w:bCs/>
                <w:sz w:val="22"/>
                <w:szCs w:val="22"/>
                <w:lang w:val="en-GB"/>
              </w:rPr>
              <w:t>Non-TOU tariff</w:t>
            </w:r>
          </w:p>
        </w:tc>
      </w:tr>
      <w:tr w:rsidR="00B17E5F" w:rsidRPr="00D94F75" w14:paraId="66297244" w14:textId="77777777" w:rsidTr="00B25AF0">
        <w:trPr>
          <w:trHeight w:val="173"/>
        </w:trPr>
        <w:tc>
          <w:tcPr>
            <w:tcW w:w="1254" w:type="dxa"/>
            <w:vMerge/>
          </w:tcPr>
          <w:p w14:paraId="49991FC9" w14:textId="77777777" w:rsidR="00B17E5F" w:rsidRPr="00D94F75" w:rsidRDefault="00B17E5F" w:rsidP="00D94F75">
            <w:pPr>
              <w:pStyle w:val="NoSpacing"/>
              <w:rPr>
                <w:rFonts w:eastAsia="Calibri"/>
                <w:b/>
                <w:bCs/>
                <w:sz w:val="22"/>
                <w:szCs w:val="22"/>
                <w:lang w:val="en-GB"/>
              </w:rPr>
            </w:pPr>
          </w:p>
        </w:tc>
        <w:tc>
          <w:tcPr>
            <w:tcW w:w="1101" w:type="dxa"/>
            <w:vMerge/>
          </w:tcPr>
          <w:p w14:paraId="1265320C" w14:textId="77777777" w:rsidR="00B17E5F" w:rsidRPr="00D94F75" w:rsidRDefault="00B17E5F" w:rsidP="00D94F75">
            <w:pPr>
              <w:pStyle w:val="NoSpacing"/>
              <w:rPr>
                <w:rFonts w:eastAsia="Calibri"/>
                <w:b/>
                <w:bCs/>
                <w:sz w:val="22"/>
                <w:szCs w:val="22"/>
                <w:lang w:val="en-GB"/>
              </w:rPr>
            </w:pPr>
          </w:p>
        </w:tc>
        <w:tc>
          <w:tcPr>
            <w:tcW w:w="1101" w:type="dxa"/>
          </w:tcPr>
          <w:p w14:paraId="4F3DA989" w14:textId="77777777" w:rsidR="00B17E5F" w:rsidRPr="00D94F75" w:rsidRDefault="00B17E5F" w:rsidP="00D94F75">
            <w:pPr>
              <w:pStyle w:val="NoSpacing"/>
              <w:rPr>
                <w:rFonts w:eastAsia="Calibri"/>
                <w:b/>
                <w:bCs/>
                <w:sz w:val="22"/>
                <w:szCs w:val="22"/>
                <w:lang w:val="en-GB"/>
              </w:rPr>
            </w:pPr>
            <w:r w:rsidRPr="00D94F75">
              <w:rPr>
                <w:rFonts w:eastAsia="Calibri"/>
                <w:b/>
                <w:bCs/>
                <w:sz w:val="22"/>
                <w:szCs w:val="22"/>
                <w:lang w:val="en-GB"/>
              </w:rPr>
              <w:t>Tariff name</w:t>
            </w:r>
          </w:p>
        </w:tc>
        <w:tc>
          <w:tcPr>
            <w:tcW w:w="1258" w:type="dxa"/>
          </w:tcPr>
          <w:p w14:paraId="0B9DC8EF" w14:textId="77777777" w:rsidR="00B17E5F" w:rsidRPr="00D94F75" w:rsidRDefault="00B17E5F" w:rsidP="00D94F75">
            <w:pPr>
              <w:pStyle w:val="NoSpacing"/>
              <w:rPr>
                <w:rFonts w:eastAsia="Calibri"/>
                <w:b/>
                <w:bCs/>
                <w:sz w:val="22"/>
                <w:szCs w:val="22"/>
                <w:lang w:val="en-GB"/>
              </w:rPr>
            </w:pPr>
            <w:r w:rsidRPr="00D94F75">
              <w:rPr>
                <w:rFonts w:eastAsia="Calibri"/>
                <w:b/>
                <w:bCs/>
                <w:sz w:val="22"/>
                <w:szCs w:val="22"/>
                <w:lang w:val="en-GB"/>
              </w:rPr>
              <w:t>On-peak rate</w:t>
            </w:r>
          </w:p>
          <w:p w14:paraId="3F323C56" w14:textId="77777777" w:rsidR="00B17E5F" w:rsidRPr="00D94F75" w:rsidRDefault="00B17E5F" w:rsidP="00D94F75">
            <w:pPr>
              <w:pStyle w:val="NoSpacing"/>
              <w:rPr>
                <w:rFonts w:eastAsia="Calibri"/>
                <w:b/>
                <w:bCs/>
                <w:sz w:val="22"/>
                <w:szCs w:val="22"/>
                <w:lang w:val="en-GB"/>
              </w:rPr>
            </w:pPr>
            <w:r w:rsidRPr="00D94F75">
              <w:rPr>
                <w:rFonts w:eastAsia="Calibri"/>
                <w:b/>
                <w:bCs/>
                <w:sz w:val="22"/>
                <w:szCs w:val="22"/>
                <w:lang w:val="en-GB"/>
              </w:rPr>
              <w:t>(¢/kWh)</w:t>
            </w:r>
          </w:p>
        </w:tc>
        <w:tc>
          <w:tcPr>
            <w:tcW w:w="1258" w:type="dxa"/>
          </w:tcPr>
          <w:p w14:paraId="05417BF9" w14:textId="77777777" w:rsidR="00B17E5F" w:rsidRPr="00D94F75" w:rsidRDefault="00B17E5F" w:rsidP="00D94F75">
            <w:pPr>
              <w:pStyle w:val="NoSpacing"/>
              <w:rPr>
                <w:rFonts w:eastAsia="Calibri"/>
                <w:b/>
                <w:bCs/>
                <w:sz w:val="22"/>
                <w:szCs w:val="22"/>
                <w:lang w:val="en-GB"/>
              </w:rPr>
            </w:pPr>
            <w:r w:rsidRPr="00D94F75">
              <w:rPr>
                <w:rFonts w:eastAsia="Calibri"/>
                <w:b/>
                <w:bCs/>
                <w:sz w:val="22"/>
                <w:szCs w:val="22"/>
                <w:lang w:val="en-GB"/>
              </w:rPr>
              <w:t>Off-peak rate</w:t>
            </w:r>
          </w:p>
          <w:p w14:paraId="3C3DB2EF" w14:textId="77777777" w:rsidR="00B17E5F" w:rsidRPr="00D94F75" w:rsidRDefault="00B17E5F" w:rsidP="00D94F75">
            <w:pPr>
              <w:pStyle w:val="NoSpacing"/>
              <w:rPr>
                <w:rFonts w:eastAsia="Calibri"/>
                <w:b/>
                <w:bCs/>
                <w:sz w:val="22"/>
                <w:szCs w:val="22"/>
                <w:lang w:val="en-GB"/>
              </w:rPr>
            </w:pPr>
            <w:r w:rsidRPr="00D94F75">
              <w:rPr>
                <w:rFonts w:eastAsia="Calibri"/>
                <w:b/>
                <w:bCs/>
                <w:sz w:val="22"/>
                <w:szCs w:val="22"/>
                <w:lang w:val="en-GB"/>
              </w:rPr>
              <w:t>(¢/kWh)</w:t>
            </w:r>
          </w:p>
        </w:tc>
        <w:tc>
          <w:tcPr>
            <w:tcW w:w="1258" w:type="dxa"/>
          </w:tcPr>
          <w:p w14:paraId="26064C7F" w14:textId="77777777" w:rsidR="00B17E5F" w:rsidRPr="00D94F75" w:rsidRDefault="00B17E5F" w:rsidP="00D94F75">
            <w:pPr>
              <w:pStyle w:val="NoSpacing"/>
              <w:rPr>
                <w:rFonts w:eastAsia="Calibri"/>
                <w:b/>
                <w:bCs/>
                <w:sz w:val="22"/>
                <w:szCs w:val="22"/>
                <w:lang w:val="en-GB"/>
              </w:rPr>
            </w:pPr>
            <w:r w:rsidRPr="00D94F75">
              <w:rPr>
                <w:rFonts w:eastAsia="Calibri"/>
                <w:b/>
                <w:bCs/>
                <w:sz w:val="22"/>
                <w:szCs w:val="22"/>
                <w:lang w:val="en-GB"/>
              </w:rPr>
              <w:t xml:space="preserve">Tariff name </w:t>
            </w:r>
          </w:p>
        </w:tc>
        <w:tc>
          <w:tcPr>
            <w:tcW w:w="1022" w:type="dxa"/>
          </w:tcPr>
          <w:p w14:paraId="5AB17D86" w14:textId="77777777" w:rsidR="00B17E5F" w:rsidRPr="00D94F75" w:rsidRDefault="00B17E5F" w:rsidP="00D94F75">
            <w:pPr>
              <w:pStyle w:val="NoSpacing"/>
              <w:rPr>
                <w:rFonts w:eastAsia="Calibri"/>
                <w:b/>
                <w:bCs/>
                <w:sz w:val="22"/>
                <w:szCs w:val="22"/>
                <w:lang w:val="en-GB"/>
              </w:rPr>
            </w:pPr>
            <w:bookmarkStart w:id="182" w:name="_Hlk126067071"/>
            <w:r w:rsidRPr="00D94F75">
              <w:rPr>
                <w:rFonts w:eastAsia="Calibri"/>
                <w:b/>
                <w:bCs/>
                <w:sz w:val="22"/>
                <w:szCs w:val="22"/>
                <w:lang w:val="en-GB"/>
              </w:rPr>
              <w:t>¢</w:t>
            </w:r>
            <w:bookmarkEnd w:id="182"/>
            <w:r w:rsidRPr="00D94F75">
              <w:rPr>
                <w:rFonts w:eastAsia="Calibri"/>
                <w:b/>
                <w:bCs/>
                <w:sz w:val="22"/>
                <w:szCs w:val="22"/>
                <w:lang w:val="en-GB"/>
              </w:rPr>
              <w:t>/kWh</w:t>
            </w:r>
          </w:p>
        </w:tc>
      </w:tr>
      <w:tr w:rsidR="00B17E5F" w:rsidRPr="00D94F75" w14:paraId="18F0AED7" w14:textId="77777777" w:rsidTr="00B25AF0">
        <w:trPr>
          <w:trHeight w:val="325"/>
        </w:trPr>
        <w:tc>
          <w:tcPr>
            <w:tcW w:w="1254" w:type="dxa"/>
          </w:tcPr>
          <w:p w14:paraId="5F118CD1" w14:textId="77777777" w:rsidR="00B17E5F" w:rsidRPr="00D94F75" w:rsidRDefault="00B17E5F" w:rsidP="00D94F75">
            <w:pPr>
              <w:pStyle w:val="NoSpacing"/>
              <w:rPr>
                <w:rFonts w:eastAsia="Calibri"/>
                <w:sz w:val="22"/>
                <w:szCs w:val="22"/>
                <w:lang w:val="en-GB"/>
              </w:rPr>
            </w:pPr>
            <w:r w:rsidRPr="00D94F75">
              <w:rPr>
                <w:rFonts w:eastAsia="Calibri"/>
                <w:sz w:val="22"/>
                <w:szCs w:val="22"/>
                <w:lang w:val="en-GB"/>
              </w:rPr>
              <w:t>Birmingham, Alabama</w:t>
            </w:r>
          </w:p>
        </w:tc>
        <w:tc>
          <w:tcPr>
            <w:tcW w:w="1101" w:type="dxa"/>
          </w:tcPr>
          <w:p w14:paraId="3F542044" w14:textId="77777777" w:rsidR="00B17E5F" w:rsidRPr="00D94F75" w:rsidRDefault="00B17E5F" w:rsidP="00D94F75">
            <w:pPr>
              <w:pStyle w:val="NoSpacing"/>
              <w:rPr>
                <w:rFonts w:eastAsia="Calibri"/>
                <w:sz w:val="22"/>
                <w:szCs w:val="22"/>
                <w:lang w:val="en-GB"/>
              </w:rPr>
            </w:pPr>
            <w:r w:rsidRPr="00D94F75">
              <w:rPr>
                <w:rFonts w:eastAsia="Calibri"/>
                <w:sz w:val="22"/>
                <w:szCs w:val="22"/>
                <w:lang w:val="en-GB"/>
              </w:rPr>
              <w:t>Alabama Power</w:t>
            </w:r>
          </w:p>
        </w:tc>
        <w:tc>
          <w:tcPr>
            <w:tcW w:w="1101" w:type="dxa"/>
          </w:tcPr>
          <w:p w14:paraId="1966B197" w14:textId="77777777" w:rsidR="00B17E5F" w:rsidRPr="00D94F75" w:rsidRDefault="00B17E5F" w:rsidP="00D94F75">
            <w:pPr>
              <w:pStyle w:val="NoSpacing"/>
              <w:rPr>
                <w:rFonts w:eastAsia="Calibri"/>
                <w:sz w:val="22"/>
                <w:szCs w:val="22"/>
                <w:lang w:val="en-GB"/>
              </w:rPr>
            </w:pPr>
            <w:r w:rsidRPr="00D94F75">
              <w:rPr>
                <w:rFonts w:eastAsia="Calibri"/>
                <w:sz w:val="22"/>
                <w:szCs w:val="22"/>
                <w:lang w:val="en-GB"/>
              </w:rPr>
              <w:t>Residential Time Advantage</w:t>
            </w:r>
          </w:p>
        </w:tc>
        <w:tc>
          <w:tcPr>
            <w:tcW w:w="1258" w:type="dxa"/>
          </w:tcPr>
          <w:p w14:paraId="13B79C04" w14:textId="77777777" w:rsidR="00B17E5F" w:rsidRPr="00D94F75" w:rsidRDefault="00B17E5F" w:rsidP="00D94F75">
            <w:pPr>
              <w:pStyle w:val="NoSpacing"/>
              <w:rPr>
                <w:rFonts w:eastAsia="Calibri"/>
                <w:sz w:val="22"/>
                <w:szCs w:val="22"/>
                <w:lang w:val="en-GB"/>
              </w:rPr>
            </w:pPr>
            <w:r w:rsidRPr="00D94F75">
              <w:rPr>
                <w:rFonts w:eastAsia="Calibri"/>
                <w:sz w:val="22"/>
                <w:szCs w:val="22"/>
                <w:lang w:val="en-GB"/>
              </w:rPr>
              <w:t>27.0 (summer</w:t>
            </w:r>
            <w:r w:rsidRPr="00D94F75">
              <w:rPr>
                <w:rFonts w:eastAsia="Calibri"/>
                <w:sz w:val="22"/>
                <w:szCs w:val="22"/>
                <w:vertAlign w:val="superscript"/>
                <w:lang w:val="en-GB"/>
              </w:rPr>
              <w:t>1</w:t>
            </w:r>
            <w:r w:rsidRPr="00D94F75">
              <w:rPr>
                <w:rFonts w:eastAsia="Calibri"/>
                <w:sz w:val="22"/>
                <w:szCs w:val="22"/>
                <w:lang w:val="en-GB"/>
              </w:rPr>
              <w:t>)</w:t>
            </w:r>
          </w:p>
          <w:p w14:paraId="05E8F4BD" w14:textId="77777777" w:rsidR="00B17E5F" w:rsidRPr="00D94F75" w:rsidRDefault="00B17E5F" w:rsidP="00D94F75">
            <w:pPr>
              <w:pStyle w:val="NoSpacing"/>
              <w:rPr>
                <w:rFonts w:eastAsia="Calibri"/>
                <w:sz w:val="22"/>
                <w:szCs w:val="22"/>
                <w:lang w:val="en-GB"/>
              </w:rPr>
            </w:pPr>
            <w:r w:rsidRPr="00D94F75">
              <w:rPr>
                <w:rFonts w:eastAsia="Calibri"/>
                <w:sz w:val="22"/>
                <w:szCs w:val="22"/>
                <w:lang w:val="en-GB"/>
              </w:rPr>
              <w:t>9.0 (winter</w:t>
            </w:r>
            <w:r w:rsidRPr="00D94F75">
              <w:rPr>
                <w:rFonts w:eastAsia="Calibri"/>
                <w:sz w:val="22"/>
                <w:szCs w:val="22"/>
                <w:vertAlign w:val="superscript"/>
                <w:lang w:val="en-GB"/>
              </w:rPr>
              <w:t>2</w:t>
            </w:r>
            <w:r w:rsidRPr="00D94F75">
              <w:rPr>
                <w:rFonts w:eastAsia="Calibri"/>
                <w:sz w:val="22"/>
                <w:szCs w:val="22"/>
                <w:lang w:val="en-GB"/>
              </w:rPr>
              <w:t>)</w:t>
            </w:r>
          </w:p>
        </w:tc>
        <w:tc>
          <w:tcPr>
            <w:tcW w:w="1258" w:type="dxa"/>
          </w:tcPr>
          <w:p w14:paraId="55019B60" w14:textId="77777777" w:rsidR="00B17E5F" w:rsidRPr="00D94F75" w:rsidRDefault="00B17E5F" w:rsidP="00D94F75">
            <w:pPr>
              <w:pStyle w:val="NoSpacing"/>
              <w:rPr>
                <w:rFonts w:eastAsia="Calibri"/>
                <w:sz w:val="22"/>
                <w:szCs w:val="22"/>
                <w:lang w:val="en-GB"/>
              </w:rPr>
            </w:pPr>
            <w:r w:rsidRPr="00D94F75">
              <w:rPr>
                <w:rFonts w:eastAsia="Calibri"/>
                <w:sz w:val="22"/>
                <w:szCs w:val="22"/>
                <w:lang w:val="en-GB"/>
              </w:rPr>
              <w:t>7.0 (summer</w:t>
            </w:r>
            <w:r w:rsidRPr="00D94F75">
              <w:rPr>
                <w:rFonts w:eastAsia="Calibri"/>
                <w:sz w:val="22"/>
                <w:szCs w:val="22"/>
                <w:vertAlign w:val="superscript"/>
                <w:lang w:val="en-GB"/>
              </w:rPr>
              <w:t>1</w:t>
            </w:r>
            <w:r w:rsidRPr="00D94F75">
              <w:rPr>
                <w:rFonts w:eastAsia="Calibri"/>
                <w:sz w:val="22"/>
                <w:szCs w:val="22"/>
                <w:lang w:val="en-GB"/>
              </w:rPr>
              <w:t>)</w:t>
            </w:r>
          </w:p>
          <w:p w14:paraId="39B28BDD" w14:textId="77777777" w:rsidR="00B17E5F" w:rsidRPr="00D94F75" w:rsidRDefault="00B17E5F" w:rsidP="00D94F75">
            <w:pPr>
              <w:pStyle w:val="NoSpacing"/>
              <w:rPr>
                <w:rFonts w:eastAsia="Calibri"/>
                <w:sz w:val="22"/>
                <w:szCs w:val="22"/>
                <w:lang w:val="en-GB"/>
              </w:rPr>
            </w:pPr>
            <w:r w:rsidRPr="00D94F75">
              <w:rPr>
                <w:rFonts w:eastAsia="Calibri"/>
                <w:sz w:val="22"/>
                <w:szCs w:val="22"/>
                <w:lang w:val="en-GB"/>
              </w:rPr>
              <w:t>7.0 (winter</w:t>
            </w:r>
            <w:r w:rsidRPr="00D94F75">
              <w:rPr>
                <w:rFonts w:eastAsia="Calibri"/>
                <w:sz w:val="22"/>
                <w:szCs w:val="22"/>
                <w:vertAlign w:val="superscript"/>
                <w:lang w:val="en-GB"/>
              </w:rPr>
              <w:t>2</w:t>
            </w:r>
            <w:r w:rsidRPr="00D94F75">
              <w:rPr>
                <w:rFonts w:eastAsia="Calibri"/>
                <w:sz w:val="22"/>
                <w:szCs w:val="22"/>
                <w:lang w:val="en-GB"/>
              </w:rPr>
              <w:t>)</w:t>
            </w:r>
          </w:p>
        </w:tc>
        <w:tc>
          <w:tcPr>
            <w:tcW w:w="1258" w:type="dxa"/>
          </w:tcPr>
          <w:p w14:paraId="11AC7CE6" w14:textId="77777777" w:rsidR="00B17E5F" w:rsidRPr="00D94F75" w:rsidRDefault="00B17E5F" w:rsidP="00D94F75">
            <w:pPr>
              <w:pStyle w:val="NoSpacing"/>
              <w:rPr>
                <w:rFonts w:eastAsia="Calibri"/>
                <w:sz w:val="22"/>
                <w:szCs w:val="22"/>
                <w:lang w:val="en-GB"/>
              </w:rPr>
            </w:pPr>
            <w:r w:rsidRPr="00D94F75">
              <w:rPr>
                <w:rFonts w:eastAsia="Calibri"/>
                <w:sz w:val="22"/>
                <w:szCs w:val="22"/>
                <w:lang w:val="en-GB"/>
              </w:rPr>
              <w:t>Standard Rate Plan</w:t>
            </w:r>
          </w:p>
        </w:tc>
        <w:tc>
          <w:tcPr>
            <w:tcW w:w="1022" w:type="dxa"/>
          </w:tcPr>
          <w:p w14:paraId="21402E57" w14:textId="77777777" w:rsidR="00B17E5F" w:rsidRPr="00D94F75" w:rsidRDefault="00B17E5F" w:rsidP="00D94F75">
            <w:pPr>
              <w:pStyle w:val="NoSpacing"/>
              <w:rPr>
                <w:rFonts w:eastAsia="Calibri"/>
                <w:sz w:val="22"/>
                <w:szCs w:val="22"/>
                <w:lang w:val="en-GB"/>
              </w:rPr>
            </w:pPr>
            <w:r w:rsidRPr="00D94F75">
              <w:rPr>
                <w:rFonts w:eastAsia="Calibri"/>
                <w:sz w:val="22"/>
                <w:szCs w:val="22"/>
                <w:lang w:val="en-GB"/>
              </w:rPr>
              <w:t>12.48 (summer</w:t>
            </w:r>
            <w:r w:rsidRPr="00D94F75">
              <w:rPr>
                <w:rFonts w:eastAsia="Calibri"/>
                <w:sz w:val="22"/>
                <w:szCs w:val="22"/>
                <w:vertAlign w:val="superscript"/>
                <w:lang w:val="en-GB"/>
              </w:rPr>
              <w:t>1</w:t>
            </w:r>
            <w:r w:rsidRPr="00D94F75">
              <w:rPr>
                <w:rFonts w:eastAsia="Calibri"/>
                <w:sz w:val="22"/>
                <w:szCs w:val="22"/>
                <w:lang w:val="en-GB"/>
              </w:rPr>
              <w:t>)</w:t>
            </w:r>
          </w:p>
          <w:p w14:paraId="363E8E95" w14:textId="77777777" w:rsidR="00B17E5F" w:rsidRPr="00D94F75" w:rsidRDefault="00B17E5F" w:rsidP="00D94F75">
            <w:pPr>
              <w:pStyle w:val="NoSpacing"/>
              <w:rPr>
                <w:rFonts w:eastAsia="Calibri"/>
                <w:sz w:val="22"/>
                <w:szCs w:val="22"/>
                <w:lang w:val="en-GB"/>
              </w:rPr>
            </w:pPr>
            <w:r w:rsidRPr="00D94F75">
              <w:rPr>
                <w:rFonts w:eastAsia="Calibri"/>
                <w:sz w:val="22"/>
                <w:szCs w:val="22"/>
                <w:lang w:val="en-GB"/>
              </w:rPr>
              <w:t>12.23 (winter</w:t>
            </w:r>
            <w:r w:rsidRPr="00D94F75">
              <w:rPr>
                <w:rFonts w:eastAsia="Calibri"/>
                <w:sz w:val="22"/>
                <w:szCs w:val="22"/>
                <w:vertAlign w:val="superscript"/>
                <w:lang w:val="en-GB"/>
              </w:rPr>
              <w:t>2</w:t>
            </w:r>
            <w:r w:rsidRPr="00D94F75">
              <w:rPr>
                <w:rFonts w:eastAsia="Calibri"/>
                <w:sz w:val="22"/>
                <w:szCs w:val="22"/>
                <w:lang w:val="en-GB"/>
              </w:rPr>
              <w:t>)</w:t>
            </w:r>
          </w:p>
        </w:tc>
      </w:tr>
      <w:tr w:rsidR="00B17E5F" w:rsidRPr="00D94F75" w14:paraId="18FE709C" w14:textId="77777777" w:rsidTr="00B25AF0">
        <w:trPr>
          <w:trHeight w:val="167"/>
        </w:trPr>
        <w:tc>
          <w:tcPr>
            <w:tcW w:w="1254" w:type="dxa"/>
          </w:tcPr>
          <w:p w14:paraId="6470373C" w14:textId="77777777" w:rsidR="00B17E5F" w:rsidRPr="00D94F75" w:rsidRDefault="00B17E5F" w:rsidP="00D94F75">
            <w:pPr>
              <w:pStyle w:val="NoSpacing"/>
              <w:rPr>
                <w:rFonts w:eastAsia="Calibri"/>
                <w:sz w:val="22"/>
                <w:szCs w:val="22"/>
                <w:lang w:val="en-GB"/>
              </w:rPr>
            </w:pPr>
            <w:r w:rsidRPr="00D94F75">
              <w:rPr>
                <w:rFonts w:eastAsia="Calibri"/>
                <w:sz w:val="22"/>
                <w:szCs w:val="22"/>
                <w:lang w:val="en-GB"/>
              </w:rPr>
              <w:t>Houston, Texas</w:t>
            </w:r>
          </w:p>
        </w:tc>
        <w:tc>
          <w:tcPr>
            <w:tcW w:w="1101" w:type="dxa"/>
          </w:tcPr>
          <w:p w14:paraId="4003DD6D" w14:textId="77777777" w:rsidR="00B17E5F" w:rsidRPr="00D94F75" w:rsidRDefault="00B17E5F" w:rsidP="00D94F75">
            <w:pPr>
              <w:pStyle w:val="NoSpacing"/>
              <w:rPr>
                <w:rFonts w:eastAsia="Calibri"/>
                <w:sz w:val="22"/>
                <w:szCs w:val="22"/>
                <w:lang w:val="en-GB"/>
              </w:rPr>
            </w:pPr>
            <w:r w:rsidRPr="00D94F75">
              <w:rPr>
                <w:rFonts w:eastAsia="Calibri"/>
                <w:sz w:val="22"/>
                <w:szCs w:val="22"/>
                <w:lang w:val="en-GB"/>
              </w:rPr>
              <w:t>Gexa Energy</w:t>
            </w:r>
          </w:p>
        </w:tc>
        <w:tc>
          <w:tcPr>
            <w:tcW w:w="1101" w:type="dxa"/>
          </w:tcPr>
          <w:p w14:paraId="6F527643" w14:textId="77777777" w:rsidR="00B17E5F" w:rsidRPr="00D94F75" w:rsidRDefault="00B17E5F" w:rsidP="00D94F75">
            <w:pPr>
              <w:pStyle w:val="NoSpacing"/>
              <w:rPr>
                <w:rFonts w:eastAsia="Calibri"/>
                <w:sz w:val="22"/>
                <w:szCs w:val="22"/>
                <w:lang w:val="en-GB"/>
              </w:rPr>
            </w:pPr>
            <w:r w:rsidRPr="00D94F75">
              <w:rPr>
                <w:rFonts w:eastAsia="Calibri"/>
                <w:sz w:val="22"/>
                <w:szCs w:val="22"/>
                <w:lang w:val="en-GB"/>
              </w:rPr>
              <w:t>Free Mornings &amp; Nights 12</w:t>
            </w:r>
          </w:p>
        </w:tc>
        <w:tc>
          <w:tcPr>
            <w:tcW w:w="1258" w:type="dxa"/>
          </w:tcPr>
          <w:p w14:paraId="498FD61C" w14:textId="77777777" w:rsidR="00B17E5F" w:rsidRPr="00D94F75" w:rsidRDefault="00B17E5F" w:rsidP="00D94F75">
            <w:pPr>
              <w:pStyle w:val="NoSpacing"/>
              <w:rPr>
                <w:rFonts w:eastAsia="Calibri"/>
                <w:sz w:val="22"/>
                <w:szCs w:val="22"/>
                <w:lang w:val="en-GB"/>
              </w:rPr>
            </w:pPr>
            <w:r w:rsidRPr="00D94F75">
              <w:rPr>
                <w:rFonts w:eastAsia="Calibri"/>
                <w:sz w:val="22"/>
                <w:szCs w:val="22"/>
                <w:lang w:val="en-GB"/>
              </w:rPr>
              <w:t>24.5 (year round)</w:t>
            </w:r>
          </w:p>
        </w:tc>
        <w:tc>
          <w:tcPr>
            <w:tcW w:w="1258" w:type="dxa"/>
          </w:tcPr>
          <w:p w14:paraId="2E15CE0F" w14:textId="77777777" w:rsidR="00B17E5F" w:rsidRPr="00D94F75" w:rsidRDefault="00B17E5F" w:rsidP="00D94F75">
            <w:pPr>
              <w:pStyle w:val="NoSpacing"/>
              <w:rPr>
                <w:rFonts w:eastAsia="Calibri"/>
                <w:sz w:val="22"/>
                <w:szCs w:val="22"/>
                <w:lang w:val="en-GB"/>
              </w:rPr>
            </w:pPr>
            <w:r w:rsidRPr="00D94F75">
              <w:rPr>
                <w:rFonts w:eastAsia="Calibri"/>
                <w:sz w:val="22"/>
                <w:szCs w:val="22"/>
                <w:lang w:val="en-GB"/>
              </w:rPr>
              <w:t>0 (year round)</w:t>
            </w:r>
          </w:p>
        </w:tc>
        <w:tc>
          <w:tcPr>
            <w:tcW w:w="1258" w:type="dxa"/>
          </w:tcPr>
          <w:p w14:paraId="158EDFC8" w14:textId="77777777" w:rsidR="00B17E5F" w:rsidRPr="00D94F75" w:rsidRDefault="00B17E5F" w:rsidP="00D94F75">
            <w:pPr>
              <w:pStyle w:val="NoSpacing"/>
              <w:rPr>
                <w:rFonts w:eastAsia="Calibri"/>
                <w:sz w:val="22"/>
                <w:szCs w:val="22"/>
                <w:lang w:val="en-GB"/>
              </w:rPr>
            </w:pPr>
            <w:r w:rsidRPr="00D94F75">
              <w:rPr>
                <w:rFonts w:eastAsia="Calibri"/>
                <w:sz w:val="22"/>
                <w:szCs w:val="22"/>
                <w:lang w:val="en-GB"/>
              </w:rPr>
              <w:t>EveryDay | EveryNight 12</w:t>
            </w:r>
          </w:p>
        </w:tc>
        <w:tc>
          <w:tcPr>
            <w:tcW w:w="1022" w:type="dxa"/>
          </w:tcPr>
          <w:p w14:paraId="252BB654" w14:textId="77777777" w:rsidR="00B17E5F" w:rsidRPr="00D94F75" w:rsidRDefault="00B17E5F" w:rsidP="00D94F75">
            <w:pPr>
              <w:pStyle w:val="NoSpacing"/>
              <w:rPr>
                <w:rFonts w:eastAsia="Calibri"/>
                <w:sz w:val="22"/>
                <w:szCs w:val="22"/>
                <w:lang w:val="en-GB"/>
              </w:rPr>
            </w:pPr>
            <w:r w:rsidRPr="00D94F75">
              <w:rPr>
                <w:rFonts w:eastAsia="Calibri"/>
                <w:sz w:val="22"/>
                <w:szCs w:val="22"/>
                <w:lang w:val="en-GB"/>
              </w:rPr>
              <w:t>20.3</w:t>
            </w:r>
          </w:p>
        </w:tc>
      </w:tr>
      <w:tr w:rsidR="00B17E5F" w:rsidRPr="00D94F75" w:rsidDel="00215D13" w14:paraId="519C1C8C" w14:textId="77777777" w:rsidTr="00B25AF0">
        <w:trPr>
          <w:trHeight w:val="167"/>
        </w:trPr>
        <w:tc>
          <w:tcPr>
            <w:tcW w:w="1254" w:type="dxa"/>
          </w:tcPr>
          <w:p w14:paraId="7432DE12" w14:textId="77777777" w:rsidR="00B17E5F" w:rsidRPr="00D94F75" w:rsidDel="00215D13" w:rsidRDefault="00B17E5F" w:rsidP="00D94F75">
            <w:pPr>
              <w:pStyle w:val="NoSpacing"/>
              <w:rPr>
                <w:rFonts w:eastAsia="Calibri"/>
                <w:sz w:val="22"/>
                <w:szCs w:val="22"/>
                <w:lang w:val="en-GB"/>
              </w:rPr>
            </w:pPr>
            <w:r w:rsidRPr="00D94F75">
              <w:rPr>
                <w:rFonts w:eastAsia="Calibri"/>
                <w:sz w:val="22"/>
                <w:szCs w:val="22"/>
                <w:lang w:val="en-GB"/>
              </w:rPr>
              <w:t>New York City, New York</w:t>
            </w:r>
          </w:p>
        </w:tc>
        <w:tc>
          <w:tcPr>
            <w:tcW w:w="1101" w:type="dxa"/>
          </w:tcPr>
          <w:p w14:paraId="5E7E4ABA" w14:textId="77777777" w:rsidR="00B17E5F" w:rsidRPr="00D94F75" w:rsidDel="00215D13" w:rsidRDefault="00B17E5F" w:rsidP="00D94F75">
            <w:pPr>
              <w:pStyle w:val="NoSpacing"/>
              <w:rPr>
                <w:rFonts w:eastAsia="Calibri"/>
                <w:sz w:val="22"/>
                <w:szCs w:val="22"/>
                <w:lang w:val="en-GB"/>
              </w:rPr>
            </w:pPr>
            <w:r w:rsidRPr="00D94F75">
              <w:rPr>
                <w:rFonts w:eastAsia="Calibri"/>
                <w:sz w:val="22"/>
                <w:szCs w:val="22"/>
                <w:lang w:val="en-GB"/>
              </w:rPr>
              <w:t>ConEdison</w:t>
            </w:r>
          </w:p>
        </w:tc>
        <w:tc>
          <w:tcPr>
            <w:tcW w:w="1101" w:type="dxa"/>
          </w:tcPr>
          <w:p w14:paraId="2E05BAE1" w14:textId="77777777" w:rsidR="00B17E5F" w:rsidRPr="00D94F75" w:rsidDel="00215D13" w:rsidRDefault="00B17E5F" w:rsidP="00D94F75">
            <w:pPr>
              <w:pStyle w:val="NoSpacing"/>
              <w:rPr>
                <w:rFonts w:eastAsia="Calibri"/>
                <w:sz w:val="22"/>
                <w:szCs w:val="22"/>
                <w:lang w:val="en-GB"/>
              </w:rPr>
            </w:pPr>
            <w:r w:rsidRPr="00D94F75">
              <w:rPr>
                <w:rFonts w:eastAsia="Calibri"/>
                <w:sz w:val="22"/>
                <w:szCs w:val="22"/>
                <w:lang w:val="en-GB"/>
              </w:rPr>
              <w:t>Rate II - Residential and Religious - Voluntary Time-of-Day</w:t>
            </w:r>
          </w:p>
        </w:tc>
        <w:tc>
          <w:tcPr>
            <w:tcW w:w="1258" w:type="dxa"/>
          </w:tcPr>
          <w:p w14:paraId="2CDF2680" w14:textId="77777777" w:rsidR="00B17E5F" w:rsidRPr="00D94F75" w:rsidRDefault="00B17E5F" w:rsidP="00D94F75">
            <w:pPr>
              <w:pStyle w:val="NoSpacing"/>
              <w:rPr>
                <w:rFonts w:eastAsia="Calibri"/>
                <w:sz w:val="22"/>
                <w:szCs w:val="22"/>
                <w:lang w:val="en-GB"/>
              </w:rPr>
            </w:pPr>
            <w:r w:rsidRPr="00D94F75">
              <w:rPr>
                <w:rFonts w:eastAsia="Calibri"/>
                <w:sz w:val="22"/>
                <w:szCs w:val="22"/>
                <w:lang w:val="en-GB"/>
              </w:rPr>
              <w:t>40.1 (summer</w:t>
            </w:r>
            <w:r w:rsidRPr="00D94F75">
              <w:rPr>
                <w:rFonts w:eastAsia="Calibri"/>
                <w:sz w:val="22"/>
                <w:szCs w:val="22"/>
                <w:vertAlign w:val="superscript"/>
                <w:lang w:val="en-GB"/>
              </w:rPr>
              <w:t>1</w:t>
            </w:r>
            <w:r w:rsidRPr="00D94F75">
              <w:rPr>
                <w:rFonts w:eastAsia="Calibri"/>
                <w:sz w:val="22"/>
                <w:szCs w:val="22"/>
                <w:lang w:val="en-GB"/>
              </w:rPr>
              <w:t>)</w:t>
            </w:r>
          </w:p>
          <w:p w14:paraId="07D4D166" w14:textId="77777777" w:rsidR="00B17E5F" w:rsidRPr="00D94F75" w:rsidDel="00215D13" w:rsidRDefault="00B17E5F" w:rsidP="00D94F75">
            <w:pPr>
              <w:pStyle w:val="NoSpacing"/>
              <w:rPr>
                <w:rFonts w:eastAsia="Calibri"/>
                <w:sz w:val="22"/>
                <w:szCs w:val="22"/>
                <w:lang w:val="en-GB"/>
              </w:rPr>
            </w:pPr>
            <w:r w:rsidRPr="00D94F75">
              <w:rPr>
                <w:rFonts w:eastAsia="Calibri"/>
                <w:sz w:val="22"/>
                <w:szCs w:val="22"/>
                <w:lang w:val="en-GB"/>
              </w:rPr>
              <w:t>14.5 (winter</w:t>
            </w:r>
            <w:r w:rsidRPr="00D94F75">
              <w:rPr>
                <w:rFonts w:eastAsia="Calibri"/>
                <w:sz w:val="22"/>
                <w:szCs w:val="22"/>
                <w:vertAlign w:val="superscript"/>
                <w:lang w:val="en-GB"/>
              </w:rPr>
              <w:t>2</w:t>
            </w:r>
            <w:r w:rsidRPr="00D94F75">
              <w:rPr>
                <w:rFonts w:eastAsia="Calibri"/>
                <w:sz w:val="22"/>
                <w:szCs w:val="22"/>
                <w:lang w:val="en-GB"/>
              </w:rPr>
              <w:t>)</w:t>
            </w:r>
          </w:p>
        </w:tc>
        <w:tc>
          <w:tcPr>
            <w:tcW w:w="1258" w:type="dxa"/>
          </w:tcPr>
          <w:p w14:paraId="0A71E1D1" w14:textId="77777777" w:rsidR="00B17E5F" w:rsidRPr="00D94F75" w:rsidRDefault="00B17E5F" w:rsidP="00D94F75">
            <w:pPr>
              <w:pStyle w:val="NoSpacing"/>
              <w:rPr>
                <w:rFonts w:eastAsia="Calibri"/>
                <w:sz w:val="22"/>
                <w:szCs w:val="22"/>
                <w:lang w:val="en-GB"/>
              </w:rPr>
            </w:pPr>
            <w:r w:rsidRPr="00D94F75">
              <w:rPr>
                <w:rFonts w:eastAsia="Calibri"/>
                <w:sz w:val="22"/>
                <w:szCs w:val="22"/>
                <w:lang w:val="en-GB"/>
              </w:rPr>
              <w:t>1.5 (summer</w:t>
            </w:r>
            <w:r w:rsidRPr="00D94F75">
              <w:rPr>
                <w:rFonts w:eastAsia="Calibri"/>
                <w:sz w:val="22"/>
                <w:szCs w:val="22"/>
                <w:vertAlign w:val="superscript"/>
                <w:lang w:val="en-GB"/>
              </w:rPr>
              <w:t>1</w:t>
            </w:r>
            <w:r w:rsidRPr="00D94F75">
              <w:rPr>
                <w:rFonts w:eastAsia="Calibri"/>
                <w:sz w:val="22"/>
                <w:szCs w:val="22"/>
                <w:lang w:val="en-GB"/>
              </w:rPr>
              <w:t>)</w:t>
            </w:r>
          </w:p>
          <w:p w14:paraId="4DF0C566" w14:textId="77777777" w:rsidR="00B17E5F" w:rsidRPr="00D94F75" w:rsidDel="00215D13" w:rsidRDefault="00B17E5F" w:rsidP="00D94F75">
            <w:pPr>
              <w:pStyle w:val="NoSpacing"/>
              <w:rPr>
                <w:rFonts w:eastAsia="Calibri"/>
                <w:sz w:val="22"/>
                <w:szCs w:val="22"/>
                <w:lang w:val="en-GB"/>
              </w:rPr>
            </w:pPr>
            <w:r w:rsidRPr="00D94F75">
              <w:rPr>
                <w:rFonts w:eastAsia="Calibri"/>
                <w:sz w:val="22"/>
                <w:szCs w:val="22"/>
                <w:lang w:val="en-GB"/>
              </w:rPr>
              <w:t>1.5 (winter</w:t>
            </w:r>
            <w:r w:rsidRPr="00D94F75">
              <w:rPr>
                <w:rFonts w:eastAsia="Calibri"/>
                <w:sz w:val="22"/>
                <w:szCs w:val="22"/>
                <w:vertAlign w:val="superscript"/>
                <w:lang w:val="en-GB"/>
              </w:rPr>
              <w:t>2</w:t>
            </w:r>
            <w:r w:rsidRPr="00D94F75">
              <w:rPr>
                <w:rFonts w:eastAsia="Calibri"/>
                <w:sz w:val="22"/>
                <w:szCs w:val="22"/>
                <w:lang w:val="en-GB"/>
              </w:rPr>
              <w:t>)</w:t>
            </w:r>
          </w:p>
        </w:tc>
        <w:tc>
          <w:tcPr>
            <w:tcW w:w="1258" w:type="dxa"/>
          </w:tcPr>
          <w:p w14:paraId="28D1B5EB" w14:textId="77777777" w:rsidR="00B17E5F" w:rsidRPr="00D94F75" w:rsidDel="00215D13" w:rsidRDefault="00B17E5F" w:rsidP="00D94F75">
            <w:pPr>
              <w:pStyle w:val="NoSpacing"/>
              <w:rPr>
                <w:rFonts w:eastAsia="Calibri"/>
                <w:sz w:val="22"/>
                <w:szCs w:val="22"/>
                <w:lang w:val="en-GB"/>
              </w:rPr>
            </w:pPr>
            <w:r w:rsidRPr="00D94F75">
              <w:rPr>
                <w:rFonts w:eastAsia="Calibri"/>
                <w:sz w:val="22"/>
                <w:szCs w:val="22"/>
                <w:lang w:val="en-GB"/>
              </w:rPr>
              <w:t>Rate I - Residential and Religious</w:t>
            </w:r>
          </w:p>
        </w:tc>
        <w:tc>
          <w:tcPr>
            <w:tcW w:w="1022" w:type="dxa"/>
          </w:tcPr>
          <w:p w14:paraId="103CC660" w14:textId="77777777" w:rsidR="00B17E5F" w:rsidRPr="00D94F75" w:rsidRDefault="00B17E5F" w:rsidP="00D94F75">
            <w:pPr>
              <w:pStyle w:val="NoSpacing"/>
              <w:rPr>
                <w:rFonts w:eastAsia="Calibri"/>
                <w:sz w:val="22"/>
                <w:szCs w:val="22"/>
                <w:lang w:val="en-GB"/>
              </w:rPr>
            </w:pPr>
            <w:r w:rsidRPr="00D94F75">
              <w:rPr>
                <w:rFonts w:eastAsia="Calibri"/>
                <w:sz w:val="22"/>
                <w:szCs w:val="22"/>
                <w:lang w:val="en-GB"/>
              </w:rPr>
              <w:t>14.6 (summer</w:t>
            </w:r>
            <w:r w:rsidRPr="00D94F75">
              <w:rPr>
                <w:rFonts w:eastAsia="Calibri"/>
                <w:sz w:val="22"/>
                <w:szCs w:val="22"/>
                <w:vertAlign w:val="superscript"/>
                <w:lang w:val="en-GB"/>
              </w:rPr>
              <w:t>1</w:t>
            </w:r>
            <w:r w:rsidRPr="00D94F75">
              <w:rPr>
                <w:rFonts w:eastAsia="Calibri"/>
                <w:sz w:val="22"/>
                <w:szCs w:val="22"/>
                <w:lang w:val="en-GB"/>
              </w:rPr>
              <w:t>)</w:t>
            </w:r>
          </w:p>
          <w:p w14:paraId="069307BA" w14:textId="77777777" w:rsidR="00B17E5F" w:rsidRPr="00D94F75" w:rsidDel="00215D13" w:rsidRDefault="00B17E5F" w:rsidP="00D94F75">
            <w:pPr>
              <w:pStyle w:val="NoSpacing"/>
              <w:rPr>
                <w:rFonts w:eastAsia="Calibri"/>
                <w:sz w:val="22"/>
                <w:szCs w:val="22"/>
                <w:lang w:val="en-GB"/>
              </w:rPr>
            </w:pPr>
            <w:r w:rsidRPr="00D94F75">
              <w:rPr>
                <w:rFonts w:eastAsia="Calibri"/>
                <w:sz w:val="22"/>
                <w:szCs w:val="22"/>
                <w:lang w:val="en-GB"/>
              </w:rPr>
              <w:t>12.7 (winter</w:t>
            </w:r>
            <w:r w:rsidRPr="00D94F75">
              <w:rPr>
                <w:rFonts w:eastAsia="Calibri"/>
                <w:sz w:val="22"/>
                <w:szCs w:val="22"/>
                <w:vertAlign w:val="superscript"/>
                <w:lang w:val="en-GB"/>
              </w:rPr>
              <w:t>2</w:t>
            </w:r>
            <w:r w:rsidRPr="00D94F75">
              <w:rPr>
                <w:rFonts w:eastAsia="Calibri"/>
                <w:sz w:val="22"/>
                <w:szCs w:val="22"/>
                <w:lang w:val="en-GB"/>
              </w:rPr>
              <w:t>)</w:t>
            </w:r>
          </w:p>
        </w:tc>
      </w:tr>
    </w:tbl>
    <w:p w14:paraId="6D00069E" w14:textId="77777777" w:rsidR="00B17E5F" w:rsidRPr="00322E56" w:rsidRDefault="00B17E5F" w:rsidP="00304C65">
      <w:pPr>
        <w:rPr>
          <w:rFonts w:cs="Times New Roman"/>
          <w:lang w:val="en-GB"/>
        </w:rPr>
      </w:pPr>
    </w:p>
    <w:p w14:paraId="350ABA7C" w14:textId="77777777" w:rsidR="00B17E5F" w:rsidRPr="00322E56" w:rsidRDefault="00B17E5F" w:rsidP="00304C65">
      <w:pPr>
        <w:rPr>
          <w:rFonts w:cs="Times New Roman"/>
          <w:lang w:val="en-GB"/>
        </w:rPr>
      </w:pPr>
    </w:p>
    <w:p w14:paraId="77A0EDDA" w14:textId="77777777" w:rsidR="00B17E5F" w:rsidRPr="00322E56" w:rsidRDefault="00B17E5F" w:rsidP="001772F2">
      <w:pPr>
        <w:rPr>
          <w:rFonts w:cs="Times New Roman"/>
          <w:lang w:val="en-GB"/>
        </w:rPr>
      </w:pPr>
    </w:p>
    <w:p w14:paraId="73D1B6FC" w14:textId="77777777" w:rsidR="00B17E5F" w:rsidRPr="00322E56" w:rsidRDefault="00B17E5F">
      <w:pPr>
        <w:spacing w:line="240" w:lineRule="auto"/>
        <w:rPr>
          <w:rFonts w:cs="Times New Roman"/>
          <w:lang w:val="en-GB"/>
        </w:rPr>
      </w:pPr>
      <w:r w:rsidRPr="00322E56">
        <w:rPr>
          <w:rFonts w:cs="Times New Roman"/>
          <w:lang w:val="en-GB"/>
        </w:rPr>
        <w:br w:type="page"/>
      </w:r>
    </w:p>
    <w:p w14:paraId="302A82D0" w14:textId="37DBD4E5" w:rsidR="00B17E5F" w:rsidRPr="00322E56" w:rsidRDefault="00B17E5F" w:rsidP="00B25AF0">
      <w:pPr>
        <w:ind w:firstLine="0"/>
        <w:rPr>
          <w:rFonts w:cs="Times New Roman"/>
          <w:lang w:val="en-GB"/>
        </w:rPr>
      </w:pPr>
      <w:r w:rsidRPr="00322E56">
        <w:rPr>
          <w:rFonts w:cs="Times New Roman"/>
          <w:lang w:val="en-GB"/>
        </w:rPr>
        <w:lastRenderedPageBreak/>
        <w:t xml:space="preserve">At its full capacity, TES SOC is 0 in primary cooling mode and 1 in primary heating mode. TES SOC is defined as a thermal battery, where 0 refers to the PCM fully frozen (zero usable thermal energy), and 1 indicates that its fully melted (full of thermal energy). </w:t>
      </w:r>
    </w:p>
    <w:p w14:paraId="69E93762" w14:textId="77777777" w:rsidR="00B17E5F" w:rsidRPr="00322E56" w:rsidRDefault="00B17E5F" w:rsidP="002D4A89">
      <w:pPr>
        <w:rPr>
          <w:rFonts w:cs="Times New Roman"/>
          <w:lang w:val="en-GB"/>
        </w:rPr>
      </w:pPr>
      <w:r w:rsidRPr="00322E56">
        <w:rPr>
          <w:rFonts w:cs="Times New Roman"/>
          <w:lang w:val="en-GB"/>
        </w:rPr>
        <w:t>Table 16 explains the SOC in different modes. During discharging cooling mode, the TES acts as a heat sink for the HP, and TES SOC increases, melting the PCM. During discharging heating mode, TES acts as a heat source for the HP, and TES SOC decreases, solidifying the PCM. During the use of TES, if energy storage capacity is reached, the system will default to normal mode operation.</w:t>
      </w:r>
    </w:p>
    <w:p w14:paraId="32FE91EE" w14:textId="77777777" w:rsidR="00B17E5F" w:rsidRPr="00322E56" w:rsidRDefault="00B17E5F" w:rsidP="00E3174F">
      <w:pPr>
        <w:pStyle w:val="Heading3"/>
        <w:rPr>
          <w:rFonts w:cs="Times New Roman"/>
          <w:lang w:val="en-GB"/>
        </w:rPr>
      </w:pPr>
      <w:bookmarkStart w:id="183" w:name="_Toc140399883"/>
      <w:r w:rsidRPr="00322E56">
        <w:rPr>
          <w:rFonts w:cs="Times New Roman"/>
          <w:lang w:val="en-GB"/>
        </w:rPr>
        <w:t>Thermostat Controls</w:t>
      </w:r>
      <w:bookmarkEnd w:id="183"/>
    </w:p>
    <w:p w14:paraId="6B311D71" w14:textId="77777777" w:rsidR="00B17E5F" w:rsidRPr="00322E56" w:rsidRDefault="00B17E5F" w:rsidP="002D4A89">
      <w:pPr>
        <w:rPr>
          <w:rFonts w:cs="Times New Roman"/>
          <w:lang w:val="en-GB"/>
        </w:rPr>
      </w:pPr>
      <w:r w:rsidRPr="00322E56">
        <w:rPr>
          <w:rFonts w:cs="Times New Roman"/>
          <w:lang w:val="en-GB"/>
        </w:rPr>
        <w:t>The thermostat is the core of the model and communicated information between all submodels. It determined which operating mode to use to run the TES system by monitoring the indoor temperature, TES SOC, and on-peak status. Thermostat controls are implemented in two steps. First, depending on the monthly average temperature, the thermostat determined if the building and HP were operating in primary heating mode or primary cooling mode for the given month. If the monthly average ambient temperature was greater than 2°C above indoor set point temperature, the system operated in primary cooling mode for that month. Otherwise, the system defaulted to primary heating mode. This step is only for convenience and does not impact the results. For the main controls to determine TES operating modes, daily values were considered, and indoor temperature is rewritten for each minutely time step.</w:t>
      </w:r>
    </w:p>
    <w:p w14:paraId="56436AEA" w14:textId="77777777" w:rsidR="00B17E5F" w:rsidRPr="00322E56" w:rsidRDefault="00B17E5F" w:rsidP="002D4A89">
      <w:pPr>
        <w:rPr>
          <w:rFonts w:cs="Times New Roman"/>
          <w:lang w:val="en-GB"/>
        </w:rPr>
      </w:pPr>
      <w:r w:rsidRPr="00322E56">
        <w:rPr>
          <w:rFonts w:cs="Times New Roman"/>
          <w:lang w:val="en-GB"/>
        </w:rPr>
        <w:t xml:space="preserve">The building set point temperature and dead band for the primary cooling mode was 23°C ± 0.5°C and 20°C ± 0.5°C for the primary heating mode, which correspond to typical occupant behavior and ASHRAE standards for indoor climate comfort (ASHRAE 55). In the primary cooling mode, the system primed itself to reduce energy only to cool. If the indoor space needed to be heated during this mode, the TES wouldn’t be used, and the system would only use the normal heating mode. The same is true in the primary heating </w:t>
      </w:r>
      <w:r w:rsidRPr="00322E56">
        <w:rPr>
          <w:rFonts w:cs="Times New Roman"/>
          <w:lang w:val="en-GB"/>
        </w:rPr>
        <w:lastRenderedPageBreak/>
        <w:t xml:space="preserve">mode. Within these primary modes, the thermostat determined whether the heat pump or TES should be used for cooling or heating at a given time. </w:t>
      </w:r>
    </w:p>
    <w:p w14:paraId="73697E61" w14:textId="77777777" w:rsidR="00B17E5F" w:rsidRDefault="00B17E5F" w:rsidP="002D4A89">
      <w:pPr>
        <w:rPr>
          <w:rFonts w:cs="Times New Roman"/>
          <w:lang w:val="en-GB"/>
        </w:rPr>
      </w:pPr>
      <w:r w:rsidRPr="00322E56">
        <w:rPr>
          <w:rFonts w:cs="Times New Roman"/>
          <w:lang w:val="en-GB"/>
        </w:rPr>
        <w:t>As shown in the control’s decision tree in Figure 36, if cooling or heating was not needed during off-peak time, and the TES SOC &lt; 1, charging mode was activated. During peak time, TES was discharged until SOC reached 0.</w:t>
      </w:r>
    </w:p>
    <w:p w14:paraId="5CE5863A" w14:textId="77777777" w:rsidR="00B25AF0" w:rsidRDefault="00B25AF0" w:rsidP="00B25AF0">
      <w:pPr>
        <w:rPr>
          <w:rFonts w:cs="Times New Roman"/>
          <w:lang w:val="en-GB"/>
        </w:rPr>
      </w:pPr>
      <w:r w:rsidRPr="00322E56">
        <w:rPr>
          <w:rFonts w:cs="Times New Roman"/>
          <w:lang w:val="en-GB"/>
        </w:rPr>
        <w:t xml:space="preserve">Table 16 shows the operating mode decisions based on indoor temperature, SOC and peak time (TOU) determination. Primary modes (column 1), as determined by monthly average temperature, had controls to determine operating modes (column 5). </w:t>
      </w:r>
      <w:r w:rsidRPr="00322E56">
        <w:rPr>
          <w:rFonts w:cs="Times New Roman"/>
          <w:i/>
          <w:iCs/>
          <w:lang w:val="en-GB"/>
        </w:rPr>
        <w:t>T</w:t>
      </w:r>
      <w:r w:rsidRPr="00322E56">
        <w:rPr>
          <w:rFonts w:cs="Times New Roman"/>
          <w:vertAlign w:val="subscript"/>
          <w:lang w:val="en-GB"/>
        </w:rPr>
        <w:t>indoor</w:t>
      </w:r>
      <w:r w:rsidRPr="00322E56">
        <w:rPr>
          <w:rFonts w:cs="Times New Roman"/>
          <w:lang w:val="en-GB"/>
        </w:rPr>
        <w:t xml:space="preserve"> and TOU were checked at each time step, but SOC was only checked for TES modes after the first two conditions were met. This decision was the first decision made in each time step, and the appropriate information was sent to each submodel. </w:t>
      </w:r>
    </w:p>
    <w:p w14:paraId="434D6E55" w14:textId="77777777" w:rsidR="00B25AF0" w:rsidRPr="00322E56" w:rsidRDefault="00B25AF0" w:rsidP="00B25AF0">
      <w:pPr>
        <w:pStyle w:val="Heading3"/>
        <w:rPr>
          <w:rFonts w:cs="Times New Roman"/>
          <w:lang w:val="en-GB"/>
        </w:rPr>
      </w:pPr>
      <w:bookmarkStart w:id="184" w:name="_Toc140399884"/>
      <w:r w:rsidRPr="00322E56">
        <w:rPr>
          <w:rFonts w:cs="Times New Roman"/>
          <w:lang w:val="en-GB"/>
        </w:rPr>
        <w:t>Heat Pump Model</w:t>
      </w:r>
      <w:bookmarkEnd w:id="184"/>
    </w:p>
    <w:p w14:paraId="6BCFC6B3" w14:textId="77777777" w:rsidR="00B25AF0" w:rsidRDefault="00B25AF0" w:rsidP="00B25AF0">
      <w:pPr>
        <w:rPr>
          <w:rFonts w:cs="Times New Roman"/>
          <w:lang w:val="en-GB"/>
        </w:rPr>
      </w:pPr>
      <w:r w:rsidRPr="00322E56">
        <w:rPr>
          <w:rFonts w:cs="Times New Roman"/>
          <w:lang w:val="en-GB"/>
        </w:rPr>
        <w:t>The R410A refrigerant HP was modeled first in Engineering Equation Solver (EES) for an array of evaporator and condenser temperatures. The EES model was the same as that in previous work [14]. HP electrical work and heat loads</w:t>
      </w:r>
      <w:r w:rsidRPr="00322E56" w:rsidDel="00D615C7">
        <w:rPr>
          <w:rFonts w:cs="Times New Roman"/>
          <w:lang w:val="en-GB"/>
        </w:rPr>
        <w:t xml:space="preserve"> </w:t>
      </w:r>
      <w:r w:rsidRPr="00322E56">
        <w:rPr>
          <w:rFonts w:cs="Times New Roman"/>
          <w:lang w:val="en-GB"/>
        </w:rPr>
        <w:t>were calculated from the EES model and fit to the following equations.</w:t>
      </w:r>
    </w:p>
    <w:p w14:paraId="483CF848" w14:textId="03D3B4E7" w:rsidR="00B25AF0" w:rsidRPr="00322E56" w:rsidRDefault="00B25AF0" w:rsidP="00B25AF0">
      <w:pPr>
        <w:rPr>
          <w:rFonts w:cs="Times New Roman"/>
          <w:lang w:val="en-GB"/>
        </w:rPr>
      </w:pPr>
      <w:r w:rsidRPr="00322E56">
        <w:rPr>
          <w:rFonts w:cs="Times New Roman"/>
          <w:lang w:val="en-GB"/>
        </w:rPr>
        <w:br/>
      </w:r>
      <m:oMathPara>
        <m:oMath>
          <m:eqArr>
            <m:eqArrPr>
              <m:maxDist m:val="1"/>
              <m:ctrlPr>
                <w:rPr>
                  <w:rFonts w:ascii="Cambria Math" w:hAnsi="Cambria Math" w:cs="Times New Roman"/>
                  <w:i/>
                  <w:lang w:val="en-GB"/>
                </w:rPr>
              </m:ctrlPr>
            </m:eqArrPr>
            <m:e>
              <m:sSub>
                <m:sSubPr>
                  <m:ctrlPr>
                    <w:rPr>
                      <w:rFonts w:ascii="Cambria Math" w:hAnsi="Cambria Math" w:cs="Times New Roman"/>
                      <w:i/>
                      <w:lang w:val="en-GB"/>
                    </w:rPr>
                  </m:ctrlPr>
                </m:sSubPr>
                <m:e>
                  <m:r>
                    <w:rPr>
                      <w:rFonts w:ascii="Cambria Math" w:hAnsi="Cambria Math" w:cs="Times New Roman"/>
                      <w:lang w:val="en-GB"/>
                    </w:rPr>
                    <m:t>Q</m:t>
                  </m:r>
                </m:e>
                <m:sub>
                  <m:r>
                    <m:rPr>
                      <m:sty m:val="p"/>
                    </m:rPr>
                    <w:rPr>
                      <w:rFonts w:ascii="Cambria Math" w:hAnsi="Cambria Math" w:cs="Times New Roman"/>
                      <w:lang w:val="en-GB"/>
                    </w:rPr>
                    <m:t>hc</m:t>
                  </m:r>
                </m:sub>
              </m:sSub>
              <m:r>
                <w:rPr>
                  <w:rFonts w:ascii="Cambria Math" w:hAnsi="Cambria Math" w:cs="Times New Roman"/>
                  <w:lang w:val="en-GB"/>
                </w:rPr>
                <m:t>=a</m:t>
              </m:r>
              <m:d>
                <m:dPr>
                  <m:ctrlPr>
                    <w:rPr>
                      <w:rFonts w:ascii="Cambria Math" w:hAnsi="Cambria Math" w:cs="Times New Roman"/>
                      <w:i/>
                      <w:lang w:val="en-GB"/>
                    </w:rPr>
                  </m:ctrlPr>
                </m:dPr>
                <m:e>
                  <m:sSub>
                    <m:sSubPr>
                      <m:ctrlPr>
                        <w:rPr>
                          <w:rFonts w:ascii="Cambria Math" w:hAnsi="Cambria Math" w:cs="Times New Roman"/>
                          <w:i/>
                          <w:lang w:val="en-GB"/>
                        </w:rPr>
                      </m:ctrlPr>
                    </m:sSubPr>
                    <m:e>
                      <m:r>
                        <w:rPr>
                          <w:rFonts w:ascii="Cambria Math" w:hAnsi="Cambria Math" w:cs="Times New Roman"/>
                          <w:lang w:val="en-GB"/>
                        </w:rPr>
                        <m:t>T</m:t>
                      </m:r>
                    </m:e>
                    <m:sub>
                      <m:r>
                        <m:rPr>
                          <m:sty m:val="p"/>
                        </m:rPr>
                        <w:rPr>
                          <w:rFonts w:ascii="Cambria Math" w:hAnsi="Cambria Math" w:cs="Times New Roman"/>
                          <w:lang w:val="en-GB"/>
                        </w:rPr>
                        <m:t>evap</m:t>
                      </m:r>
                    </m:sub>
                  </m:sSub>
                </m:e>
              </m:d>
              <m:r>
                <w:rPr>
                  <w:rFonts w:ascii="Cambria Math" w:hAnsi="Cambria Math" w:cs="Times New Roman"/>
                  <w:lang w:val="en-GB"/>
                </w:rPr>
                <m:t>×b×c</m:t>
              </m:r>
              <m:d>
                <m:dPr>
                  <m:ctrlPr>
                    <w:rPr>
                      <w:rFonts w:ascii="Cambria Math" w:hAnsi="Cambria Math" w:cs="Times New Roman"/>
                      <w:i/>
                      <w:lang w:val="en-GB"/>
                    </w:rPr>
                  </m:ctrlPr>
                </m:dPr>
                <m:e>
                  <m:sSub>
                    <m:sSubPr>
                      <m:ctrlPr>
                        <w:rPr>
                          <w:rFonts w:ascii="Cambria Math" w:hAnsi="Cambria Math" w:cs="Times New Roman"/>
                          <w:i/>
                          <w:lang w:val="en-GB"/>
                        </w:rPr>
                      </m:ctrlPr>
                    </m:sSubPr>
                    <m:e>
                      <m:r>
                        <w:rPr>
                          <w:rFonts w:ascii="Cambria Math" w:hAnsi="Cambria Math" w:cs="Times New Roman"/>
                          <w:lang w:val="en-GB"/>
                        </w:rPr>
                        <m:t>T</m:t>
                      </m:r>
                    </m:e>
                    <m:sub>
                      <m:r>
                        <m:rPr>
                          <m:sty m:val="p"/>
                        </m:rPr>
                        <w:rPr>
                          <w:rFonts w:ascii="Cambria Math" w:hAnsi="Cambria Math" w:cs="Times New Roman"/>
                          <w:lang w:val="en-GB"/>
                        </w:rPr>
                        <m:t>evap</m:t>
                      </m:r>
                    </m:sub>
                  </m:sSub>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T</m:t>
                      </m:r>
                    </m:e>
                    <m:sub>
                      <m:r>
                        <m:rPr>
                          <m:sty m:val="p"/>
                        </m:rPr>
                        <w:rPr>
                          <w:rFonts w:ascii="Cambria Math" w:hAnsi="Cambria Math" w:cs="Times New Roman"/>
                          <w:lang w:val="en-GB"/>
                        </w:rPr>
                        <m:t>cond</m:t>
                      </m:r>
                    </m:sub>
                  </m:sSub>
                </m:e>
              </m:d>
              <m:r>
                <w:rPr>
                  <w:rFonts w:ascii="Cambria Math" w:hAnsi="Cambria Math" w:cs="Times New Roman"/>
                  <w:lang w:val="en-GB"/>
                </w:rPr>
                <m:t>#</m:t>
              </m:r>
              <m:d>
                <m:dPr>
                  <m:ctrlPr>
                    <w:rPr>
                      <w:rFonts w:ascii="Cambria Math" w:hAnsi="Cambria Math" w:cs="Times New Roman"/>
                      <w:i/>
                      <w:lang w:val="en-GB"/>
                    </w:rPr>
                  </m:ctrlPr>
                </m:dPr>
                <m:e>
                  <m:r>
                    <w:rPr>
                      <w:rFonts w:ascii="Cambria Math" w:hAnsi="Cambria Math" w:cs="Times New Roman"/>
                      <w:lang w:val="en-GB"/>
                    </w:rPr>
                    <m:t>4</m:t>
                  </m:r>
                </m:e>
              </m:d>
            </m:e>
          </m:eqArr>
        </m:oMath>
      </m:oMathPara>
    </w:p>
    <w:p w14:paraId="37F1F74F" w14:textId="3EDA9E5C" w:rsidR="00B25AF0" w:rsidRPr="00322E56" w:rsidRDefault="00B25AF0" w:rsidP="00B25AF0">
      <w:pPr>
        <w:rPr>
          <w:rFonts w:cs="Times New Roman"/>
          <w:lang w:val="en-GB"/>
        </w:rPr>
      </w:pPr>
      <w:r w:rsidRPr="00322E56">
        <w:rPr>
          <w:rFonts w:cs="Times New Roman"/>
          <w:lang w:val="en-GB"/>
        </w:rPr>
        <w:t xml:space="preserve">where the parameter </w:t>
      </w:r>
      <w:r w:rsidRPr="00322E56">
        <w:rPr>
          <w:rFonts w:cs="Times New Roman"/>
          <w:i/>
          <w:iCs/>
          <w:lang w:val="en-GB"/>
        </w:rPr>
        <w:t>a</w:t>
      </w:r>
      <w:r w:rsidRPr="00322E56">
        <w:rPr>
          <w:rFonts w:cs="Times New Roman"/>
          <w:lang w:val="en-GB"/>
        </w:rPr>
        <w:t xml:space="preserve"> curve fits the density of saturated R410A vapor at the compressor suction</w:t>
      </w:r>
      <w:r>
        <w:rPr>
          <w:rFonts w:cs="Times New Roman"/>
          <w:lang w:val="en-GB"/>
        </w:rPr>
        <w:t>.</w:t>
      </w:r>
    </w:p>
    <w:p w14:paraId="58A96B16" w14:textId="77777777" w:rsidR="00B25AF0" w:rsidRPr="00322E56" w:rsidRDefault="00000000" w:rsidP="00B25AF0">
      <w:pPr>
        <w:rPr>
          <w:rFonts w:cs="Times New Roman"/>
          <w:lang w:val="en-GB"/>
        </w:rPr>
      </w:pPr>
      <m:oMathPara>
        <m:oMath>
          <m:eqArr>
            <m:eqArrPr>
              <m:maxDist m:val="1"/>
              <m:ctrlPr>
                <w:rPr>
                  <w:rFonts w:ascii="Cambria Math" w:hAnsi="Cambria Math" w:cs="Times New Roman"/>
                  <w:i/>
                  <w:lang w:val="en-GB"/>
                </w:rPr>
              </m:ctrlPr>
            </m:eqArrPr>
            <m:e>
              <m:r>
                <w:rPr>
                  <w:rFonts w:ascii="Cambria Math" w:hAnsi="Cambria Math" w:cs="Times New Roman"/>
                  <w:lang w:val="en-GB"/>
                </w:rPr>
                <m:t>a</m:t>
              </m:r>
              <m:d>
                <m:dPr>
                  <m:ctrlPr>
                    <w:rPr>
                      <w:rFonts w:ascii="Cambria Math" w:hAnsi="Cambria Math" w:cs="Times New Roman"/>
                      <w:i/>
                      <w:lang w:val="en-GB"/>
                    </w:rPr>
                  </m:ctrlPr>
                </m:dPr>
                <m:e>
                  <m:sSub>
                    <m:sSubPr>
                      <m:ctrlPr>
                        <w:rPr>
                          <w:rFonts w:ascii="Cambria Math" w:hAnsi="Cambria Math" w:cs="Times New Roman"/>
                          <w:i/>
                          <w:lang w:val="en-GB"/>
                        </w:rPr>
                      </m:ctrlPr>
                    </m:sSubPr>
                    <m:e>
                      <m:r>
                        <w:rPr>
                          <w:rFonts w:ascii="Cambria Math" w:hAnsi="Cambria Math" w:cs="Times New Roman"/>
                          <w:lang w:val="en-GB"/>
                        </w:rPr>
                        <m:t>T</m:t>
                      </m:r>
                    </m:e>
                    <m:sub>
                      <m:r>
                        <m:rPr>
                          <m:sty m:val="p"/>
                        </m:rPr>
                        <w:rPr>
                          <w:rFonts w:ascii="Cambria Math" w:hAnsi="Cambria Math" w:cs="Times New Roman"/>
                          <w:lang w:val="en-GB"/>
                        </w:rPr>
                        <m:t>evap</m:t>
                      </m:r>
                    </m:sub>
                  </m:sSub>
                </m:e>
              </m:d>
              <m:r>
                <w:rPr>
                  <w:rFonts w:ascii="Cambria Math" w:hAnsi="Cambria Math" w:cs="Times New Roman"/>
                  <w:lang w:val="en-GB"/>
                </w:rPr>
                <m:t>=(30.5571378+(1.02160466×</m:t>
              </m:r>
              <m:sSub>
                <m:sSubPr>
                  <m:ctrlPr>
                    <w:rPr>
                      <w:rFonts w:ascii="Cambria Math" w:hAnsi="Cambria Math" w:cs="Times New Roman"/>
                      <w:i/>
                      <w:lang w:val="en-GB"/>
                    </w:rPr>
                  </m:ctrlPr>
                </m:sSubPr>
                <m:e>
                  <m:r>
                    <w:rPr>
                      <w:rFonts w:ascii="Cambria Math" w:hAnsi="Cambria Math" w:cs="Times New Roman"/>
                      <w:lang w:val="en-GB"/>
                    </w:rPr>
                    <m:t>T</m:t>
                  </m:r>
                </m:e>
                <m:sub>
                  <m:r>
                    <m:rPr>
                      <m:sty m:val="p"/>
                    </m:rPr>
                    <w:rPr>
                      <w:rFonts w:ascii="Cambria Math" w:hAnsi="Cambria Math" w:cs="Times New Roman"/>
                      <w:lang w:val="en-GB"/>
                    </w:rPr>
                    <m:t>evap</m:t>
                  </m:r>
                </m:sub>
              </m:sSub>
              <m:r>
                <w:rPr>
                  <w:rFonts w:ascii="Cambria Math" w:hAnsi="Cambria Math" w:cs="Times New Roman"/>
                  <w:lang w:val="en-GB"/>
                </w:rPr>
                <m:t>)+(0.0138446344×</m:t>
              </m:r>
              <m:sSubSup>
                <m:sSubSupPr>
                  <m:ctrlPr>
                    <w:rPr>
                      <w:rFonts w:ascii="Cambria Math" w:hAnsi="Cambria Math" w:cs="Times New Roman"/>
                      <w:iCs/>
                      <w:lang w:val="en-GB"/>
                    </w:rPr>
                  </m:ctrlPr>
                </m:sSubSupPr>
                <m:e>
                  <m:r>
                    <w:rPr>
                      <w:rFonts w:ascii="Cambria Math" w:hAnsi="Cambria Math" w:cs="Times New Roman"/>
                      <w:lang w:val="en-GB"/>
                    </w:rPr>
                    <m:t>T</m:t>
                  </m:r>
                </m:e>
                <m:sub>
                  <m:r>
                    <m:rPr>
                      <m:sty m:val="p"/>
                    </m:rPr>
                    <w:rPr>
                      <w:rFonts w:ascii="Cambria Math" w:hAnsi="Cambria Math" w:cs="Times New Roman"/>
                      <w:lang w:val="en-GB"/>
                    </w:rPr>
                    <m:t>evap</m:t>
                  </m:r>
                </m:sub>
                <m:sup>
                  <m:r>
                    <m:rPr>
                      <m:sty m:val="p"/>
                    </m:rPr>
                    <w:rPr>
                      <w:rFonts w:ascii="Cambria Math" w:hAnsi="Cambria Math" w:cs="Times New Roman"/>
                      <w:lang w:val="en-GB"/>
                    </w:rPr>
                    <m:t>2</m:t>
                  </m:r>
                </m:sup>
              </m:sSubSup>
              <m:r>
                <w:rPr>
                  <w:rFonts w:ascii="Cambria Math" w:hAnsi="Cambria Math" w:cs="Times New Roman"/>
                  <w:lang w:val="en-GB"/>
                </w:rPr>
                <m:t>))#</m:t>
              </m:r>
              <m:d>
                <m:dPr>
                  <m:ctrlPr>
                    <w:rPr>
                      <w:rFonts w:ascii="Cambria Math" w:hAnsi="Cambria Math" w:cs="Times New Roman"/>
                      <w:i/>
                      <w:lang w:val="en-GB"/>
                    </w:rPr>
                  </m:ctrlPr>
                </m:dPr>
                <m:e>
                  <m:r>
                    <w:rPr>
                      <w:rFonts w:ascii="Cambria Math" w:hAnsi="Cambria Math" w:cs="Times New Roman"/>
                      <w:lang w:val="en-GB"/>
                    </w:rPr>
                    <m:t>5</m:t>
                  </m:r>
                </m:e>
              </m:d>
            </m:e>
          </m:eqArr>
        </m:oMath>
      </m:oMathPara>
    </w:p>
    <w:p w14:paraId="767E1F94" w14:textId="77777777" w:rsidR="00B25AF0" w:rsidRDefault="00B25AF0" w:rsidP="00B25AF0">
      <w:pPr>
        <w:rPr>
          <w:rFonts w:cs="Times New Roman"/>
          <w:lang w:val="en-GB"/>
        </w:rPr>
      </w:pPr>
      <w:r w:rsidRPr="00322E56">
        <w:rPr>
          <w:rFonts w:cs="Times New Roman"/>
          <w:lang w:val="en-GB"/>
        </w:rPr>
        <w:t xml:space="preserve">Parameter </w:t>
      </w:r>
      <w:r w:rsidRPr="00322E56">
        <w:rPr>
          <w:rFonts w:cs="Times New Roman"/>
          <w:i/>
          <w:iCs/>
          <w:lang w:val="en-GB"/>
        </w:rPr>
        <w:t>b</w:t>
      </w:r>
      <w:r w:rsidRPr="00322E56">
        <w:rPr>
          <w:rFonts w:cs="Times New Roman"/>
          <w:lang w:val="en-GB"/>
        </w:rPr>
        <w:t xml:space="preserve"> normalizes the operation of the HP such that 7.5 kW of cooling is achieved with </w:t>
      </w:r>
      <w:r w:rsidRPr="00322E56">
        <w:rPr>
          <w:rFonts w:cs="Times New Roman"/>
          <w:i/>
          <w:iCs/>
          <w:lang w:val="en-GB"/>
        </w:rPr>
        <w:t>T</w:t>
      </w:r>
      <w:r w:rsidRPr="00322E56">
        <w:rPr>
          <w:rFonts w:cs="Times New Roman"/>
          <w:vertAlign w:val="subscript"/>
          <w:lang w:val="en-GB"/>
        </w:rPr>
        <w:t>evap</w:t>
      </w:r>
      <w:r w:rsidRPr="00322E56">
        <w:rPr>
          <w:rFonts w:cs="Times New Roman"/>
          <w:lang w:val="en-GB"/>
        </w:rPr>
        <w:t xml:space="preserve"> = 0°C and </w:t>
      </w:r>
      <w:r w:rsidRPr="00322E56">
        <w:rPr>
          <w:rFonts w:cs="Times New Roman"/>
          <w:i/>
          <w:iCs/>
          <w:lang w:val="en-GB"/>
        </w:rPr>
        <w:t>T</w:t>
      </w:r>
      <w:r w:rsidRPr="00322E56">
        <w:rPr>
          <w:rFonts w:cs="Times New Roman"/>
          <w:vertAlign w:val="subscript"/>
          <w:lang w:val="en-GB"/>
        </w:rPr>
        <w:t>cond</w:t>
      </w:r>
      <w:r w:rsidRPr="00322E56">
        <w:rPr>
          <w:rFonts w:cs="Times New Roman"/>
          <w:lang w:val="en-GB"/>
        </w:rPr>
        <w:t xml:space="preserve"> = 35°C. </w:t>
      </w:r>
      <w:r>
        <w:rPr>
          <w:rFonts w:cs="Times New Roman"/>
          <w:lang w:val="en-GB"/>
        </w:rPr>
        <w:t xml:space="preserve"> </w:t>
      </w:r>
    </w:p>
    <w:p w14:paraId="268144E6" w14:textId="77777777" w:rsidR="00B25AF0" w:rsidRPr="00322E56" w:rsidRDefault="00B25AF0" w:rsidP="00B25AF0">
      <w:pPr>
        <w:rPr>
          <w:rFonts w:cs="Times New Roman"/>
          <w:lang w:val="en-GB"/>
        </w:rPr>
      </w:pPr>
    </w:p>
    <w:p w14:paraId="3122343E" w14:textId="63FA0464" w:rsidR="00B17E5F" w:rsidRPr="00322E56" w:rsidRDefault="00B17E5F" w:rsidP="00B25AF0">
      <w:pPr>
        <w:spacing w:line="240" w:lineRule="auto"/>
        <w:ind w:firstLine="0"/>
        <w:rPr>
          <w:rFonts w:cs="Times New Roman"/>
          <w:lang w:val="en-GB"/>
        </w:rPr>
      </w:pPr>
    </w:p>
    <w:p w14:paraId="083B02AC" w14:textId="77777777" w:rsidR="00B17E5F" w:rsidRPr="00322E56" w:rsidRDefault="00B17E5F" w:rsidP="00D94F75">
      <w:pPr>
        <w:keepNext/>
        <w:ind w:firstLine="0"/>
        <w:jc w:val="center"/>
        <w:rPr>
          <w:rFonts w:cs="Times New Roman"/>
        </w:rPr>
      </w:pPr>
      <w:r w:rsidRPr="00322E56">
        <w:rPr>
          <w:rFonts w:cs="Times New Roman"/>
          <w:noProof/>
          <w:lang w:val="en-GB"/>
        </w:rPr>
        <w:lastRenderedPageBreak/>
        <w:drawing>
          <wp:inline distT="0" distB="0" distL="0" distR="0" wp14:anchorId="31DC2801" wp14:editId="65F78E7F">
            <wp:extent cx="5335387" cy="6904653"/>
            <wp:effectExtent l="0" t="0" r="0" b="0"/>
            <wp:docPr id="21" name="Picture 2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pic:nvPicPr>
                  <pic:blipFill>
                    <a:blip r:embed="rId67">
                      <a:extLst>
                        <a:ext uri="{28A0092B-C50C-407E-A947-70E740481C1C}">
                          <a14:useLocalDpi xmlns:a14="http://schemas.microsoft.com/office/drawing/2010/main" val="0"/>
                        </a:ext>
                      </a:extLst>
                    </a:blip>
                    <a:stretch>
                      <a:fillRect/>
                    </a:stretch>
                  </pic:blipFill>
                  <pic:spPr>
                    <a:xfrm>
                      <a:off x="0" y="0"/>
                      <a:ext cx="5341002" cy="6911919"/>
                    </a:xfrm>
                    <a:prstGeom prst="rect">
                      <a:avLst/>
                    </a:prstGeom>
                  </pic:spPr>
                </pic:pic>
              </a:graphicData>
            </a:graphic>
          </wp:inline>
        </w:drawing>
      </w:r>
    </w:p>
    <w:p w14:paraId="63DC3E01" w14:textId="65261A18" w:rsidR="00B17E5F" w:rsidRPr="00B25AF0" w:rsidRDefault="00B17E5F" w:rsidP="00B25AF0">
      <w:pPr>
        <w:pStyle w:val="Caption"/>
        <w:jc w:val="center"/>
        <w:rPr>
          <w:rFonts w:cs="Times New Roman"/>
        </w:rPr>
      </w:pPr>
      <w:bookmarkStart w:id="185" w:name="_Toc140403902"/>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36</w:t>
      </w:r>
      <w:r w:rsidRPr="00322E56">
        <w:rPr>
          <w:rFonts w:cs="Times New Roman"/>
        </w:rPr>
        <w:fldChar w:fldCharType="end"/>
      </w:r>
      <w:r w:rsidRPr="00322E56">
        <w:rPr>
          <w:rFonts w:cs="Times New Roman"/>
        </w:rPr>
        <w:t>: Controls decision tree.</w:t>
      </w:r>
      <w:bookmarkEnd w:id="185"/>
    </w:p>
    <w:p w14:paraId="13439D95" w14:textId="74E58625" w:rsidR="00B17E5F" w:rsidRPr="00322E56" w:rsidRDefault="00B17E5F" w:rsidP="00050E36">
      <w:pPr>
        <w:pStyle w:val="Caption"/>
        <w:jc w:val="center"/>
        <w:rPr>
          <w:rFonts w:cs="Times New Roman"/>
        </w:rPr>
      </w:pPr>
      <w:bookmarkStart w:id="186" w:name="_Toc140399956"/>
      <w:r w:rsidRPr="00322E56">
        <w:rPr>
          <w:rFonts w:cs="Times New Roman"/>
        </w:rPr>
        <w:lastRenderedPageBreak/>
        <w:t xml:space="preserve">Table </w:t>
      </w:r>
      <w:r w:rsidRPr="00322E56">
        <w:rPr>
          <w:rFonts w:cs="Times New Roman"/>
        </w:rPr>
        <w:fldChar w:fldCharType="begin"/>
      </w:r>
      <w:r w:rsidRPr="00322E56">
        <w:rPr>
          <w:rFonts w:cs="Times New Roman"/>
        </w:rPr>
        <w:instrText xml:space="preserve"> SEQ Table \* ARABIC </w:instrText>
      </w:r>
      <w:r w:rsidRPr="00322E56">
        <w:rPr>
          <w:rFonts w:cs="Times New Roman"/>
        </w:rPr>
        <w:fldChar w:fldCharType="separate"/>
      </w:r>
      <w:r w:rsidR="00FC25C0">
        <w:rPr>
          <w:rFonts w:cs="Times New Roman"/>
          <w:noProof/>
        </w:rPr>
        <w:t>16</w:t>
      </w:r>
      <w:r w:rsidRPr="00322E56">
        <w:rPr>
          <w:rFonts w:cs="Times New Roman"/>
        </w:rPr>
        <w:fldChar w:fldCharType="end"/>
      </w:r>
      <w:r w:rsidRPr="00322E56">
        <w:rPr>
          <w:rFonts w:cs="Times New Roman"/>
        </w:rPr>
        <w:t>: Operating mode examples</w:t>
      </w:r>
      <w:bookmarkEnd w:id="186"/>
    </w:p>
    <w:tbl>
      <w:tblPr>
        <w:tblStyle w:val="TableGrid"/>
        <w:tblW w:w="8548" w:type="dxa"/>
        <w:tblLook w:val="04A0" w:firstRow="1" w:lastRow="0" w:firstColumn="1" w:lastColumn="0" w:noHBand="0" w:noVBand="1"/>
      </w:tblPr>
      <w:tblGrid>
        <w:gridCol w:w="1557"/>
        <w:gridCol w:w="2138"/>
        <w:gridCol w:w="1232"/>
        <w:gridCol w:w="1565"/>
        <w:gridCol w:w="2056"/>
      </w:tblGrid>
      <w:tr w:rsidR="00B17E5F" w:rsidRPr="00322E56" w14:paraId="59FA4647" w14:textId="77777777" w:rsidTr="001D2790">
        <w:trPr>
          <w:trHeight w:val="255"/>
        </w:trPr>
        <w:tc>
          <w:tcPr>
            <w:tcW w:w="1557" w:type="dxa"/>
            <w:vMerge w:val="restart"/>
          </w:tcPr>
          <w:p w14:paraId="24012237" w14:textId="77777777" w:rsidR="00B17E5F" w:rsidRPr="00322E56" w:rsidRDefault="00B17E5F" w:rsidP="00103BA6">
            <w:pPr>
              <w:pStyle w:val="MDPI42tablebody"/>
              <w:jc w:val="left"/>
              <w:rPr>
                <w:rFonts w:ascii="Times New Roman" w:hAnsi="Times New Roman"/>
                <w:b/>
                <w:bCs/>
                <w:sz w:val="22"/>
                <w:szCs w:val="22"/>
                <w:lang w:val="en-GB"/>
              </w:rPr>
            </w:pPr>
            <w:r w:rsidRPr="00322E56">
              <w:rPr>
                <w:rFonts w:ascii="Times New Roman" w:hAnsi="Times New Roman"/>
                <w:b/>
                <w:bCs/>
                <w:sz w:val="22"/>
                <w:szCs w:val="22"/>
                <w:lang w:val="en-GB"/>
              </w:rPr>
              <w:t>Primary Mode</w:t>
            </w:r>
          </w:p>
        </w:tc>
        <w:tc>
          <w:tcPr>
            <w:tcW w:w="4935" w:type="dxa"/>
            <w:gridSpan w:val="3"/>
          </w:tcPr>
          <w:p w14:paraId="5A8A5D96" w14:textId="77777777" w:rsidR="00B17E5F" w:rsidRPr="00322E56" w:rsidRDefault="00B17E5F" w:rsidP="00103BA6">
            <w:pPr>
              <w:pStyle w:val="MDPI42tablebody"/>
              <w:jc w:val="left"/>
              <w:rPr>
                <w:rFonts w:ascii="Times New Roman" w:hAnsi="Times New Roman"/>
                <w:b/>
                <w:bCs/>
                <w:sz w:val="22"/>
                <w:szCs w:val="22"/>
                <w:lang w:val="en-GB"/>
              </w:rPr>
            </w:pPr>
            <w:r w:rsidRPr="00322E56">
              <w:rPr>
                <w:rFonts w:ascii="Times New Roman" w:hAnsi="Times New Roman"/>
                <w:b/>
                <w:bCs/>
                <w:sz w:val="22"/>
                <w:szCs w:val="22"/>
                <w:lang w:val="en-GB"/>
              </w:rPr>
              <w:t>Conditions to satisfy for operating mode</w:t>
            </w:r>
          </w:p>
        </w:tc>
        <w:tc>
          <w:tcPr>
            <w:tcW w:w="2056" w:type="dxa"/>
            <w:vMerge w:val="restart"/>
          </w:tcPr>
          <w:p w14:paraId="093539E2" w14:textId="77777777" w:rsidR="00B17E5F" w:rsidRPr="00322E56" w:rsidRDefault="00B17E5F" w:rsidP="00103BA6">
            <w:pPr>
              <w:pStyle w:val="MDPI42tablebody"/>
              <w:jc w:val="left"/>
              <w:rPr>
                <w:rFonts w:ascii="Times New Roman" w:hAnsi="Times New Roman"/>
                <w:b/>
                <w:bCs/>
                <w:sz w:val="22"/>
                <w:szCs w:val="22"/>
                <w:lang w:val="en-GB"/>
              </w:rPr>
            </w:pPr>
            <w:r w:rsidRPr="00322E56">
              <w:rPr>
                <w:rFonts w:ascii="Times New Roman" w:hAnsi="Times New Roman"/>
                <w:b/>
                <w:bCs/>
                <w:sz w:val="22"/>
                <w:szCs w:val="22"/>
                <w:lang w:val="en-GB"/>
              </w:rPr>
              <w:t>Operating mode</w:t>
            </w:r>
          </w:p>
        </w:tc>
      </w:tr>
      <w:tr w:rsidR="00B17E5F" w:rsidRPr="00322E56" w14:paraId="00797C4A" w14:textId="77777777" w:rsidTr="001D2790">
        <w:trPr>
          <w:trHeight w:val="146"/>
        </w:trPr>
        <w:tc>
          <w:tcPr>
            <w:tcW w:w="1557" w:type="dxa"/>
            <w:vMerge/>
          </w:tcPr>
          <w:p w14:paraId="7166EDF4" w14:textId="77777777" w:rsidR="00B17E5F" w:rsidRPr="00322E56" w:rsidRDefault="00B17E5F" w:rsidP="001D3769">
            <w:pPr>
              <w:pStyle w:val="MDPI42tablebody"/>
              <w:rPr>
                <w:rFonts w:ascii="Times New Roman" w:hAnsi="Times New Roman"/>
                <w:sz w:val="22"/>
                <w:szCs w:val="22"/>
                <w:lang w:val="en-GB"/>
              </w:rPr>
            </w:pPr>
          </w:p>
        </w:tc>
        <w:tc>
          <w:tcPr>
            <w:tcW w:w="2138" w:type="dxa"/>
          </w:tcPr>
          <w:p w14:paraId="14C39384" w14:textId="77777777" w:rsidR="00B17E5F" w:rsidRPr="00322E56" w:rsidRDefault="00B17E5F" w:rsidP="001D3769">
            <w:pPr>
              <w:pStyle w:val="MDPI42tablebody"/>
              <w:rPr>
                <w:rFonts w:ascii="Times New Roman" w:hAnsi="Times New Roman"/>
                <w:b/>
                <w:bCs/>
                <w:sz w:val="22"/>
                <w:szCs w:val="22"/>
                <w:lang w:val="en-GB"/>
              </w:rPr>
            </w:pPr>
            <w:r w:rsidRPr="00322E56">
              <w:rPr>
                <w:rFonts w:ascii="Times New Roman" w:hAnsi="Times New Roman"/>
                <w:b/>
                <w:bCs/>
                <w:sz w:val="22"/>
                <w:szCs w:val="22"/>
                <w:lang w:val="en-GB"/>
              </w:rPr>
              <w:t>T</w:t>
            </w:r>
            <w:r w:rsidRPr="00322E56">
              <w:rPr>
                <w:rFonts w:ascii="Times New Roman" w:hAnsi="Times New Roman"/>
                <w:b/>
                <w:bCs/>
                <w:sz w:val="22"/>
                <w:szCs w:val="22"/>
                <w:vertAlign w:val="subscript"/>
                <w:lang w:val="en-GB"/>
              </w:rPr>
              <w:t>indoor(</w:t>
            </w:r>
            <w:r w:rsidRPr="00322E56">
              <w:rPr>
                <w:rFonts w:ascii="Times New Roman" w:hAnsi="Times New Roman"/>
                <w:b/>
                <w:bCs/>
                <w:i/>
                <w:iCs/>
                <w:sz w:val="22"/>
                <w:szCs w:val="22"/>
                <w:vertAlign w:val="subscript"/>
                <w:lang w:val="en-GB"/>
              </w:rPr>
              <w:t>i</w:t>
            </w:r>
            <w:r w:rsidRPr="00322E56">
              <w:rPr>
                <w:rFonts w:ascii="Times New Roman" w:hAnsi="Times New Roman"/>
                <w:b/>
                <w:bCs/>
                <w:sz w:val="22"/>
                <w:szCs w:val="22"/>
                <w:vertAlign w:val="subscript"/>
                <w:lang w:val="en-GB"/>
              </w:rPr>
              <w:t>−1)</w:t>
            </w:r>
          </w:p>
        </w:tc>
        <w:tc>
          <w:tcPr>
            <w:tcW w:w="1232" w:type="dxa"/>
          </w:tcPr>
          <w:p w14:paraId="2DFEFBC2" w14:textId="77777777" w:rsidR="00B17E5F" w:rsidRPr="00322E56" w:rsidRDefault="00B17E5F" w:rsidP="001D3769">
            <w:pPr>
              <w:pStyle w:val="MDPI42tablebody"/>
              <w:rPr>
                <w:rFonts w:ascii="Times New Roman" w:hAnsi="Times New Roman"/>
                <w:b/>
                <w:bCs/>
                <w:sz w:val="22"/>
                <w:szCs w:val="22"/>
                <w:lang w:val="en-GB"/>
              </w:rPr>
            </w:pPr>
            <w:r w:rsidRPr="00322E56">
              <w:rPr>
                <w:rFonts w:ascii="Times New Roman" w:hAnsi="Times New Roman"/>
                <w:b/>
                <w:bCs/>
                <w:sz w:val="22"/>
                <w:szCs w:val="22"/>
                <w:lang w:val="en-GB"/>
              </w:rPr>
              <w:t>Peak time</w:t>
            </w:r>
          </w:p>
        </w:tc>
        <w:tc>
          <w:tcPr>
            <w:tcW w:w="1563" w:type="dxa"/>
          </w:tcPr>
          <w:p w14:paraId="2A0CFBEC" w14:textId="77777777" w:rsidR="00B17E5F" w:rsidRPr="00322E56" w:rsidRDefault="00B17E5F" w:rsidP="001D3769">
            <w:pPr>
              <w:pStyle w:val="MDPI42tablebody"/>
              <w:rPr>
                <w:rFonts w:ascii="Times New Roman" w:hAnsi="Times New Roman"/>
                <w:b/>
                <w:bCs/>
                <w:sz w:val="22"/>
                <w:szCs w:val="22"/>
                <w:lang w:val="en-GB"/>
              </w:rPr>
            </w:pPr>
            <w:r w:rsidRPr="00322E56">
              <w:rPr>
                <w:rFonts w:ascii="Times New Roman" w:hAnsi="Times New Roman"/>
                <w:b/>
                <w:bCs/>
                <w:sz w:val="22"/>
                <w:szCs w:val="22"/>
                <w:lang w:val="en-GB"/>
              </w:rPr>
              <w:t>SOC</w:t>
            </w:r>
          </w:p>
        </w:tc>
        <w:tc>
          <w:tcPr>
            <w:tcW w:w="2056" w:type="dxa"/>
            <w:vMerge/>
          </w:tcPr>
          <w:p w14:paraId="4F295A49" w14:textId="77777777" w:rsidR="00B17E5F" w:rsidRPr="00322E56" w:rsidRDefault="00B17E5F" w:rsidP="001D3769">
            <w:pPr>
              <w:pStyle w:val="MDPI42tablebody"/>
              <w:rPr>
                <w:rFonts w:ascii="Times New Roman" w:hAnsi="Times New Roman"/>
                <w:sz w:val="22"/>
                <w:szCs w:val="22"/>
                <w:lang w:val="en-GB"/>
              </w:rPr>
            </w:pPr>
          </w:p>
        </w:tc>
      </w:tr>
      <w:tr w:rsidR="00B17E5F" w:rsidRPr="00322E56" w14:paraId="0FC5B8D5" w14:textId="77777777" w:rsidTr="001D2790">
        <w:trPr>
          <w:trHeight w:val="786"/>
        </w:trPr>
        <w:tc>
          <w:tcPr>
            <w:tcW w:w="1557" w:type="dxa"/>
            <w:vMerge w:val="restart"/>
          </w:tcPr>
          <w:p w14:paraId="4FA1C739"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Primary Cooling</w:t>
            </w:r>
          </w:p>
        </w:tc>
        <w:tc>
          <w:tcPr>
            <w:tcW w:w="2138" w:type="dxa"/>
            <w:vMerge w:val="restart"/>
          </w:tcPr>
          <w:p w14:paraId="0C64B339"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≥23.5</w:t>
            </w:r>
          </w:p>
          <w:p w14:paraId="0E3C44A9"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(thermostat calls for cooling)</w:t>
            </w:r>
          </w:p>
        </w:tc>
        <w:tc>
          <w:tcPr>
            <w:tcW w:w="1232" w:type="dxa"/>
          </w:tcPr>
          <w:p w14:paraId="3922CEA7"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Yes</w:t>
            </w:r>
          </w:p>
        </w:tc>
        <w:tc>
          <w:tcPr>
            <w:tcW w:w="1563" w:type="dxa"/>
          </w:tcPr>
          <w:p w14:paraId="075EAC8C"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&gt;0</w:t>
            </w:r>
          </w:p>
        </w:tc>
        <w:tc>
          <w:tcPr>
            <w:tcW w:w="2056" w:type="dxa"/>
          </w:tcPr>
          <w:p w14:paraId="560E1C19"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Discharging cooling</w:t>
            </w:r>
          </w:p>
          <w:p w14:paraId="7658CF7C" w14:textId="77777777" w:rsidR="00B17E5F" w:rsidRPr="00322E56" w:rsidRDefault="00B17E5F" w:rsidP="001D3769">
            <w:pPr>
              <w:pStyle w:val="MDPI42tablebody"/>
              <w:rPr>
                <w:rFonts w:ascii="Times New Roman" w:hAnsi="Times New Roman"/>
                <w:sz w:val="22"/>
                <w:szCs w:val="22"/>
                <w:vertAlign w:val="subscript"/>
                <w:lang w:val="en-GB"/>
              </w:rPr>
            </w:pP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evap</w:t>
            </w:r>
            <w:r w:rsidRPr="00322E56">
              <w:rPr>
                <w:rFonts w:ascii="Times New Roman" w:hAnsi="Times New Roman"/>
                <w:sz w:val="22"/>
                <w:szCs w:val="22"/>
                <w:lang w:val="en-GB"/>
              </w:rPr>
              <w:t xml:space="preserve"> ≡ </w:t>
            </w: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indoor</w:t>
            </w:r>
          </w:p>
          <w:p w14:paraId="481CB12C"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cond</w:t>
            </w:r>
            <w:r w:rsidRPr="00322E56">
              <w:rPr>
                <w:rFonts w:ascii="Times New Roman" w:hAnsi="Times New Roman"/>
                <w:sz w:val="22"/>
                <w:szCs w:val="22"/>
                <w:lang w:val="en-GB"/>
              </w:rPr>
              <w:t xml:space="preserve"> ≡ </w:t>
            </w: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TES</w:t>
            </w:r>
          </w:p>
        </w:tc>
      </w:tr>
      <w:tr w:rsidR="00B17E5F" w:rsidRPr="00322E56" w14:paraId="79BCFF4B" w14:textId="77777777" w:rsidTr="001D2790">
        <w:trPr>
          <w:trHeight w:val="146"/>
        </w:trPr>
        <w:tc>
          <w:tcPr>
            <w:tcW w:w="1557" w:type="dxa"/>
            <w:vMerge/>
          </w:tcPr>
          <w:p w14:paraId="2F5080AC" w14:textId="77777777" w:rsidR="00B17E5F" w:rsidRPr="00322E56" w:rsidRDefault="00B17E5F" w:rsidP="001D3769">
            <w:pPr>
              <w:pStyle w:val="MDPI42tablebody"/>
              <w:rPr>
                <w:rFonts w:ascii="Times New Roman" w:hAnsi="Times New Roman"/>
                <w:sz w:val="22"/>
                <w:szCs w:val="22"/>
                <w:lang w:val="en-GB"/>
              </w:rPr>
            </w:pPr>
          </w:p>
        </w:tc>
        <w:tc>
          <w:tcPr>
            <w:tcW w:w="2138" w:type="dxa"/>
            <w:vMerge/>
          </w:tcPr>
          <w:p w14:paraId="3E65104A" w14:textId="77777777" w:rsidR="00B17E5F" w:rsidRPr="00322E56" w:rsidRDefault="00B17E5F" w:rsidP="001D3769">
            <w:pPr>
              <w:pStyle w:val="MDPI42tablebody"/>
              <w:rPr>
                <w:rFonts w:ascii="Times New Roman" w:hAnsi="Times New Roman"/>
                <w:sz w:val="22"/>
                <w:szCs w:val="22"/>
                <w:lang w:val="en-GB"/>
              </w:rPr>
            </w:pPr>
          </w:p>
        </w:tc>
        <w:tc>
          <w:tcPr>
            <w:tcW w:w="1232" w:type="dxa"/>
          </w:tcPr>
          <w:p w14:paraId="462EBD80"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No</w:t>
            </w:r>
          </w:p>
        </w:tc>
        <w:tc>
          <w:tcPr>
            <w:tcW w:w="1563" w:type="dxa"/>
          </w:tcPr>
          <w:p w14:paraId="0A28B072"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Any</w:t>
            </w:r>
          </w:p>
        </w:tc>
        <w:tc>
          <w:tcPr>
            <w:tcW w:w="2056" w:type="dxa"/>
          </w:tcPr>
          <w:p w14:paraId="5605A9D4"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Normal cooling</w:t>
            </w:r>
          </w:p>
          <w:p w14:paraId="32510E7F" w14:textId="77777777" w:rsidR="00B17E5F" w:rsidRPr="00322E56" w:rsidRDefault="00B17E5F" w:rsidP="001D3769">
            <w:pPr>
              <w:pStyle w:val="MDPI42tablebody"/>
              <w:rPr>
                <w:rFonts w:ascii="Times New Roman" w:hAnsi="Times New Roman"/>
                <w:sz w:val="22"/>
                <w:szCs w:val="22"/>
                <w:vertAlign w:val="subscript"/>
                <w:lang w:val="en-GB"/>
              </w:rPr>
            </w:pP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evap</w:t>
            </w:r>
            <w:r w:rsidRPr="00322E56">
              <w:rPr>
                <w:rFonts w:ascii="Times New Roman" w:hAnsi="Times New Roman"/>
                <w:sz w:val="22"/>
                <w:szCs w:val="22"/>
                <w:lang w:val="en-GB"/>
              </w:rPr>
              <w:t xml:space="preserve"> ≡ </w:t>
            </w: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indoor</w:t>
            </w:r>
          </w:p>
          <w:p w14:paraId="6AA5E7DD"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cond</w:t>
            </w:r>
            <w:r w:rsidRPr="00322E56">
              <w:rPr>
                <w:rFonts w:ascii="Times New Roman" w:hAnsi="Times New Roman"/>
                <w:sz w:val="22"/>
                <w:szCs w:val="22"/>
                <w:lang w:val="en-GB"/>
              </w:rPr>
              <w:t xml:space="preserve"> ≡ </w:t>
            </w: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ambient</w:t>
            </w:r>
          </w:p>
        </w:tc>
      </w:tr>
      <w:tr w:rsidR="00B17E5F" w:rsidRPr="00322E56" w14:paraId="52546DB7" w14:textId="77777777" w:rsidTr="001D2790">
        <w:trPr>
          <w:trHeight w:val="146"/>
        </w:trPr>
        <w:tc>
          <w:tcPr>
            <w:tcW w:w="1557" w:type="dxa"/>
            <w:vMerge/>
          </w:tcPr>
          <w:p w14:paraId="629AE3AB" w14:textId="77777777" w:rsidR="00B17E5F" w:rsidRPr="00322E56" w:rsidRDefault="00B17E5F" w:rsidP="001D3769">
            <w:pPr>
              <w:pStyle w:val="MDPI42tablebody"/>
              <w:rPr>
                <w:rFonts w:ascii="Times New Roman" w:hAnsi="Times New Roman"/>
                <w:sz w:val="22"/>
                <w:szCs w:val="22"/>
                <w:lang w:val="en-GB"/>
              </w:rPr>
            </w:pPr>
          </w:p>
        </w:tc>
        <w:tc>
          <w:tcPr>
            <w:tcW w:w="2138" w:type="dxa"/>
          </w:tcPr>
          <w:p w14:paraId="6B1D0809"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≤23.5</w:t>
            </w:r>
          </w:p>
          <w:p w14:paraId="53CA3735"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(thermostat does not call for cooling)</w:t>
            </w:r>
          </w:p>
        </w:tc>
        <w:tc>
          <w:tcPr>
            <w:tcW w:w="1232" w:type="dxa"/>
          </w:tcPr>
          <w:p w14:paraId="0FB4C280"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No</w:t>
            </w:r>
          </w:p>
        </w:tc>
        <w:tc>
          <w:tcPr>
            <w:tcW w:w="1563" w:type="dxa"/>
          </w:tcPr>
          <w:p w14:paraId="24965E9A"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&lt;1</w:t>
            </w:r>
          </w:p>
        </w:tc>
        <w:tc>
          <w:tcPr>
            <w:tcW w:w="2056" w:type="dxa"/>
          </w:tcPr>
          <w:p w14:paraId="37B7F2F7"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Charging cooling</w:t>
            </w:r>
          </w:p>
          <w:p w14:paraId="26F0D057" w14:textId="77777777" w:rsidR="00B17E5F" w:rsidRPr="00322E56" w:rsidRDefault="00B17E5F" w:rsidP="001D3769">
            <w:pPr>
              <w:pStyle w:val="MDPI42tablebody"/>
              <w:rPr>
                <w:rFonts w:ascii="Times New Roman" w:hAnsi="Times New Roman"/>
                <w:sz w:val="22"/>
                <w:szCs w:val="22"/>
                <w:vertAlign w:val="subscript"/>
                <w:lang w:val="en-GB"/>
              </w:rPr>
            </w:pP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evap</w:t>
            </w:r>
            <w:r w:rsidRPr="00322E56">
              <w:rPr>
                <w:rFonts w:ascii="Times New Roman" w:hAnsi="Times New Roman"/>
                <w:sz w:val="22"/>
                <w:szCs w:val="22"/>
                <w:lang w:val="en-GB"/>
              </w:rPr>
              <w:t xml:space="preserve"> ≡ </w:t>
            </w: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TES</w:t>
            </w:r>
          </w:p>
          <w:p w14:paraId="7F754E94"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cond</w:t>
            </w:r>
            <w:r w:rsidRPr="00322E56">
              <w:rPr>
                <w:rFonts w:ascii="Times New Roman" w:hAnsi="Times New Roman"/>
                <w:sz w:val="22"/>
                <w:szCs w:val="22"/>
                <w:lang w:val="en-GB"/>
              </w:rPr>
              <w:t xml:space="preserve"> ≡ </w:t>
            </w: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ambient</w:t>
            </w:r>
          </w:p>
        </w:tc>
      </w:tr>
      <w:tr w:rsidR="00B17E5F" w:rsidRPr="00322E56" w14:paraId="041F972C" w14:textId="77777777" w:rsidTr="001D2790">
        <w:trPr>
          <w:trHeight w:val="146"/>
        </w:trPr>
        <w:tc>
          <w:tcPr>
            <w:tcW w:w="1557" w:type="dxa"/>
            <w:vMerge/>
          </w:tcPr>
          <w:p w14:paraId="0C01D954" w14:textId="77777777" w:rsidR="00B17E5F" w:rsidRPr="00322E56" w:rsidRDefault="00B17E5F" w:rsidP="001D3769">
            <w:pPr>
              <w:pStyle w:val="MDPI42tablebody"/>
              <w:rPr>
                <w:rFonts w:ascii="Times New Roman" w:hAnsi="Times New Roman"/>
                <w:sz w:val="22"/>
                <w:szCs w:val="22"/>
                <w:lang w:val="en-GB"/>
              </w:rPr>
            </w:pPr>
          </w:p>
        </w:tc>
        <w:tc>
          <w:tcPr>
            <w:tcW w:w="2138" w:type="dxa"/>
          </w:tcPr>
          <w:p w14:paraId="3DFB28CF"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 xml:space="preserve">≤22.5 and </w:t>
            </w: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bal</w:t>
            </w:r>
            <w:r w:rsidRPr="00322E56">
              <w:rPr>
                <w:rFonts w:ascii="Times New Roman" w:hAnsi="Times New Roman"/>
                <w:sz w:val="22"/>
                <w:szCs w:val="22"/>
                <w:lang w:val="en-GB"/>
              </w:rPr>
              <w:t xml:space="preserve"> &gt; </w:t>
            </w: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amb(i)</w:t>
            </w:r>
          </w:p>
          <w:p w14:paraId="67595700"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(thermostat calls for heating)</w:t>
            </w:r>
          </w:p>
        </w:tc>
        <w:tc>
          <w:tcPr>
            <w:tcW w:w="1232" w:type="dxa"/>
          </w:tcPr>
          <w:p w14:paraId="696B97FA"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No</w:t>
            </w:r>
          </w:p>
        </w:tc>
        <w:tc>
          <w:tcPr>
            <w:tcW w:w="1563" w:type="dxa"/>
          </w:tcPr>
          <w:p w14:paraId="5FB2511F"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Any</w:t>
            </w:r>
          </w:p>
        </w:tc>
        <w:tc>
          <w:tcPr>
            <w:tcW w:w="2056" w:type="dxa"/>
          </w:tcPr>
          <w:p w14:paraId="56DF0367"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Normal heating</w:t>
            </w:r>
          </w:p>
          <w:p w14:paraId="44926AE6" w14:textId="77777777" w:rsidR="00B17E5F" w:rsidRPr="00322E56" w:rsidRDefault="00B17E5F" w:rsidP="001D3769">
            <w:pPr>
              <w:pStyle w:val="MDPI42tablebody"/>
              <w:rPr>
                <w:rFonts w:ascii="Times New Roman" w:hAnsi="Times New Roman"/>
                <w:sz w:val="22"/>
                <w:szCs w:val="22"/>
                <w:vertAlign w:val="subscript"/>
                <w:lang w:val="en-GB"/>
              </w:rPr>
            </w:pP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evap</w:t>
            </w:r>
            <w:r w:rsidRPr="00322E56">
              <w:rPr>
                <w:rFonts w:ascii="Times New Roman" w:hAnsi="Times New Roman"/>
                <w:sz w:val="22"/>
                <w:szCs w:val="22"/>
                <w:lang w:val="en-GB"/>
              </w:rPr>
              <w:t xml:space="preserve"> ≡ </w:t>
            </w: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ambient</w:t>
            </w:r>
          </w:p>
          <w:p w14:paraId="401BC349"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cond</w:t>
            </w:r>
            <w:r w:rsidRPr="00322E56">
              <w:rPr>
                <w:rFonts w:ascii="Times New Roman" w:hAnsi="Times New Roman"/>
                <w:sz w:val="22"/>
                <w:szCs w:val="22"/>
                <w:lang w:val="en-GB"/>
              </w:rPr>
              <w:t xml:space="preserve"> ≡ </w:t>
            </w: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indoor</w:t>
            </w:r>
          </w:p>
        </w:tc>
      </w:tr>
      <w:tr w:rsidR="00B17E5F" w:rsidRPr="00322E56" w14:paraId="2C20A4A0" w14:textId="77777777" w:rsidTr="001D2790">
        <w:trPr>
          <w:trHeight w:val="146"/>
        </w:trPr>
        <w:tc>
          <w:tcPr>
            <w:tcW w:w="1557" w:type="dxa"/>
            <w:vMerge/>
          </w:tcPr>
          <w:p w14:paraId="4AF729AF" w14:textId="77777777" w:rsidR="00B17E5F" w:rsidRPr="00322E56" w:rsidRDefault="00B17E5F" w:rsidP="001D3769">
            <w:pPr>
              <w:pStyle w:val="MDPI42tablebody"/>
              <w:rPr>
                <w:rFonts w:ascii="Times New Roman" w:hAnsi="Times New Roman"/>
                <w:sz w:val="22"/>
                <w:szCs w:val="22"/>
                <w:lang w:val="en-GB"/>
              </w:rPr>
            </w:pPr>
          </w:p>
        </w:tc>
        <w:tc>
          <w:tcPr>
            <w:tcW w:w="4935" w:type="dxa"/>
            <w:gridSpan w:val="3"/>
          </w:tcPr>
          <w:p w14:paraId="0706E8FB"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All other times</w:t>
            </w:r>
          </w:p>
        </w:tc>
        <w:tc>
          <w:tcPr>
            <w:tcW w:w="2056" w:type="dxa"/>
          </w:tcPr>
          <w:p w14:paraId="2F24A6D2"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Standby</w:t>
            </w:r>
          </w:p>
        </w:tc>
      </w:tr>
      <w:tr w:rsidR="00B17E5F" w:rsidRPr="00322E56" w14:paraId="0D54C5E8" w14:textId="77777777" w:rsidTr="001D2790">
        <w:trPr>
          <w:trHeight w:val="786"/>
        </w:trPr>
        <w:tc>
          <w:tcPr>
            <w:tcW w:w="1557" w:type="dxa"/>
            <w:vMerge w:val="restart"/>
          </w:tcPr>
          <w:p w14:paraId="7B585BE6"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Primary Heating</w:t>
            </w:r>
          </w:p>
        </w:tc>
        <w:tc>
          <w:tcPr>
            <w:tcW w:w="2138" w:type="dxa"/>
            <w:vMerge w:val="restart"/>
          </w:tcPr>
          <w:p w14:paraId="07CA753A"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≤19.5</w:t>
            </w:r>
          </w:p>
          <w:p w14:paraId="7CFFF07B"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(thermostat doesn’t call for heating)</w:t>
            </w:r>
          </w:p>
        </w:tc>
        <w:tc>
          <w:tcPr>
            <w:tcW w:w="1232" w:type="dxa"/>
          </w:tcPr>
          <w:p w14:paraId="01B9AAA7"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No</w:t>
            </w:r>
          </w:p>
        </w:tc>
        <w:tc>
          <w:tcPr>
            <w:tcW w:w="1563" w:type="dxa"/>
          </w:tcPr>
          <w:p w14:paraId="4AD487D5"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&lt;1</w:t>
            </w:r>
          </w:p>
        </w:tc>
        <w:tc>
          <w:tcPr>
            <w:tcW w:w="2056" w:type="dxa"/>
          </w:tcPr>
          <w:p w14:paraId="566BD4F1"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Charging heating</w:t>
            </w:r>
          </w:p>
          <w:p w14:paraId="01D4F4E0" w14:textId="77777777" w:rsidR="00B17E5F" w:rsidRPr="00322E56" w:rsidRDefault="00B17E5F" w:rsidP="001D3769">
            <w:pPr>
              <w:pStyle w:val="MDPI42tablebody"/>
              <w:rPr>
                <w:rFonts w:ascii="Times New Roman" w:hAnsi="Times New Roman"/>
                <w:sz w:val="22"/>
                <w:szCs w:val="22"/>
                <w:vertAlign w:val="subscript"/>
                <w:lang w:val="en-GB"/>
              </w:rPr>
            </w:pP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evap</w:t>
            </w:r>
            <w:r w:rsidRPr="00322E56">
              <w:rPr>
                <w:rFonts w:ascii="Times New Roman" w:hAnsi="Times New Roman"/>
                <w:sz w:val="22"/>
                <w:szCs w:val="22"/>
                <w:lang w:val="en-GB"/>
              </w:rPr>
              <w:t xml:space="preserve"> ≡ </w:t>
            </w: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ambient</w:t>
            </w:r>
          </w:p>
          <w:p w14:paraId="61C2E840"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cond</w:t>
            </w:r>
            <w:r w:rsidRPr="00322E56">
              <w:rPr>
                <w:rFonts w:ascii="Times New Roman" w:hAnsi="Times New Roman"/>
                <w:sz w:val="22"/>
                <w:szCs w:val="22"/>
                <w:lang w:val="en-GB"/>
              </w:rPr>
              <w:t xml:space="preserve"> ≡ </w:t>
            </w: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TES</w:t>
            </w:r>
          </w:p>
        </w:tc>
      </w:tr>
      <w:tr w:rsidR="00B17E5F" w:rsidRPr="00322E56" w14:paraId="385772B6" w14:textId="77777777" w:rsidTr="001D2790">
        <w:trPr>
          <w:trHeight w:val="146"/>
        </w:trPr>
        <w:tc>
          <w:tcPr>
            <w:tcW w:w="1557" w:type="dxa"/>
            <w:vMerge/>
          </w:tcPr>
          <w:p w14:paraId="083919EB" w14:textId="77777777" w:rsidR="00B17E5F" w:rsidRPr="00322E56" w:rsidRDefault="00B17E5F" w:rsidP="001D3769">
            <w:pPr>
              <w:pStyle w:val="MDPI42tablebody"/>
              <w:rPr>
                <w:rFonts w:ascii="Times New Roman" w:hAnsi="Times New Roman"/>
                <w:sz w:val="22"/>
                <w:szCs w:val="22"/>
                <w:lang w:val="en-GB"/>
              </w:rPr>
            </w:pPr>
          </w:p>
        </w:tc>
        <w:tc>
          <w:tcPr>
            <w:tcW w:w="2138" w:type="dxa"/>
            <w:vMerge/>
          </w:tcPr>
          <w:p w14:paraId="11A40E89" w14:textId="77777777" w:rsidR="00B17E5F" w:rsidRPr="00322E56" w:rsidRDefault="00B17E5F" w:rsidP="001D3769">
            <w:pPr>
              <w:pStyle w:val="MDPI42tablebody"/>
              <w:rPr>
                <w:rFonts w:ascii="Times New Roman" w:hAnsi="Times New Roman"/>
                <w:sz w:val="22"/>
                <w:szCs w:val="22"/>
                <w:lang w:val="en-GB"/>
              </w:rPr>
            </w:pPr>
          </w:p>
        </w:tc>
        <w:tc>
          <w:tcPr>
            <w:tcW w:w="1232" w:type="dxa"/>
          </w:tcPr>
          <w:p w14:paraId="5DCE6028"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No</w:t>
            </w:r>
          </w:p>
        </w:tc>
        <w:tc>
          <w:tcPr>
            <w:tcW w:w="1563" w:type="dxa"/>
          </w:tcPr>
          <w:p w14:paraId="514BB5D2"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Any</w:t>
            </w:r>
          </w:p>
        </w:tc>
        <w:tc>
          <w:tcPr>
            <w:tcW w:w="2056" w:type="dxa"/>
          </w:tcPr>
          <w:p w14:paraId="608B2A94"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Normal heating</w:t>
            </w:r>
          </w:p>
          <w:p w14:paraId="55ED622E" w14:textId="77777777" w:rsidR="00B17E5F" w:rsidRPr="00322E56" w:rsidRDefault="00B17E5F" w:rsidP="001D3769">
            <w:pPr>
              <w:pStyle w:val="MDPI42tablebody"/>
              <w:rPr>
                <w:rFonts w:ascii="Times New Roman" w:hAnsi="Times New Roman"/>
                <w:sz w:val="22"/>
                <w:szCs w:val="22"/>
                <w:vertAlign w:val="subscript"/>
                <w:lang w:val="en-GB"/>
              </w:rPr>
            </w:pP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evap</w:t>
            </w:r>
            <w:r w:rsidRPr="00322E56">
              <w:rPr>
                <w:rFonts w:ascii="Times New Roman" w:hAnsi="Times New Roman"/>
                <w:sz w:val="22"/>
                <w:szCs w:val="22"/>
                <w:lang w:val="en-GB"/>
              </w:rPr>
              <w:t xml:space="preserve"> ≡ </w:t>
            </w: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ambient</w:t>
            </w:r>
          </w:p>
          <w:p w14:paraId="0EDC6691"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cond</w:t>
            </w:r>
            <w:r w:rsidRPr="00322E56">
              <w:rPr>
                <w:rFonts w:ascii="Times New Roman" w:hAnsi="Times New Roman"/>
                <w:sz w:val="22"/>
                <w:szCs w:val="22"/>
                <w:lang w:val="en-GB"/>
              </w:rPr>
              <w:t xml:space="preserve"> ≡ </w:t>
            </w: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indoor</w:t>
            </w:r>
          </w:p>
        </w:tc>
      </w:tr>
      <w:tr w:rsidR="00B17E5F" w:rsidRPr="00322E56" w14:paraId="0C91E1B6" w14:textId="77777777" w:rsidTr="001D2790">
        <w:trPr>
          <w:trHeight w:val="146"/>
        </w:trPr>
        <w:tc>
          <w:tcPr>
            <w:tcW w:w="1557" w:type="dxa"/>
            <w:vMerge/>
          </w:tcPr>
          <w:p w14:paraId="0DD88623" w14:textId="77777777" w:rsidR="00B17E5F" w:rsidRPr="00322E56" w:rsidRDefault="00B17E5F" w:rsidP="001D3769">
            <w:pPr>
              <w:pStyle w:val="MDPI42tablebody"/>
              <w:rPr>
                <w:rFonts w:ascii="Times New Roman" w:hAnsi="Times New Roman"/>
                <w:sz w:val="22"/>
                <w:szCs w:val="22"/>
                <w:lang w:val="en-GB"/>
              </w:rPr>
            </w:pPr>
          </w:p>
        </w:tc>
        <w:tc>
          <w:tcPr>
            <w:tcW w:w="2138" w:type="dxa"/>
          </w:tcPr>
          <w:p w14:paraId="469EB445"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≥19.5 and ≤20.5</w:t>
            </w:r>
          </w:p>
          <w:p w14:paraId="5176A6D0"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(thermostat calls for heating)</w:t>
            </w:r>
          </w:p>
        </w:tc>
        <w:tc>
          <w:tcPr>
            <w:tcW w:w="1232" w:type="dxa"/>
          </w:tcPr>
          <w:p w14:paraId="4FEA5B0B"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Yes</w:t>
            </w:r>
          </w:p>
        </w:tc>
        <w:tc>
          <w:tcPr>
            <w:tcW w:w="1563" w:type="dxa"/>
          </w:tcPr>
          <w:p w14:paraId="6CB39AE5"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&gt;0</w:t>
            </w:r>
          </w:p>
        </w:tc>
        <w:tc>
          <w:tcPr>
            <w:tcW w:w="2056" w:type="dxa"/>
          </w:tcPr>
          <w:p w14:paraId="414A4498"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Discharging heating</w:t>
            </w:r>
          </w:p>
          <w:p w14:paraId="5936495E" w14:textId="77777777" w:rsidR="00B17E5F" w:rsidRPr="00322E56" w:rsidRDefault="00B17E5F" w:rsidP="001D3769">
            <w:pPr>
              <w:pStyle w:val="MDPI42tablebody"/>
              <w:rPr>
                <w:rFonts w:ascii="Times New Roman" w:hAnsi="Times New Roman"/>
                <w:sz w:val="22"/>
                <w:szCs w:val="22"/>
                <w:vertAlign w:val="subscript"/>
                <w:lang w:val="en-GB"/>
              </w:rPr>
            </w:pP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evap</w:t>
            </w:r>
            <w:r w:rsidRPr="00322E56">
              <w:rPr>
                <w:rFonts w:ascii="Times New Roman" w:hAnsi="Times New Roman"/>
                <w:sz w:val="22"/>
                <w:szCs w:val="22"/>
                <w:lang w:val="en-GB"/>
              </w:rPr>
              <w:t xml:space="preserve"> ≡ </w:t>
            </w: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TES</w:t>
            </w:r>
          </w:p>
          <w:p w14:paraId="12A9864D"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cond</w:t>
            </w:r>
            <w:r w:rsidRPr="00322E56">
              <w:rPr>
                <w:rFonts w:ascii="Times New Roman" w:hAnsi="Times New Roman"/>
                <w:sz w:val="22"/>
                <w:szCs w:val="22"/>
                <w:lang w:val="en-GB"/>
              </w:rPr>
              <w:t xml:space="preserve"> ≡ </w:t>
            </w: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indoor</w:t>
            </w:r>
          </w:p>
        </w:tc>
      </w:tr>
      <w:tr w:rsidR="00B17E5F" w:rsidRPr="00322E56" w14:paraId="0EC37DD8" w14:textId="77777777" w:rsidTr="001D2790">
        <w:trPr>
          <w:trHeight w:val="146"/>
        </w:trPr>
        <w:tc>
          <w:tcPr>
            <w:tcW w:w="1557" w:type="dxa"/>
            <w:vMerge/>
          </w:tcPr>
          <w:p w14:paraId="538CBD43" w14:textId="77777777" w:rsidR="00B17E5F" w:rsidRPr="00322E56" w:rsidRDefault="00B17E5F" w:rsidP="001D3769">
            <w:pPr>
              <w:pStyle w:val="MDPI42tablebody"/>
              <w:rPr>
                <w:rFonts w:ascii="Times New Roman" w:hAnsi="Times New Roman"/>
                <w:sz w:val="22"/>
                <w:szCs w:val="22"/>
                <w:lang w:val="en-GB"/>
              </w:rPr>
            </w:pPr>
          </w:p>
        </w:tc>
        <w:tc>
          <w:tcPr>
            <w:tcW w:w="2138" w:type="dxa"/>
          </w:tcPr>
          <w:p w14:paraId="59458B61"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 xml:space="preserve">≥20.5 and </w:t>
            </w: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bal</w:t>
            </w:r>
            <w:r w:rsidRPr="00322E56">
              <w:rPr>
                <w:rFonts w:ascii="Times New Roman" w:hAnsi="Times New Roman"/>
                <w:sz w:val="22"/>
                <w:szCs w:val="22"/>
                <w:lang w:val="en-GB"/>
              </w:rPr>
              <w:t xml:space="preserve"> &lt; </w:t>
            </w: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amb(i)</w:t>
            </w:r>
          </w:p>
          <w:p w14:paraId="5C00F27C"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(thermostat calls for cooling)</w:t>
            </w:r>
          </w:p>
        </w:tc>
        <w:tc>
          <w:tcPr>
            <w:tcW w:w="1232" w:type="dxa"/>
          </w:tcPr>
          <w:p w14:paraId="2B636E9E"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No</w:t>
            </w:r>
          </w:p>
        </w:tc>
        <w:tc>
          <w:tcPr>
            <w:tcW w:w="1563" w:type="dxa"/>
          </w:tcPr>
          <w:p w14:paraId="209768A2"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Any</w:t>
            </w:r>
          </w:p>
        </w:tc>
        <w:tc>
          <w:tcPr>
            <w:tcW w:w="2056" w:type="dxa"/>
          </w:tcPr>
          <w:p w14:paraId="6B95E265"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Normal cooling</w:t>
            </w:r>
          </w:p>
          <w:p w14:paraId="701B2AD5" w14:textId="77777777" w:rsidR="00B17E5F" w:rsidRPr="00322E56" w:rsidRDefault="00B17E5F" w:rsidP="001D3769">
            <w:pPr>
              <w:pStyle w:val="MDPI42tablebody"/>
              <w:rPr>
                <w:rFonts w:ascii="Times New Roman" w:hAnsi="Times New Roman"/>
                <w:sz w:val="22"/>
                <w:szCs w:val="22"/>
                <w:vertAlign w:val="subscript"/>
                <w:lang w:val="en-GB"/>
              </w:rPr>
            </w:pP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evap</w:t>
            </w:r>
            <w:r w:rsidRPr="00322E56">
              <w:rPr>
                <w:rFonts w:ascii="Times New Roman" w:hAnsi="Times New Roman"/>
                <w:sz w:val="22"/>
                <w:szCs w:val="22"/>
                <w:lang w:val="en-GB"/>
              </w:rPr>
              <w:t xml:space="preserve"> ≡ </w:t>
            </w: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indoor</w:t>
            </w:r>
          </w:p>
          <w:p w14:paraId="5D472E2E"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cond</w:t>
            </w:r>
            <w:r w:rsidRPr="00322E56">
              <w:rPr>
                <w:rFonts w:ascii="Times New Roman" w:hAnsi="Times New Roman"/>
                <w:sz w:val="22"/>
                <w:szCs w:val="22"/>
                <w:lang w:val="en-GB"/>
              </w:rPr>
              <w:t xml:space="preserve"> ≡ </w:t>
            </w:r>
            <w:r w:rsidRPr="00322E56">
              <w:rPr>
                <w:rFonts w:ascii="Times New Roman" w:hAnsi="Times New Roman"/>
                <w:i/>
                <w:iCs/>
                <w:sz w:val="22"/>
                <w:szCs w:val="22"/>
                <w:lang w:val="en-GB"/>
              </w:rPr>
              <w:t>T</w:t>
            </w:r>
            <w:r w:rsidRPr="00322E56">
              <w:rPr>
                <w:rFonts w:ascii="Times New Roman" w:hAnsi="Times New Roman"/>
                <w:sz w:val="22"/>
                <w:szCs w:val="22"/>
                <w:vertAlign w:val="subscript"/>
                <w:lang w:val="en-GB"/>
              </w:rPr>
              <w:t>ambient</w:t>
            </w:r>
          </w:p>
        </w:tc>
      </w:tr>
      <w:tr w:rsidR="00B17E5F" w:rsidRPr="00322E56" w14:paraId="17D66271" w14:textId="77777777" w:rsidTr="001D2790">
        <w:trPr>
          <w:trHeight w:val="146"/>
        </w:trPr>
        <w:tc>
          <w:tcPr>
            <w:tcW w:w="1557" w:type="dxa"/>
            <w:vMerge/>
          </w:tcPr>
          <w:p w14:paraId="7CBF86DB" w14:textId="77777777" w:rsidR="00B17E5F" w:rsidRPr="00322E56" w:rsidRDefault="00B17E5F" w:rsidP="001D3769">
            <w:pPr>
              <w:pStyle w:val="MDPI42tablebody"/>
              <w:rPr>
                <w:rFonts w:ascii="Times New Roman" w:hAnsi="Times New Roman"/>
                <w:sz w:val="22"/>
                <w:szCs w:val="22"/>
                <w:lang w:val="en-GB"/>
              </w:rPr>
            </w:pPr>
          </w:p>
        </w:tc>
        <w:tc>
          <w:tcPr>
            <w:tcW w:w="4935" w:type="dxa"/>
            <w:gridSpan w:val="3"/>
          </w:tcPr>
          <w:p w14:paraId="5AA57306"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All other times</w:t>
            </w:r>
          </w:p>
        </w:tc>
        <w:tc>
          <w:tcPr>
            <w:tcW w:w="2056" w:type="dxa"/>
          </w:tcPr>
          <w:p w14:paraId="183A8393" w14:textId="77777777" w:rsidR="00B17E5F" w:rsidRPr="00322E56" w:rsidRDefault="00B17E5F" w:rsidP="001D3769">
            <w:pPr>
              <w:pStyle w:val="MDPI42tablebody"/>
              <w:rPr>
                <w:rFonts w:ascii="Times New Roman" w:hAnsi="Times New Roman"/>
                <w:sz w:val="22"/>
                <w:szCs w:val="22"/>
                <w:lang w:val="en-GB"/>
              </w:rPr>
            </w:pPr>
            <w:r w:rsidRPr="00322E56">
              <w:rPr>
                <w:rFonts w:ascii="Times New Roman" w:hAnsi="Times New Roman"/>
                <w:sz w:val="22"/>
                <w:szCs w:val="22"/>
                <w:lang w:val="en-GB"/>
              </w:rPr>
              <w:t>Standby</w:t>
            </w:r>
          </w:p>
        </w:tc>
      </w:tr>
    </w:tbl>
    <w:p w14:paraId="168B39D5" w14:textId="77777777" w:rsidR="00B17E5F" w:rsidRPr="00322E56" w:rsidRDefault="00B17E5F" w:rsidP="00471D67">
      <w:pPr>
        <w:rPr>
          <w:rFonts w:cs="Times New Roman"/>
          <w:lang w:val="en-GB"/>
        </w:rPr>
      </w:pPr>
    </w:p>
    <w:p w14:paraId="5A4409A2" w14:textId="7736BF1C" w:rsidR="00B17E5F" w:rsidRPr="00322E56" w:rsidRDefault="00B17E5F" w:rsidP="00B25AF0">
      <w:pPr>
        <w:spacing w:line="240" w:lineRule="auto"/>
        <w:rPr>
          <w:rFonts w:cs="Times New Roman"/>
          <w:lang w:val="en-GB"/>
        </w:rPr>
      </w:pPr>
      <w:r w:rsidRPr="00322E56">
        <w:rPr>
          <w:rFonts w:cs="Times New Roman"/>
          <w:lang w:val="en-GB"/>
        </w:rPr>
        <w:br w:type="page"/>
      </w:r>
    </w:p>
    <w:p w14:paraId="7F326BE8" w14:textId="77777777" w:rsidR="00B17E5F" w:rsidRPr="00322E56" w:rsidRDefault="00000000" w:rsidP="00471D67">
      <w:pPr>
        <w:rPr>
          <w:rFonts w:cs="Times New Roman"/>
          <w:lang w:val="en-GB"/>
        </w:rPr>
      </w:pPr>
      <m:oMathPara>
        <m:oMath>
          <m:eqArr>
            <m:eqArrPr>
              <m:maxDist m:val="1"/>
              <m:ctrlPr>
                <w:rPr>
                  <w:rFonts w:ascii="Cambria Math" w:hAnsi="Cambria Math" w:cs="Times New Roman"/>
                  <w:lang w:val="en-GB"/>
                </w:rPr>
              </m:ctrlPr>
            </m:eqArrPr>
            <m:e>
              <m:r>
                <w:rPr>
                  <w:rFonts w:ascii="Cambria Math" w:hAnsi="Cambria Math" w:cs="Times New Roman"/>
                  <w:lang w:val="en-GB"/>
                </w:rPr>
                <m:t>b</m:t>
              </m:r>
              <m:r>
                <m:rPr>
                  <m:sty m:val="p"/>
                </m:rPr>
                <w:rPr>
                  <w:rFonts w:ascii="Cambria Math" w:hAnsi="Cambria Math" w:cs="Times New Roman"/>
                  <w:lang w:val="en-GB"/>
                </w:rPr>
                <m:t>=</m:t>
              </m:r>
              <m:f>
                <m:fPr>
                  <m:ctrlPr>
                    <w:rPr>
                      <w:rFonts w:ascii="Cambria Math" w:hAnsi="Cambria Math" w:cs="Times New Roman"/>
                      <w:lang w:val="en-GB"/>
                    </w:rPr>
                  </m:ctrlPr>
                </m:fPr>
                <m:num>
                  <m:r>
                    <m:rPr>
                      <m:sty m:val="p"/>
                    </m:rPr>
                    <w:rPr>
                      <w:rFonts w:ascii="Cambria Math" w:hAnsi="Cambria Math" w:cs="Times New Roman"/>
                      <w:lang w:val="en-GB"/>
                    </w:rPr>
                    <m:t>7.5</m:t>
                  </m:r>
                </m:num>
                <m:den>
                  <m:r>
                    <m:rPr>
                      <m:sty m:val="p"/>
                    </m:rPr>
                    <w:rPr>
                      <w:rFonts w:ascii="Cambria Math" w:hAnsi="Cambria Math" w:cs="Times New Roman"/>
                      <w:lang w:val="en-GB"/>
                    </w:rPr>
                    <m:t>30.58</m:t>
                  </m:r>
                </m:den>
              </m:f>
              <m:r>
                <m:rPr>
                  <m:sty m:val="p"/>
                </m:rPr>
                <w:rPr>
                  <w:rFonts w:ascii="Cambria Math" w:hAnsi="Cambria Math" w:cs="Times New Roman"/>
                  <w:lang w:val="en-GB"/>
                </w:rPr>
                <m:t>#</m:t>
              </m:r>
              <m:d>
                <m:dPr>
                  <m:ctrlPr>
                    <w:rPr>
                      <w:rFonts w:ascii="Cambria Math" w:hAnsi="Cambria Math" w:cs="Times New Roman"/>
                      <w:lang w:val="en-GB"/>
                    </w:rPr>
                  </m:ctrlPr>
                </m:dPr>
                <m:e>
                  <m:r>
                    <m:rPr>
                      <m:sty m:val="p"/>
                    </m:rPr>
                    <w:rPr>
                      <w:rFonts w:ascii="Cambria Math" w:hAnsi="Cambria Math" w:cs="Times New Roman"/>
                      <w:lang w:val="en-GB"/>
                    </w:rPr>
                    <m:t>6</m:t>
                  </m:r>
                </m:e>
              </m:d>
            </m:e>
          </m:eqArr>
        </m:oMath>
      </m:oMathPara>
    </w:p>
    <w:p w14:paraId="7E5D66D8" w14:textId="112464BB" w:rsidR="00B17E5F" w:rsidRPr="00322E56" w:rsidRDefault="00B17E5F" w:rsidP="00B25AF0">
      <w:pPr>
        <w:rPr>
          <w:rFonts w:cs="Times New Roman"/>
          <w:lang w:val="en-GB"/>
        </w:rPr>
      </w:pPr>
      <w:r w:rsidRPr="00322E56">
        <w:rPr>
          <w:rFonts w:cs="Times New Roman"/>
          <w:lang w:val="en-GB"/>
        </w:rPr>
        <w:t xml:space="preserve">Parameter </w:t>
      </w:r>
      <w:r w:rsidRPr="00322E56">
        <w:rPr>
          <w:rFonts w:cs="Times New Roman"/>
          <w:i/>
          <w:iCs/>
          <w:lang w:val="en-GB"/>
        </w:rPr>
        <w:t>c</w:t>
      </w:r>
      <w:r w:rsidRPr="00322E56">
        <w:rPr>
          <w:rFonts w:cs="Times New Roman"/>
          <w:lang w:val="en-GB"/>
        </w:rPr>
        <w:t xml:space="preserve"> accounts for the increase in vapor mass fraction quality entering the evaporator during isenthalpic expansion. The approximate specific heat, </w:t>
      </w:r>
      <w:r w:rsidRPr="00322E56">
        <w:rPr>
          <w:rFonts w:cs="Times New Roman"/>
          <w:i/>
          <w:iCs/>
          <w:lang w:val="en-GB"/>
        </w:rPr>
        <w:t>c</w:t>
      </w:r>
      <w:r w:rsidRPr="00322E56">
        <w:rPr>
          <w:rFonts w:cs="Times New Roman"/>
          <w:vertAlign w:val="subscript"/>
          <w:lang w:val="en-GB"/>
        </w:rPr>
        <w:t>p</w:t>
      </w:r>
      <w:r w:rsidRPr="00322E56">
        <w:rPr>
          <w:rFonts w:cs="Times New Roman"/>
          <w:lang w:val="en-GB"/>
        </w:rPr>
        <w:t>, is 1.5 J/(g</w:t>
      </w:r>
      <w:r w:rsidRPr="00322E56">
        <w:rPr>
          <w:rFonts w:ascii="Cambria Math" w:hAnsi="Cambria Math" w:cs="Cambria Math"/>
          <w:lang w:val="en-GB"/>
        </w:rPr>
        <w:t>⋅</w:t>
      </w:r>
      <w:r w:rsidRPr="00322E56">
        <w:rPr>
          <w:rFonts w:cs="Times New Roman"/>
          <w:lang w:val="en-GB"/>
        </w:rPr>
        <w:t>K) and 220 is approximate enthalpy of vaporization, Δ</w:t>
      </w:r>
      <w:r w:rsidRPr="00322E56">
        <w:rPr>
          <w:rFonts w:cs="Times New Roman"/>
          <w:i/>
          <w:iCs/>
          <w:lang w:val="en-GB"/>
        </w:rPr>
        <w:t>H</w:t>
      </w:r>
      <w:r w:rsidRPr="00322E56">
        <w:rPr>
          <w:rFonts w:cs="Times New Roman"/>
          <w:vertAlign w:val="subscript"/>
          <w:lang w:val="en-GB"/>
        </w:rPr>
        <w:t>g</w:t>
      </w:r>
      <w:r w:rsidRPr="00322E56">
        <w:rPr>
          <w:rFonts w:cs="Times New Roman"/>
          <w:lang w:val="en-GB"/>
        </w:rPr>
        <w:t xml:space="preserve">, for R410A used in Equation 4 to normalize parameter </w:t>
      </w:r>
      <w:r w:rsidRPr="00322E56">
        <w:rPr>
          <w:rFonts w:cs="Times New Roman"/>
          <w:i/>
          <w:iCs/>
          <w:lang w:val="en-GB"/>
        </w:rPr>
        <w:t>c</w:t>
      </w:r>
      <w:r w:rsidRPr="00322E56">
        <w:rPr>
          <w:rFonts w:cs="Times New Roman"/>
          <w:lang w:val="en-GB"/>
        </w:rPr>
        <w:t>.</w:t>
      </w:r>
    </w:p>
    <w:p w14:paraId="603F60C1" w14:textId="3C39246A" w:rsidR="00B17E5F" w:rsidRPr="00322E56" w:rsidRDefault="00000000" w:rsidP="00471D67">
      <w:pPr>
        <w:rPr>
          <w:rFonts w:cs="Times New Roman"/>
          <w:lang w:val="en-GB"/>
        </w:rPr>
      </w:pPr>
      <m:oMathPara>
        <m:oMath>
          <m:eqArr>
            <m:eqArrPr>
              <m:maxDist m:val="1"/>
              <m:ctrlPr>
                <w:rPr>
                  <w:rFonts w:ascii="Cambria Math" w:hAnsi="Cambria Math" w:cs="Times New Roman"/>
                  <w:i/>
                  <w:lang w:val="en-GB"/>
                </w:rPr>
              </m:ctrlPr>
            </m:eqArrPr>
            <m:e>
              <m:r>
                <w:rPr>
                  <w:rFonts w:ascii="Cambria Math" w:hAnsi="Cambria Math" w:cs="Times New Roman"/>
                  <w:lang w:val="en-GB"/>
                </w:rPr>
                <m:t>c</m:t>
              </m:r>
              <m:d>
                <m:dPr>
                  <m:ctrlPr>
                    <w:rPr>
                      <w:rFonts w:ascii="Cambria Math" w:hAnsi="Cambria Math" w:cs="Times New Roman"/>
                      <w:i/>
                      <w:lang w:val="en-GB"/>
                    </w:rPr>
                  </m:ctrlPr>
                </m:dPr>
                <m:e>
                  <m:sSub>
                    <m:sSubPr>
                      <m:ctrlPr>
                        <w:rPr>
                          <w:rFonts w:ascii="Cambria Math" w:hAnsi="Cambria Math" w:cs="Times New Roman"/>
                          <w:i/>
                          <w:lang w:val="en-GB"/>
                        </w:rPr>
                      </m:ctrlPr>
                    </m:sSubPr>
                    <m:e>
                      <m:r>
                        <w:rPr>
                          <w:rFonts w:ascii="Cambria Math" w:hAnsi="Cambria Math" w:cs="Times New Roman"/>
                          <w:lang w:val="en-GB"/>
                        </w:rPr>
                        <m:t>T</m:t>
                      </m:r>
                    </m:e>
                    <m:sub>
                      <m:r>
                        <m:rPr>
                          <m:sty m:val="p"/>
                        </m:rPr>
                        <w:rPr>
                          <w:rFonts w:ascii="Cambria Math" w:hAnsi="Cambria Math" w:cs="Times New Roman"/>
                          <w:lang w:val="en-GB"/>
                        </w:rPr>
                        <m:t>evap</m:t>
                      </m:r>
                    </m:sub>
                  </m:sSub>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T</m:t>
                      </m:r>
                    </m:e>
                    <m:sub>
                      <m:r>
                        <m:rPr>
                          <m:sty m:val="p"/>
                        </m:rPr>
                        <w:rPr>
                          <w:rFonts w:ascii="Cambria Math" w:hAnsi="Cambria Math" w:cs="Times New Roman"/>
                          <w:lang w:val="en-GB"/>
                        </w:rPr>
                        <m:t>cond</m:t>
                      </m:r>
                    </m:sub>
                  </m:sSub>
                </m:e>
              </m:d>
              <m:r>
                <w:rPr>
                  <w:rFonts w:ascii="Cambria Math" w:hAnsi="Cambria Math" w:cs="Times New Roman"/>
                  <w:lang w:val="en-GB"/>
                </w:rPr>
                <m:t>=1-</m:t>
              </m:r>
              <m:f>
                <m:fPr>
                  <m:ctrlPr>
                    <w:rPr>
                      <w:rFonts w:ascii="Cambria Math" w:hAnsi="Cambria Math" w:cs="Times New Roman"/>
                      <w:i/>
                      <w:lang w:val="en-GB"/>
                    </w:rPr>
                  </m:ctrlPr>
                </m:fPr>
                <m:num>
                  <m:d>
                    <m:dPr>
                      <m:ctrlPr>
                        <w:rPr>
                          <w:rFonts w:ascii="Cambria Math" w:hAnsi="Cambria Math" w:cs="Times New Roman"/>
                          <w:i/>
                          <w:lang w:val="en-GB"/>
                        </w:rPr>
                      </m:ctrlPr>
                    </m:dPr>
                    <m:e>
                      <m:r>
                        <w:rPr>
                          <w:rFonts w:ascii="Cambria Math" w:hAnsi="Cambria Math" w:cs="Times New Roman"/>
                          <w:lang w:val="en-GB"/>
                        </w:rPr>
                        <m:t>1.5×</m:t>
                      </m:r>
                      <m:d>
                        <m:dPr>
                          <m:ctrlPr>
                            <w:rPr>
                              <w:rFonts w:ascii="Cambria Math" w:hAnsi="Cambria Math" w:cs="Times New Roman"/>
                              <w:i/>
                              <w:lang w:val="en-GB"/>
                            </w:rPr>
                          </m:ctrlPr>
                        </m:dPr>
                        <m:e>
                          <m:sSub>
                            <m:sSubPr>
                              <m:ctrlPr>
                                <w:rPr>
                                  <w:rFonts w:ascii="Cambria Math" w:hAnsi="Cambria Math" w:cs="Times New Roman"/>
                                  <w:i/>
                                  <w:lang w:val="en-GB"/>
                                </w:rPr>
                              </m:ctrlPr>
                            </m:sSubPr>
                            <m:e>
                              <m:r>
                                <w:rPr>
                                  <w:rFonts w:ascii="Cambria Math" w:hAnsi="Cambria Math" w:cs="Times New Roman"/>
                                  <w:lang w:val="en-GB"/>
                                </w:rPr>
                                <m:t>T</m:t>
                              </m:r>
                            </m:e>
                            <m:sub>
                              <m:r>
                                <m:rPr>
                                  <m:sty m:val="p"/>
                                </m:rPr>
                                <w:rPr>
                                  <w:rFonts w:ascii="Cambria Math" w:hAnsi="Cambria Math" w:cs="Times New Roman"/>
                                  <w:lang w:val="en-GB"/>
                                </w:rPr>
                                <m:t>cond</m:t>
                              </m:r>
                            </m:sub>
                          </m:sSub>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T</m:t>
                              </m:r>
                            </m:e>
                            <m:sub>
                              <m:r>
                                <m:rPr>
                                  <m:sty m:val="p"/>
                                </m:rPr>
                                <w:rPr>
                                  <w:rFonts w:ascii="Cambria Math" w:hAnsi="Cambria Math" w:cs="Times New Roman"/>
                                  <w:lang w:val="en-GB"/>
                                </w:rPr>
                                <m:t>evap</m:t>
                              </m:r>
                            </m:sub>
                          </m:sSub>
                        </m:e>
                      </m:d>
                    </m:e>
                  </m:d>
                </m:num>
                <m:den>
                  <m:r>
                    <w:rPr>
                      <w:rFonts w:ascii="Cambria Math" w:hAnsi="Cambria Math" w:cs="Times New Roman"/>
                      <w:lang w:val="en-GB"/>
                    </w:rPr>
                    <m:t>220</m:t>
                  </m:r>
                </m:den>
              </m:f>
              <m:r>
                <w:rPr>
                  <w:rFonts w:ascii="Cambria Math" w:hAnsi="Cambria Math" w:cs="Times New Roman"/>
                  <w:lang w:val="en-GB"/>
                </w:rPr>
                <m:t>#</m:t>
              </m:r>
              <m:d>
                <m:dPr>
                  <m:ctrlPr>
                    <w:rPr>
                      <w:rFonts w:ascii="Cambria Math" w:hAnsi="Cambria Math" w:cs="Times New Roman"/>
                      <w:i/>
                      <w:lang w:val="en-GB"/>
                    </w:rPr>
                  </m:ctrlPr>
                </m:dPr>
                <m:e>
                  <m:r>
                    <w:rPr>
                      <w:rFonts w:ascii="Cambria Math" w:hAnsi="Cambria Math" w:cs="Times New Roman"/>
                      <w:lang w:val="en-GB"/>
                    </w:rPr>
                    <m:t>7</m:t>
                  </m:r>
                </m:e>
              </m:d>
            </m:e>
          </m:eqArr>
        </m:oMath>
      </m:oMathPara>
    </w:p>
    <w:p w14:paraId="7A6FC8B7" w14:textId="77777777" w:rsidR="00B17E5F" w:rsidRPr="00322E56" w:rsidRDefault="00B17E5F" w:rsidP="00471D67">
      <w:pPr>
        <w:rPr>
          <w:rFonts w:cs="Times New Roman"/>
          <w:lang w:val="en-GB"/>
        </w:rPr>
      </w:pPr>
      <w:r w:rsidRPr="00322E56">
        <w:rPr>
          <w:rFonts w:cs="Times New Roman"/>
          <w:lang w:val="en-GB"/>
        </w:rPr>
        <w:t xml:space="preserve">The coefficients of performance for heating and cooling were estimated using Carnot relationships and an assumed Carnot efficiency of 30%. In the case where the heat source was hotter than the heat sink, this study assumed a fixed COP. Paired with Equation 4, the heating and cooling capacity and electrical work were determined for given condensing and evaporating temperatures of the HP. During the total model run, the inputs to </w:t>
      </w:r>
      <w:r w:rsidRPr="00322E56">
        <w:rPr>
          <w:rFonts w:cs="Times New Roman"/>
          <w:i/>
          <w:iCs/>
          <w:lang w:val="en-GB"/>
        </w:rPr>
        <w:t>T</w:t>
      </w:r>
      <w:r w:rsidRPr="00322E56">
        <w:rPr>
          <w:rFonts w:cs="Times New Roman"/>
          <w:vertAlign w:val="subscript"/>
          <w:lang w:val="en-GB"/>
        </w:rPr>
        <w:t>cond</w:t>
      </w:r>
      <w:r w:rsidRPr="00322E56">
        <w:rPr>
          <w:rFonts w:cs="Times New Roman"/>
          <w:lang w:val="en-GB"/>
        </w:rPr>
        <w:t xml:space="preserve"> and </w:t>
      </w:r>
      <w:r w:rsidRPr="00322E56">
        <w:rPr>
          <w:rFonts w:cs="Times New Roman"/>
          <w:i/>
          <w:iCs/>
          <w:lang w:val="en-GB"/>
        </w:rPr>
        <w:t>T</w:t>
      </w:r>
      <w:r w:rsidRPr="00322E56">
        <w:rPr>
          <w:rFonts w:cs="Times New Roman"/>
          <w:vertAlign w:val="subscript"/>
          <w:lang w:val="en-GB"/>
        </w:rPr>
        <w:t>evap</w:t>
      </w:r>
      <w:r w:rsidRPr="00322E56">
        <w:rPr>
          <w:rFonts w:cs="Times New Roman"/>
          <w:lang w:val="en-GB"/>
        </w:rPr>
        <w:t xml:space="preserve"> were either the indoor temperature, TES temperature, or ambient temperature decided by the thermostat model and the operating mode.</w:t>
      </w:r>
    </w:p>
    <w:p w14:paraId="2D74174F" w14:textId="77777777" w:rsidR="00B17E5F" w:rsidRDefault="00B17E5F" w:rsidP="00471D67">
      <w:pPr>
        <w:rPr>
          <w:rFonts w:cs="Times New Roman"/>
          <w:lang w:val="en-GB"/>
        </w:rPr>
      </w:pPr>
      <w:r w:rsidRPr="00322E56">
        <w:rPr>
          <w:rFonts w:cs="Times New Roman"/>
          <w:lang w:val="en-GB"/>
        </w:rPr>
        <w:t>Figure 37 shows T-s diagram for cooling cycle with PCM. This assumption causes high approach temperature on the condenser.</w:t>
      </w:r>
    </w:p>
    <w:p w14:paraId="2F15AA86" w14:textId="77777777" w:rsidR="00B25AF0" w:rsidRPr="00322E56" w:rsidRDefault="00B25AF0" w:rsidP="00B25AF0">
      <w:pPr>
        <w:pStyle w:val="Heading3"/>
        <w:rPr>
          <w:rFonts w:cs="Times New Roman"/>
          <w:lang w:val="en-GB"/>
        </w:rPr>
      </w:pPr>
      <w:bookmarkStart w:id="187" w:name="_Toc140399885"/>
      <w:r w:rsidRPr="00322E56">
        <w:rPr>
          <w:rFonts w:cs="Times New Roman"/>
          <w:lang w:val="en-GB"/>
        </w:rPr>
        <w:t>Building Model</w:t>
      </w:r>
      <w:bookmarkEnd w:id="187"/>
    </w:p>
    <w:p w14:paraId="59AEEADE" w14:textId="4080BEBE" w:rsidR="00B17E5F" w:rsidRPr="00322E56" w:rsidRDefault="00B25AF0" w:rsidP="00B25AF0">
      <w:pPr>
        <w:rPr>
          <w:rFonts w:cs="Times New Roman"/>
          <w:lang w:val="en-GB"/>
        </w:rPr>
      </w:pPr>
      <w:r w:rsidRPr="00322E56">
        <w:rPr>
          <w:rFonts w:cs="Times New Roman"/>
          <w:lang w:val="en-GB"/>
        </w:rPr>
        <w:t xml:space="preserve">The building model was simplified to focus on HP-TES configuration. A simple, single resistor and single capacitance (1R-1C) building system was used for calculating the thermal loads on the building </w:t>
      </w:r>
      <w:sdt>
        <w:sdtPr>
          <w:rPr>
            <w:rFonts w:cs="Times New Roman"/>
            <w:color w:val="000000"/>
            <w:lang w:val="en-GB"/>
          </w:rPr>
          <w:tag w:val="MENDELEY_CITATION_v3_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"/>
          <w:id w:val="1249690765"/>
          <w:placeholder>
            <w:docPart w:val="62496DAB67582A4EBD42E89A63EE83EB"/>
          </w:placeholder>
        </w:sdtPr>
        <w:sdtContent>
          <w:r w:rsidRPr="001E7ECF">
            <w:rPr>
              <w:rFonts w:cs="Times New Roman"/>
              <w:color w:val="000000"/>
              <w:lang w:val="en-GB"/>
            </w:rPr>
            <w:t>[154], [199]</w:t>
          </w:r>
        </w:sdtContent>
      </w:sdt>
      <w:r w:rsidRPr="00322E56">
        <w:rPr>
          <w:rFonts w:cs="Times New Roman"/>
          <w:lang w:val="en-GB"/>
        </w:rPr>
        <w:t xml:space="preserve">. The heating and cooling of the building was based on daily TMY data of the individual climate regions. The resistance values were calculated based on building loads by analysing prebuilt building models in each climate zone from EnergyPlus </w:t>
      </w:r>
      <w:sdt>
        <w:sdtPr>
          <w:rPr>
            <w:rFonts w:cs="Times New Roman"/>
            <w:color w:val="000000"/>
            <w:lang w:val="en-GB"/>
          </w:rPr>
          <w:tag w:val="MENDELEY_CITATION_v3_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"/>
          <w:id w:val="1001553421"/>
          <w:placeholder>
            <w:docPart w:val="62496DAB67582A4EBD42E89A63EE83EB"/>
          </w:placeholder>
        </w:sdtPr>
        <w:sdtContent>
          <w:r w:rsidRPr="001E7ECF">
            <w:rPr>
              <w:rFonts w:cs="Times New Roman"/>
              <w:color w:val="000000"/>
              <w:lang w:val="en-GB"/>
            </w:rPr>
            <w:t>[200]</w:t>
          </w:r>
        </w:sdtContent>
      </w:sdt>
      <w:r w:rsidRPr="00322E56">
        <w:rPr>
          <w:rFonts w:cs="Times New Roman"/>
          <w:lang w:val="en-GB"/>
        </w:rPr>
        <w:t>. The values for a typical 2,500 ft</w:t>
      </w:r>
      <w:r w:rsidRPr="00322E56">
        <w:rPr>
          <w:rFonts w:cs="Times New Roman"/>
          <w:vertAlign w:val="superscript"/>
          <w:lang w:val="en-GB"/>
        </w:rPr>
        <w:t>2</w:t>
      </w:r>
      <w:r w:rsidRPr="00322E56">
        <w:rPr>
          <w:rFonts w:cs="Times New Roman"/>
          <w:lang w:val="en-GB"/>
        </w:rPr>
        <w:t xml:space="preserve"> detached single family home in the United States were assumed as overall heat transfer coefficient; UA = 0.11 kW/K. The building capacitance; </w:t>
      </w:r>
      <w:r w:rsidRPr="00322E56">
        <w:rPr>
          <w:rFonts w:cs="Times New Roman"/>
          <w:i/>
          <w:iCs/>
          <w:lang w:val="en-GB"/>
        </w:rPr>
        <w:t>C</w:t>
      </w:r>
      <w:r w:rsidRPr="00322E56">
        <w:rPr>
          <w:rFonts w:cs="Times New Roman"/>
          <w:vertAlign w:val="subscript"/>
          <w:lang w:val="en-GB"/>
        </w:rPr>
        <w:t>build</w:t>
      </w:r>
      <w:r w:rsidRPr="00322E56">
        <w:rPr>
          <w:rFonts w:cs="Times New Roman"/>
          <w:lang w:val="en-GB"/>
        </w:rPr>
        <w:t xml:space="preserve"> was calculated using Equation 10 with the balance temperature of 15°C. </w:t>
      </w:r>
    </w:p>
    <w:p w14:paraId="26753731" w14:textId="77777777" w:rsidR="00B17E5F" w:rsidRPr="00322E56" w:rsidRDefault="00B17E5F" w:rsidP="009E1703">
      <w:pPr>
        <w:keepNext/>
        <w:jc w:val="center"/>
        <w:rPr>
          <w:rFonts w:cs="Times New Roman"/>
        </w:rPr>
      </w:pPr>
      <w:r w:rsidRPr="00322E56">
        <w:rPr>
          <w:rFonts w:cs="Times New Roman"/>
          <w:noProof/>
        </w:rPr>
        <w:lastRenderedPageBreak/>
        <w:drawing>
          <wp:inline distT="0" distB="0" distL="0" distR="0" wp14:anchorId="652279B2" wp14:editId="76A3A084">
            <wp:extent cx="5486400" cy="2667000"/>
            <wp:effectExtent l="0" t="0" r="0" b="0"/>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486400" cy="2667000"/>
                    </a:xfrm>
                    <a:prstGeom prst="rect">
                      <a:avLst/>
                    </a:prstGeom>
                    <a:noFill/>
                    <a:ln>
                      <a:noFill/>
                    </a:ln>
                  </pic:spPr>
                </pic:pic>
              </a:graphicData>
            </a:graphic>
          </wp:inline>
        </w:drawing>
      </w:r>
    </w:p>
    <w:p w14:paraId="79D325E5" w14:textId="570E4E64" w:rsidR="00B17E5F" w:rsidRPr="00322E56" w:rsidRDefault="00B17E5F" w:rsidP="009E1703">
      <w:pPr>
        <w:pStyle w:val="Caption"/>
        <w:jc w:val="center"/>
        <w:rPr>
          <w:rFonts w:cs="Times New Roman"/>
          <w:lang w:val="en-GB"/>
        </w:rPr>
      </w:pPr>
      <w:bookmarkStart w:id="188" w:name="_Toc140403903"/>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37</w:t>
      </w:r>
      <w:r w:rsidRPr="00322E56">
        <w:rPr>
          <w:rFonts w:cs="Times New Roman"/>
        </w:rPr>
        <w:fldChar w:fldCharType="end"/>
      </w:r>
      <w:r w:rsidRPr="00322E56">
        <w:rPr>
          <w:rFonts w:cs="Times New Roman"/>
        </w:rPr>
        <w:t xml:space="preserve">: </w:t>
      </w:r>
      <w:bookmarkStart w:id="189" w:name="_Hlk133977087"/>
      <w:r w:rsidRPr="00322E56">
        <w:rPr>
          <w:rFonts w:cs="Times New Roman"/>
        </w:rPr>
        <w:t>T-s diagram for cooling cycle</w:t>
      </w:r>
      <w:bookmarkEnd w:id="188"/>
      <w:bookmarkEnd w:id="189"/>
    </w:p>
    <w:p w14:paraId="3461ACE4" w14:textId="77777777" w:rsidR="00B17E5F" w:rsidRPr="00322E56" w:rsidRDefault="00B17E5F">
      <w:pPr>
        <w:spacing w:line="240" w:lineRule="auto"/>
        <w:rPr>
          <w:rFonts w:cs="Times New Roman"/>
          <w:b/>
          <w:bCs/>
          <w:i/>
          <w:szCs w:val="26"/>
          <w:lang w:val="en-GB"/>
        </w:rPr>
      </w:pPr>
      <w:r w:rsidRPr="00322E56">
        <w:rPr>
          <w:rFonts w:cs="Times New Roman"/>
          <w:lang w:val="en-GB"/>
        </w:rPr>
        <w:br w:type="page"/>
      </w:r>
    </w:p>
    <w:p w14:paraId="7EA60560" w14:textId="77777777" w:rsidR="00B17E5F" w:rsidRPr="00322E56" w:rsidRDefault="00B17E5F" w:rsidP="00283179">
      <w:pPr>
        <w:ind w:firstLine="720"/>
        <w:rPr>
          <w:rFonts w:cs="Times New Roman"/>
          <w:lang w:val="en-GB"/>
        </w:rPr>
      </w:pPr>
      <w:r w:rsidRPr="00322E56">
        <w:rPr>
          <w:rFonts w:cs="Times New Roman"/>
          <w:lang w:val="en-GB"/>
        </w:rPr>
        <w:lastRenderedPageBreak/>
        <w:t xml:space="preserve">The heat load on the building from the ambient was calculated simply using the building UA and the difference between balance point temperature and ambient temperature at time </w:t>
      </w:r>
      <w:r w:rsidRPr="00322E56">
        <w:rPr>
          <w:rFonts w:cs="Times New Roman"/>
          <w:i/>
          <w:iCs/>
          <w:lang w:val="en-GB"/>
        </w:rPr>
        <w:t>i</w:t>
      </w:r>
      <w:r w:rsidRPr="00322E56">
        <w:rPr>
          <w:rFonts w:cs="Times New Roman"/>
          <w:lang w:val="en-GB"/>
        </w:rPr>
        <w:t>.</w:t>
      </w:r>
    </w:p>
    <w:p w14:paraId="42293341" w14:textId="77777777" w:rsidR="00B17E5F" w:rsidRPr="00322E56" w:rsidRDefault="00B17E5F" w:rsidP="00115380">
      <w:pPr>
        <w:rPr>
          <w:rFonts w:cs="Times New Roman"/>
          <w:lang w:val="en-GB"/>
        </w:rPr>
      </w:pPr>
      <w:r w:rsidRPr="00322E56">
        <w:rPr>
          <w:rFonts w:cs="Times New Roman"/>
          <w:lang w:val="en-GB"/>
        </w:rPr>
        <w:tab/>
      </w:r>
      <w:r w:rsidRPr="00322E56">
        <w:rPr>
          <w:rFonts w:cs="Times New Roman"/>
          <w:lang w:val="en-GB"/>
        </w:rPr>
        <w:br/>
      </w:r>
      <m:oMathPara>
        <m:oMath>
          <m:eqArr>
            <m:eqArrPr>
              <m:maxDist m:val="1"/>
              <m:ctrlPr>
                <w:rPr>
                  <w:rFonts w:ascii="Cambria Math" w:hAnsi="Cambria Math" w:cs="Times New Roman"/>
                  <w:i/>
                  <w:lang w:val="en-GB"/>
                </w:rPr>
              </m:ctrlPr>
            </m:eqArrPr>
            <m:e>
              <m:sSub>
                <m:sSubPr>
                  <m:ctrlPr>
                    <w:rPr>
                      <w:rFonts w:ascii="Cambria Math" w:hAnsi="Cambria Math" w:cs="Times New Roman"/>
                      <w:i/>
                      <w:lang w:val="en-GB"/>
                    </w:rPr>
                  </m:ctrlPr>
                </m:sSubPr>
                <m:e>
                  <m:r>
                    <w:rPr>
                      <w:rFonts w:ascii="Cambria Math" w:hAnsi="Cambria Math" w:cs="Times New Roman"/>
                      <w:lang w:val="en-GB"/>
                    </w:rPr>
                    <m:t>Q</m:t>
                  </m:r>
                </m:e>
                <m:sub>
                  <m:r>
                    <m:rPr>
                      <m:sty m:val="p"/>
                    </m:rPr>
                    <w:rPr>
                      <w:rFonts w:ascii="Cambria Math" w:hAnsi="Cambria Math" w:cs="Times New Roman"/>
                      <w:lang w:val="en-GB"/>
                    </w:rPr>
                    <m:t>building</m:t>
                  </m:r>
                  <m:r>
                    <w:rPr>
                      <w:rFonts w:ascii="Cambria Math" w:hAnsi="Cambria Math" w:cs="Times New Roman"/>
                      <w:lang w:val="en-GB"/>
                    </w:rPr>
                    <m:t>,i</m:t>
                  </m:r>
                </m:sub>
              </m:sSub>
              <m:r>
                <w:rPr>
                  <w:rFonts w:ascii="Cambria Math" w:hAnsi="Cambria Math" w:cs="Times New Roman"/>
                  <w:lang w:val="en-GB"/>
                </w:rPr>
                <m:t>=UA×</m:t>
              </m:r>
              <m:d>
                <m:dPr>
                  <m:ctrlPr>
                    <w:rPr>
                      <w:rFonts w:ascii="Cambria Math" w:hAnsi="Cambria Math" w:cs="Times New Roman"/>
                      <w:i/>
                      <w:lang w:val="en-GB"/>
                    </w:rPr>
                  </m:ctrlPr>
                </m:dPr>
                <m:e>
                  <m:sSub>
                    <m:sSubPr>
                      <m:ctrlPr>
                        <w:rPr>
                          <w:rFonts w:ascii="Cambria Math" w:hAnsi="Cambria Math" w:cs="Times New Roman"/>
                          <w:i/>
                          <w:lang w:val="en-GB"/>
                        </w:rPr>
                      </m:ctrlPr>
                    </m:sSubPr>
                    <m:e>
                      <m:r>
                        <w:rPr>
                          <w:rFonts w:ascii="Cambria Math" w:hAnsi="Cambria Math" w:cs="Times New Roman"/>
                          <w:lang w:val="en-GB"/>
                        </w:rPr>
                        <m:t>T</m:t>
                      </m:r>
                    </m:e>
                    <m:sub>
                      <m:r>
                        <m:rPr>
                          <m:sty m:val="p"/>
                        </m:rPr>
                        <w:rPr>
                          <w:rFonts w:ascii="Cambria Math" w:hAnsi="Cambria Math" w:cs="Times New Roman"/>
                          <w:lang w:val="en-GB"/>
                        </w:rPr>
                        <m:t>amb</m:t>
                      </m:r>
                      <m:r>
                        <w:rPr>
                          <w:rFonts w:ascii="Cambria Math" w:hAnsi="Cambria Math" w:cs="Times New Roman"/>
                          <w:lang w:val="en-GB"/>
                        </w:rPr>
                        <m:t>,i</m:t>
                      </m:r>
                    </m:sub>
                  </m:sSub>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T</m:t>
                      </m:r>
                    </m:e>
                    <m:sub>
                      <m:r>
                        <m:rPr>
                          <m:sty m:val="p"/>
                        </m:rPr>
                        <w:rPr>
                          <w:rFonts w:ascii="Cambria Math" w:hAnsi="Cambria Math" w:cs="Times New Roman"/>
                          <w:lang w:val="en-GB"/>
                        </w:rPr>
                        <m:t>balance</m:t>
                      </m:r>
                    </m:sub>
                  </m:sSub>
                </m:e>
              </m:d>
              <m:r>
                <w:rPr>
                  <w:rFonts w:ascii="Cambria Math" w:hAnsi="Cambria Math" w:cs="Times New Roman"/>
                  <w:lang w:val="en-GB"/>
                </w:rPr>
                <m:t>#</m:t>
              </m:r>
              <m:d>
                <m:dPr>
                  <m:ctrlPr>
                    <w:rPr>
                      <w:rFonts w:ascii="Cambria Math" w:hAnsi="Cambria Math" w:cs="Times New Roman"/>
                      <w:i/>
                      <w:lang w:val="en-GB"/>
                    </w:rPr>
                  </m:ctrlPr>
                </m:dPr>
                <m:e>
                  <m:r>
                    <w:rPr>
                      <w:rFonts w:ascii="Cambria Math" w:hAnsi="Cambria Math" w:cs="Times New Roman"/>
                      <w:lang w:val="en-GB"/>
                    </w:rPr>
                    <m:t>8</m:t>
                  </m:r>
                </m:e>
              </m:d>
            </m:e>
          </m:eqArr>
        </m:oMath>
      </m:oMathPara>
    </w:p>
    <w:p w14:paraId="41A0165C" w14:textId="77777777" w:rsidR="00B17E5F" w:rsidRPr="00322E56" w:rsidRDefault="00B17E5F" w:rsidP="00283179">
      <w:pPr>
        <w:ind w:firstLine="720"/>
        <w:rPr>
          <w:rFonts w:cs="Times New Roman"/>
          <w:lang w:val="en-GB"/>
        </w:rPr>
      </w:pPr>
      <w:r w:rsidRPr="00322E56">
        <w:rPr>
          <w:rFonts w:cs="Times New Roman"/>
          <w:lang w:val="en-GB"/>
        </w:rPr>
        <w:t xml:space="preserve">The building indoor temperature was set at the set point temperature at the initial time step, and at the next time step </w:t>
      </w:r>
      <w:r w:rsidRPr="00322E56">
        <w:rPr>
          <w:rFonts w:cs="Times New Roman"/>
          <w:i/>
          <w:iCs/>
          <w:lang w:val="en-GB"/>
        </w:rPr>
        <w:t>i</w:t>
      </w:r>
      <w:r w:rsidRPr="00322E56">
        <w:rPr>
          <w:rFonts w:cs="Times New Roman"/>
          <w:lang w:val="en-GB"/>
        </w:rPr>
        <w:t xml:space="preserve"> + 1</w:t>
      </w:r>
      <w:r w:rsidRPr="00322E56">
        <w:rPr>
          <w:rFonts w:cs="Times New Roman"/>
          <w:i/>
          <w:iCs/>
          <w:lang w:val="en-GB"/>
        </w:rPr>
        <w:t>,</w:t>
      </w:r>
      <w:r w:rsidRPr="00322E56">
        <w:rPr>
          <w:rFonts w:cs="Times New Roman"/>
          <w:lang w:val="en-GB"/>
        </w:rPr>
        <w:t xml:space="preserve"> it was found by Equation 6. This equation sums the heat load from the ambient and the heat load from the HP submodel.</w:t>
      </w:r>
      <w:r w:rsidRPr="00322E56">
        <w:rPr>
          <w:rFonts w:cs="Times New Roman"/>
          <w:lang w:val="en-GB"/>
        </w:rPr>
        <w:br/>
      </w:r>
    </w:p>
    <w:p w14:paraId="3586A7C8" w14:textId="77777777" w:rsidR="00B17E5F" w:rsidRPr="00322E56" w:rsidRDefault="00000000" w:rsidP="00C84C92">
      <w:pPr>
        <w:rPr>
          <w:rFonts w:cs="Times New Roman"/>
          <w:lang w:val="en-GB"/>
        </w:rPr>
      </w:pPr>
      <m:oMathPara>
        <m:oMath>
          <m:eqArr>
            <m:eqArrPr>
              <m:maxDist m:val="1"/>
              <m:ctrlPr>
                <w:rPr>
                  <w:rFonts w:ascii="Cambria Math" w:hAnsi="Cambria Math" w:cs="Times New Roman"/>
                  <w:i/>
                  <w:lang w:val="en-GB"/>
                </w:rPr>
              </m:ctrlPr>
            </m:eqArrPr>
            <m:e>
              <m:sSub>
                <m:sSubPr>
                  <m:ctrlPr>
                    <w:rPr>
                      <w:rFonts w:ascii="Cambria Math" w:hAnsi="Cambria Math" w:cs="Times New Roman"/>
                      <w:i/>
                      <w:lang w:val="en-GB"/>
                    </w:rPr>
                  </m:ctrlPr>
                </m:sSubPr>
                <m:e>
                  <m:r>
                    <w:rPr>
                      <w:rFonts w:ascii="Cambria Math" w:hAnsi="Cambria Math" w:cs="Times New Roman"/>
                      <w:lang w:val="en-GB"/>
                    </w:rPr>
                    <m:t>T</m:t>
                  </m:r>
                </m:e>
                <m:sub>
                  <m:r>
                    <w:rPr>
                      <w:rFonts w:ascii="Cambria Math" w:hAnsi="Cambria Math" w:cs="Times New Roman"/>
                      <w:lang w:val="en-GB"/>
                    </w:rPr>
                    <m:t>b</m:t>
                  </m:r>
                  <m:r>
                    <m:rPr>
                      <m:sty m:val="p"/>
                    </m:rPr>
                    <w:rPr>
                      <w:rFonts w:ascii="Cambria Math" w:hAnsi="Cambria Math" w:cs="Times New Roman"/>
                      <w:lang w:val="en-GB"/>
                    </w:rPr>
                    <m:t>uilding</m:t>
                  </m:r>
                  <m:r>
                    <w:rPr>
                      <w:rFonts w:ascii="Cambria Math" w:hAnsi="Cambria Math" w:cs="Times New Roman"/>
                      <w:lang w:val="en-GB"/>
                    </w:rPr>
                    <m:t>,i+1</m:t>
                  </m:r>
                </m:sub>
              </m:sSub>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T</m:t>
                  </m:r>
                </m:e>
                <m:sub>
                  <m:r>
                    <m:rPr>
                      <m:sty m:val="p"/>
                    </m:rPr>
                    <w:rPr>
                      <w:rFonts w:ascii="Cambria Math" w:hAnsi="Cambria Math" w:cs="Times New Roman"/>
                      <w:lang w:val="en-GB"/>
                    </w:rPr>
                    <m:t>building</m:t>
                  </m:r>
                  <m:r>
                    <w:rPr>
                      <w:rFonts w:ascii="Cambria Math" w:hAnsi="Cambria Math" w:cs="Times New Roman"/>
                      <w:lang w:val="en-GB"/>
                    </w:rPr>
                    <m:t>,i</m:t>
                  </m:r>
                </m:sub>
              </m:sSub>
              <m:r>
                <w:rPr>
                  <w:rFonts w:ascii="Cambria Math" w:hAnsi="Cambria Math" w:cs="Times New Roman"/>
                  <w:lang w:val="en-GB"/>
                </w:rPr>
                <m:t>-</m:t>
              </m:r>
              <m:f>
                <m:fPr>
                  <m:ctrlPr>
                    <w:rPr>
                      <w:rFonts w:ascii="Cambria Math" w:hAnsi="Cambria Math" w:cs="Times New Roman"/>
                      <w:i/>
                      <w:lang w:val="en-GB"/>
                    </w:rPr>
                  </m:ctrlPr>
                </m:fPr>
                <m:num>
                  <m:d>
                    <m:dPr>
                      <m:ctrlPr>
                        <w:rPr>
                          <w:rFonts w:ascii="Cambria Math" w:hAnsi="Cambria Math" w:cs="Times New Roman"/>
                          <w:i/>
                          <w:lang w:val="en-GB"/>
                        </w:rPr>
                      </m:ctrlPr>
                    </m:dPr>
                    <m:e>
                      <m:sSub>
                        <m:sSubPr>
                          <m:ctrlPr>
                            <w:rPr>
                              <w:rFonts w:ascii="Cambria Math" w:hAnsi="Cambria Math" w:cs="Times New Roman"/>
                              <w:i/>
                              <w:lang w:val="en-GB"/>
                            </w:rPr>
                          </m:ctrlPr>
                        </m:sSubPr>
                        <m:e>
                          <m:r>
                            <w:rPr>
                              <w:rFonts w:ascii="Cambria Math" w:hAnsi="Cambria Math" w:cs="Times New Roman"/>
                              <w:lang w:val="en-GB"/>
                            </w:rPr>
                            <m:t>Q</m:t>
                          </m:r>
                        </m:e>
                        <m:sub>
                          <m:r>
                            <m:rPr>
                              <m:sty m:val="p"/>
                            </m:rPr>
                            <w:rPr>
                              <w:rFonts w:ascii="Cambria Math" w:hAnsi="Cambria Math" w:cs="Times New Roman"/>
                              <w:lang w:val="en-GB"/>
                            </w:rPr>
                            <m:t>heat,pump</m:t>
                          </m:r>
                        </m:sub>
                      </m:sSub>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Q</m:t>
                          </m:r>
                        </m:e>
                        <m:sub>
                          <m:r>
                            <m:rPr>
                              <m:sty m:val="p"/>
                            </m:rPr>
                            <w:rPr>
                              <w:rFonts w:ascii="Cambria Math" w:hAnsi="Cambria Math" w:cs="Times New Roman"/>
                              <w:lang w:val="en-GB"/>
                            </w:rPr>
                            <m:t>building</m:t>
                          </m:r>
                          <m:r>
                            <w:rPr>
                              <w:rFonts w:ascii="Cambria Math" w:hAnsi="Cambria Math" w:cs="Times New Roman"/>
                              <w:lang w:val="en-GB"/>
                            </w:rPr>
                            <m:t>,i</m:t>
                          </m:r>
                        </m:sub>
                      </m:sSub>
                    </m:e>
                  </m:d>
                </m:num>
                <m:den>
                  <m:sSub>
                    <m:sSubPr>
                      <m:ctrlPr>
                        <w:rPr>
                          <w:rFonts w:ascii="Cambria Math" w:hAnsi="Cambria Math" w:cs="Times New Roman"/>
                          <w:i/>
                          <w:lang w:val="en-GB"/>
                        </w:rPr>
                      </m:ctrlPr>
                    </m:sSubPr>
                    <m:e>
                      <m:r>
                        <w:rPr>
                          <w:rFonts w:ascii="Cambria Math" w:hAnsi="Cambria Math" w:cs="Times New Roman"/>
                          <w:lang w:val="en-GB"/>
                        </w:rPr>
                        <m:t>C</m:t>
                      </m:r>
                    </m:e>
                    <m:sub>
                      <m:r>
                        <m:rPr>
                          <m:sty m:val="p"/>
                        </m:rPr>
                        <w:rPr>
                          <w:rFonts w:ascii="Cambria Math" w:hAnsi="Cambria Math" w:cs="Times New Roman"/>
                          <w:lang w:val="en-GB"/>
                        </w:rPr>
                        <m:t>build</m:t>
                      </m:r>
                    </m:sub>
                  </m:sSub>
                </m:den>
              </m:f>
              <m:r>
                <w:rPr>
                  <w:rFonts w:ascii="Cambria Math" w:hAnsi="Cambria Math" w:cs="Times New Roman"/>
                  <w:lang w:val="en-GB"/>
                </w:rPr>
                <m:t>×dt#</m:t>
              </m:r>
              <m:d>
                <m:dPr>
                  <m:ctrlPr>
                    <w:rPr>
                      <w:rFonts w:ascii="Cambria Math" w:hAnsi="Cambria Math" w:cs="Times New Roman"/>
                      <w:i/>
                      <w:lang w:val="en-GB"/>
                    </w:rPr>
                  </m:ctrlPr>
                </m:dPr>
                <m:e>
                  <m:r>
                    <w:rPr>
                      <w:rFonts w:ascii="Cambria Math" w:hAnsi="Cambria Math" w:cs="Times New Roman"/>
                      <w:lang w:val="en-GB"/>
                    </w:rPr>
                    <m:t>9</m:t>
                  </m:r>
                </m:e>
              </m:d>
            </m:e>
          </m:eqArr>
        </m:oMath>
      </m:oMathPara>
    </w:p>
    <w:p w14:paraId="09DF6DC4" w14:textId="77777777" w:rsidR="00B17E5F" w:rsidRPr="00322E56" w:rsidRDefault="00B17E5F" w:rsidP="00C84C92">
      <w:pPr>
        <w:rPr>
          <w:rFonts w:cs="Times New Roman"/>
          <w:lang w:val="en-GB"/>
        </w:rPr>
      </w:pPr>
    </w:p>
    <w:p w14:paraId="5B829DF7" w14:textId="77777777" w:rsidR="00B17E5F" w:rsidRPr="00322E56" w:rsidRDefault="00000000" w:rsidP="00115380">
      <w:pPr>
        <w:rPr>
          <w:rFonts w:cs="Times New Roman"/>
          <w:lang w:val="en-GB"/>
        </w:rPr>
      </w:pPr>
      <m:oMathPara>
        <m:oMath>
          <m:eqArr>
            <m:eqArrPr>
              <m:maxDist m:val="1"/>
              <m:ctrlPr>
                <w:rPr>
                  <w:rFonts w:ascii="Cambria Math" w:hAnsi="Cambria Math" w:cs="Times New Roman"/>
                  <w:i/>
                  <w:lang w:val="en-GB"/>
                </w:rPr>
              </m:ctrlPr>
            </m:eqArrPr>
            <m:e>
              <m:sSub>
                <m:sSubPr>
                  <m:ctrlPr>
                    <w:rPr>
                      <w:rFonts w:ascii="Cambria Math" w:hAnsi="Cambria Math" w:cs="Times New Roman"/>
                      <w:i/>
                      <w:lang w:val="en-GB"/>
                    </w:rPr>
                  </m:ctrlPr>
                </m:sSubPr>
                <m:e>
                  <m:r>
                    <w:rPr>
                      <w:rFonts w:ascii="Cambria Math" w:hAnsi="Cambria Math" w:cs="Times New Roman"/>
                      <w:lang w:val="en-GB"/>
                    </w:rPr>
                    <m:t>C</m:t>
                  </m:r>
                </m:e>
                <m:sub>
                  <m:r>
                    <w:rPr>
                      <w:rFonts w:ascii="Cambria Math" w:hAnsi="Cambria Math" w:cs="Times New Roman"/>
                      <w:lang w:val="en-GB"/>
                    </w:rPr>
                    <m:t>b</m:t>
                  </m:r>
                  <m:r>
                    <m:rPr>
                      <m:sty m:val="p"/>
                    </m:rPr>
                    <w:rPr>
                      <w:rFonts w:ascii="Cambria Math" w:hAnsi="Cambria Math" w:cs="Times New Roman"/>
                      <w:lang w:val="en-GB"/>
                    </w:rPr>
                    <m:t>uild</m:t>
                  </m:r>
                </m:sub>
              </m:sSub>
              <m:r>
                <w:rPr>
                  <w:rFonts w:ascii="Cambria Math" w:hAnsi="Cambria Math" w:cs="Times New Roman"/>
                  <w:lang w:val="en-GB"/>
                </w:rPr>
                <m:t>=</m:t>
              </m:r>
              <m:sSup>
                <m:sSupPr>
                  <m:ctrlPr>
                    <w:rPr>
                      <w:rFonts w:ascii="Cambria Math" w:hAnsi="Cambria Math" w:cs="Times New Roman"/>
                      <w:lang w:val="en-GB"/>
                    </w:rPr>
                  </m:ctrlPr>
                </m:sSupPr>
                <m:e>
                  <m:r>
                    <w:rPr>
                      <w:rFonts w:ascii="Cambria Math" w:hAnsi="Cambria Math" w:cs="Times New Roman"/>
                      <w:lang w:val="en-GB"/>
                    </w:rPr>
                    <m:t>m</m:t>
                  </m:r>
                </m:e>
                <m:sup>
                  <m:r>
                    <m:rPr>
                      <m:sty m:val="p"/>
                    </m:rPr>
                    <w:rPr>
                      <w:rFonts w:ascii="Cambria Math" w:hAnsi="Cambria Math" w:cs="Times New Roman"/>
                      <w:lang w:val="en-GB"/>
                    </w:rPr>
                    <m:t>*</m:t>
                  </m:r>
                </m:sup>
              </m:sSup>
              <m:r>
                <m:rPr>
                  <m:sty m:val="p"/>
                </m:rPr>
                <w:rPr>
                  <w:rFonts w:ascii="Cambria Math" w:hAnsi="Cambria Math" w:cs="Times New Roman"/>
                  <w:lang w:val="en-GB"/>
                </w:rPr>
                <m:t xml:space="preserve"> </m:t>
              </m:r>
              <m:sSub>
                <m:sSubPr>
                  <m:ctrlPr>
                    <w:rPr>
                      <w:rFonts w:ascii="Cambria Math" w:hAnsi="Cambria Math" w:cs="Times New Roman"/>
                      <w:lang w:val="en-GB"/>
                    </w:rPr>
                  </m:ctrlPr>
                </m:sSubPr>
                <m:e>
                  <m:r>
                    <w:rPr>
                      <w:rFonts w:ascii="Cambria Math" w:hAnsi="Cambria Math" w:cs="Times New Roman"/>
                      <w:lang w:val="en-GB"/>
                    </w:rPr>
                    <m:t>C</m:t>
                  </m:r>
                </m:e>
                <m:sub>
                  <m:r>
                    <w:rPr>
                      <w:rFonts w:ascii="Cambria Math" w:hAnsi="Cambria Math" w:cs="Times New Roman"/>
                      <w:lang w:val="en-GB"/>
                    </w:rPr>
                    <m:t>p</m:t>
                  </m:r>
                </m:sub>
              </m:sSub>
              <m:r>
                <w:rPr>
                  <w:rFonts w:ascii="Cambria Math" w:hAnsi="Cambria Math" w:cs="Times New Roman"/>
                  <w:lang w:val="en-GB"/>
                </w:rPr>
                <m:t>×dt#</m:t>
              </m:r>
              <m:d>
                <m:dPr>
                  <m:ctrlPr>
                    <w:rPr>
                      <w:rFonts w:ascii="Cambria Math" w:hAnsi="Cambria Math" w:cs="Times New Roman"/>
                      <w:i/>
                      <w:lang w:val="en-GB"/>
                    </w:rPr>
                  </m:ctrlPr>
                </m:dPr>
                <m:e>
                  <m:r>
                    <w:rPr>
                      <w:rFonts w:ascii="Cambria Math" w:hAnsi="Cambria Math" w:cs="Times New Roman"/>
                      <w:lang w:val="en-GB"/>
                    </w:rPr>
                    <m:t>10</m:t>
                  </m:r>
                </m:e>
              </m:d>
            </m:e>
          </m:eqArr>
        </m:oMath>
      </m:oMathPara>
    </w:p>
    <w:p w14:paraId="3CF2FB8D" w14:textId="77777777" w:rsidR="00B17E5F" w:rsidRPr="00322E56" w:rsidRDefault="00B17E5F" w:rsidP="00C84C92">
      <w:pPr>
        <w:rPr>
          <w:rFonts w:cs="Times New Roman"/>
          <w:lang w:val="en-GB"/>
        </w:rPr>
      </w:pPr>
      <w:r w:rsidRPr="00322E56">
        <w:rPr>
          <w:rFonts w:cs="Times New Roman"/>
          <w:lang w:val="en-GB"/>
        </w:rPr>
        <w:t>Humidity was not considered in this model. Future iterations of this analysis may improve on the building model.</w:t>
      </w:r>
    </w:p>
    <w:p w14:paraId="50A91C80" w14:textId="77777777" w:rsidR="00B17E5F" w:rsidRPr="00322E56" w:rsidRDefault="00B17E5F" w:rsidP="00C84C92">
      <w:pPr>
        <w:pStyle w:val="Heading2"/>
        <w:rPr>
          <w:rFonts w:cs="Times New Roman"/>
          <w:lang w:val="en-GB"/>
        </w:rPr>
      </w:pPr>
      <w:bookmarkStart w:id="190" w:name="_Toc140399886"/>
      <w:r w:rsidRPr="00322E56">
        <w:rPr>
          <w:rFonts w:cs="Times New Roman"/>
          <w:lang w:val="en-GB"/>
        </w:rPr>
        <w:t>Results</w:t>
      </w:r>
      <w:bookmarkEnd w:id="190"/>
    </w:p>
    <w:p w14:paraId="02B730E5" w14:textId="77777777" w:rsidR="00B17E5F" w:rsidRPr="00322E56" w:rsidRDefault="00B17E5F" w:rsidP="00C84C92">
      <w:pPr>
        <w:rPr>
          <w:rFonts w:cs="Times New Roman"/>
          <w:vertAlign w:val="subscript"/>
          <w:lang w:val="en-GB"/>
        </w:rPr>
      </w:pPr>
      <w:r w:rsidRPr="00322E56">
        <w:rPr>
          <w:rFonts w:cs="Times New Roman"/>
          <w:lang w:val="en-GB"/>
        </w:rPr>
        <w:t>The PCT and TES storage capacity (</w:t>
      </w:r>
      <w:r w:rsidRPr="00322E56">
        <w:rPr>
          <w:rFonts w:cs="Times New Roman"/>
          <w:i/>
          <w:iCs/>
          <w:lang w:val="en-GB"/>
        </w:rPr>
        <w:t>E</w:t>
      </w:r>
      <w:r w:rsidRPr="00322E56">
        <w:rPr>
          <w:rFonts w:cs="Times New Roman"/>
          <w:vertAlign w:val="subscript"/>
          <w:lang w:val="en-GB"/>
        </w:rPr>
        <w:t>PCM</w:t>
      </w:r>
      <w:r w:rsidRPr="00322E56">
        <w:rPr>
          <w:rFonts w:cs="Times New Roman"/>
          <w:lang w:val="en-GB"/>
        </w:rPr>
        <w:t xml:space="preserve">) were varied parametrically to evaluate their effect on utility cost, electric consumption and peak consumption for a year. PCT was varied from 5°C to 45°C and </w:t>
      </w:r>
      <w:r w:rsidRPr="00322E56">
        <w:rPr>
          <w:rFonts w:cs="Times New Roman"/>
          <w:i/>
          <w:iCs/>
          <w:lang w:val="en-GB"/>
        </w:rPr>
        <w:t>E</w:t>
      </w:r>
      <w:r w:rsidRPr="00322E56">
        <w:rPr>
          <w:rFonts w:cs="Times New Roman"/>
          <w:vertAlign w:val="subscript"/>
          <w:lang w:val="en-GB"/>
        </w:rPr>
        <w:t>PCM</w:t>
      </w:r>
      <w:r w:rsidRPr="00322E56">
        <w:rPr>
          <w:rFonts w:cs="Times New Roman"/>
          <w:lang w:val="en-GB"/>
        </w:rPr>
        <w:t xml:space="preserve"> from 5.56 to 47.2 kWh (20 to 170 MJ). Three locations in the United States were simulated. </w:t>
      </w:r>
    </w:p>
    <w:p w14:paraId="48DB853A" w14:textId="77777777" w:rsidR="00B17E5F" w:rsidRPr="00322E56" w:rsidRDefault="00B17E5F" w:rsidP="00C84C92">
      <w:pPr>
        <w:rPr>
          <w:rFonts w:cs="Times New Roman"/>
          <w:lang w:val="en-GB"/>
        </w:rPr>
      </w:pPr>
      <w:r w:rsidRPr="00322E56">
        <w:rPr>
          <w:rFonts w:cs="Times New Roman"/>
          <w:lang w:val="en-GB"/>
        </w:rPr>
        <w:t xml:space="preserve">In the following sections, results are presented for each location for annual electricity energy consumption, annual electricity consumed during peak hours and annual electric utility cost. Note that the scale on the vertical axis changes for each location. Each line in a figure corresponds to a different energy storage capacity of the TES, and winter and summer seasons were plotted separately. Baseline is the case where no TES was present, and the system operated as a conventional air source HP system. </w:t>
      </w:r>
    </w:p>
    <w:p w14:paraId="2892D937" w14:textId="77777777" w:rsidR="00B17E5F" w:rsidRPr="00322E56" w:rsidRDefault="00B17E5F" w:rsidP="00C84C92">
      <w:pPr>
        <w:rPr>
          <w:rFonts w:cs="Times New Roman"/>
          <w:lang w:val="en-GB"/>
        </w:rPr>
      </w:pPr>
      <w:r w:rsidRPr="00322E56">
        <w:rPr>
          <w:rFonts w:cs="Times New Roman"/>
          <w:lang w:val="en-GB"/>
        </w:rPr>
        <w:lastRenderedPageBreak/>
        <w:t>For utility cost analysis, the TES case used the TOU tariff, and there were two baseline cases. The primary baseline was the no-TES case, where a standard utility tariff (non-TOU) was implemented; the additional baseline was the no-TES case with a TOU tariff. For each location, TOU and non-TOU tariffs are mentioned in Table 15. The utility costs were the only energy consumption charges associated with space conditioning. This study excluded connection and base service charges.</w:t>
      </w:r>
    </w:p>
    <w:p w14:paraId="24A3E6FA" w14:textId="77777777" w:rsidR="00B17E5F" w:rsidRPr="00322E56" w:rsidRDefault="00B17E5F" w:rsidP="001B3780">
      <w:pPr>
        <w:pStyle w:val="Heading3"/>
        <w:rPr>
          <w:rFonts w:cs="Times New Roman"/>
          <w:lang w:val="en-GB"/>
        </w:rPr>
      </w:pPr>
      <w:bookmarkStart w:id="191" w:name="_Toc140399887"/>
      <w:r w:rsidRPr="00322E56">
        <w:rPr>
          <w:rFonts w:cs="Times New Roman"/>
          <w:lang w:val="en-GB"/>
        </w:rPr>
        <w:t>Birmingham, Alabama</w:t>
      </w:r>
      <w:bookmarkEnd w:id="191"/>
    </w:p>
    <w:p w14:paraId="3EE0D00C" w14:textId="77777777" w:rsidR="00B17E5F" w:rsidRPr="00322E56" w:rsidRDefault="00B17E5F" w:rsidP="00C84C92">
      <w:pPr>
        <w:rPr>
          <w:rFonts w:cs="Times New Roman"/>
          <w:lang w:val="en-GB"/>
        </w:rPr>
      </w:pPr>
      <w:r w:rsidRPr="00322E56">
        <w:rPr>
          <w:rFonts w:cs="Times New Roman"/>
          <w:lang w:val="en-GB"/>
        </w:rPr>
        <w:t xml:space="preserve">Birmingham is in ASHRAE climate zone 3A (warm and humid climate). Figure 35 shows the results for electricity consumption during peak times for winter and summer (as defined by utility tariff). The winter months simulated were those in which a winter TOU tariff was active for the local utility (October–May), and the summer months simulated were the months in which a summer TOU tariff was active (June–September). </w:t>
      </w:r>
    </w:p>
    <w:p w14:paraId="519A4449" w14:textId="77777777" w:rsidR="00B17E5F" w:rsidRPr="00322E56" w:rsidRDefault="00B17E5F" w:rsidP="00C84C92">
      <w:pPr>
        <w:rPr>
          <w:rFonts w:cs="Times New Roman"/>
          <w:lang w:val="en-GB"/>
        </w:rPr>
      </w:pPr>
      <w:r w:rsidRPr="00322E56">
        <w:rPr>
          <w:rFonts w:cs="Times New Roman"/>
          <w:lang w:val="en-GB"/>
        </w:rPr>
        <w:t xml:space="preserve">The TES with a larger storage capacity allowed for more demand shift from on-peak to off-peak hours, with diminishing returns once the TES capacity equalled the daily building thermal loads experienced during the most extreme ambient conditions. </w:t>
      </w:r>
    </w:p>
    <w:p w14:paraId="263A7BE3" w14:textId="77777777" w:rsidR="00B17E5F" w:rsidRPr="00322E56" w:rsidRDefault="00B17E5F" w:rsidP="00C84C92">
      <w:pPr>
        <w:rPr>
          <w:rFonts w:cs="Times New Roman"/>
          <w:lang w:val="en-GB"/>
        </w:rPr>
      </w:pPr>
      <w:r w:rsidRPr="00322E56">
        <w:rPr>
          <w:rFonts w:cs="Times New Roman"/>
          <w:lang w:val="en-GB"/>
        </w:rPr>
        <w:t xml:space="preserve">At PCT below 20°C for cooling, the peak energy consumption was consistent. This consistency was because the study assumed a constant COP when the source was hotter than the sink. Above 20°C shows decreasing benefits as the PCM temperature increased, and as it approached 35°C, the TES consumed more energy than the baseline. This increase was because the control strategy only depended on peak time, which was defined by the TOU rate; it did not depend on ambient weather. At 35°C, the peak energy consumption was the same regardless of the size. This lack of change was because 32°C–35°C was the average ambient temperature during summer peak hours, and discharging TES for cooling at 32°C–35°C was expected to be equivalent to or worse than the baseline. As PCT further increases, there was a penalty to discharge the system when TES becomes even hotter than the ambient; the TES consumed more energy than the baseline. Hence, TES was not </w:t>
      </w:r>
      <w:r w:rsidRPr="00322E56">
        <w:rPr>
          <w:rFonts w:cs="Times New Roman"/>
          <w:lang w:val="en-GB"/>
        </w:rPr>
        <w:lastRenderedPageBreak/>
        <w:t>effective if PCT was closer to or hotter than the ambient. PCT of 20°C saved maximum energy for the cooling season, and 35°C was ideal for heating.</w:t>
      </w:r>
    </w:p>
    <w:p w14:paraId="2CAF855D" w14:textId="77777777" w:rsidR="00B17E5F" w:rsidRDefault="00B17E5F" w:rsidP="00C84C92">
      <w:pPr>
        <w:rPr>
          <w:rFonts w:cs="Times New Roman"/>
          <w:lang w:val="en-GB"/>
        </w:rPr>
      </w:pPr>
      <w:r w:rsidRPr="00322E56">
        <w:rPr>
          <w:rFonts w:cs="Times New Roman"/>
          <w:lang w:val="en-GB"/>
        </w:rPr>
        <w:t>Figure 38 shows seasonal results. Throughout the year, using a single PCM with 20°C PCT and TES with 47.2 kWh (170 MJ) storage capacity, the annual reduction in energy consumption during on-peak hours was 70.5% (517 kWh/year baseline vs. 152 kWh/year with TES). In the TES case, the cumulative energy consumption during on-peak hours was 152 kWh/year (not shown in figure). Compared with the baseline, 365 kWh/year energy consumption was shifted from on-peak to off-peak hours.</w:t>
      </w:r>
    </w:p>
    <w:p w14:paraId="2D40D22B" w14:textId="77777777" w:rsidR="00B25AF0" w:rsidRDefault="00B25AF0" w:rsidP="00B25AF0">
      <w:pPr>
        <w:rPr>
          <w:rFonts w:cs="Times New Roman"/>
          <w:lang w:val="en-GB"/>
        </w:rPr>
      </w:pPr>
      <w:r w:rsidRPr="00322E56">
        <w:rPr>
          <w:rFonts w:cs="Times New Roman"/>
          <w:lang w:val="en-GB"/>
        </w:rPr>
        <w:t xml:space="preserve">Figure 39 shows summer and winter energy consumption associated with space conditioning as a function of PCT for different TES sizes. Percent cooling energy savings were highest with a PCT of 20°C and </w:t>
      </w:r>
      <w:bookmarkStart w:id="192" w:name="_Hlk124853773"/>
      <w:r w:rsidRPr="00322E56">
        <w:rPr>
          <w:rFonts w:cs="Times New Roman"/>
          <w:lang w:val="en-GB"/>
        </w:rPr>
        <w:t xml:space="preserve">energy storage capacity of 33.3 kWh (120 MJ). </w:t>
      </w:r>
      <w:bookmarkEnd w:id="192"/>
      <w:r w:rsidRPr="00322E56">
        <w:rPr>
          <w:rFonts w:cs="Times New Roman"/>
          <w:lang w:val="en-GB"/>
        </w:rPr>
        <w:t>During summers, at 20°C, the smallest TES consumed more energy than the baseline. This increase was because of the suboptimal rule-based control strategy, which did not account for ambient temperature in charging decision-making. TES was charging even when it was hot outside, and that hurt the charging-discharging cycle efficiency of the TES, resulting in more energy consumption. This effect was less prominent in a larger TES because it took longer for the larger TES to charge. For the cooling season, a larger TES experienced the charging process further into the evening when the ambient temperature naturally dropped. Cooling energy savings were observed only when the PCT was between 15°C and 25°C. It is unfavorable to use TES at temperatures far from the indoor temperature. The smallest 5.56 kWh (20 MJ) TES consumed less energy than the larger TES at extreme temperatures because the smallest did not get used as much.</w:t>
      </w:r>
    </w:p>
    <w:p w14:paraId="792BD35F" w14:textId="77777777" w:rsidR="00B25AF0" w:rsidRPr="00322E56" w:rsidRDefault="00B25AF0" w:rsidP="00B25AF0">
      <w:pPr>
        <w:rPr>
          <w:rFonts w:cs="Times New Roman"/>
          <w:lang w:val="en-GB"/>
        </w:rPr>
      </w:pPr>
      <w:bookmarkStart w:id="193" w:name="_Hlk126016455"/>
      <w:r w:rsidRPr="00322E56">
        <w:rPr>
          <w:rFonts w:cs="Times New Roman"/>
          <w:lang w:val="en-GB"/>
        </w:rPr>
        <w:t>The heating results are more consistent and do not deviate as much at extreme temperatures because Birmingham is a cooling-dominated climate. The ambient temperatures were not that extreme for frequent unfavorable charging, and even 70 MJ TES in this case could fulfil the heating demand at 35°C PCT.</w:t>
      </w:r>
    </w:p>
    <w:bookmarkEnd w:id="193"/>
    <w:p w14:paraId="649C08B7" w14:textId="2158CF09" w:rsidR="00B17E5F" w:rsidRPr="00322E56" w:rsidRDefault="00B17E5F" w:rsidP="00B25AF0">
      <w:pPr>
        <w:spacing w:line="240" w:lineRule="auto"/>
        <w:ind w:firstLine="0"/>
        <w:rPr>
          <w:rFonts w:cs="Times New Roman"/>
          <w:lang w:val="en-GB"/>
        </w:rPr>
      </w:pPr>
    </w:p>
    <w:p w14:paraId="51073CB4" w14:textId="77777777" w:rsidR="00B17E5F" w:rsidRPr="00322E56" w:rsidRDefault="00B17E5F" w:rsidP="00115380">
      <w:pPr>
        <w:keepNext/>
        <w:ind w:firstLine="0"/>
        <w:jc w:val="center"/>
        <w:rPr>
          <w:rFonts w:cs="Times New Roman"/>
        </w:rPr>
      </w:pPr>
      <w:r w:rsidRPr="00322E56">
        <w:rPr>
          <w:rFonts w:cs="Times New Roman"/>
          <w:noProof/>
          <w:lang w:val="en-GB"/>
        </w:rPr>
        <w:lastRenderedPageBreak/>
        <w:drawing>
          <wp:inline distT="0" distB="0" distL="0" distR="0" wp14:anchorId="7E51D5A5" wp14:editId="247E1826">
            <wp:extent cx="5363042" cy="3331029"/>
            <wp:effectExtent l="0" t="0" r="0" b="3175"/>
            <wp:docPr id="22" name="Picture 2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line chart&#10;&#10;Description automatically generated"/>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366101" cy="3332929"/>
                    </a:xfrm>
                    <a:prstGeom prst="rect">
                      <a:avLst/>
                    </a:prstGeom>
                    <a:noFill/>
                  </pic:spPr>
                </pic:pic>
              </a:graphicData>
            </a:graphic>
          </wp:inline>
        </w:drawing>
      </w:r>
    </w:p>
    <w:p w14:paraId="1DB0B8A2" w14:textId="01ADEC6D" w:rsidR="00B17E5F" w:rsidRPr="00322E56" w:rsidRDefault="00B17E5F" w:rsidP="00C75EFA">
      <w:pPr>
        <w:pStyle w:val="Caption"/>
        <w:jc w:val="center"/>
        <w:rPr>
          <w:rFonts w:cs="Times New Roman"/>
        </w:rPr>
      </w:pPr>
      <w:bookmarkStart w:id="194" w:name="_Toc140403904"/>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38</w:t>
      </w:r>
      <w:r w:rsidRPr="00322E56">
        <w:rPr>
          <w:rFonts w:cs="Times New Roman"/>
        </w:rPr>
        <w:fldChar w:fldCharType="end"/>
      </w:r>
      <w:r w:rsidRPr="00322E56">
        <w:rPr>
          <w:rFonts w:cs="Times New Roman"/>
        </w:rPr>
        <w:t>: Birmingham results for peak energy consumption.</w:t>
      </w:r>
      <w:bookmarkEnd w:id="194"/>
    </w:p>
    <w:p w14:paraId="39A3DE9D" w14:textId="77777777" w:rsidR="00B25AF0" w:rsidRPr="00322E56" w:rsidRDefault="00B17E5F" w:rsidP="00B25AF0">
      <w:pPr>
        <w:keepNext/>
        <w:ind w:firstLine="0"/>
        <w:jc w:val="center"/>
        <w:rPr>
          <w:rFonts w:cs="Times New Roman"/>
        </w:rPr>
      </w:pPr>
      <w:r w:rsidRPr="00322E56">
        <w:rPr>
          <w:rFonts w:cs="Times New Roman"/>
          <w:lang w:val="en-GB"/>
        </w:rPr>
        <w:br w:type="page"/>
      </w:r>
      <w:r w:rsidR="00B25AF0" w:rsidRPr="00322E56">
        <w:rPr>
          <w:rFonts w:cs="Times New Roman"/>
          <w:noProof/>
          <w:color w:val="0D0D0D" w:themeColor="text1" w:themeTint="F2"/>
          <w:lang w:val="en-GB"/>
        </w:rPr>
        <w:lastRenderedPageBreak/>
        <w:drawing>
          <wp:inline distT="0" distB="0" distL="0" distR="0" wp14:anchorId="2FE1B921" wp14:editId="0187EFD3">
            <wp:extent cx="5610589" cy="3489649"/>
            <wp:effectExtent l="0" t="0" r="0" b="0"/>
            <wp:docPr id="23" name="Picture 2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10;&#10;Description automatically generated"/>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615873" cy="3492935"/>
                    </a:xfrm>
                    <a:prstGeom prst="rect">
                      <a:avLst/>
                    </a:prstGeom>
                    <a:noFill/>
                  </pic:spPr>
                </pic:pic>
              </a:graphicData>
            </a:graphic>
          </wp:inline>
        </w:drawing>
      </w:r>
    </w:p>
    <w:p w14:paraId="5EA00D77" w14:textId="0C8465A6" w:rsidR="00B25AF0" w:rsidRPr="00322E56" w:rsidRDefault="00B25AF0" w:rsidP="00B25AF0">
      <w:pPr>
        <w:pStyle w:val="Caption"/>
        <w:jc w:val="center"/>
        <w:rPr>
          <w:rFonts w:cs="Times New Roman"/>
        </w:rPr>
      </w:pPr>
      <w:bookmarkStart w:id="195" w:name="_Toc140403905"/>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39</w:t>
      </w:r>
      <w:r w:rsidRPr="00322E56">
        <w:rPr>
          <w:rFonts w:cs="Times New Roman"/>
        </w:rPr>
        <w:fldChar w:fldCharType="end"/>
      </w:r>
      <w:r w:rsidRPr="00322E56">
        <w:rPr>
          <w:rFonts w:cs="Times New Roman"/>
        </w:rPr>
        <w:t>: Birmingham results for energy consumption.</w:t>
      </w:r>
      <w:bookmarkEnd w:id="195"/>
    </w:p>
    <w:p w14:paraId="6BF5D225" w14:textId="508BCD2D" w:rsidR="00B17E5F" w:rsidRPr="00322E56" w:rsidRDefault="00B25AF0" w:rsidP="00B25AF0">
      <w:pPr>
        <w:spacing w:before="0" w:line="240" w:lineRule="auto"/>
        <w:ind w:firstLine="0"/>
        <w:jc w:val="left"/>
        <w:rPr>
          <w:rFonts w:cs="Times New Roman"/>
          <w:lang w:val="en-GB"/>
        </w:rPr>
      </w:pPr>
      <w:r>
        <w:rPr>
          <w:rFonts w:cs="Times New Roman"/>
          <w:lang w:val="en-GB"/>
        </w:rPr>
        <w:br w:type="page"/>
      </w:r>
    </w:p>
    <w:p w14:paraId="63FFFDFE" w14:textId="3E2CAD1D" w:rsidR="00B17E5F" w:rsidRPr="00322E56" w:rsidRDefault="00B17E5F" w:rsidP="00B25AF0">
      <w:pPr>
        <w:rPr>
          <w:rFonts w:cs="Times New Roman"/>
          <w:lang w:val="en-GB"/>
        </w:rPr>
      </w:pPr>
      <w:r w:rsidRPr="00322E56">
        <w:rPr>
          <w:rFonts w:cs="Times New Roman"/>
          <w:lang w:val="en-GB"/>
        </w:rPr>
        <w:lastRenderedPageBreak/>
        <w:t>Annual energy savings (not shown in figure) for a single PCM with a PCT of 20°C at an energy storage capacity of 33.3 kWh (120 MJ) was 5.4% (2,036 kWh/year baseline vs. 1,925 kWh/year with TES). Annual energy savings in general were much less than peak savings because of the increased energy consumption during off-peak times required to recharge the TES. This result is consistent with previous works.</w:t>
      </w:r>
    </w:p>
    <w:p w14:paraId="6EBFE1A5" w14:textId="77777777" w:rsidR="00B17E5F" w:rsidRPr="00322E56" w:rsidRDefault="00B17E5F" w:rsidP="001B3780">
      <w:pPr>
        <w:rPr>
          <w:rFonts w:cs="Times New Roman"/>
          <w:lang w:val="en-GB"/>
        </w:rPr>
      </w:pPr>
      <w:r w:rsidRPr="00322E56">
        <w:rPr>
          <w:rFonts w:cs="Times New Roman"/>
          <w:lang w:val="en-GB"/>
        </w:rPr>
        <w:t>The heating and cooling cost of the integrated HP and TES system in Birmingham is shown in Figure 40. TES used the TOU rate and was compared against TOU and non-TOU baselines. The trend for TES is similar to the peak energy consumption for summers, except the cost slightly rose again below 20°C. This increase was because more off-peak energy below 20°C means an increase in utility payment. For winters, the off-peak price was greater than in summers; thus, the savings were more significant.</w:t>
      </w:r>
    </w:p>
    <w:p w14:paraId="5240781E" w14:textId="24BE31FE" w:rsidR="00B17E5F" w:rsidRPr="00322E56" w:rsidRDefault="00B17E5F" w:rsidP="001B3780">
      <w:pPr>
        <w:rPr>
          <w:rFonts w:cs="Times New Roman"/>
          <w:lang w:val="en-GB"/>
        </w:rPr>
      </w:pPr>
      <w:r w:rsidRPr="00322E56">
        <w:rPr>
          <w:rFonts w:cs="Times New Roman"/>
          <w:lang w:val="en-GB"/>
        </w:rPr>
        <w:t>Figure 40 shows that TOU baselines were already saving cost as compared with non-TOU baselines. For the winter baseline case, more cost was saved using a TOU tariff. The difference between the primary baseline and TOU baseline is huge because on-peak and off-peak TOU rates were less than the standard rate (non-TOU) in winters. For summer, the primary baseline saved more cost than the TOU baseline because the on-peak TOU rate was much higher than the standard non-TOU rate (difference of 15.48 ¢/kWh).</w:t>
      </w:r>
    </w:p>
    <w:p w14:paraId="0E4CF66F" w14:textId="77777777" w:rsidR="00B17E5F" w:rsidRPr="00322E56" w:rsidRDefault="00B17E5F" w:rsidP="001B3780">
      <w:pPr>
        <w:rPr>
          <w:rFonts w:cs="Times New Roman"/>
          <w:lang w:val="en-GB"/>
        </w:rPr>
      </w:pPr>
      <w:r w:rsidRPr="00322E56">
        <w:rPr>
          <w:rFonts w:cs="Times New Roman"/>
          <w:lang w:val="en-GB"/>
        </w:rPr>
        <w:t>Figure 40 shows seasonal results. Total annual results are not shown. The annual TES cost was $141/year (a savings of $111/year compared with the baseline). The 43.9% cost savings were achieved by using TES at 20°C PCT and 33.3 kWh (120 MJ) energy storage capacity under the TOU rate structure with $0.2/kWh price differential between on-peak and off-peak times during summers and $0.02/kWh during winters. For the baseline system, the annual energy cost would have been $252.7/year.</w:t>
      </w:r>
    </w:p>
    <w:p w14:paraId="3996CA81" w14:textId="77777777" w:rsidR="00B17E5F" w:rsidRPr="00322E56" w:rsidRDefault="00B17E5F">
      <w:pPr>
        <w:spacing w:line="240" w:lineRule="auto"/>
        <w:rPr>
          <w:rFonts w:cs="Times New Roman"/>
          <w:lang w:val="en-GB"/>
        </w:rPr>
      </w:pPr>
      <w:r w:rsidRPr="00322E56">
        <w:rPr>
          <w:rFonts w:cs="Times New Roman"/>
          <w:lang w:val="en-GB"/>
        </w:rPr>
        <w:br w:type="page"/>
      </w:r>
    </w:p>
    <w:p w14:paraId="68E389F5" w14:textId="77777777" w:rsidR="00B17E5F" w:rsidRPr="00322E56" w:rsidRDefault="00B17E5F" w:rsidP="00115380">
      <w:pPr>
        <w:keepNext/>
        <w:ind w:firstLine="0"/>
        <w:jc w:val="center"/>
        <w:rPr>
          <w:rFonts w:cs="Times New Roman"/>
        </w:rPr>
      </w:pPr>
      <w:r w:rsidRPr="00322E56">
        <w:rPr>
          <w:rFonts w:cs="Times New Roman"/>
          <w:noProof/>
        </w:rPr>
        <w:lastRenderedPageBreak/>
        <w:drawing>
          <wp:inline distT="0" distB="0" distL="0" distR="0" wp14:anchorId="17B18D1B" wp14:editId="117F045A">
            <wp:extent cx="5029200" cy="3123678"/>
            <wp:effectExtent l="0" t="0" r="0" b="635"/>
            <wp:docPr id="24" name="Picture 2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line chart&#10;&#10;Description automatically generated"/>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029200" cy="3123678"/>
                    </a:xfrm>
                    <a:prstGeom prst="rect">
                      <a:avLst/>
                    </a:prstGeom>
                    <a:noFill/>
                  </pic:spPr>
                </pic:pic>
              </a:graphicData>
            </a:graphic>
          </wp:inline>
        </w:drawing>
      </w:r>
    </w:p>
    <w:p w14:paraId="7C3066B3" w14:textId="78C97314" w:rsidR="00B17E5F" w:rsidRPr="00322E56" w:rsidRDefault="00B17E5F" w:rsidP="00C75EFA">
      <w:pPr>
        <w:pStyle w:val="Caption"/>
        <w:jc w:val="center"/>
        <w:rPr>
          <w:rFonts w:cs="Times New Roman"/>
        </w:rPr>
      </w:pPr>
      <w:bookmarkStart w:id="196" w:name="_Toc140403906"/>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40</w:t>
      </w:r>
      <w:r w:rsidRPr="00322E56">
        <w:rPr>
          <w:rFonts w:cs="Times New Roman"/>
        </w:rPr>
        <w:fldChar w:fldCharType="end"/>
      </w:r>
      <w:r w:rsidRPr="00322E56">
        <w:rPr>
          <w:rFonts w:cs="Times New Roman"/>
        </w:rPr>
        <w:t>: Birmingham results for utility cost.</w:t>
      </w:r>
      <w:bookmarkEnd w:id="196"/>
    </w:p>
    <w:p w14:paraId="67E0D40A" w14:textId="77777777" w:rsidR="00B17E5F" w:rsidRPr="00322E56" w:rsidRDefault="00B17E5F">
      <w:pPr>
        <w:spacing w:line="240" w:lineRule="auto"/>
        <w:rPr>
          <w:rFonts w:cs="Times New Roman"/>
          <w:lang w:val="en-GB"/>
        </w:rPr>
      </w:pPr>
      <w:r w:rsidRPr="00322E56">
        <w:rPr>
          <w:rFonts w:cs="Times New Roman"/>
          <w:lang w:val="en-GB"/>
        </w:rPr>
        <w:br w:type="page"/>
      </w:r>
    </w:p>
    <w:p w14:paraId="37337CF1" w14:textId="77777777" w:rsidR="00B17E5F" w:rsidRPr="00322E56" w:rsidRDefault="00B17E5F" w:rsidP="00E23FA9">
      <w:pPr>
        <w:pStyle w:val="Heading3"/>
        <w:rPr>
          <w:rFonts w:cs="Times New Roman"/>
          <w:lang w:val="en-GB"/>
        </w:rPr>
      </w:pPr>
      <w:bookmarkStart w:id="197" w:name="_Toc140399888"/>
      <w:r w:rsidRPr="00322E56">
        <w:rPr>
          <w:rFonts w:cs="Times New Roman"/>
          <w:lang w:val="en-GB"/>
        </w:rPr>
        <w:lastRenderedPageBreak/>
        <w:t>New York City, New York</w:t>
      </w:r>
      <w:bookmarkEnd w:id="197"/>
    </w:p>
    <w:p w14:paraId="4D4D0650" w14:textId="77777777" w:rsidR="00B17E5F" w:rsidRPr="00322E56" w:rsidRDefault="00B17E5F" w:rsidP="00E23FA9">
      <w:pPr>
        <w:rPr>
          <w:rFonts w:cs="Times New Roman"/>
          <w:lang w:val="en-GB"/>
        </w:rPr>
      </w:pPr>
      <w:r w:rsidRPr="00322E56">
        <w:rPr>
          <w:rFonts w:cs="Times New Roman"/>
          <w:lang w:val="en-GB"/>
        </w:rPr>
        <w:t xml:space="preserve">New York City is in ASHRAE climate zone 4A, a mixed humid climate. It is considered a subtropical continental climate with large variations between summer and winter. </w:t>
      </w:r>
    </w:p>
    <w:p w14:paraId="1EF7FFF5" w14:textId="77777777" w:rsidR="00B17E5F" w:rsidRPr="00322E56" w:rsidRDefault="00B17E5F" w:rsidP="00E23FA9">
      <w:pPr>
        <w:rPr>
          <w:rFonts w:cs="Times New Roman"/>
          <w:lang w:val="en-GB"/>
        </w:rPr>
      </w:pPr>
      <w:r w:rsidRPr="00322E56">
        <w:rPr>
          <w:rFonts w:cs="Times New Roman"/>
          <w:lang w:val="en-GB"/>
        </w:rPr>
        <w:t>Figure 41 shows the results for electricity consumption during peak times for winter and summer (as defined by utility tariff). Winter months were when the winter TOU tariff was active (October–May), and summer is the months in which the summer TOU tariff was active (June–September). The trend is similar to peak energy results in Birmingham. Maximum savings are observed at PCT 20°C for the summer season and 35°C for heating, with a 170 MJ storage capacity for both cases. TES was not effective when PCT was far from these values.</w:t>
      </w:r>
    </w:p>
    <w:p w14:paraId="2B232C20" w14:textId="77777777" w:rsidR="00B17E5F" w:rsidRPr="00322E56" w:rsidRDefault="00B17E5F" w:rsidP="00E23FA9">
      <w:pPr>
        <w:rPr>
          <w:rFonts w:cs="Times New Roman"/>
          <w:lang w:val="en-GB"/>
        </w:rPr>
      </w:pPr>
      <w:r w:rsidRPr="00322E56">
        <w:rPr>
          <w:rFonts w:cs="Times New Roman"/>
          <w:lang w:val="en-GB"/>
        </w:rPr>
        <w:t xml:space="preserve">Figure 41 shows seasonal results optimized at different PCT and </w:t>
      </w:r>
      <w:r w:rsidRPr="00322E56">
        <w:rPr>
          <w:rFonts w:cs="Times New Roman"/>
          <w:i/>
          <w:iCs/>
          <w:lang w:val="en-GB"/>
        </w:rPr>
        <w:t>E</w:t>
      </w:r>
      <w:r w:rsidRPr="00322E56">
        <w:rPr>
          <w:rFonts w:cs="Times New Roman"/>
          <w:vertAlign w:val="subscript"/>
          <w:lang w:val="en-GB"/>
        </w:rPr>
        <w:t>PCM</w:t>
      </w:r>
      <w:r w:rsidRPr="00322E56">
        <w:rPr>
          <w:rFonts w:cs="Times New Roman"/>
          <w:lang w:val="en-GB"/>
        </w:rPr>
        <w:t xml:space="preserve"> for winter and summers. The annual results were calculated by performing parametric analysis for the whole year and finding the PCT and </w:t>
      </w:r>
      <w:r w:rsidRPr="00322E56">
        <w:rPr>
          <w:rFonts w:cs="Times New Roman"/>
          <w:i/>
          <w:iCs/>
          <w:lang w:val="en-GB"/>
        </w:rPr>
        <w:t>E</w:t>
      </w:r>
      <w:r w:rsidRPr="00322E56">
        <w:rPr>
          <w:rFonts w:cs="Times New Roman"/>
          <w:vertAlign w:val="subscript"/>
          <w:lang w:val="en-GB"/>
        </w:rPr>
        <w:t>PCM</w:t>
      </w:r>
      <w:r w:rsidRPr="00322E56">
        <w:rPr>
          <w:rFonts w:cs="Times New Roman"/>
          <w:lang w:val="en-GB"/>
        </w:rPr>
        <w:t xml:space="preserve"> that delivered maximum annual reduction in the cumulative energy consumption during on-peak hours. Peak energy consumption of 53% was reported, achieved by using a TES with 47.2 kWh (170 MJ) storage capacity and 30°C PCT under the TOU tariff. The on-peak TOU rates in New York are much higher than others. The cumulative energy consumption during on-peak hours was 627 kWh, and for the baseline, the minimum on-peak annual energy consumed was 1,344 kWh/year. Compared to the baseline, 717 kWh/year energy consumption was shifted from on-peak to off-peak hours.</w:t>
      </w:r>
    </w:p>
    <w:p w14:paraId="7F60A475" w14:textId="77777777" w:rsidR="00B17E5F" w:rsidRPr="00322E56" w:rsidRDefault="00B17E5F" w:rsidP="00E23FA9">
      <w:pPr>
        <w:rPr>
          <w:rFonts w:cs="Times New Roman"/>
          <w:lang w:val="en-GB"/>
        </w:rPr>
      </w:pPr>
      <w:bookmarkStart w:id="198" w:name="_Toc115712980"/>
      <w:r w:rsidRPr="00322E56">
        <w:rPr>
          <w:rFonts w:cs="Times New Roman"/>
          <w:lang w:val="en-GB"/>
        </w:rPr>
        <w:t xml:space="preserve">Figure 42 shows seasonal energy consumption associated with space conditioning against PCT for different TES sizes. Cooling energy savings were insignificant—0.98%—achieved only with a PCT of 20°C, and heating savings (6.9%) were achieved with PCT 30°C, both at an energy storage capacity of 170 MJ. For heating, TES energy savings were observed when the PCT was between 25°C and 35°C. It is unfavorable to use TES otherwise. </w:t>
      </w:r>
    </w:p>
    <w:bookmarkEnd w:id="198"/>
    <w:p w14:paraId="35B1BA16" w14:textId="77777777" w:rsidR="00B17E5F" w:rsidRPr="00322E56" w:rsidRDefault="00B17E5F">
      <w:pPr>
        <w:spacing w:line="240" w:lineRule="auto"/>
        <w:rPr>
          <w:rFonts w:cs="Times New Roman"/>
          <w:sz w:val="4"/>
          <w:szCs w:val="4"/>
          <w:lang w:val="en-GB"/>
        </w:rPr>
      </w:pPr>
      <w:r w:rsidRPr="00322E56">
        <w:rPr>
          <w:rFonts w:cs="Times New Roman"/>
          <w:sz w:val="4"/>
          <w:szCs w:val="4"/>
          <w:lang w:val="en-GB"/>
        </w:rPr>
        <w:br w:type="page"/>
      </w:r>
    </w:p>
    <w:p w14:paraId="7E3CA2C6" w14:textId="77777777" w:rsidR="00B17E5F" w:rsidRPr="00322E56" w:rsidRDefault="00B17E5F" w:rsidP="00115380">
      <w:pPr>
        <w:keepNext/>
        <w:ind w:firstLine="0"/>
        <w:jc w:val="center"/>
        <w:rPr>
          <w:rFonts w:cs="Times New Roman"/>
        </w:rPr>
      </w:pPr>
      <w:r w:rsidRPr="00322E56">
        <w:rPr>
          <w:rFonts w:cs="Times New Roman"/>
          <w:noProof/>
          <w:lang w:val="en-GB"/>
        </w:rPr>
        <w:lastRenderedPageBreak/>
        <w:drawing>
          <wp:inline distT="0" distB="0" distL="0" distR="0" wp14:anchorId="50D6A55F" wp14:editId="5592FB96">
            <wp:extent cx="5551715" cy="3397004"/>
            <wp:effectExtent l="0" t="0" r="0" b="0"/>
            <wp:docPr id="25" name="Picture 2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10;&#10;Description automatically generated"/>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562937" cy="3403871"/>
                    </a:xfrm>
                    <a:prstGeom prst="rect">
                      <a:avLst/>
                    </a:prstGeom>
                    <a:noFill/>
                  </pic:spPr>
                </pic:pic>
              </a:graphicData>
            </a:graphic>
          </wp:inline>
        </w:drawing>
      </w:r>
    </w:p>
    <w:p w14:paraId="0CD9E8EA" w14:textId="66B2A6D2" w:rsidR="00B17E5F" w:rsidRDefault="00B17E5F" w:rsidP="007E5E73">
      <w:pPr>
        <w:pStyle w:val="Caption"/>
        <w:jc w:val="center"/>
        <w:rPr>
          <w:rFonts w:cs="Times New Roman"/>
        </w:rPr>
      </w:pPr>
      <w:bookmarkStart w:id="199" w:name="_Toc140403907"/>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41</w:t>
      </w:r>
      <w:r w:rsidRPr="00322E56">
        <w:rPr>
          <w:rFonts w:cs="Times New Roman"/>
        </w:rPr>
        <w:fldChar w:fldCharType="end"/>
      </w:r>
      <w:r w:rsidRPr="00322E56">
        <w:rPr>
          <w:rFonts w:cs="Times New Roman"/>
        </w:rPr>
        <w:t>: New York City results for peak energy consumption.</w:t>
      </w:r>
      <w:bookmarkEnd w:id="199"/>
    </w:p>
    <w:p w14:paraId="54714EDF" w14:textId="19EB9B01" w:rsidR="007E5E73" w:rsidRDefault="007E5E73">
      <w:pPr>
        <w:spacing w:before="0" w:line="240" w:lineRule="auto"/>
        <w:ind w:firstLine="0"/>
        <w:jc w:val="left"/>
      </w:pPr>
      <w:r>
        <w:br w:type="page"/>
      </w:r>
    </w:p>
    <w:p w14:paraId="7EA62E9B" w14:textId="77777777" w:rsidR="007E5E73" w:rsidRPr="007E5E73" w:rsidRDefault="007E5E73" w:rsidP="007E5E73"/>
    <w:p w14:paraId="1EC911BB" w14:textId="77777777" w:rsidR="00B17E5F" w:rsidRPr="00322E56" w:rsidRDefault="00B17E5F" w:rsidP="005D1829">
      <w:pPr>
        <w:keepNext/>
        <w:ind w:firstLine="0"/>
        <w:jc w:val="center"/>
        <w:rPr>
          <w:rFonts w:cs="Times New Roman"/>
        </w:rPr>
      </w:pPr>
      <w:r w:rsidRPr="00322E56">
        <w:rPr>
          <w:rFonts w:cs="Times New Roman"/>
          <w:noProof/>
          <w:color w:val="0D0D0D" w:themeColor="text1" w:themeTint="F2"/>
          <w:lang w:val="en-GB"/>
        </w:rPr>
        <w:drawing>
          <wp:inline distT="0" distB="0" distL="0" distR="0" wp14:anchorId="02CA8DAD" wp14:editId="2FA9D3B5">
            <wp:extent cx="5477070" cy="3344472"/>
            <wp:effectExtent l="0" t="0" r="0" b="8890"/>
            <wp:docPr id="26" name="Picture 2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10;&#10;Description automatically generated"/>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484960" cy="3349290"/>
                    </a:xfrm>
                    <a:prstGeom prst="rect">
                      <a:avLst/>
                    </a:prstGeom>
                    <a:noFill/>
                  </pic:spPr>
                </pic:pic>
              </a:graphicData>
            </a:graphic>
          </wp:inline>
        </w:drawing>
      </w:r>
    </w:p>
    <w:p w14:paraId="22B9F9AB" w14:textId="1D69F226" w:rsidR="00B17E5F" w:rsidRPr="00322E56" w:rsidRDefault="00B17E5F" w:rsidP="00056339">
      <w:pPr>
        <w:pStyle w:val="Caption"/>
        <w:jc w:val="center"/>
        <w:rPr>
          <w:rFonts w:cs="Times New Roman"/>
        </w:rPr>
      </w:pPr>
      <w:bookmarkStart w:id="200" w:name="_Toc140403908"/>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42</w:t>
      </w:r>
      <w:r w:rsidRPr="00322E56">
        <w:rPr>
          <w:rFonts w:cs="Times New Roman"/>
        </w:rPr>
        <w:fldChar w:fldCharType="end"/>
      </w:r>
      <w:r w:rsidRPr="00322E56">
        <w:rPr>
          <w:rFonts w:cs="Times New Roman"/>
        </w:rPr>
        <w:t>: New York City results for energy consumption.</w:t>
      </w:r>
      <w:bookmarkEnd w:id="200"/>
    </w:p>
    <w:p w14:paraId="066189CA" w14:textId="15EBF741" w:rsidR="00B25AF0" w:rsidRDefault="00B17E5F" w:rsidP="00B25AF0">
      <w:pPr>
        <w:spacing w:line="240" w:lineRule="auto"/>
        <w:rPr>
          <w:rFonts w:cs="Times New Roman"/>
          <w:lang w:val="en-GB"/>
        </w:rPr>
      </w:pPr>
      <w:r w:rsidRPr="00322E56">
        <w:rPr>
          <w:rFonts w:cs="Times New Roman"/>
          <w:lang w:val="en-GB"/>
        </w:rPr>
        <w:br w:type="page"/>
      </w:r>
    </w:p>
    <w:p w14:paraId="66EFBB29" w14:textId="77777777" w:rsidR="00B25AF0" w:rsidRPr="00322E56" w:rsidRDefault="00B25AF0" w:rsidP="00B25AF0">
      <w:pPr>
        <w:rPr>
          <w:rFonts w:cs="Times New Roman"/>
          <w:lang w:val="en-GB"/>
        </w:rPr>
      </w:pPr>
      <w:r w:rsidRPr="00322E56">
        <w:rPr>
          <w:rFonts w:cs="Times New Roman"/>
          <w:lang w:val="en-GB"/>
        </w:rPr>
        <w:lastRenderedPageBreak/>
        <w:t xml:space="preserve">The maximum annual energy savings (not shown in figure) for New York City were approximately 3.9% (2,675 kWh/year vs. 2,785 kWh/year) with a PCT of 30°C and energy storage capacity of 47.2 kWh (170 MJ). </w:t>
      </w:r>
    </w:p>
    <w:p w14:paraId="02ED4838" w14:textId="749800BF" w:rsidR="00B17E5F" w:rsidRPr="00322E56" w:rsidRDefault="00B17E5F" w:rsidP="003860FB">
      <w:pPr>
        <w:rPr>
          <w:rFonts w:cs="Times New Roman"/>
          <w:lang w:val="en-GB"/>
        </w:rPr>
      </w:pPr>
      <w:r w:rsidRPr="00322E56">
        <w:rPr>
          <w:rFonts w:cs="Times New Roman"/>
          <w:lang w:val="en-GB"/>
        </w:rPr>
        <w:t xml:space="preserve">Figure 43 shows the seasonal heating and cooling cost of the integrated HP and TES system in New York City. Maximum TES savings were achieved using 170 MJ </w:t>
      </w:r>
      <w:r w:rsidRPr="00322E56">
        <w:rPr>
          <w:rFonts w:cs="Times New Roman"/>
          <w:i/>
          <w:iCs/>
          <w:lang w:val="en-GB"/>
        </w:rPr>
        <w:t>E</w:t>
      </w:r>
      <w:r w:rsidRPr="00322E56">
        <w:rPr>
          <w:rFonts w:cs="Times New Roman"/>
          <w:vertAlign w:val="subscript"/>
          <w:lang w:val="en-GB"/>
        </w:rPr>
        <w:t>PCM</w:t>
      </w:r>
      <w:r w:rsidRPr="00322E56">
        <w:rPr>
          <w:rFonts w:cs="Times New Roman"/>
          <w:lang w:val="en-GB"/>
        </w:rPr>
        <w:t xml:space="preserve"> at 35°C in winters and 20°C in summers. TES and TOU baselines meet at 32°C in summers and 10°C in winters, which indicates that discharging TES at these PCTs is the same as normal HP operation, yielding no savings. </w:t>
      </w:r>
    </w:p>
    <w:p w14:paraId="63F847C3" w14:textId="77777777" w:rsidR="00B17E5F" w:rsidRPr="00322E56" w:rsidRDefault="00B17E5F" w:rsidP="003860FB">
      <w:pPr>
        <w:rPr>
          <w:rFonts w:cs="Times New Roman"/>
          <w:lang w:val="en-GB"/>
        </w:rPr>
      </w:pPr>
      <w:r w:rsidRPr="00322E56">
        <w:rPr>
          <w:rFonts w:cs="Times New Roman"/>
          <w:lang w:val="en-GB"/>
        </w:rPr>
        <w:t>For winters, TOU baselines saved more cost compared with non-TOU baselines. The TOU off-peak rate was very cheap, and it was almost free electricity at 1.5¢/kWh (Table 2). For summer, the primary baseline saved more cost than the TOU baseline because the on-peak TOU rate was much higher (40.1¢/kWh) than the standard non-TOU rate (14.6¢/kWh).</w:t>
      </w:r>
    </w:p>
    <w:p w14:paraId="46E5DF41" w14:textId="77777777" w:rsidR="00B17E5F" w:rsidRDefault="00B17E5F" w:rsidP="003860FB">
      <w:pPr>
        <w:rPr>
          <w:rFonts w:cs="Times New Roman"/>
          <w:lang w:val="en-GB"/>
        </w:rPr>
      </w:pPr>
      <w:r w:rsidRPr="00322E56">
        <w:rPr>
          <w:rFonts w:cs="Times New Roman"/>
          <w:lang w:val="en-GB"/>
        </w:rPr>
        <w:t xml:space="preserve">Annual savings of 35% were achieved at 30°C PCT and 170 MJ </w:t>
      </w:r>
      <w:r w:rsidRPr="00322E56">
        <w:rPr>
          <w:rFonts w:cs="Times New Roman"/>
          <w:i/>
          <w:iCs/>
          <w:lang w:val="en-GB"/>
        </w:rPr>
        <w:t>E</w:t>
      </w:r>
      <w:r w:rsidRPr="00322E56">
        <w:rPr>
          <w:rFonts w:cs="Times New Roman"/>
          <w:vertAlign w:val="subscript"/>
          <w:lang w:val="en-GB"/>
        </w:rPr>
        <w:t>PCM</w:t>
      </w:r>
      <w:r w:rsidRPr="00322E56">
        <w:rPr>
          <w:rFonts w:cs="Times New Roman"/>
          <w:lang w:val="en-GB"/>
        </w:rPr>
        <w:t>. TES cost was $185/year under the TOU rate structure. Without the TOU rate structure, the minimum peak annual energy cost was $287.5/year.</w:t>
      </w:r>
    </w:p>
    <w:p w14:paraId="7A761005" w14:textId="77777777" w:rsidR="00B25AF0" w:rsidRPr="00322E56" w:rsidRDefault="00B25AF0" w:rsidP="00B25AF0">
      <w:pPr>
        <w:pStyle w:val="Heading3"/>
        <w:rPr>
          <w:rFonts w:cs="Times New Roman"/>
          <w:lang w:val="en-GB"/>
        </w:rPr>
      </w:pPr>
      <w:bookmarkStart w:id="201" w:name="_Toc140399889"/>
      <w:r w:rsidRPr="00322E56">
        <w:rPr>
          <w:rFonts w:cs="Times New Roman"/>
          <w:lang w:val="en-GB"/>
        </w:rPr>
        <w:t>Houston, Texas</w:t>
      </w:r>
      <w:bookmarkEnd w:id="201"/>
    </w:p>
    <w:p w14:paraId="1E51944B" w14:textId="77777777" w:rsidR="00B25AF0" w:rsidRPr="00322E56" w:rsidRDefault="00B25AF0" w:rsidP="00B25AF0">
      <w:pPr>
        <w:rPr>
          <w:rFonts w:cs="Times New Roman"/>
          <w:lang w:val="en-GB"/>
        </w:rPr>
      </w:pPr>
      <w:r w:rsidRPr="00322E56">
        <w:rPr>
          <w:rFonts w:cs="Times New Roman"/>
          <w:lang w:val="en-GB"/>
        </w:rPr>
        <w:t xml:space="preserve">Houston is a hot, humid climate zone, categorized in 2A. In these plots, winter was November through March, and summer was April through October, as defined by historical average climate in Houston </w:t>
      </w:r>
      <w:sdt>
        <w:sdtPr>
          <w:rPr>
            <w:rFonts w:cs="Times New Roman"/>
            <w:color w:val="000000"/>
            <w:lang w:val="en-GB"/>
          </w:rPr>
          <w:tag w:val="MENDELEY_CITATION_v3_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"/>
          <w:id w:val="1475331460"/>
          <w:placeholder>
            <w:docPart w:val="46DAC3EAFB33B743A0B304B80B7C7523"/>
          </w:placeholder>
        </w:sdtPr>
        <w:sdtContent>
          <w:r w:rsidRPr="001E7ECF">
            <w:rPr>
              <w:rFonts w:cs="Times New Roman"/>
              <w:color w:val="000000"/>
              <w:lang w:val="en-GB"/>
            </w:rPr>
            <w:t>[201]</w:t>
          </w:r>
        </w:sdtContent>
      </w:sdt>
      <w:r w:rsidRPr="00322E56">
        <w:rPr>
          <w:rFonts w:cs="Times New Roman"/>
          <w:lang w:val="en-GB"/>
        </w:rPr>
        <w:t>.</w:t>
      </w:r>
    </w:p>
    <w:p w14:paraId="7BB2A22B" w14:textId="70E79169" w:rsidR="00B17E5F" w:rsidRPr="00322E56" w:rsidRDefault="00B25AF0" w:rsidP="00B25AF0">
      <w:pPr>
        <w:rPr>
          <w:rFonts w:cs="Times New Roman"/>
          <w:lang w:val="en-GB"/>
        </w:rPr>
      </w:pPr>
      <w:r w:rsidRPr="00322E56">
        <w:rPr>
          <w:rFonts w:cs="Times New Roman"/>
          <w:lang w:val="en-GB"/>
        </w:rPr>
        <w:t xml:space="preserve">Figure 44 shows peak energy consumption during winter and summer for Houston. The notable cooling energy savings were observed at PCT 20°C and </w:t>
      </w:r>
      <w:r w:rsidRPr="00322E56">
        <w:rPr>
          <w:rFonts w:cs="Times New Roman"/>
          <w:i/>
          <w:iCs/>
          <w:lang w:val="en-GB"/>
        </w:rPr>
        <w:t>E</w:t>
      </w:r>
      <w:r w:rsidRPr="00322E56">
        <w:rPr>
          <w:rFonts w:cs="Times New Roman"/>
          <w:vertAlign w:val="subscript"/>
          <w:lang w:val="en-GB"/>
        </w:rPr>
        <w:t>PCM</w:t>
      </w:r>
      <w:r w:rsidRPr="00322E56">
        <w:rPr>
          <w:rFonts w:cs="Times New Roman"/>
          <w:lang w:val="en-GB"/>
        </w:rPr>
        <w:t xml:space="preserve"> of 170 MJ. For the winter season, even a 70 MJ storage capacity was enough to meet the load, and maximum savings were achieved at PCT 35°C. Baseline heating and TES met at 20°C, which means that discharging TES for heating at 20°C would be the same as using an HP in normal mode. This was also the case for cooling at 35°C. The TES consumption increased at PCT far from these values. </w:t>
      </w:r>
    </w:p>
    <w:p w14:paraId="0F04387F" w14:textId="77777777" w:rsidR="00B17E5F" w:rsidRPr="00322E56" w:rsidRDefault="00B17E5F" w:rsidP="005D1829">
      <w:pPr>
        <w:keepNext/>
        <w:ind w:firstLine="0"/>
        <w:jc w:val="center"/>
        <w:rPr>
          <w:rFonts w:cs="Times New Roman"/>
        </w:rPr>
      </w:pPr>
      <w:r w:rsidRPr="00322E56">
        <w:rPr>
          <w:rFonts w:cs="Times New Roman"/>
          <w:noProof/>
          <w:color w:val="0D0D0D" w:themeColor="text1" w:themeTint="F2"/>
          <w:lang w:val="en-GB"/>
        </w:rPr>
        <w:lastRenderedPageBreak/>
        <w:drawing>
          <wp:inline distT="0" distB="0" distL="0" distR="0" wp14:anchorId="212B8087" wp14:editId="1CEE873F">
            <wp:extent cx="5393932" cy="3293706"/>
            <wp:effectExtent l="0" t="0" r="0" b="2540"/>
            <wp:docPr id="27" name="Picture 2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10;&#10;Description automatically generated"/>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404305" cy="3300040"/>
                    </a:xfrm>
                    <a:prstGeom prst="rect">
                      <a:avLst/>
                    </a:prstGeom>
                    <a:noFill/>
                  </pic:spPr>
                </pic:pic>
              </a:graphicData>
            </a:graphic>
          </wp:inline>
        </w:drawing>
      </w:r>
    </w:p>
    <w:p w14:paraId="2FF810C4" w14:textId="6E4CFF1A" w:rsidR="00B17E5F" w:rsidRPr="00322E56" w:rsidRDefault="00B17E5F" w:rsidP="00056339">
      <w:pPr>
        <w:pStyle w:val="Caption"/>
        <w:jc w:val="center"/>
        <w:rPr>
          <w:rFonts w:cs="Times New Roman"/>
        </w:rPr>
      </w:pPr>
      <w:bookmarkStart w:id="202" w:name="_Toc140403909"/>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43</w:t>
      </w:r>
      <w:r w:rsidRPr="00322E56">
        <w:rPr>
          <w:rFonts w:cs="Times New Roman"/>
        </w:rPr>
        <w:fldChar w:fldCharType="end"/>
      </w:r>
      <w:r w:rsidRPr="00322E56">
        <w:rPr>
          <w:rFonts w:cs="Times New Roman"/>
        </w:rPr>
        <w:t>: New York City results for utility cost.</w:t>
      </w:r>
      <w:bookmarkEnd w:id="202"/>
    </w:p>
    <w:p w14:paraId="5F731A38" w14:textId="77777777" w:rsidR="00B25AF0" w:rsidRPr="00322E56" w:rsidRDefault="00B17E5F" w:rsidP="00B25AF0">
      <w:pPr>
        <w:keepNext/>
        <w:ind w:firstLine="0"/>
        <w:jc w:val="center"/>
        <w:rPr>
          <w:rFonts w:cs="Times New Roman"/>
        </w:rPr>
      </w:pPr>
      <w:r w:rsidRPr="00322E56">
        <w:rPr>
          <w:rFonts w:cs="Times New Roman"/>
          <w:lang w:val="en-GB"/>
        </w:rPr>
        <w:br w:type="page"/>
      </w:r>
      <w:r w:rsidR="00B25AF0" w:rsidRPr="00322E56">
        <w:rPr>
          <w:rFonts w:cs="Times New Roman"/>
          <w:noProof/>
          <w:lang w:val="en-GB"/>
        </w:rPr>
        <w:lastRenderedPageBreak/>
        <w:drawing>
          <wp:inline distT="0" distB="0" distL="0" distR="0" wp14:anchorId="0AED034D" wp14:editId="41A449F5">
            <wp:extent cx="5528345" cy="3163078"/>
            <wp:effectExtent l="0" t="0" r="0" b="0"/>
            <wp:docPr id="28" name="Picture 2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 line chart&#10;&#10;Description automatically generated"/>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535840" cy="3167366"/>
                    </a:xfrm>
                    <a:prstGeom prst="rect">
                      <a:avLst/>
                    </a:prstGeom>
                    <a:noFill/>
                  </pic:spPr>
                </pic:pic>
              </a:graphicData>
            </a:graphic>
          </wp:inline>
        </w:drawing>
      </w:r>
    </w:p>
    <w:p w14:paraId="5DC1B80C" w14:textId="11365E68" w:rsidR="00B25AF0" w:rsidRPr="00322E56" w:rsidRDefault="00B25AF0" w:rsidP="00B25AF0">
      <w:pPr>
        <w:pStyle w:val="Caption"/>
        <w:jc w:val="center"/>
        <w:rPr>
          <w:rFonts w:cs="Times New Roman"/>
        </w:rPr>
      </w:pPr>
      <w:bookmarkStart w:id="203" w:name="_Toc140403910"/>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44</w:t>
      </w:r>
      <w:r w:rsidRPr="00322E56">
        <w:rPr>
          <w:rFonts w:cs="Times New Roman"/>
        </w:rPr>
        <w:fldChar w:fldCharType="end"/>
      </w:r>
      <w:r w:rsidRPr="00322E56">
        <w:rPr>
          <w:rFonts w:cs="Times New Roman"/>
        </w:rPr>
        <w:t>: Houston results for peak energy consumption.</w:t>
      </w:r>
      <w:bookmarkEnd w:id="203"/>
    </w:p>
    <w:p w14:paraId="5AA8049F" w14:textId="6BBE9F2A" w:rsidR="00B17E5F" w:rsidRPr="00322E56" w:rsidRDefault="00B17E5F">
      <w:pPr>
        <w:spacing w:line="240" w:lineRule="auto"/>
        <w:rPr>
          <w:rFonts w:cs="Times New Roman"/>
          <w:lang w:val="en-GB"/>
        </w:rPr>
      </w:pPr>
    </w:p>
    <w:p w14:paraId="247ED97A" w14:textId="77777777" w:rsidR="00B25AF0" w:rsidRDefault="00B25AF0">
      <w:pPr>
        <w:spacing w:before="0" w:line="240" w:lineRule="auto"/>
        <w:ind w:firstLine="0"/>
        <w:jc w:val="left"/>
        <w:rPr>
          <w:rFonts w:cs="Times New Roman"/>
          <w:lang w:val="en-GB"/>
        </w:rPr>
      </w:pPr>
      <w:r>
        <w:rPr>
          <w:rFonts w:cs="Times New Roman"/>
          <w:lang w:val="en-GB"/>
        </w:rPr>
        <w:br w:type="page"/>
      </w:r>
    </w:p>
    <w:p w14:paraId="66FB3AA6" w14:textId="56B6238E" w:rsidR="00B17E5F" w:rsidRPr="00322E56" w:rsidRDefault="00B17E5F" w:rsidP="008C2D8D">
      <w:pPr>
        <w:rPr>
          <w:rFonts w:cs="Times New Roman"/>
          <w:lang w:val="en-GB"/>
        </w:rPr>
      </w:pPr>
      <w:r w:rsidRPr="00322E56">
        <w:rPr>
          <w:rFonts w:cs="Times New Roman"/>
          <w:lang w:val="en-GB"/>
        </w:rPr>
        <w:lastRenderedPageBreak/>
        <w:t>The maximum annual reduction (not shown in figure) in the cumulative energy consumption during on-peak hours was 47%, achieved by using a TES with 47.2 kWh (170 MJ) storage capacity and 20°C PCT under the TOU tariff. The cumulative energy consumption during on-peak hours was 588 kWh. For the baseline system, the minimum on-peak annual energy consumed was 1,120 kWh/year without the TOU tariff. Energy consumption of 531.9 kWh/year was shifted from on-peak to off-peak hours.</w:t>
      </w:r>
    </w:p>
    <w:p w14:paraId="4F05D07D" w14:textId="77777777" w:rsidR="00B17E5F" w:rsidRDefault="00B17E5F" w:rsidP="008C2D8D">
      <w:pPr>
        <w:rPr>
          <w:rFonts w:cs="Times New Roman"/>
          <w:lang w:val="en-GB"/>
        </w:rPr>
      </w:pPr>
      <w:r w:rsidRPr="00322E56">
        <w:rPr>
          <w:rFonts w:cs="Times New Roman"/>
          <w:lang w:val="en-GB"/>
        </w:rPr>
        <w:t xml:space="preserve">Figure 45 shows seasonal results optimized at different PCT and </w:t>
      </w:r>
      <w:r w:rsidRPr="00322E56">
        <w:rPr>
          <w:rFonts w:cs="Times New Roman"/>
          <w:i/>
          <w:iCs/>
          <w:lang w:val="en-GB"/>
        </w:rPr>
        <w:t>E</w:t>
      </w:r>
      <w:r w:rsidRPr="00322E56">
        <w:rPr>
          <w:rFonts w:cs="Times New Roman"/>
          <w:vertAlign w:val="subscript"/>
          <w:lang w:val="en-GB"/>
        </w:rPr>
        <w:t>PCM</w:t>
      </w:r>
      <w:r w:rsidRPr="00322E56">
        <w:rPr>
          <w:rFonts w:cs="Times New Roman"/>
          <w:lang w:val="en-GB"/>
        </w:rPr>
        <w:t xml:space="preserve"> for winter and summer. The minimum annual energy consumption (not shown in figure) was 1,816 kWh/year with a PCT of 20°C and energy storage capacity of 47.2 kWh (170 MJ). For the baseline case, energy consumption was 1,848 kWh/year. Annual energy savings were observed only when the PCT was between 20°C and 35°C. The energy savings were 1.75%, which is lower than the savings at other locations. Heating energy savings during winters in the New York City case made a huge difference to the results. Houston, on the other hand, is a cooling-dominated, humid climate with very short and mild winters, yielding less significant heating energy savings. </w:t>
      </w:r>
    </w:p>
    <w:p w14:paraId="437D0645" w14:textId="77777777" w:rsidR="00B25AF0" w:rsidRPr="00322E56" w:rsidRDefault="00B25AF0" w:rsidP="00B25AF0">
      <w:pPr>
        <w:rPr>
          <w:rFonts w:cs="Times New Roman"/>
          <w:lang w:val="en-GB"/>
        </w:rPr>
      </w:pPr>
      <w:r w:rsidRPr="00322E56">
        <w:rPr>
          <w:rFonts w:cs="Times New Roman"/>
          <w:lang w:val="en-GB"/>
        </w:rPr>
        <w:t xml:space="preserve">Figure 46 shows the seasonal heating and cooling cost of the integrated HP and TES system in Houston. Maximum TES savings were achieved using 170 MJ EPCM at 35°C in winters and 20°C in summers. TES and TOU baselines met at 35°C in summers and 20°C in winters, which indicates that discharging TES at these PCTs was same as normal heat pump operation, yielding no savings. </w:t>
      </w:r>
    </w:p>
    <w:p w14:paraId="2E666A25" w14:textId="77777777" w:rsidR="00B25AF0" w:rsidRDefault="00B25AF0" w:rsidP="00B25AF0">
      <w:pPr>
        <w:rPr>
          <w:rFonts w:cs="Times New Roman"/>
          <w:lang w:val="en-GB"/>
        </w:rPr>
      </w:pPr>
      <w:r w:rsidRPr="00322E56">
        <w:rPr>
          <w:rFonts w:cs="Times New Roman"/>
          <w:lang w:val="en-GB"/>
        </w:rPr>
        <w:t xml:space="preserve">For both seasons, TOU baselines saved more cost compared with non-TOU baselines because off-peak energy was free in Houston under the TOU tariff by Gexa Energy (Table 15). </w:t>
      </w:r>
    </w:p>
    <w:p w14:paraId="08C3A74F" w14:textId="56CEE0E7" w:rsidR="00B17E5F" w:rsidRPr="00322E56" w:rsidRDefault="00B25AF0" w:rsidP="00B25AF0">
      <w:pPr>
        <w:rPr>
          <w:rFonts w:cs="Times New Roman"/>
          <w:lang w:val="en-GB"/>
        </w:rPr>
      </w:pPr>
      <w:r w:rsidRPr="00322E56">
        <w:rPr>
          <w:rFonts w:cs="Times New Roman"/>
          <w:lang w:val="en-GB"/>
        </w:rPr>
        <w:t>Figure 46 shows seasonal results. The annual minimum on-peak annual energy cost of the integrated HP and TES system in Houston was $144/year with 20°C PCT under the TOU rate structure. Without the TOU rate structure, the minimum peak annual energy cost was $274.6/year, corresponding to 47% savings.</w:t>
      </w:r>
    </w:p>
    <w:p w14:paraId="54F647D5" w14:textId="77777777" w:rsidR="00B17E5F" w:rsidRPr="00322E56" w:rsidRDefault="00B17E5F" w:rsidP="005D1829">
      <w:pPr>
        <w:keepNext/>
        <w:ind w:firstLine="0"/>
        <w:jc w:val="center"/>
        <w:rPr>
          <w:rFonts w:cs="Times New Roman"/>
        </w:rPr>
      </w:pPr>
      <w:r w:rsidRPr="00322E56">
        <w:rPr>
          <w:rFonts w:cs="Times New Roman"/>
          <w:noProof/>
          <w:lang w:val="en-GB"/>
        </w:rPr>
        <w:lastRenderedPageBreak/>
        <w:drawing>
          <wp:inline distT="0" distB="0" distL="0" distR="0" wp14:anchorId="412BAF1C" wp14:editId="43E9AC0C">
            <wp:extent cx="5483679" cy="3135086"/>
            <wp:effectExtent l="0" t="0" r="3175" b="8255"/>
            <wp:docPr id="29" name="Picture 2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hart&#10;&#10;Description automatically generated"/>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492493" cy="3140125"/>
                    </a:xfrm>
                    <a:prstGeom prst="rect">
                      <a:avLst/>
                    </a:prstGeom>
                    <a:noFill/>
                  </pic:spPr>
                </pic:pic>
              </a:graphicData>
            </a:graphic>
          </wp:inline>
        </w:drawing>
      </w:r>
    </w:p>
    <w:p w14:paraId="072E90D2" w14:textId="0FC25F1E" w:rsidR="00B17E5F" w:rsidRPr="00322E56" w:rsidRDefault="00B17E5F" w:rsidP="00056339">
      <w:pPr>
        <w:pStyle w:val="Caption"/>
        <w:jc w:val="center"/>
        <w:rPr>
          <w:rFonts w:cs="Times New Roman"/>
        </w:rPr>
      </w:pPr>
      <w:bookmarkStart w:id="204" w:name="_Toc140403911"/>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45</w:t>
      </w:r>
      <w:r w:rsidRPr="00322E56">
        <w:rPr>
          <w:rFonts w:cs="Times New Roman"/>
        </w:rPr>
        <w:fldChar w:fldCharType="end"/>
      </w:r>
      <w:r w:rsidRPr="00322E56">
        <w:rPr>
          <w:rFonts w:cs="Times New Roman"/>
        </w:rPr>
        <w:t>: Houston results for energy consumption.</w:t>
      </w:r>
      <w:bookmarkEnd w:id="204"/>
    </w:p>
    <w:p w14:paraId="36A2B02D" w14:textId="0B363B46" w:rsidR="00B17E5F" w:rsidRPr="00322E56" w:rsidRDefault="00B17E5F" w:rsidP="00B25AF0">
      <w:pPr>
        <w:spacing w:line="240" w:lineRule="auto"/>
        <w:rPr>
          <w:rFonts w:cs="Times New Roman"/>
          <w:lang w:val="en-GB"/>
        </w:rPr>
      </w:pPr>
      <w:r w:rsidRPr="00322E56">
        <w:rPr>
          <w:rFonts w:cs="Times New Roman"/>
          <w:lang w:val="en-GB"/>
        </w:rPr>
        <w:br w:type="page"/>
      </w:r>
    </w:p>
    <w:p w14:paraId="1A4D7ED3" w14:textId="77777777" w:rsidR="00B17E5F" w:rsidRPr="00322E56" w:rsidRDefault="00B17E5F" w:rsidP="005D1829">
      <w:pPr>
        <w:keepNext/>
        <w:ind w:firstLine="0"/>
        <w:jc w:val="center"/>
        <w:rPr>
          <w:rFonts w:cs="Times New Roman"/>
        </w:rPr>
      </w:pPr>
      <w:r w:rsidRPr="00322E56">
        <w:rPr>
          <w:rFonts w:cs="Times New Roman"/>
          <w:noProof/>
          <w:color w:val="0D0D0D" w:themeColor="text1" w:themeTint="F2"/>
          <w:lang w:val="en-GB"/>
        </w:rPr>
        <w:lastRenderedPageBreak/>
        <w:drawing>
          <wp:inline distT="0" distB="0" distL="0" distR="0" wp14:anchorId="767A3142" wp14:editId="48C09634">
            <wp:extent cx="5415715" cy="3097763"/>
            <wp:effectExtent l="0" t="0" r="0" b="7620"/>
            <wp:docPr id="30" name="Picture 3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hart&#10;&#10;Description automatically generated"/>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425647" cy="3103444"/>
                    </a:xfrm>
                    <a:prstGeom prst="rect">
                      <a:avLst/>
                    </a:prstGeom>
                    <a:noFill/>
                  </pic:spPr>
                </pic:pic>
              </a:graphicData>
            </a:graphic>
          </wp:inline>
        </w:drawing>
      </w:r>
    </w:p>
    <w:p w14:paraId="2A071B47" w14:textId="14C3BA68" w:rsidR="00B17E5F" w:rsidRPr="00322E56" w:rsidRDefault="00B17E5F" w:rsidP="00056339">
      <w:pPr>
        <w:pStyle w:val="Caption"/>
        <w:jc w:val="center"/>
        <w:rPr>
          <w:rFonts w:cs="Times New Roman"/>
        </w:rPr>
      </w:pPr>
      <w:bookmarkStart w:id="205" w:name="_Toc140403912"/>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46</w:t>
      </w:r>
      <w:r w:rsidRPr="00322E56">
        <w:rPr>
          <w:rFonts w:cs="Times New Roman"/>
        </w:rPr>
        <w:fldChar w:fldCharType="end"/>
      </w:r>
      <w:r w:rsidRPr="00322E56">
        <w:rPr>
          <w:rFonts w:cs="Times New Roman"/>
        </w:rPr>
        <w:t>: Houston results for utility cost.</w:t>
      </w:r>
      <w:bookmarkEnd w:id="205"/>
    </w:p>
    <w:p w14:paraId="6DAE363A" w14:textId="77777777" w:rsidR="00B17E5F" w:rsidRPr="00322E56" w:rsidRDefault="00B17E5F">
      <w:pPr>
        <w:spacing w:line="240" w:lineRule="auto"/>
        <w:rPr>
          <w:rFonts w:cs="Times New Roman"/>
          <w:lang w:val="en-GB"/>
        </w:rPr>
      </w:pPr>
      <w:r w:rsidRPr="00322E56">
        <w:rPr>
          <w:rFonts w:cs="Times New Roman"/>
          <w:lang w:val="en-GB"/>
        </w:rPr>
        <w:br w:type="page"/>
      </w:r>
    </w:p>
    <w:p w14:paraId="4F633B31" w14:textId="77777777" w:rsidR="00B17E5F" w:rsidRPr="00322E56" w:rsidRDefault="00B17E5F" w:rsidP="003B0CE6">
      <w:pPr>
        <w:pStyle w:val="Heading3"/>
        <w:rPr>
          <w:rFonts w:cs="Times New Roman"/>
          <w:lang w:val="en-GB"/>
        </w:rPr>
      </w:pPr>
      <w:bookmarkStart w:id="206" w:name="_Toc140399890"/>
      <w:r w:rsidRPr="00322E56">
        <w:rPr>
          <w:rFonts w:cs="Times New Roman"/>
          <w:lang w:val="en-GB"/>
        </w:rPr>
        <w:lastRenderedPageBreak/>
        <w:t>Discussion</w:t>
      </w:r>
      <w:bookmarkEnd w:id="206"/>
    </w:p>
    <w:p w14:paraId="2CE2A4D6" w14:textId="77777777" w:rsidR="00B17E5F" w:rsidRPr="00322E56" w:rsidRDefault="00B17E5F" w:rsidP="00804D92">
      <w:pPr>
        <w:rPr>
          <w:rFonts w:cs="Times New Roman"/>
          <w:lang w:val="en-GB"/>
        </w:rPr>
      </w:pPr>
      <w:r w:rsidRPr="00322E56">
        <w:rPr>
          <w:rFonts w:cs="Times New Roman"/>
          <w:lang w:val="en-GB"/>
        </w:rPr>
        <w:t xml:space="preserve">This study focused on evaluating the indirect HP-TES configuration using simple, rule-based controls with time-based, predefined utility rates. For that reason, the building model and control strategy were simplified. </w:t>
      </w:r>
    </w:p>
    <w:p w14:paraId="0DDA7E03" w14:textId="77777777" w:rsidR="00B17E5F" w:rsidRPr="00322E56" w:rsidRDefault="00B17E5F" w:rsidP="00804D92">
      <w:pPr>
        <w:rPr>
          <w:rFonts w:cs="Times New Roman"/>
          <w:lang w:val="en-GB"/>
        </w:rPr>
      </w:pPr>
      <w:r w:rsidRPr="00322E56">
        <w:rPr>
          <w:rFonts w:cs="Times New Roman"/>
          <w:lang w:val="en-GB"/>
        </w:rPr>
        <w:t>Figure 47 shows monthly total energy consumption for all three locations. The minimum refers to the values obtained at optimum PCTs (20°C for summers and 30°C for winters). The maximum values refer to those found at extreme PCTs (45°C for summers and 5°C for winters). The consumption is highest for New York during winters and for Houston during summers. Even though cooling loads for Birmingham are higher than the heating loads, they are comparatively moderate.</w:t>
      </w:r>
    </w:p>
    <w:p w14:paraId="1220EB85" w14:textId="6D1AF458" w:rsidR="00B17E5F" w:rsidRDefault="00B17E5F" w:rsidP="003B0CE6">
      <w:pPr>
        <w:rPr>
          <w:rFonts w:cs="Times New Roman"/>
          <w:lang w:val="en-GB"/>
        </w:rPr>
      </w:pPr>
      <w:r w:rsidRPr="00322E56">
        <w:rPr>
          <w:rFonts w:cs="Times New Roman"/>
          <w:lang w:val="en-GB"/>
        </w:rPr>
        <w:t xml:space="preserve">In a previous study </w:t>
      </w:r>
      <w:sdt>
        <w:sdtPr>
          <w:rPr>
            <w:rFonts w:cs="Times New Roman"/>
            <w:color w:val="000000"/>
            <w:lang w:val="en-GB"/>
          </w:rPr>
          <w:tag w:val="MENDELEY_CITATION_v3_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"/>
          <w:id w:val="959075569"/>
          <w:placeholder>
            <w:docPart w:val="A6BE8F64A3364D81AD50324CD74C90EE"/>
          </w:placeholder>
        </w:sdtPr>
        <w:sdtContent>
          <w:r w:rsidR="001E7ECF" w:rsidRPr="001E7ECF">
            <w:rPr>
              <w:rFonts w:cs="Times New Roman"/>
              <w:color w:val="000000"/>
              <w:lang w:val="en-GB"/>
            </w:rPr>
            <w:t>[154]</w:t>
          </w:r>
        </w:sdtContent>
      </w:sdt>
      <w:r w:rsidRPr="00322E56">
        <w:rPr>
          <w:rFonts w:cs="Times New Roman"/>
          <w:lang w:val="en-GB"/>
        </w:rPr>
        <w:t>, 20% energy savings were achieved by using the similar control strategies</w:t>
      </w:r>
      <w:r w:rsidRPr="00322E56" w:rsidDel="00D757E0">
        <w:rPr>
          <w:rFonts w:cs="Times New Roman"/>
          <w:lang w:val="en-GB"/>
        </w:rPr>
        <w:t xml:space="preserve"> </w:t>
      </w:r>
      <w:r w:rsidRPr="00322E56">
        <w:rPr>
          <w:rFonts w:cs="Times New Roman"/>
          <w:lang w:val="en-GB"/>
        </w:rPr>
        <w:t xml:space="preserve">and configuration for an ice storage system in Fresno, California (ASHRAE climate zone 3B). The TES in the previous study was simulated for 1 week, and only the cooling mode was studied. The total energy consumption savings were smaller in the current study. One reason for this decrease is that the week simulated in Fresno in the previous study </w:t>
      </w:r>
      <w:sdt>
        <w:sdtPr>
          <w:rPr>
            <w:rFonts w:cs="Times New Roman"/>
            <w:color w:val="000000"/>
            <w:lang w:val="en-GB"/>
          </w:rPr>
          <w:tag w:val="MENDELEY_CITATION_v3_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"/>
          <w:id w:val="-446690827"/>
          <w:placeholder>
            <w:docPart w:val="A6BE8F64A3364D81AD50324CD74C90EE"/>
          </w:placeholder>
        </w:sdtPr>
        <w:sdtContent>
          <w:r w:rsidR="001E7ECF" w:rsidRPr="001E7ECF">
            <w:rPr>
              <w:rFonts w:cs="Times New Roman"/>
              <w:color w:val="000000"/>
              <w:lang w:val="en-GB"/>
            </w:rPr>
            <w:t>[154]</w:t>
          </w:r>
        </w:sdtContent>
      </w:sdt>
      <w:r w:rsidRPr="00322E56">
        <w:rPr>
          <w:rFonts w:cs="Times New Roman"/>
          <w:lang w:val="en-GB"/>
        </w:rPr>
        <w:t xml:space="preserve"> had particularly large diurnal temperature swings, and the year-long simulations in this study had smaller average diurnal swings. TES can provide more energy savings for climate locations where daily diurnal temperature swing is larger than the difference between indoor and PCM temperature. </w:t>
      </w:r>
    </w:p>
    <w:p w14:paraId="784C02CC" w14:textId="77777777" w:rsidR="00B25AF0" w:rsidRDefault="00B25AF0" w:rsidP="00B25AF0">
      <w:pPr>
        <w:rPr>
          <w:rFonts w:cs="Times New Roman"/>
          <w:lang w:val="en-GB"/>
        </w:rPr>
      </w:pPr>
      <w:r w:rsidRPr="00322E56">
        <w:rPr>
          <w:rFonts w:cs="Times New Roman"/>
          <w:lang w:val="en-GB"/>
        </w:rPr>
        <w:t>The annual results are shown in Table 17 and Figure 48. To meet the high cooling demand in Birmingham and Houston, the optimized PCT was 20°C for maximum annual cost savings and peak electric demand reduction. For the New York City case, the optimum PCT was 30°C because of high heating load.</w:t>
      </w:r>
    </w:p>
    <w:p w14:paraId="13F80A29" w14:textId="3B77F8B4" w:rsidR="00B17E5F" w:rsidRPr="00322E56" w:rsidRDefault="00B25AF0" w:rsidP="00B25AF0">
      <w:pPr>
        <w:rPr>
          <w:rFonts w:cs="Times New Roman"/>
          <w:lang w:val="en-GB"/>
        </w:rPr>
      </w:pPr>
      <w:r w:rsidRPr="00322E56">
        <w:rPr>
          <w:rFonts w:cs="Times New Roman"/>
          <w:lang w:val="en-GB"/>
        </w:rPr>
        <w:t xml:space="preserve">Energy savings highly depend on the ambient temperature and diurnal swing, while the cost savings and peak load shifted were driven by the peak time and heating and cooling demand for each climate location studied. </w:t>
      </w:r>
      <w:bookmarkStart w:id="207" w:name="_Toc55989521"/>
      <w:bookmarkStart w:id="208" w:name="_Toc55989522"/>
      <w:bookmarkStart w:id="209" w:name="_Toc55989523"/>
      <w:bookmarkStart w:id="210" w:name="_Toc55989524"/>
      <w:bookmarkStart w:id="211" w:name="_Toc26788949"/>
      <w:bookmarkStart w:id="212" w:name="_Toc26788983"/>
      <w:bookmarkStart w:id="213" w:name="_Toc26789416"/>
      <w:bookmarkStart w:id="214" w:name="_Toc26789448"/>
      <w:bookmarkStart w:id="215" w:name="_Toc55989525"/>
      <w:bookmarkStart w:id="216" w:name="_Toc26788950"/>
      <w:bookmarkStart w:id="217" w:name="_Toc26788984"/>
      <w:bookmarkStart w:id="218" w:name="_Toc26789417"/>
      <w:bookmarkStart w:id="219" w:name="_Toc26789449"/>
      <w:bookmarkStart w:id="220" w:name="_Toc55989526"/>
      <w:bookmarkStart w:id="221" w:name="_Toc55989527"/>
      <w:bookmarkStart w:id="222" w:name="_Toc55989528"/>
      <w:bookmarkStart w:id="223" w:name="_Toc55989529"/>
      <w:bookmarkStart w:id="224" w:name="_Toc115181532"/>
      <w:bookmarkStart w:id="225" w:name="_Toc115181533"/>
      <w:bookmarkStart w:id="226" w:name="_Toc115181534"/>
      <w:bookmarkStart w:id="227" w:name="_Toc112833212"/>
      <w:bookmarkStart w:id="228" w:name="_Toc115181536"/>
      <w:bookmarkStart w:id="229" w:name="_Toc112833214"/>
      <w:bookmarkStart w:id="230" w:name="_Toc115181538"/>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sidRPr="00322E56">
        <w:rPr>
          <w:rFonts w:cs="Times New Roman"/>
          <w:lang w:val="en-GB"/>
        </w:rPr>
        <w:t>It can be concluded that higher savings are expected in warmer areas where cooling demands dominate.</w:t>
      </w:r>
    </w:p>
    <w:p w14:paraId="2DAA8D41" w14:textId="77777777" w:rsidR="00B17E5F" w:rsidRPr="00322E56" w:rsidRDefault="00B17E5F" w:rsidP="005D1829">
      <w:pPr>
        <w:keepNext/>
        <w:ind w:firstLine="0"/>
        <w:jc w:val="center"/>
        <w:rPr>
          <w:rFonts w:cs="Times New Roman"/>
        </w:rPr>
      </w:pPr>
      <w:r w:rsidRPr="00322E56">
        <w:rPr>
          <w:rFonts w:cs="Times New Roman"/>
          <w:noProof/>
        </w:rPr>
        <w:lastRenderedPageBreak/>
        <w:drawing>
          <wp:inline distT="0" distB="0" distL="0" distR="0" wp14:anchorId="1F4F3204" wp14:editId="3C3E9739">
            <wp:extent cx="5467739" cy="3373711"/>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478867" cy="3380577"/>
                    </a:xfrm>
                    <a:prstGeom prst="rect">
                      <a:avLst/>
                    </a:prstGeom>
                  </pic:spPr>
                </pic:pic>
              </a:graphicData>
            </a:graphic>
          </wp:inline>
        </w:drawing>
      </w:r>
    </w:p>
    <w:p w14:paraId="02F9BF99" w14:textId="593EF3F4" w:rsidR="00B17E5F" w:rsidRPr="00322E56" w:rsidRDefault="00B17E5F" w:rsidP="00056339">
      <w:pPr>
        <w:pStyle w:val="Caption"/>
        <w:jc w:val="center"/>
        <w:rPr>
          <w:rFonts w:cs="Times New Roman"/>
        </w:rPr>
      </w:pPr>
      <w:bookmarkStart w:id="231" w:name="_Toc140403913"/>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47</w:t>
      </w:r>
      <w:r w:rsidRPr="00322E56">
        <w:rPr>
          <w:rFonts w:cs="Times New Roman"/>
        </w:rPr>
        <w:fldChar w:fldCharType="end"/>
      </w:r>
      <w:r w:rsidRPr="00322E56">
        <w:rPr>
          <w:rFonts w:cs="Times New Roman"/>
        </w:rPr>
        <w:t>: Electric Consumption.</w:t>
      </w:r>
      <w:bookmarkEnd w:id="231"/>
    </w:p>
    <w:p w14:paraId="4072BA52" w14:textId="77777777" w:rsidR="00335A3D" w:rsidRPr="00322E56" w:rsidRDefault="00B17E5F" w:rsidP="00335A3D">
      <w:pPr>
        <w:pStyle w:val="Caption"/>
        <w:jc w:val="center"/>
        <w:rPr>
          <w:rFonts w:cs="Times New Roman"/>
        </w:rPr>
      </w:pPr>
      <w:r w:rsidRPr="00322E56">
        <w:rPr>
          <w:rFonts w:cs="Times New Roman"/>
          <w:lang w:val="en-GB"/>
        </w:rPr>
        <w:br w:type="page"/>
      </w:r>
      <w:bookmarkStart w:id="232" w:name="_Toc140399957"/>
      <w:r w:rsidR="00335A3D" w:rsidRPr="00322E56">
        <w:rPr>
          <w:rFonts w:cs="Times New Roman"/>
        </w:rPr>
        <w:lastRenderedPageBreak/>
        <w:t xml:space="preserve">Table </w:t>
      </w:r>
      <w:r w:rsidR="00335A3D" w:rsidRPr="00322E56">
        <w:rPr>
          <w:rFonts w:cs="Times New Roman"/>
        </w:rPr>
        <w:fldChar w:fldCharType="begin"/>
      </w:r>
      <w:r w:rsidR="00335A3D" w:rsidRPr="00322E56">
        <w:rPr>
          <w:rFonts w:cs="Times New Roman"/>
        </w:rPr>
        <w:instrText xml:space="preserve"> SEQ Table \* ARABIC </w:instrText>
      </w:r>
      <w:r w:rsidR="00335A3D" w:rsidRPr="00322E56">
        <w:rPr>
          <w:rFonts w:cs="Times New Roman"/>
        </w:rPr>
        <w:fldChar w:fldCharType="separate"/>
      </w:r>
      <w:r w:rsidR="00335A3D">
        <w:rPr>
          <w:rFonts w:cs="Times New Roman"/>
          <w:noProof/>
        </w:rPr>
        <w:t>17</w:t>
      </w:r>
      <w:r w:rsidR="00335A3D" w:rsidRPr="00322E56">
        <w:rPr>
          <w:rFonts w:cs="Times New Roman"/>
        </w:rPr>
        <w:fldChar w:fldCharType="end"/>
      </w:r>
      <w:r w:rsidR="00335A3D" w:rsidRPr="00322E56">
        <w:rPr>
          <w:rFonts w:cs="Times New Roman"/>
        </w:rPr>
        <w:t>: Annual results summary</w:t>
      </w:r>
      <w:bookmarkEnd w:id="232"/>
    </w:p>
    <w:tbl>
      <w:tblPr>
        <w:tblStyle w:val="TableGrid2"/>
        <w:tblW w:w="9033" w:type="dxa"/>
        <w:tblInd w:w="-5" w:type="dxa"/>
        <w:tblLayout w:type="fixed"/>
        <w:tblLook w:val="04A0" w:firstRow="1" w:lastRow="0" w:firstColumn="1" w:lastColumn="0" w:noHBand="0" w:noVBand="1"/>
      </w:tblPr>
      <w:tblGrid>
        <w:gridCol w:w="1530"/>
        <w:gridCol w:w="942"/>
        <w:gridCol w:w="825"/>
        <w:gridCol w:w="1217"/>
        <w:gridCol w:w="869"/>
        <w:gridCol w:w="869"/>
        <w:gridCol w:w="869"/>
        <w:gridCol w:w="1217"/>
        <w:gridCol w:w="695"/>
      </w:tblGrid>
      <w:tr w:rsidR="00335A3D" w:rsidRPr="00322E56" w14:paraId="39316530" w14:textId="77777777" w:rsidTr="00335A3D">
        <w:trPr>
          <w:trHeight w:val="278"/>
        </w:trPr>
        <w:tc>
          <w:tcPr>
            <w:tcW w:w="1530" w:type="dxa"/>
            <w:vMerge w:val="restart"/>
            <w:vAlign w:val="center"/>
          </w:tcPr>
          <w:p w14:paraId="0C62BD80" w14:textId="77777777" w:rsidR="00335A3D" w:rsidRPr="00322E56" w:rsidRDefault="00335A3D" w:rsidP="00273064">
            <w:pPr>
              <w:pStyle w:val="MDPI42tablebody"/>
              <w:rPr>
                <w:rFonts w:ascii="Times New Roman" w:hAnsi="Times New Roman"/>
                <w:b/>
                <w:bCs/>
                <w:sz w:val="21"/>
                <w:szCs w:val="21"/>
                <w:lang w:val="en-GB"/>
              </w:rPr>
            </w:pPr>
            <w:r w:rsidRPr="00322E56">
              <w:rPr>
                <w:rFonts w:ascii="Times New Roman" w:hAnsi="Times New Roman"/>
                <w:b/>
                <w:bCs/>
                <w:sz w:val="21"/>
                <w:szCs w:val="21"/>
                <w:lang w:val="en-GB"/>
              </w:rPr>
              <w:t>Location</w:t>
            </w:r>
          </w:p>
        </w:tc>
        <w:tc>
          <w:tcPr>
            <w:tcW w:w="942" w:type="dxa"/>
          </w:tcPr>
          <w:p w14:paraId="430C8595" w14:textId="77777777" w:rsidR="00335A3D" w:rsidRPr="00322E56" w:rsidRDefault="00335A3D" w:rsidP="00273064">
            <w:pPr>
              <w:pStyle w:val="MDPI42tablebody"/>
              <w:rPr>
                <w:rFonts w:ascii="Times New Roman" w:hAnsi="Times New Roman"/>
                <w:b/>
                <w:bCs/>
                <w:sz w:val="21"/>
                <w:szCs w:val="21"/>
                <w:vertAlign w:val="subscript"/>
                <w:lang w:val="en-GB"/>
              </w:rPr>
            </w:pPr>
            <w:r w:rsidRPr="00322E56">
              <w:rPr>
                <w:rFonts w:ascii="Times New Roman" w:hAnsi="Times New Roman"/>
                <w:b/>
                <w:bCs/>
                <w:sz w:val="21"/>
                <w:szCs w:val="21"/>
                <w:lang w:val="en-GB"/>
              </w:rPr>
              <w:t>PCT</w:t>
            </w:r>
          </w:p>
        </w:tc>
        <w:tc>
          <w:tcPr>
            <w:tcW w:w="825" w:type="dxa"/>
          </w:tcPr>
          <w:p w14:paraId="526D73CE" w14:textId="77777777" w:rsidR="00335A3D" w:rsidRPr="00322E56" w:rsidRDefault="00335A3D" w:rsidP="00273064">
            <w:pPr>
              <w:pStyle w:val="MDPI42tablebody"/>
              <w:rPr>
                <w:rFonts w:ascii="Times New Roman" w:hAnsi="Times New Roman"/>
                <w:b/>
                <w:bCs/>
                <w:sz w:val="21"/>
                <w:szCs w:val="21"/>
                <w:vertAlign w:val="subscript"/>
                <w:lang w:val="en-GB"/>
              </w:rPr>
            </w:pPr>
            <w:r w:rsidRPr="00322E56">
              <w:rPr>
                <w:rFonts w:ascii="Times New Roman" w:hAnsi="Times New Roman"/>
                <w:b/>
                <w:bCs/>
                <w:i/>
                <w:iCs/>
                <w:sz w:val="21"/>
                <w:szCs w:val="21"/>
                <w:lang w:val="en-GB"/>
              </w:rPr>
              <w:t>E</w:t>
            </w:r>
            <w:r w:rsidRPr="00322E56">
              <w:rPr>
                <w:rFonts w:ascii="Times New Roman" w:hAnsi="Times New Roman"/>
                <w:b/>
                <w:bCs/>
                <w:sz w:val="21"/>
                <w:szCs w:val="21"/>
                <w:vertAlign w:val="subscript"/>
                <w:lang w:val="en-GB"/>
              </w:rPr>
              <w:t>PCM</w:t>
            </w:r>
          </w:p>
        </w:tc>
        <w:tc>
          <w:tcPr>
            <w:tcW w:w="2086" w:type="dxa"/>
            <w:gridSpan w:val="2"/>
          </w:tcPr>
          <w:p w14:paraId="4C007509" w14:textId="77777777" w:rsidR="00335A3D" w:rsidRPr="00322E56" w:rsidRDefault="00335A3D" w:rsidP="00273064">
            <w:pPr>
              <w:pStyle w:val="MDPI42tablebody"/>
              <w:rPr>
                <w:rFonts w:ascii="Times New Roman" w:hAnsi="Times New Roman"/>
                <w:b/>
                <w:bCs/>
                <w:sz w:val="21"/>
                <w:szCs w:val="21"/>
                <w:lang w:val="en-GB"/>
              </w:rPr>
            </w:pPr>
            <w:r w:rsidRPr="00322E56">
              <w:rPr>
                <w:rFonts w:ascii="Times New Roman" w:hAnsi="Times New Roman"/>
                <w:b/>
                <w:bCs/>
                <w:sz w:val="21"/>
                <w:szCs w:val="21"/>
                <w:lang w:val="en-GB"/>
              </w:rPr>
              <w:t xml:space="preserve">Total annual energy consumption reduced </w:t>
            </w:r>
          </w:p>
        </w:tc>
        <w:tc>
          <w:tcPr>
            <w:tcW w:w="1738" w:type="dxa"/>
            <w:gridSpan w:val="2"/>
          </w:tcPr>
          <w:p w14:paraId="4896B3E2" w14:textId="77777777" w:rsidR="00335A3D" w:rsidRPr="00322E56" w:rsidRDefault="00335A3D" w:rsidP="00273064">
            <w:pPr>
              <w:pStyle w:val="MDPI42tablebody"/>
              <w:rPr>
                <w:rFonts w:ascii="Times New Roman" w:hAnsi="Times New Roman"/>
                <w:b/>
                <w:bCs/>
                <w:sz w:val="21"/>
                <w:szCs w:val="21"/>
                <w:lang w:val="en-GB"/>
              </w:rPr>
            </w:pPr>
            <w:r w:rsidRPr="00322E56">
              <w:rPr>
                <w:rFonts w:ascii="Times New Roman" w:hAnsi="Times New Roman"/>
                <w:b/>
                <w:bCs/>
                <w:sz w:val="21"/>
                <w:szCs w:val="21"/>
                <w:lang w:val="en-GB"/>
              </w:rPr>
              <w:t xml:space="preserve">Total annual utility cost saved </w:t>
            </w:r>
          </w:p>
        </w:tc>
        <w:tc>
          <w:tcPr>
            <w:tcW w:w="1912" w:type="dxa"/>
            <w:gridSpan w:val="2"/>
          </w:tcPr>
          <w:p w14:paraId="587FC83B" w14:textId="77777777" w:rsidR="00335A3D" w:rsidRPr="00322E56" w:rsidRDefault="00335A3D" w:rsidP="00273064">
            <w:pPr>
              <w:pStyle w:val="MDPI42tablebody"/>
              <w:rPr>
                <w:rFonts w:ascii="Times New Roman" w:hAnsi="Times New Roman"/>
                <w:b/>
                <w:bCs/>
                <w:sz w:val="21"/>
                <w:szCs w:val="21"/>
                <w:lang w:val="en-GB"/>
              </w:rPr>
            </w:pPr>
            <w:r w:rsidRPr="00322E56">
              <w:rPr>
                <w:rFonts w:ascii="Times New Roman" w:hAnsi="Times New Roman"/>
                <w:b/>
                <w:bCs/>
                <w:sz w:val="21"/>
                <w:szCs w:val="21"/>
                <w:lang w:val="en-GB"/>
              </w:rPr>
              <w:t>Total annual on-peak energy shifted</w:t>
            </w:r>
          </w:p>
        </w:tc>
      </w:tr>
      <w:tr w:rsidR="00335A3D" w:rsidRPr="00322E56" w14:paraId="13BE32A3" w14:textId="77777777" w:rsidTr="00335A3D">
        <w:trPr>
          <w:trHeight w:val="278"/>
        </w:trPr>
        <w:tc>
          <w:tcPr>
            <w:tcW w:w="1530" w:type="dxa"/>
            <w:vMerge/>
            <w:vAlign w:val="center"/>
          </w:tcPr>
          <w:p w14:paraId="3703AF8A" w14:textId="77777777" w:rsidR="00335A3D" w:rsidRPr="00322E56" w:rsidRDefault="00335A3D" w:rsidP="00273064">
            <w:pPr>
              <w:pStyle w:val="MDPI42tablebody"/>
              <w:rPr>
                <w:rFonts w:ascii="Times New Roman" w:hAnsi="Times New Roman"/>
                <w:sz w:val="21"/>
                <w:szCs w:val="21"/>
                <w:lang w:val="en-GB"/>
              </w:rPr>
            </w:pPr>
          </w:p>
        </w:tc>
        <w:tc>
          <w:tcPr>
            <w:tcW w:w="942" w:type="dxa"/>
          </w:tcPr>
          <w:p w14:paraId="23721774" w14:textId="77777777" w:rsidR="00335A3D" w:rsidRPr="00322E56" w:rsidRDefault="00335A3D" w:rsidP="00273064">
            <w:pPr>
              <w:pStyle w:val="MDPI42tablebody"/>
              <w:rPr>
                <w:rFonts w:ascii="Times New Roman" w:hAnsi="Times New Roman"/>
                <w:i/>
                <w:iCs/>
                <w:sz w:val="21"/>
                <w:szCs w:val="21"/>
                <w:lang w:val="en-GB"/>
              </w:rPr>
            </w:pPr>
            <w:r w:rsidRPr="00322E56">
              <w:rPr>
                <w:rFonts w:ascii="Times New Roman" w:hAnsi="Times New Roman"/>
                <w:i/>
                <w:iCs/>
                <w:sz w:val="21"/>
                <w:szCs w:val="21"/>
                <w:lang w:val="en-GB"/>
              </w:rPr>
              <w:t>(°C)</w:t>
            </w:r>
          </w:p>
        </w:tc>
        <w:tc>
          <w:tcPr>
            <w:tcW w:w="825" w:type="dxa"/>
          </w:tcPr>
          <w:p w14:paraId="6AFA7A34" w14:textId="77777777" w:rsidR="00335A3D" w:rsidRPr="00322E56" w:rsidRDefault="00335A3D" w:rsidP="00273064">
            <w:pPr>
              <w:pStyle w:val="MDPI42tablebody"/>
              <w:rPr>
                <w:rFonts w:ascii="Times New Roman" w:hAnsi="Times New Roman"/>
                <w:i/>
                <w:iCs/>
                <w:sz w:val="21"/>
                <w:szCs w:val="21"/>
                <w:lang w:val="en-GB"/>
              </w:rPr>
            </w:pPr>
            <w:r w:rsidRPr="00322E56">
              <w:rPr>
                <w:rFonts w:ascii="Times New Roman" w:hAnsi="Times New Roman"/>
                <w:i/>
                <w:iCs/>
                <w:sz w:val="21"/>
                <w:szCs w:val="21"/>
                <w:lang w:val="en-GB"/>
              </w:rPr>
              <w:t>(MJ)</w:t>
            </w:r>
          </w:p>
        </w:tc>
        <w:tc>
          <w:tcPr>
            <w:tcW w:w="1217" w:type="dxa"/>
          </w:tcPr>
          <w:p w14:paraId="262F1E85" w14:textId="77777777" w:rsidR="00335A3D" w:rsidRPr="00322E56" w:rsidRDefault="00335A3D" w:rsidP="00273064">
            <w:pPr>
              <w:pStyle w:val="MDPI42tablebody"/>
              <w:rPr>
                <w:rFonts w:ascii="Times New Roman" w:hAnsi="Times New Roman"/>
                <w:i/>
                <w:iCs/>
                <w:sz w:val="21"/>
                <w:szCs w:val="21"/>
                <w:lang w:val="en-GB"/>
              </w:rPr>
            </w:pPr>
            <w:r w:rsidRPr="00322E56">
              <w:rPr>
                <w:rFonts w:ascii="Times New Roman" w:hAnsi="Times New Roman"/>
                <w:i/>
                <w:iCs/>
                <w:sz w:val="21"/>
                <w:szCs w:val="21"/>
                <w:lang w:val="en-GB"/>
              </w:rPr>
              <w:t>(kWh/year)</w:t>
            </w:r>
          </w:p>
        </w:tc>
        <w:tc>
          <w:tcPr>
            <w:tcW w:w="869" w:type="dxa"/>
          </w:tcPr>
          <w:p w14:paraId="78B29115" w14:textId="77777777" w:rsidR="00335A3D" w:rsidRPr="00322E56" w:rsidRDefault="00335A3D" w:rsidP="00273064">
            <w:pPr>
              <w:pStyle w:val="MDPI42tablebody"/>
              <w:rPr>
                <w:rFonts w:ascii="Times New Roman" w:hAnsi="Times New Roman"/>
                <w:i/>
                <w:iCs/>
                <w:sz w:val="21"/>
                <w:szCs w:val="21"/>
                <w:lang w:val="en-GB"/>
              </w:rPr>
            </w:pPr>
            <w:r w:rsidRPr="00322E56">
              <w:rPr>
                <w:rFonts w:ascii="Times New Roman" w:hAnsi="Times New Roman"/>
                <w:i/>
                <w:iCs/>
                <w:sz w:val="21"/>
                <w:szCs w:val="21"/>
                <w:lang w:val="en-GB"/>
              </w:rPr>
              <w:t>(%)</w:t>
            </w:r>
          </w:p>
        </w:tc>
        <w:tc>
          <w:tcPr>
            <w:tcW w:w="869" w:type="dxa"/>
          </w:tcPr>
          <w:p w14:paraId="7574B861" w14:textId="77777777" w:rsidR="00335A3D" w:rsidRPr="00322E56" w:rsidDel="006848C2" w:rsidRDefault="00335A3D" w:rsidP="00273064">
            <w:pPr>
              <w:pStyle w:val="MDPI42tablebody"/>
              <w:rPr>
                <w:rFonts w:ascii="Times New Roman" w:hAnsi="Times New Roman"/>
                <w:i/>
                <w:iCs/>
                <w:sz w:val="21"/>
                <w:szCs w:val="21"/>
                <w:lang w:val="en-GB"/>
              </w:rPr>
            </w:pPr>
            <w:r w:rsidRPr="00322E56">
              <w:rPr>
                <w:rFonts w:ascii="Times New Roman" w:hAnsi="Times New Roman"/>
                <w:i/>
                <w:iCs/>
                <w:sz w:val="21"/>
                <w:szCs w:val="21"/>
                <w:lang w:val="en-GB"/>
              </w:rPr>
              <w:t>($/year)</w:t>
            </w:r>
          </w:p>
        </w:tc>
        <w:tc>
          <w:tcPr>
            <w:tcW w:w="869" w:type="dxa"/>
          </w:tcPr>
          <w:p w14:paraId="19D254DB" w14:textId="77777777" w:rsidR="00335A3D" w:rsidRPr="00322E56" w:rsidRDefault="00335A3D" w:rsidP="00273064">
            <w:pPr>
              <w:pStyle w:val="MDPI42tablebody"/>
              <w:rPr>
                <w:rFonts w:ascii="Times New Roman" w:hAnsi="Times New Roman"/>
                <w:i/>
                <w:iCs/>
                <w:sz w:val="21"/>
                <w:szCs w:val="21"/>
                <w:lang w:val="en-GB"/>
              </w:rPr>
            </w:pPr>
            <w:r w:rsidRPr="00322E56">
              <w:rPr>
                <w:rFonts w:ascii="Times New Roman" w:hAnsi="Times New Roman"/>
                <w:i/>
                <w:iCs/>
                <w:sz w:val="21"/>
                <w:szCs w:val="21"/>
                <w:lang w:val="en-GB"/>
              </w:rPr>
              <w:t>(%)</w:t>
            </w:r>
          </w:p>
        </w:tc>
        <w:tc>
          <w:tcPr>
            <w:tcW w:w="1217" w:type="dxa"/>
          </w:tcPr>
          <w:p w14:paraId="350E1386" w14:textId="77777777" w:rsidR="00335A3D" w:rsidRPr="00322E56" w:rsidDel="00F0035C" w:rsidRDefault="00335A3D" w:rsidP="00273064">
            <w:pPr>
              <w:pStyle w:val="MDPI42tablebody"/>
              <w:rPr>
                <w:rFonts w:ascii="Times New Roman" w:hAnsi="Times New Roman"/>
                <w:i/>
                <w:iCs/>
                <w:sz w:val="21"/>
                <w:szCs w:val="21"/>
                <w:lang w:val="en-GB"/>
              </w:rPr>
            </w:pPr>
            <w:r w:rsidRPr="00322E56">
              <w:rPr>
                <w:rFonts w:ascii="Times New Roman" w:hAnsi="Times New Roman"/>
                <w:i/>
                <w:iCs/>
                <w:sz w:val="21"/>
                <w:szCs w:val="21"/>
                <w:lang w:val="en-GB"/>
              </w:rPr>
              <w:t>(kWh/year)</w:t>
            </w:r>
          </w:p>
        </w:tc>
        <w:tc>
          <w:tcPr>
            <w:tcW w:w="695" w:type="dxa"/>
          </w:tcPr>
          <w:p w14:paraId="780FDDD5" w14:textId="77777777" w:rsidR="00335A3D" w:rsidRPr="00322E56" w:rsidRDefault="00335A3D" w:rsidP="00273064">
            <w:pPr>
              <w:pStyle w:val="MDPI42tablebody"/>
              <w:rPr>
                <w:rFonts w:ascii="Times New Roman" w:hAnsi="Times New Roman"/>
                <w:i/>
                <w:iCs/>
                <w:sz w:val="21"/>
                <w:szCs w:val="21"/>
                <w:lang w:val="en-GB"/>
              </w:rPr>
            </w:pPr>
            <w:r w:rsidRPr="00322E56">
              <w:rPr>
                <w:rFonts w:ascii="Times New Roman" w:hAnsi="Times New Roman"/>
                <w:i/>
                <w:iCs/>
                <w:sz w:val="21"/>
                <w:szCs w:val="21"/>
                <w:lang w:val="en-GB"/>
              </w:rPr>
              <w:t>(%)</w:t>
            </w:r>
          </w:p>
        </w:tc>
      </w:tr>
      <w:tr w:rsidR="00335A3D" w:rsidRPr="00322E56" w14:paraId="7F8F7CAE" w14:textId="77777777" w:rsidTr="00335A3D">
        <w:trPr>
          <w:trHeight w:val="367"/>
        </w:trPr>
        <w:tc>
          <w:tcPr>
            <w:tcW w:w="1530" w:type="dxa"/>
          </w:tcPr>
          <w:p w14:paraId="02A94D3E" w14:textId="77777777" w:rsidR="00335A3D" w:rsidRPr="00322E56" w:rsidRDefault="00335A3D" w:rsidP="00273064">
            <w:pPr>
              <w:pStyle w:val="MDPI42tablebody"/>
              <w:rPr>
                <w:rFonts w:ascii="Times New Roman" w:hAnsi="Times New Roman"/>
                <w:sz w:val="21"/>
                <w:szCs w:val="21"/>
                <w:lang w:val="en-GB"/>
              </w:rPr>
            </w:pPr>
            <w:r w:rsidRPr="00322E56">
              <w:rPr>
                <w:rFonts w:ascii="Times New Roman" w:hAnsi="Times New Roman"/>
                <w:sz w:val="21"/>
                <w:szCs w:val="21"/>
                <w:lang w:val="en-GB"/>
              </w:rPr>
              <w:t>Birmingham, AL</w:t>
            </w:r>
          </w:p>
        </w:tc>
        <w:tc>
          <w:tcPr>
            <w:tcW w:w="942" w:type="dxa"/>
          </w:tcPr>
          <w:p w14:paraId="3404F594" w14:textId="77777777" w:rsidR="00335A3D" w:rsidRPr="00322E56" w:rsidRDefault="00335A3D" w:rsidP="00273064">
            <w:pPr>
              <w:pStyle w:val="MDPI42tablebody"/>
              <w:rPr>
                <w:rFonts w:ascii="Times New Roman" w:hAnsi="Times New Roman"/>
                <w:sz w:val="21"/>
                <w:szCs w:val="21"/>
                <w:lang w:val="en-GB"/>
              </w:rPr>
            </w:pPr>
            <w:r w:rsidRPr="00322E56">
              <w:rPr>
                <w:rFonts w:ascii="Times New Roman" w:hAnsi="Times New Roman"/>
                <w:sz w:val="21"/>
                <w:szCs w:val="21"/>
                <w:lang w:val="en-GB"/>
              </w:rPr>
              <w:t>20°C</w:t>
            </w:r>
          </w:p>
        </w:tc>
        <w:tc>
          <w:tcPr>
            <w:tcW w:w="825" w:type="dxa"/>
          </w:tcPr>
          <w:p w14:paraId="3D4DEF22" w14:textId="77777777" w:rsidR="00335A3D" w:rsidRPr="00322E56" w:rsidRDefault="00335A3D" w:rsidP="00273064">
            <w:pPr>
              <w:pStyle w:val="MDPI42tablebody"/>
              <w:rPr>
                <w:rFonts w:ascii="Times New Roman" w:hAnsi="Times New Roman"/>
                <w:sz w:val="21"/>
                <w:szCs w:val="21"/>
                <w:lang w:val="en-GB"/>
              </w:rPr>
            </w:pPr>
            <w:r w:rsidRPr="00322E56">
              <w:rPr>
                <w:rFonts w:ascii="Times New Roman" w:hAnsi="Times New Roman"/>
                <w:sz w:val="21"/>
                <w:szCs w:val="21"/>
                <w:lang w:val="en-GB"/>
              </w:rPr>
              <w:t>120 MJ</w:t>
            </w:r>
          </w:p>
        </w:tc>
        <w:tc>
          <w:tcPr>
            <w:tcW w:w="1217" w:type="dxa"/>
          </w:tcPr>
          <w:p w14:paraId="71DBB6F4" w14:textId="77777777" w:rsidR="00335A3D" w:rsidRPr="00322E56" w:rsidRDefault="00335A3D" w:rsidP="00273064">
            <w:pPr>
              <w:pStyle w:val="MDPI42tablebody"/>
              <w:rPr>
                <w:rFonts w:ascii="Times New Roman" w:hAnsi="Times New Roman"/>
                <w:sz w:val="21"/>
                <w:szCs w:val="21"/>
                <w:lang w:val="en-GB"/>
              </w:rPr>
            </w:pPr>
            <w:bookmarkStart w:id="233" w:name="_Hlk92921255"/>
            <w:r w:rsidRPr="00322E56">
              <w:rPr>
                <w:rFonts w:ascii="Times New Roman" w:hAnsi="Times New Roman"/>
                <w:sz w:val="21"/>
                <w:szCs w:val="21"/>
                <w:lang w:val="en-GB"/>
              </w:rPr>
              <w:t>110.5</w:t>
            </w:r>
            <w:bookmarkEnd w:id="233"/>
          </w:p>
        </w:tc>
        <w:tc>
          <w:tcPr>
            <w:tcW w:w="869" w:type="dxa"/>
          </w:tcPr>
          <w:p w14:paraId="1506930C" w14:textId="77777777" w:rsidR="00335A3D" w:rsidRPr="00322E56" w:rsidRDefault="00335A3D" w:rsidP="00273064">
            <w:pPr>
              <w:pStyle w:val="MDPI42tablebody"/>
              <w:rPr>
                <w:rFonts w:ascii="Times New Roman" w:hAnsi="Times New Roman"/>
                <w:sz w:val="21"/>
                <w:szCs w:val="21"/>
                <w:lang w:val="en-GB"/>
              </w:rPr>
            </w:pPr>
            <w:r w:rsidRPr="00322E56">
              <w:rPr>
                <w:rFonts w:ascii="Times New Roman" w:hAnsi="Times New Roman"/>
                <w:sz w:val="21"/>
                <w:szCs w:val="21"/>
                <w:lang w:val="en-GB"/>
              </w:rPr>
              <w:t>5.4</w:t>
            </w:r>
          </w:p>
        </w:tc>
        <w:tc>
          <w:tcPr>
            <w:tcW w:w="869" w:type="dxa"/>
          </w:tcPr>
          <w:p w14:paraId="3843F61F" w14:textId="77777777" w:rsidR="00335A3D" w:rsidRPr="00322E56" w:rsidRDefault="00335A3D" w:rsidP="00273064">
            <w:pPr>
              <w:pStyle w:val="MDPI42tablebody"/>
              <w:rPr>
                <w:rFonts w:ascii="Times New Roman" w:hAnsi="Times New Roman"/>
                <w:sz w:val="21"/>
                <w:szCs w:val="21"/>
                <w:lang w:val="en-GB"/>
              </w:rPr>
            </w:pPr>
            <w:r w:rsidRPr="00322E56">
              <w:rPr>
                <w:rFonts w:ascii="Times New Roman" w:hAnsi="Times New Roman"/>
                <w:sz w:val="21"/>
                <w:szCs w:val="21"/>
                <w:lang w:val="en-GB"/>
              </w:rPr>
              <w:t>111.0</w:t>
            </w:r>
          </w:p>
        </w:tc>
        <w:tc>
          <w:tcPr>
            <w:tcW w:w="869" w:type="dxa"/>
          </w:tcPr>
          <w:p w14:paraId="2245D709" w14:textId="77777777" w:rsidR="00335A3D" w:rsidRPr="00322E56" w:rsidRDefault="00335A3D" w:rsidP="00273064">
            <w:pPr>
              <w:pStyle w:val="MDPI42tablebody"/>
              <w:rPr>
                <w:rFonts w:ascii="Times New Roman" w:hAnsi="Times New Roman"/>
                <w:sz w:val="21"/>
                <w:szCs w:val="21"/>
                <w:lang w:val="en-GB"/>
              </w:rPr>
            </w:pPr>
            <w:r w:rsidRPr="00322E56">
              <w:rPr>
                <w:rFonts w:ascii="Times New Roman" w:hAnsi="Times New Roman"/>
                <w:sz w:val="21"/>
                <w:szCs w:val="21"/>
                <w:lang w:val="en-GB"/>
              </w:rPr>
              <w:t>43.9</w:t>
            </w:r>
          </w:p>
        </w:tc>
        <w:tc>
          <w:tcPr>
            <w:tcW w:w="1217" w:type="dxa"/>
          </w:tcPr>
          <w:p w14:paraId="6C572A97" w14:textId="77777777" w:rsidR="00335A3D" w:rsidRPr="00322E56" w:rsidDel="00652598" w:rsidRDefault="00335A3D" w:rsidP="00273064">
            <w:pPr>
              <w:pStyle w:val="MDPI42tablebody"/>
              <w:rPr>
                <w:rFonts w:ascii="Times New Roman" w:hAnsi="Times New Roman"/>
                <w:sz w:val="21"/>
                <w:szCs w:val="21"/>
                <w:lang w:val="en-GB"/>
              </w:rPr>
            </w:pPr>
            <w:r w:rsidRPr="00322E56">
              <w:rPr>
                <w:rFonts w:ascii="Times New Roman" w:hAnsi="Times New Roman"/>
                <w:sz w:val="21"/>
                <w:szCs w:val="21"/>
                <w:lang w:val="en-GB"/>
              </w:rPr>
              <w:t>365.2</w:t>
            </w:r>
          </w:p>
        </w:tc>
        <w:tc>
          <w:tcPr>
            <w:tcW w:w="695" w:type="dxa"/>
          </w:tcPr>
          <w:p w14:paraId="6709D724" w14:textId="77777777" w:rsidR="00335A3D" w:rsidRPr="00322E56" w:rsidRDefault="00335A3D" w:rsidP="00273064">
            <w:pPr>
              <w:pStyle w:val="MDPI42tablebody"/>
              <w:rPr>
                <w:rFonts w:ascii="Times New Roman" w:hAnsi="Times New Roman"/>
                <w:sz w:val="21"/>
                <w:szCs w:val="21"/>
                <w:lang w:val="en-GB"/>
              </w:rPr>
            </w:pPr>
            <w:r w:rsidRPr="00322E56">
              <w:rPr>
                <w:rFonts w:ascii="Times New Roman" w:hAnsi="Times New Roman"/>
                <w:sz w:val="21"/>
                <w:szCs w:val="21"/>
                <w:lang w:val="en-GB"/>
              </w:rPr>
              <w:t>70.5</w:t>
            </w:r>
          </w:p>
        </w:tc>
      </w:tr>
      <w:tr w:rsidR="00335A3D" w:rsidRPr="00322E56" w:rsidDel="00DD4D6B" w14:paraId="27829EA7" w14:textId="77777777" w:rsidTr="00335A3D">
        <w:trPr>
          <w:trHeight w:val="367"/>
        </w:trPr>
        <w:tc>
          <w:tcPr>
            <w:tcW w:w="1530" w:type="dxa"/>
          </w:tcPr>
          <w:p w14:paraId="3EAF2209" w14:textId="77777777" w:rsidR="00335A3D" w:rsidRPr="00322E56" w:rsidRDefault="00335A3D" w:rsidP="00273064">
            <w:pPr>
              <w:pStyle w:val="MDPI42tablebody"/>
              <w:rPr>
                <w:rFonts w:ascii="Times New Roman" w:hAnsi="Times New Roman"/>
                <w:sz w:val="21"/>
                <w:szCs w:val="21"/>
                <w:lang w:val="en-GB"/>
              </w:rPr>
            </w:pPr>
            <w:r w:rsidRPr="00322E56">
              <w:rPr>
                <w:rFonts w:ascii="Times New Roman" w:hAnsi="Times New Roman"/>
                <w:sz w:val="21"/>
                <w:szCs w:val="21"/>
                <w:lang w:val="en-GB"/>
              </w:rPr>
              <w:t>New York, NY</w:t>
            </w:r>
          </w:p>
        </w:tc>
        <w:tc>
          <w:tcPr>
            <w:tcW w:w="942" w:type="dxa"/>
          </w:tcPr>
          <w:p w14:paraId="5FB992CD" w14:textId="77777777" w:rsidR="00335A3D" w:rsidRPr="00322E56" w:rsidRDefault="00335A3D" w:rsidP="00273064">
            <w:pPr>
              <w:pStyle w:val="MDPI42tablebody"/>
              <w:rPr>
                <w:rFonts w:ascii="Times New Roman" w:hAnsi="Times New Roman"/>
                <w:sz w:val="21"/>
                <w:szCs w:val="21"/>
                <w:lang w:val="en-GB"/>
              </w:rPr>
            </w:pPr>
            <w:r w:rsidRPr="00322E56">
              <w:rPr>
                <w:rFonts w:ascii="Times New Roman" w:hAnsi="Times New Roman"/>
                <w:sz w:val="21"/>
                <w:szCs w:val="21"/>
                <w:lang w:val="en-GB"/>
              </w:rPr>
              <w:t>30°C</w:t>
            </w:r>
          </w:p>
        </w:tc>
        <w:tc>
          <w:tcPr>
            <w:tcW w:w="825" w:type="dxa"/>
          </w:tcPr>
          <w:p w14:paraId="6D41B303" w14:textId="77777777" w:rsidR="00335A3D" w:rsidRPr="00322E56" w:rsidRDefault="00335A3D" w:rsidP="00273064">
            <w:pPr>
              <w:pStyle w:val="MDPI42tablebody"/>
              <w:rPr>
                <w:rFonts w:ascii="Times New Roman" w:hAnsi="Times New Roman"/>
                <w:sz w:val="21"/>
                <w:szCs w:val="21"/>
                <w:lang w:val="en-GB"/>
              </w:rPr>
            </w:pPr>
            <w:r w:rsidRPr="00322E56">
              <w:rPr>
                <w:rFonts w:ascii="Times New Roman" w:hAnsi="Times New Roman"/>
                <w:sz w:val="21"/>
                <w:szCs w:val="21"/>
                <w:lang w:val="en-GB"/>
              </w:rPr>
              <w:t>170 MJ</w:t>
            </w:r>
          </w:p>
        </w:tc>
        <w:tc>
          <w:tcPr>
            <w:tcW w:w="1217" w:type="dxa"/>
          </w:tcPr>
          <w:p w14:paraId="0C7D738D" w14:textId="77777777" w:rsidR="00335A3D" w:rsidRPr="00322E56" w:rsidRDefault="00335A3D" w:rsidP="00273064">
            <w:pPr>
              <w:pStyle w:val="MDPI42tablebody"/>
              <w:rPr>
                <w:rFonts w:ascii="Times New Roman" w:hAnsi="Times New Roman"/>
                <w:sz w:val="21"/>
                <w:szCs w:val="21"/>
                <w:lang w:val="en-GB"/>
              </w:rPr>
            </w:pPr>
            <w:r w:rsidRPr="00322E56">
              <w:rPr>
                <w:rFonts w:ascii="Times New Roman" w:hAnsi="Times New Roman"/>
                <w:sz w:val="21"/>
                <w:szCs w:val="21"/>
                <w:lang w:val="en-GB"/>
              </w:rPr>
              <w:t>109.6</w:t>
            </w:r>
          </w:p>
        </w:tc>
        <w:tc>
          <w:tcPr>
            <w:tcW w:w="869" w:type="dxa"/>
          </w:tcPr>
          <w:p w14:paraId="43C6ACA2" w14:textId="77777777" w:rsidR="00335A3D" w:rsidRPr="00322E56" w:rsidRDefault="00335A3D" w:rsidP="00273064">
            <w:pPr>
              <w:pStyle w:val="MDPI42tablebody"/>
              <w:rPr>
                <w:rFonts w:ascii="Times New Roman" w:hAnsi="Times New Roman"/>
                <w:sz w:val="21"/>
                <w:szCs w:val="21"/>
                <w:lang w:val="en-GB"/>
              </w:rPr>
            </w:pPr>
            <w:r w:rsidRPr="00322E56">
              <w:rPr>
                <w:rFonts w:ascii="Times New Roman" w:hAnsi="Times New Roman"/>
                <w:sz w:val="21"/>
                <w:szCs w:val="21"/>
                <w:lang w:val="en-GB"/>
              </w:rPr>
              <w:t>3.93</w:t>
            </w:r>
          </w:p>
        </w:tc>
        <w:tc>
          <w:tcPr>
            <w:tcW w:w="869" w:type="dxa"/>
          </w:tcPr>
          <w:p w14:paraId="37D99679" w14:textId="77777777" w:rsidR="00335A3D" w:rsidRPr="00322E56" w:rsidDel="00F0035C" w:rsidRDefault="00335A3D" w:rsidP="00273064">
            <w:pPr>
              <w:pStyle w:val="MDPI42tablebody"/>
              <w:rPr>
                <w:rFonts w:ascii="Times New Roman" w:hAnsi="Times New Roman"/>
                <w:sz w:val="21"/>
                <w:szCs w:val="21"/>
                <w:lang w:val="en-GB"/>
              </w:rPr>
            </w:pPr>
            <w:r w:rsidRPr="00322E56">
              <w:rPr>
                <w:rFonts w:ascii="Times New Roman" w:hAnsi="Times New Roman"/>
                <w:sz w:val="21"/>
                <w:szCs w:val="21"/>
                <w:lang w:val="en-GB"/>
              </w:rPr>
              <w:t>177.4</w:t>
            </w:r>
          </w:p>
        </w:tc>
        <w:tc>
          <w:tcPr>
            <w:tcW w:w="869" w:type="dxa"/>
          </w:tcPr>
          <w:p w14:paraId="316E6EB5" w14:textId="77777777" w:rsidR="00335A3D" w:rsidRPr="00322E56" w:rsidDel="00DD4D6B" w:rsidRDefault="00335A3D" w:rsidP="00273064">
            <w:pPr>
              <w:pStyle w:val="MDPI42tablebody"/>
              <w:rPr>
                <w:rFonts w:ascii="Times New Roman" w:hAnsi="Times New Roman"/>
                <w:sz w:val="21"/>
                <w:szCs w:val="21"/>
                <w:lang w:val="en-GB"/>
              </w:rPr>
            </w:pPr>
            <w:r w:rsidRPr="00322E56">
              <w:rPr>
                <w:rFonts w:ascii="Times New Roman" w:hAnsi="Times New Roman"/>
                <w:sz w:val="21"/>
                <w:szCs w:val="21"/>
                <w:lang w:val="en-GB"/>
              </w:rPr>
              <w:t>48.9</w:t>
            </w:r>
          </w:p>
        </w:tc>
        <w:tc>
          <w:tcPr>
            <w:tcW w:w="1217" w:type="dxa"/>
          </w:tcPr>
          <w:p w14:paraId="7499EBEB" w14:textId="77777777" w:rsidR="00335A3D" w:rsidRPr="00322E56" w:rsidRDefault="00335A3D" w:rsidP="00273064">
            <w:pPr>
              <w:pStyle w:val="MDPI42tablebody"/>
              <w:rPr>
                <w:rFonts w:ascii="Times New Roman" w:hAnsi="Times New Roman"/>
                <w:sz w:val="21"/>
                <w:szCs w:val="21"/>
                <w:lang w:val="en-GB"/>
              </w:rPr>
            </w:pPr>
            <w:r w:rsidRPr="00322E56">
              <w:rPr>
                <w:rFonts w:ascii="Times New Roman" w:hAnsi="Times New Roman"/>
                <w:sz w:val="21"/>
                <w:szCs w:val="21"/>
                <w:lang w:val="en-GB"/>
              </w:rPr>
              <w:t>717.5</w:t>
            </w:r>
          </w:p>
        </w:tc>
        <w:tc>
          <w:tcPr>
            <w:tcW w:w="695" w:type="dxa"/>
          </w:tcPr>
          <w:p w14:paraId="4FFC923A" w14:textId="77777777" w:rsidR="00335A3D" w:rsidRPr="00322E56" w:rsidDel="00DD4D6B" w:rsidRDefault="00335A3D" w:rsidP="00273064">
            <w:pPr>
              <w:pStyle w:val="MDPI42tablebody"/>
              <w:rPr>
                <w:rFonts w:ascii="Times New Roman" w:hAnsi="Times New Roman"/>
                <w:sz w:val="21"/>
                <w:szCs w:val="21"/>
                <w:lang w:val="en-GB"/>
              </w:rPr>
            </w:pPr>
            <w:r w:rsidRPr="00322E56">
              <w:rPr>
                <w:rFonts w:ascii="Times New Roman" w:hAnsi="Times New Roman"/>
                <w:sz w:val="21"/>
                <w:szCs w:val="21"/>
                <w:lang w:val="en-GB"/>
              </w:rPr>
              <w:t>53.3</w:t>
            </w:r>
          </w:p>
        </w:tc>
      </w:tr>
      <w:tr w:rsidR="00335A3D" w:rsidRPr="00322E56" w:rsidDel="00DD4D6B" w14:paraId="2E5CFF1C" w14:textId="77777777" w:rsidTr="00335A3D">
        <w:trPr>
          <w:trHeight w:val="367"/>
        </w:trPr>
        <w:tc>
          <w:tcPr>
            <w:tcW w:w="1530" w:type="dxa"/>
          </w:tcPr>
          <w:p w14:paraId="590D2F81" w14:textId="77777777" w:rsidR="00335A3D" w:rsidRPr="00322E56" w:rsidRDefault="00335A3D" w:rsidP="00273064">
            <w:pPr>
              <w:pStyle w:val="MDPI42tablebody"/>
              <w:rPr>
                <w:rFonts w:ascii="Times New Roman" w:hAnsi="Times New Roman"/>
                <w:sz w:val="21"/>
                <w:szCs w:val="21"/>
                <w:lang w:val="en-GB"/>
              </w:rPr>
            </w:pPr>
            <w:r w:rsidRPr="00322E56">
              <w:rPr>
                <w:rFonts w:ascii="Times New Roman" w:hAnsi="Times New Roman"/>
                <w:sz w:val="21"/>
                <w:szCs w:val="21"/>
                <w:lang w:val="en-GB"/>
              </w:rPr>
              <w:t>Houston, TX</w:t>
            </w:r>
          </w:p>
        </w:tc>
        <w:tc>
          <w:tcPr>
            <w:tcW w:w="942" w:type="dxa"/>
          </w:tcPr>
          <w:p w14:paraId="69E44299" w14:textId="77777777" w:rsidR="00335A3D" w:rsidRPr="00322E56" w:rsidRDefault="00335A3D" w:rsidP="00273064">
            <w:pPr>
              <w:pStyle w:val="MDPI42tablebody"/>
              <w:rPr>
                <w:rFonts w:ascii="Times New Roman" w:hAnsi="Times New Roman"/>
                <w:sz w:val="21"/>
                <w:szCs w:val="21"/>
                <w:lang w:val="en-GB"/>
              </w:rPr>
            </w:pPr>
            <w:r w:rsidRPr="00322E56">
              <w:rPr>
                <w:rFonts w:ascii="Times New Roman" w:hAnsi="Times New Roman"/>
                <w:sz w:val="21"/>
                <w:szCs w:val="21"/>
                <w:lang w:val="en-GB"/>
              </w:rPr>
              <w:t>20°C</w:t>
            </w:r>
          </w:p>
        </w:tc>
        <w:tc>
          <w:tcPr>
            <w:tcW w:w="825" w:type="dxa"/>
          </w:tcPr>
          <w:p w14:paraId="74DBE682" w14:textId="77777777" w:rsidR="00335A3D" w:rsidRPr="00322E56" w:rsidRDefault="00335A3D" w:rsidP="00273064">
            <w:pPr>
              <w:pStyle w:val="MDPI42tablebody"/>
              <w:rPr>
                <w:rFonts w:ascii="Times New Roman" w:hAnsi="Times New Roman"/>
                <w:sz w:val="21"/>
                <w:szCs w:val="21"/>
                <w:lang w:val="en-GB"/>
              </w:rPr>
            </w:pPr>
            <w:r w:rsidRPr="00322E56">
              <w:rPr>
                <w:rFonts w:ascii="Times New Roman" w:hAnsi="Times New Roman"/>
                <w:sz w:val="21"/>
                <w:szCs w:val="21"/>
                <w:lang w:val="en-GB"/>
              </w:rPr>
              <w:t>170 MJ</w:t>
            </w:r>
          </w:p>
        </w:tc>
        <w:tc>
          <w:tcPr>
            <w:tcW w:w="1217" w:type="dxa"/>
          </w:tcPr>
          <w:p w14:paraId="3326FDE4" w14:textId="77777777" w:rsidR="00335A3D" w:rsidRPr="00322E56" w:rsidDel="00DD4D6B" w:rsidRDefault="00335A3D" w:rsidP="00273064">
            <w:pPr>
              <w:pStyle w:val="MDPI42tablebody"/>
              <w:rPr>
                <w:rFonts w:ascii="Times New Roman" w:hAnsi="Times New Roman"/>
                <w:sz w:val="21"/>
                <w:szCs w:val="21"/>
                <w:lang w:val="en-GB"/>
              </w:rPr>
            </w:pPr>
            <w:r w:rsidRPr="00322E56">
              <w:rPr>
                <w:rFonts w:ascii="Times New Roman" w:hAnsi="Times New Roman"/>
                <w:sz w:val="21"/>
                <w:szCs w:val="21"/>
                <w:lang w:val="en-GB"/>
              </w:rPr>
              <w:t>32.3</w:t>
            </w:r>
          </w:p>
        </w:tc>
        <w:tc>
          <w:tcPr>
            <w:tcW w:w="869" w:type="dxa"/>
          </w:tcPr>
          <w:p w14:paraId="79E6E69F" w14:textId="77777777" w:rsidR="00335A3D" w:rsidRPr="00322E56" w:rsidRDefault="00335A3D" w:rsidP="00273064">
            <w:pPr>
              <w:pStyle w:val="MDPI42tablebody"/>
              <w:rPr>
                <w:rFonts w:ascii="Times New Roman" w:hAnsi="Times New Roman"/>
                <w:sz w:val="21"/>
                <w:szCs w:val="21"/>
                <w:lang w:val="en-GB"/>
              </w:rPr>
            </w:pPr>
            <w:r w:rsidRPr="00322E56">
              <w:rPr>
                <w:rFonts w:ascii="Times New Roman" w:hAnsi="Times New Roman"/>
                <w:sz w:val="21"/>
                <w:szCs w:val="21"/>
                <w:lang w:val="en-GB"/>
              </w:rPr>
              <w:t>1.75</w:t>
            </w:r>
          </w:p>
        </w:tc>
        <w:tc>
          <w:tcPr>
            <w:tcW w:w="869" w:type="dxa"/>
          </w:tcPr>
          <w:p w14:paraId="2A2A56F4" w14:textId="77777777" w:rsidR="00335A3D" w:rsidRPr="00322E56" w:rsidDel="006848C2" w:rsidRDefault="00335A3D" w:rsidP="00273064">
            <w:pPr>
              <w:pStyle w:val="MDPI42tablebody"/>
              <w:rPr>
                <w:rFonts w:ascii="Times New Roman" w:hAnsi="Times New Roman"/>
                <w:sz w:val="21"/>
                <w:szCs w:val="21"/>
                <w:lang w:val="en-GB"/>
              </w:rPr>
            </w:pPr>
            <w:r w:rsidRPr="00322E56">
              <w:rPr>
                <w:rFonts w:ascii="Times New Roman" w:hAnsi="Times New Roman"/>
                <w:sz w:val="21"/>
                <w:szCs w:val="21"/>
                <w:lang w:val="en-GB"/>
              </w:rPr>
              <w:t>231.1</w:t>
            </w:r>
          </w:p>
        </w:tc>
        <w:tc>
          <w:tcPr>
            <w:tcW w:w="869" w:type="dxa"/>
          </w:tcPr>
          <w:p w14:paraId="3556856A" w14:textId="77777777" w:rsidR="00335A3D" w:rsidRPr="00322E56" w:rsidDel="00DD4D6B" w:rsidRDefault="00335A3D" w:rsidP="00273064">
            <w:pPr>
              <w:pStyle w:val="MDPI42tablebody"/>
              <w:rPr>
                <w:rFonts w:ascii="Times New Roman" w:hAnsi="Times New Roman"/>
                <w:sz w:val="21"/>
                <w:szCs w:val="21"/>
                <w:lang w:val="en-GB"/>
              </w:rPr>
            </w:pPr>
            <w:r w:rsidRPr="00322E56">
              <w:rPr>
                <w:rFonts w:ascii="Times New Roman" w:hAnsi="Times New Roman"/>
                <w:sz w:val="21"/>
                <w:szCs w:val="21"/>
                <w:lang w:val="en-GB"/>
              </w:rPr>
              <w:t>47.4</w:t>
            </w:r>
          </w:p>
        </w:tc>
        <w:tc>
          <w:tcPr>
            <w:tcW w:w="1217" w:type="dxa"/>
          </w:tcPr>
          <w:p w14:paraId="534904E1" w14:textId="77777777" w:rsidR="00335A3D" w:rsidRPr="00322E56" w:rsidDel="00B12DE5" w:rsidRDefault="00335A3D" w:rsidP="00273064">
            <w:pPr>
              <w:pStyle w:val="MDPI42tablebody"/>
              <w:rPr>
                <w:rFonts w:ascii="Times New Roman" w:hAnsi="Times New Roman"/>
                <w:sz w:val="21"/>
                <w:szCs w:val="21"/>
                <w:lang w:val="en-GB"/>
              </w:rPr>
            </w:pPr>
            <w:r w:rsidRPr="00322E56">
              <w:rPr>
                <w:rFonts w:ascii="Times New Roman" w:hAnsi="Times New Roman"/>
                <w:sz w:val="21"/>
                <w:szCs w:val="21"/>
                <w:lang w:val="en-GB"/>
              </w:rPr>
              <w:t>531.9</w:t>
            </w:r>
          </w:p>
        </w:tc>
        <w:tc>
          <w:tcPr>
            <w:tcW w:w="695" w:type="dxa"/>
          </w:tcPr>
          <w:p w14:paraId="334D0F9E" w14:textId="77777777" w:rsidR="00335A3D" w:rsidRPr="00322E56" w:rsidDel="00DD4D6B" w:rsidRDefault="00335A3D" w:rsidP="00273064">
            <w:pPr>
              <w:pStyle w:val="MDPI42tablebody"/>
              <w:rPr>
                <w:rFonts w:ascii="Times New Roman" w:hAnsi="Times New Roman"/>
                <w:sz w:val="21"/>
                <w:szCs w:val="21"/>
                <w:lang w:val="en-GB"/>
              </w:rPr>
            </w:pPr>
            <w:r w:rsidRPr="00322E56">
              <w:rPr>
                <w:rFonts w:ascii="Times New Roman" w:hAnsi="Times New Roman"/>
                <w:sz w:val="21"/>
                <w:szCs w:val="21"/>
                <w:lang w:val="en-GB"/>
              </w:rPr>
              <w:t>47.4</w:t>
            </w:r>
          </w:p>
        </w:tc>
      </w:tr>
    </w:tbl>
    <w:p w14:paraId="40B39F6D" w14:textId="629015CA" w:rsidR="00335A3D" w:rsidRDefault="00335A3D" w:rsidP="00335A3D">
      <w:pPr>
        <w:pStyle w:val="Caption"/>
        <w:rPr>
          <w:rFonts w:cs="Times New Roman"/>
        </w:rPr>
      </w:pPr>
    </w:p>
    <w:p w14:paraId="4CA0E17D" w14:textId="77777777" w:rsidR="00335A3D" w:rsidRDefault="00335A3D">
      <w:pPr>
        <w:spacing w:before="0" w:line="240" w:lineRule="auto"/>
        <w:ind w:firstLine="0"/>
        <w:jc w:val="left"/>
        <w:rPr>
          <w:rFonts w:cs="Times New Roman"/>
          <w:b/>
          <w:bCs/>
        </w:rPr>
      </w:pPr>
      <w:r>
        <w:rPr>
          <w:rFonts w:cs="Times New Roman"/>
        </w:rPr>
        <w:br w:type="page"/>
      </w:r>
    </w:p>
    <w:p w14:paraId="0C71D03D" w14:textId="77777777" w:rsidR="00335A3D" w:rsidRPr="00322E56" w:rsidRDefault="00335A3D" w:rsidP="00335A3D">
      <w:pPr>
        <w:keepNext/>
        <w:ind w:firstLine="0"/>
        <w:jc w:val="center"/>
        <w:rPr>
          <w:rFonts w:cs="Times New Roman"/>
        </w:rPr>
      </w:pPr>
      <w:r w:rsidRPr="00322E56">
        <w:rPr>
          <w:rFonts w:cs="Times New Roman"/>
          <w:noProof/>
        </w:rPr>
        <w:lastRenderedPageBreak/>
        <w:drawing>
          <wp:inline distT="0" distB="0" distL="0" distR="0" wp14:anchorId="2B2172F1" wp14:editId="3D434E82">
            <wp:extent cx="5443909" cy="3069771"/>
            <wp:effectExtent l="0" t="0" r="4445" b="0"/>
            <wp:docPr id="40" name="Picture 40" descr="A graph of blue and white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graph of blue and white bars&#10;&#10;Description automatically generated"/>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449545" cy="3072949"/>
                    </a:xfrm>
                    <a:prstGeom prst="rect">
                      <a:avLst/>
                    </a:prstGeom>
                    <a:noFill/>
                  </pic:spPr>
                </pic:pic>
              </a:graphicData>
            </a:graphic>
          </wp:inline>
        </w:drawing>
      </w:r>
    </w:p>
    <w:p w14:paraId="054E6265" w14:textId="160BC2EF" w:rsidR="00335A3D" w:rsidRPr="00322E56" w:rsidRDefault="00335A3D" w:rsidP="00335A3D">
      <w:pPr>
        <w:pStyle w:val="Caption"/>
        <w:jc w:val="center"/>
        <w:rPr>
          <w:rFonts w:cs="Times New Roman"/>
          <w:lang w:val="en-GB"/>
        </w:rPr>
      </w:pPr>
      <w:bookmarkStart w:id="234" w:name="_Toc140403914"/>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48</w:t>
      </w:r>
      <w:r w:rsidRPr="00322E56">
        <w:rPr>
          <w:rFonts w:cs="Times New Roman"/>
        </w:rPr>
        <w:fldChar w:fldCharType="end"/>
      </w:r>
      <w:r w:rsidRPr="00322E56">
        <w:rPr>
          <w:rFonts w:cs="Times New Roman"/>
        </w:rPr>
        <w:t>: Summary of annual results for all three locations.</w:t>
      </w:r>
      <w:bookmarkEnd w:id="234"/>
    </w:p>
    <w:p w14:paraId="423800E9" w14:textId="62E14F74" w:rsidR="00B17E5F" w:rsidRPr="00335A3D" w:rsidRDefault="00335A3D" w:rsidP="00335A3D">
      <w:pPr>
        <w:spacing w:before="0" w:line="240" w:lineRule="auto"/>
        <w:ind w:firstLine="0"/>
        <w:jc w:val="left"/>
        <w:rPr>
          <w:rFonts w:cs="Times New Roman"/>
          <w:b/>
          <w:bCs/>
        </w:rPr>
      </w:pPr>
      <w:r>
        <w:rPr>
          <w:rFonts w:cs="Times New Roman"/>
        </w:rPr>
        <w:br w:type="page"/>
      </w:r>
    </w:p>
    <w:p w14:paraId="69BB57D2" w14:textId="77777777" w:rsidR="00B17E5F" w:rsidRPr="00322E56" w:rsidRDefault="00B17E5F" w:rsidP="00815115">
      <w:pPr>
        <w:rPr>
          <w:rFonts w:cs="Times New Roman"/>
          <w:lang w:val="en-GB"/>
        </w:rPr>
      </w:pPr>
      <w:bookmarkStart w:id="235" w:name="_Hlk133411063"/>
      <w:r w:rsidRPr="00322E56">
        <w:rPr>
          <w:rFonts w:cs="Times New Roman"/>
          <w:lang w:val="en-GB"/>
        </w:rPr>
        <w:lastRenderedPageBreak/>
        <w:t xml:space="preserve">We only analysed PCT from 0°C to 45°C with a resolution of 5 C which is a limitation of this study. If the optimum lies in between 20 and 25 for example, that won't show up in our assessment. </w:t>
      </w:r>
    </w:p>
    <w:bookmarkEnd w:id="235"/>
    <w:p w14:paraId="53250E9F" w14:textId="77777777" w:rsidR="00B17E5F" w:rsidRPr="00322E56" w:rsidRDefault="00B17E5F" w:rsidP="00815115">
      <w:pPr>
        <w:rPr>
          <w:rFonts w:cs="Times New Roman"/>
          <w:lang w:val="en-GB"/>
        </w:rPr>
      </w:pPr>
      <w:r w:rsidRPr="00322E56">
        <w:rPr>
          <w:rFonts w:cs="Times New Roman"/>
          <w:lang w:val="en-GB"/>
        </w:rPr>
        <w:t>An important controls shortcoming was identified in this study. PCM was used for discharging even if the ambient temperature was not favorable. For instance, if the PCT was lower than the ambient temperature, extracting heat from the TES resulted in more electricity consumption to meet the heating load as compared with the normal mode (i.e., extracting heat from warmer ambient air). Thus, predictive weather data should be included in control strategies for future work to optimize TES operation.</w:t>
      </w:r>
    </w:p>
    <w:p w14:paraId="4FAEC2DA" w14:textId="77777777" w:rsidR="00B17E5F" w:rsidRPr="00322E56" w:rsidRDefault="00B17E5F" w:rsidP="00815115">
      <w:pPr>
        <w:rPr>
          <w:rFonts w:cs="Times New Roman"/>
          <w:lang w:val="en-GB"/>
        </w:rPr>
      </w:pPr>
      <w:r w:rsidRPr="00322E56">
        <w:rPr>
          <w:rFonts w:cs="Times New Roman"/>
          <w:lang w:val="en-GB"/>
        </w:rPr>
        <w:t>TES systems with larger storage capacities were shown to have a narrower acceptable PCT range because the adverse effects of this suboptimal control strategy became more pronounced at extreme PCTs. In future work, the control strategy should be improved to take advantage of the daily ambient temperature swing.</w:t>
      </w:r>
    </w:p>
    <w:p w14:paraId="7E75FDE8" w14:textId="77777777" w:rsidR="00B17E5F" w:rsidRPr="00322E56" w:rsidRDefault="00B17E5F" w:rsidP="00DE3B93">
      <w:pPr>
        <w:rPr>
          <w:rFonts w:cs="Times New Roman"/>
          <w:lang w:val="en-GB"/>
        </w:rPr>
      </w:pPr>
    </w:p>
    <w:p w14:paraId="0F9AAFE2" w14:textId="77777777" w:rsidR="00B17E5F" w:rsidRPr="00322E56" w:rsidRDefault="00B17E5F" w:rsidP="00DE3B93">
      <w:pPr>
        <w:rPr>
          <w:rFonts w:cs="Times New Roman"/>
          <w:lang w:val="en-GB"/>
        </w:rPr>
      </w:pPr>
    </w:p>
    <w:p w14:paraId="3C5A3BA8" w14:textId="77777777" w:rsidR="00B17E5F" w:rsidRPr="00322E56" w:rsidRDefault="00B17E5F" w:rsidP="00804D92">
      <w:pPr>
        <w:rPr>
          <w:rFonts w:cs="Times New Roman"/>
          <w:lang w:val="en-GB"/>
        </w:rPr>
      </w:pPr>
    </w:p>
    <w:p w14:paraId="6CAF6B9A" w14:textId="77777777" w:rsidR="00B17E5F" w:rsidRPr="00322E56" w:rsidRDefault="00B17E5F" w:rsidP="008C2D8D">
      <w:pPr>
        <w:rPr>
          <w:rFonts w:cs="Times New Roman"/>
          <w:lang w:val="en-GB"/>
        </w:rPr>
      </w:pPr>
    </w:p>
    <w:p w14:paraId="20BFEF67" w14:textId="77777777" w:rsidR="00B17E5F" w:rsidRPr="00322E56" w:rsidRDefault="00B17E5F" w:rsidP="00E23FA9">
      <w:pPr>
        <w:rPr>
          <w:rFonts w:cs="Times New Roman"/>
          <w:lang w:val="en-GB"/>
        </w:rPr>
      </w:pPr>
    </w:p>
    <w:p w14:paraId="7E501104" w14:textId="77777777" w:rsidR="00B17E5F" w:rsidRPr="00322E56" w:rsidRDefault="00B17E5F" w:rsidP="008F2F75">
      <w:pPr>
        <w:rPr>
          <w:rFonts w:cs="Times New Roman"/>
          <w:lang w:val="en-GB"/>
        </w:rPr>
      </w:pPr>
    </w:p>
    <w:p w14:paraId="60A9B50C" w14:textId="77777777" w:rsidR="00B17E5F" w:rsidRPr="00322E56" w:rsidRDefault="00B17E5F" w:rsidP="00471D67">
      <w:pPr>
        <w:rPr>
          <w:rFonts w:cs="Times New Roman"/>
          <w:lang w:val="en-GB"/>
        </w:rPr>
      </w:pPr>
    </w:p>
    <w:p w14:paraId="69936B18" w14:textId="77777777" w:rsidR="00B17E5F" w:rsidRPr="00322E56" w:rsidRDefault="00B17E5F" w:rsidP="00471D67">
      <w:pPr>
        <w:rPr>
          <w:rFonts w:cs="Times New Roman"/>
          <w:lang w:val="en-GB"/>
        </w:rPr>
      </w:pPr>
    </w:p>
    <w:p w14:paraId="1760B50D" w14:textId="23D49A8C" w:rsidR="00B17E5F" w:rsidRDefault="00B17E5F" w:rsidP="00B04236">
      <w:pPr>
        <w:spacing w:line="240" w:lineRule="auto"/>
        <w:ind w:firstLine="0"/>
        <w:rPr>
          <w:rFonts w:cs="Times New Roman"/>
          <w:lang w:val="en-GB"/>
        </w:rPr>
      </w:pPr>
    </w:p>
    <w:p w14:paraId="2E399F5D" w14:textId="77777777" w:rsidR="00B04236" w:rsidRPr="00322E56" w:rsidRDefault="00B04236" w:rsidP="00B04236">
      <w:pPr>
        <w:spacing w:line="240" w:lineRule="auto"/>
        <w:ind w:firstLine="0"/>
        <w:rPr>
          <w:rFonts w:cs="Times New Roman"/>
          <w:lang w:val="en-GB"/>
        </w:rPr>
      </w:pPr>
    </w:p>
    <w:p w14:paraId="117455C3" w14:textId="77777777" w:rsidR="00B17E5F" w:rsidRPr="00322E56" w:rsidRDefault="00B17E5F">
      <w:pPr>
        <w:spacing w:line="240" w:lineRule="auto"/>
        <w:rPr>
          <w:rFonts w:cs="Times New Roman"/>
          <w:lang w:val="en-GB"/>
        </w:rPr>
      </w:pPr>
      <w:r w:rsidRPr="00322E56">
        <w:rPr>
          <w:rFonts w:cs="Times New Roman"/>
          <w:lang w:val="en-GB"/>
        </w:rPr>
        <w:br w:type="page"/>
      </w:r>
    </w:p>
    <w:p w14:paraId="370AC60C" w14:textId="77777777" w:rsidR="00B17E5F" w:rsidRPr="00322E56" w:rsidRDefault="00B17E5F" w:rsidP="00335A3D">
      <w:pPr>
        <w:pStyle w:val="Heading1"/>
        <w:rPr>
          <w:lang w:val="en-GB"/>
        </w:rPr>
      </w:pPr>
      <w:bookmarkStart w:id="236" w:name="_Toc140399891"/>
      <w:r w:rsidRPr="00322E56">
        <w:rPr>
          <w:lang w:val="en-GB"/>
        </w:rPr>
        <w:lastRenderedPageBreak/>
        <w:t>Conclusions</w:t>
      </w:r>
      <w:bookmarkEnd w:id="236"/>
    </w:p>
    <w:p w14:paraId="335C9AA5" w14:textId="77777777" w:rsidR="00B17E5F" w:rsidRPr="00322E56" w:rsidRDefault="00B17E5F" w:rsidP="00A36BE8">
      <w:pPr>
        <w:rPr>
          <w:rFonts w:cs="Times New Roman"/>
          <w:lang w:val="en-GB"/>
        </w:rPr>
      </w:pPr>
      <w:r w:rsidRPr="00322E56">
        <w:rPr>
          <w:rFonts w:cs="Times New Roman"/>
          <w:lang w:val="en-GB"/>
        </w:rPr>
        <w:t xml:space="preserve">An HP-integrated TES was modeled in a simple configuration to determine the PCT and storage capacity that maximized energy savings, cost savings, and peak shifting for select residential building types. Three TES systems were modeled and compared with a baseline for different climate zones in the United States: Birmingham, Houston, and New York City. The simple, rule-based TES controls were designed to shift the load from on-peak to off-peak hours based on TOU utility tariffs available to residential customers in these locations. Very simple models of the HP, TES, and building were used to focus on evaluating the potential energy and cost savings and grid benefits of this HP-TES configuration. The best TES storage capacity and melting temperature were calculated for each case. </w:t>
      </w:r>
    </w:p>
    <w:p w14:paraId="02A56F15" w14:textId="77777777" w:rsidR="00B17E5F" w:rsidRPr="00322E56" w:rsidRDefault="00B17E5F" w:rsidP="00A36BE8">
      <w:pPr>
        <w:rPr>
          <w:rFonts w:cs="Times New Roman"/>
          <w:lang w:val="en-GB"/>
        </w:rPr>
      </w:pPr>
      <w:r w:rsidRPr="00322E56">
        <w:rPr>
          <w:rFonts w:cs="Times New Roman"/>
          <w:lang w:val="en-GB"/>
        </w:rPr>
        <w:t>Birmingham and Houston are cooling-dominated climates, and 20°C was found to be the best melting temperature for annual energy and cost savings, as well as demand shift. New York City saw the largest energy savings and demand shift at 30°C because the system needed to meet a high heating demand</w:t>
      </w:r>
      <w:bookmarkStart w:id="237" w:name="_Toc55989531"/>
      <w:bookmarkStart w:id="238" w:name="_Toc55989532"/>
      <w:bookmarkStart w:id="239" w:name="_Toc55989533"/>
      <w:bookmarkStart w:id="240" w:name="_Toc55989534"/>
      <w:bookmarkStart w:id="241" w:name="_Toc55989535"/>
      <w:bookmarkEnd w:id="237"/>
      <w:bookmarkEnd w:id="238"/>
      <w:bookmarkEnd w:id="239"/>
      <w:bookmarkEnd w:id="240"/>
      <w:bookmarkEnd w:id="241"/>
      <w:r w:rsidRPr="00322E56">
        <w:rPr>
          <w:rFonts w:cs="Times New Roman"/>
          <w:lang w:val="en-GB"/>
        </w:rPr>
        <w:t xml:space="preserve">. The highest energy savings of 5.4% and maximum peak load shifting of 70% compared with the baseline HP were observed in the Birmingham case. Maximum energy cost savings of 48.9% compared with the baseline ASHP were achieved in New York City. The energy cost savings and peak load shifted were driven by the peak time and heating and cooling demand for each climate location studied. TES with larger storage capacity allowed for more demand shift, with diminishing returns once the TES capacity equalled the daily building thermal loads experienced during the most extreme ambient conditions. </w:t>
      </w:r>
    </w:p>
    <w:p w14:paraId="1FA32284" w14:textId="77777777" w:rsidR="00B17E5F" w:rsidRPr="00322E56" w:rsidRDefault="00B17E5F" w:rsidP="00A36BE8">
      <w:pPr>
        <w:rPr>
          <w:rFonts w:cs="Times New Roman"/>
          <w:lang w:val="en-GB"/>
        </w:rPr>
      </w:pPr>
      <w:bookmarkStart w:id="242" w:name="_Hlk133411148"/>
      <w:r w:rsidRPr="00322E56">
        <w:rPr>
          <w:rFonts w:cs="Times New Roman"/>
          <w:lang w:val="en-GB"/>
        </w:rPr>
        <w:t xml:space="preserve">The scope of this work is limited to space conditioning in typical single-family residential buildings of U.S. and the building model is simplified. A more sophisticated model will be implemented in future iterations of this work and is expected to change the building loads. Three climate zones have been analysed in this work, but for future, a comprehensive analysis will be performed on more locations to represent more variations in climates and to generalize expected results. For the TES model, an arbitrary idealized </w:t>
      </w:r>
      <w:r w:rsidRPr="00322E56">
        <w:rPr>
          <w:rFonts w:cs="Times New Roman"/>
          <w:lang w:val="en-GB"/>
        </w:rPr>
        <w:lastRenderedPageBreak/>
        <w:t>PCM is used and a range of PCTs is analysed with a difference of 5°C only. Future work will consider more values in between for optimization and a more robust TES model. Future models will also improve the control strategy and consider more variables like ambient temperature and diurnal swing.</w:t>
      </w:r>
    </w:p>
    <w:bookmarkEnd w:id="242"/>
    <w:p w14:paraId="506FEA09" w14:textId="77777777" w:rsidR="00B17E5F" w:rsidRPr="00322E56" w:rsidRDefault="00B17E5F" w:rsidP="00A36BE8">
      <w:pPr>
        <w:rPr>
          <w:rFonts w:cs="Times New Roman"/>
        </w:rPr>
      </w:pPr>
    </w:p>
    <w:p w14:paraId="70724212" w14:textId="77777777" w:rsidR="00B17E5F" w:rsidRPr="00322E56" w:rsidRDefault="00B17E5F" w:rsidP="00A36BE8">
      <w:pPr>
        <w:rPr>
          <w:rFonts w:cs="Times New Roman"/>
          <w:lang w:val="en-GB"/>
        </w:rPr>
      </w:pPr>
    </w:p>
    <w:p w14:paraId="6A5D8E78" w14:textId="77777777" w:rsidR="00B17E5F" w:rsidRPr="00322E56" w:rsidRDefault="00B17E5F" w:rsidP="00A36BE8">
      <w:pPr>
        <w:rPr>
          <w:rFonts w:cs="Times New Roman"/>
        </w:rPr>
      </w:pPr>
      <w:r w:rsidRPr="00322E56">
        <w:rPr>
          <w:rFonts w:cs="Times New Roman"/>
        </w:rPr>
        <w:br w:type="page"/>
      </w:r>
    </w:p>
    <w:p w14:paraId="222F7B05" w14:textId="77777777" w:rsidR="00B17E5F" w:rsidRPr="00322E56" w:rsidRDefault="00B17E5F" w:rsidP="00B2290B">
      <w:pPr>
        <w:pStyle w:val="Heading1"/>
        <w:rPr>
          <w:rFonts w:cs="Times New Roman"/>
          <w:szCs w:val="28"/>
        </w:rPr>
      </w:pPr>
      <w:bookmarkStart w:id="243" w:name="_Toc140399892"/>
      <w:r w:rsidRPr="00322E56">
        <w:rPr>
          <w:rFonts w:cs="Times New Roman"/>
          <w:caps w:val="0"/>
          <w:szCs w:val="28"/>
        </w:rPr>
        <w:lastRenderedPageBreak/>
        <w:t>CHAPTER V</w:t>
      </w:r>
      <w:r w:rsidRPr="00322E56">
        <w:rPr>
          <w:rFonts w:cs="Times New Roman"/>
          <w:caps w:val="0"/>
          <w:szCs w:val="28"/>
        </w:rPr>
        <w:br/>
        <w:t>ANALYSIS ON HP-TES IN VARIOUS CLIMATE ZONES IN U.S. AND EXPERIMENTAL VALIDATION</w:t>
      </w:r>
      <w:bookmarkEnd w:id="243"/>
      <w:r w:rsidRPr="00322E56">
        <w:rPr>
          <w:rFonts w:cs="Times New Roman"/>
          <w:caps w:val="0"/>
          <w:szCs w:val="28"/>
        </w:rPr>
        <w:t xml:space="preserve"> </w:t>
      </w:r>
    </w:p>
    <w:p w14:paraId="128F3819" w14:textId="77777777" w:rsidR="00B17E5F" w:rsidRPr="00322E56" w:rsidRDefault="00B17E5F" w:rsidP="00B2290B">
      <w:pPr>
        <w:rPr>
          <w:rFonts w:cs="Times New Roman"/>
          <w:sz w:val="28"/>
          <w:szCs w:val="28"/>
        </w:rPr>
      </w:pPr>
      <w:r w:rsidRPr="00322E56">
        <w:rPr>
          <w:rFonts w:cs="Times New Roman"/>
          <w:sz w:val="28"/>
          <w:szCs w:val="28"/>
        </w:rPr>
        <w:br w:type="page"/>
      </w:r>
    </w:p>
    <w:p w14:paraId="676CBB2F" w14:textId="4FFC7847" w:rsidR="00B3664F" w:rsidRDefault="00B3664F" w:rsidP="00B3664F">
      <w:pPr>
        <w:ind w:firstLine="720"/>
        <w:rPr>
          <w:rFonts w:cs="Times New Roman"/>
        </w:rPr>
      </w:pPr>
      <w:r>
        <w:rPr>
          <w:rFonts w:cs="Times New Roman"/>
        </w:rPr>
        <w:lastRenderedPageBreak/>
        <w:t>A version of this chapter is accepted for publication:</w:t>
      </w:r>
    </w:p>
    <w:p w14:paraId="32CB4A50" w14:textId="580A84C7" w:rsidR="00B3664F" w:rsidRPr="000B7687" w:rsidRDefault="00B3664F" w:rsidP="00B3664F">
      <w:pPr>
        <w:ind w:firstLine="720"/>
        <w:rPr>
          <w:rFonts w:cs="Times New Roman"/>
          <w:i/>
          <w:iCs/>
        </w:rPr>
      </w:pPr>
      <w:r w:rsidRPr="00322E56">
        <w:rPr>
          <w:rFonts w:cs="Times New Roman"/>
        </w:rPr>
        <w:t>Sultan, S</w:t>
      </w:r>
      <w:r>
        <w:rPr>
          <w:rFonts w:cs="Times New Roman"/>
        </w:rPr>
        <w:t>.,</w:t>
      </w:r>
      <w:r w:rsidRPr="00322E56">
        <w:rPr>
          <w:rFonts w:cs="Times New Roman"/>
        </w:rPr>
        <w:t xml:space="preserve"> </w:t>
      </w:r>
      <w:r w:rsidRPr="00AE72D0">
        <w:rPr>
          <w:rFonts w:cs="Times New Roman"/>
        </w:rPr>
        <w:t>Hirschey</w:t>
      </w:r>
      <w:r>
        <w:rPr>
          <w:rFonts w:cs="Times New Roman"/>
        </w:rPr>
        <w:t xml:space="preserve"> J.</w:t>
      </w:r>
      <w:r w:rsidRPr="00AE72D0">
        <w:rPr>
          <w:rFonts w:cs="Times New Roman"/>
        </w:rPr>
        <w:t xml:space="preserve">, </w:t>
      </w:r>
      <w:r>
        <w:rPr>
          <w:rFonts w:cs="Times New Roman"/>
        </w:rPr>
        <w:t>Li Z., Shen B., Graham S.,</w:t>
      </w:r>
      <w:r w:rsidRPr="00AE72D0">
        <w:rPr>
          <w:rFonts w:cs="Times New Roman"/>
        </w:rPr>
        <w:t xml:space="preserve"> </w:t>
      </w:r>
      <w:r w:rsidRPr="00322E56">
        <w:rPr>
          <w:rFonts w:cs="Times New Roman"/>
        </w:rPr>
        <w:t>&amp; Gluesenkamp, K. R. (202</w:t>
      </w:r>
      <w:r>
        <w:rPr>
          <w:rFonts w:cs="Times New Roman"/>
        </w:rPr>
        <w:t>3</w:t>
      </w:r>
      <w:r w:rsidRPr="00322E56">
        <w:rPr>
          <w:rFonts w:cs="Times New Roman"/>
        </w:rPr>
        <w:t>). “</w:t>
      </w:r>
      <w:r w:rsidRPr="00B3664F">
        <w:rPr>
          <w:rFonts w:cs="Times New Roman"/>
        </w:rPr>
        <w:t>Carbon Mitigation Potential of Heat Pump Integrated with Thermal Storage for Grid-Interactive Residential Buildings</w:t>
      </w:r>
      <w:r w:rsidRPr="00322E56">
        <w:rPr>
          <w:rFonts w:cs="Times New Roman"/>
        </w:rPr>
        <w:t xml:space="preserve">.” </w:t>
      </w:r>
      <w:r>
        <w:rPr>
          <w:rFonts w:cs="Times New Roman"/>
          <w:i/>
          <w:iCs/>
        </w:rPr>
        <w:t>14th IEA Heat Pump Conference</w:t>
      </w:r>
    </w:p>
    <w:p w14:paraId="08F4CF8F" w14:textId="4BFF7837" w:rsidR="00B3664F" w:rsidRDefault="00B3664F" w:rsidP="00B3664F">
      <w:pPr>
        <w:ind w:firstLine="720"/>
        <w:rPr>
          <w:rFonts w:cs="Times New Roman"/>
        </w:rPr>
      </w:pPr>
      <w:r w:rsidRPr="00AE72D0">
        <w:t>Conceptualization</w:t>
      </w:r>
      <w:r>
        <w:t xml:space="preserve">, data collection, methodology and </w:t>
      </w:r>
      <w:r w:rsidRPr="00AE72D0">
        <w:t xml:space="preserve">original </w:t>
      </w:r>
      <w:r>
        <w:t xml:space="preserve">manuscript </w:t>
      </w:r>
      <w:r w:rsidRPr="00AE72D0">
        <w:t xml:space="preserve">draft </w:t>
      </w:r>
      <w:r>
        <w:t xml:space="preserve">was </w:t>
      </w:r>
      <w:r w:rsidRPr="00AE72D0">
        <w:t>prepar</w:t>
      </w:r>
      <w:r>
        <w:t>ed by</w:t>
      </w:r>
      <w:r w:rsidRPr="00AE72D0">
        <w:t xml:space="preserve"> Sara Sultan</w:t>
      </w:r>
      <w:r>
        <w:t xml:space="preserve">, </w:t>
      </w:r>
      <w:r w:rsidRPr="00AE72D0">
        <w:t xml:space="preserve">Jason Hirschey, </w:t>
      </w:r>
      <w:r>
        <w:t>and</w:t>
      </w:r>
      <w:r w:rsidRPr="00AE72D0">
        <w:t xml:space="preserve"> Navin Kumar</w:t>
      </w:r>
      <w:r>
        <w:t xml:space="preserve">. Borui Cui, </w:t>
      </w:r>
      <w:r w:rsidRPr="00AE72D0">
        <w:t xml:space="preserve">Tim LaClair, </w:t>
      </w:r>
      <w:r>
        <w:t xml:space="preserve">and </w:t>
      </w:r>
      <w:r w:rsidRPr="00AE72D0">
        <w:t xml:space="preserve">Xiaobing Liu </w:t>
      </w:r>
      <w:r>
        <w:t xml:space="preserve">provided help with </w:t>
      </w:r>
      <w:r w:rsidRPr="00AE72D0">
        <w:t>editing</w:t>
      </w:r>
      <w:r>
        <w:t xml:space="preserve"> and analysis.</w:t>
      </w:r>
      <w:r w:rsidRPr="00AE72D0">
        <w:t xml:space="preserve"> </w:t>
      </w:r>
      <w:r>
        <w:t xml:space="preserve">Review and </w:t>
      </w:r>
      <w:r w:rsidRPr="00AE72D0">
        <w:t>supervision</w:t>
      </w:r>
      <w:r>
        <w:t xml:space="preserve"> by</w:t>
      </w:r>
      <w:r w:rsidRPr="00AE72D0">
        <w:t xml:space="preserve"> Kyle</w:t>
      </w:r>
      <w:r>
        <w:t xml:space="preserve"> R.</w:t>
      </w:r>
      <w:r w:rsidRPr="00AE72D0">
        <w:t xml:space="preserve"> Gluesenkamp</w:t>
      </w:r>
      <w:r>
        <w:t>.</w:t>
      </w:r>
    </w:p>
    <w:p w14:paraId="28A63E2E" w14:textId="16C1E18C" w:rsidR="00B3664F" w:rsidRDefault="00B3664F" w:rsidP="00B3664F">
      <w:pPr>
        <w:ind w:firstLine="720"/>
        <w:rPr>
          <w:rFonts w:cs="Times New Roman"/>
        </w:rPr>
      </w:pPr>
      <w:r>
        <w:rPr>
          <w:rFonts w:cs="Times New Roman"/>
        </w:rPr>
        <w:t>A version of this chapter is in preparation for publication.</w:t>
      </w:r>
    </w:p>
    <w:p w14:paraId="1B67E349" w14:textId="0A31E4A8" w:rsidR="00B17E5F" w:rsidRPr="00322E56" w:rsidRDefault="00B17E5F" w:rsidP="00B2290B">
      <w:pPr>
        <w:pStyle w:val="Heading2"/>
        <w:rPr>
          <w:rFonts w:cs="Times New Roman"/>
          <w:szCs w:val="24"/>
        </w:rPr>
      </w:pPr>
      <w:bookmarkStart w:id="244" w:name="_Toc140399893"/>
      <w:r w:rsidRPr="00322E56">
        <w:rPr>
          <w:rFonts w:cs="Times New Roman"/>
          <w:szCs w:val="24"/>
        </w:rPr>
        <w:t>Abstract</w:t>
      </w:r>
      <w:bookmarkEnd w:id="244"/>
    </w:p>
    <w:p w14:paraId="7B8736F1" w14:textId="77777777" w:rsidR="00B17E5F" w:rsidRPr="00322E56" w:rsidRDefault="00B17E5F" w:rsidP="0085603A">
      <w:pPr>
        <w:rPr>
          <w:rFonts w:cs="Times New Roman"/>
        </w:rPr>
      </w:pPr>
      <w:r w:rsidRPr="00322E56">
        <w:rPr>
          <w:rFonts w:cs="Times New Roman"/>
        </w:rPr>
        <w:t xml:space="preserve">Past work on TES integrated with heat pumps (HP) has demonstrated significant load shifting and economic benefits. </w:t>
      </w:r>
      <w:bookmarkStart w:id="245" w:name="_Hlk119454487"/>
      <w:r w:rsidRPr="00322E56">
        <w:rPr>
          <w:rFonts w:cs="Times New Roman"/>
        </w:rPr>
        <w:t xml:space="preserve">However, the potential for TES to reduce carbon emissions has not been widely explored. This study evaluates carbon mitigation potential of HP-TES based on a simple rule-based control strategy accounting for electric grid emissions data. </w:t>
      </w:r>
      <w:bookmarkEnd w:id="245"/>
    </w:p>
    <w:p w14:paraId="5DB04B61" w14:textId="5BC95E41" w:rsidR="00B17E5F" w:rsidRPr="00322E56" w:rsidRDefault="00B17E5F" w:rsidP="00043073">
      <w:pPr>
        <w:rPr>
          <w:rFonts w:cs="Times New Roman"/>
        </w:rPr>
      </w:pPr>
      <w:r w:rsidRPr="00322E56">
        <w:rPr>
          <w:rFonts w:cs="Times New Roman"/>
        </w:rPr>
        <w:t>The objective of this work is to shift the peak load while also reducing the emissions by designing controls using both utility and grid data. Marginal grid emissions data is obtained to determine if the emissions are relatively higher than the average of the previous day. The controls are then designed for the heat pump and TES operation, and emissions are reported. MATLAB is used to model the system controls and integrated sub-models. The modeled HP-TES system for single-family residential building demonstrates decreased carbon emissions with reduced peak utility cost.</w:t>
      </w:r>
    </w:p>
    <w:p w14:paraId="4F48B615" w14:textId="77777777" w:rsidR="00B17E5F" w:rsidRPr="00322E56" w:rsidRDefault="00B17E5F" w:rsidP="00B2290B">
      <w:pPr>
        <w:pStyle w:val="Heading2"/>
        <w:rPr>
          <w:rFonts w:cs="Times New Roman"/>
          <w:szCs w:val="24"/>
        </w:rPr>
      </w:pPr>
      <w:bookmarkStart w:id="246" w:name="_Toc140399894"/>
      <w:r w:rsidRPr="00322E56">
        <w:rPr>
          <w:rFonts w:cs="Times New Roman"/>
          <w:szCs w:val="24"/>
        </w:rPr>
        <w:t>Research Questions</w:t>
      </w:r>
      <w:bookmarkEnd w:id="246"/>
    </w:p>
    <w:p w14:paraId="337E2869" w14:textId="77777777" w:rsidR="00B17E5F" w:rsidRPr="00322E56" w:rsidRDefault="00B17E5F" w:rsidP="00B2290B">
      <w:pPr>
        <w:rPr>
          <w:rFonts w:cs="Times New Roman"/>
          <w:i/>
          <w:iCs/>
        </w:rPr>
      </w:pPr>
      <w:r w:rsidRPr="00322E56">
        <w:rPr>
          <w:rFonts w:cs="Times New Roman"/>
          <w:i/>
          <w:iCs/>
        </w:rPr>
        <w:t>How much reduction in cost of electricity and carbon emissions is possible by shifting the load from peak to off-peak hours for residential buildings in various climates?</w:t>
      </w:r>
    </w:p>
    <w:p w14:paraId="09E10363" w14:textId="77777777" w:rsidR="00B17E5F" w:rsidRPr="00322E56" w:rsidRDefault="00B17E5F" w:rsidP="00043073">
      <w:pPr>
        <w:spacing w:before="0"/>
        <w:rPr>
          <w:rFonts w:cs="Times New Roman"/>
          <w:b/>
          <w:bCs/>
          <w:i/>
          <w:iCs/>
        </w:rPr>
      </w:pPr>
      <w:r w:rsidRPr="00322E56">
        <w:rPr>
          <w:rFonts w:cs="Times New Roman"/>
          <w:i/>
          <w:iCs/>
        </w:rPr>
        <w:lastRenderedPageBreak/>
        <w:t>How can PCM based Thermal Energy Storage be integrated into a heat pump for carbon mitigation, demand response, and reduced electric consumption of heat pumps in residential buildings?</w:t>
      </w:r>
    </w:p>
    <w:p w14:paraId="184BAC22" w14:textId="77777777" w:rsidR="00B17E5F" w:rsidRPr="00322E56" w:rsidRDefault="00B17E5F" w:rsidP="00043073">
      <w:pPr>
        <w:pStyle w:val="Heading2"/>
        <w:rPr>
          <w:rFonts w:cs="Times New Roman"/>
          <w:szCs w:val="24"/>
        </w:rPr>
      </w:pPr>
      <w:bookmarkStart w:id="247" w:name="_Toc140399895"/>
      <w:r w:rsidRPr="00322E56">
        <w:rPr>
          <w:rFonts w:cs="Times New Roman"/>
          <w:szCs w:val="24"/>
        </w:rPr>
        <w:t>Background and Literature Review</w:t>
      </w:r>
      <w:bookmarkEnd w:id="247"/>
    </w:p>
    <w:p w14:paraId="2A174C8D" w14:textId="160742A4" w:rsidR="00B17E5F" w:rsidRPr="00322E56" w:rsidRDefault="00B17E5F" w:rsidP="0085603A">
      <w:pPr>
        <w:rPr>
          <w:rFonts w:cs="Times New Roman"/>
        </w:rPr>
      </w:pPr>
      <w:r w:rsidRPr="00322E56">
        <w:rPr>
          <w:rFonts w:cs="Times New Roman"/>
        </w:rPr>
        <w:t>Heating, cooling, and ventilation loads in residential buildings account for about 10% of energy consumption and CO</w:t>
      </w:r>
      <w:r w:rsidRPr="00322E56">
        <w:rPr>
          <w:rFonts w:cs="Times New Roman"/>
          <w:vertAlign w:val="subscript"/>
        </w:rPr>
        <w:t>2</w:t>
      </w:r>
      <w:r w:rsidRPr="00322E56">
        <w:rPr>
          <w:rFonts w:cs="Times New Roman"/>
        </w:rPr>
        <w:t xml:space="preserve"> emissions worldwide and comprises 50% of the building electricity consumption </w:t>
      </w:r>
      <w:sdt>
        <w:sdtPr>
          <w:rPr>
            <w:rFonts w:cs="Times New Roman"/>
            <w:color w:val="000000"/>
          </w:rPr>
          <w:tag w:val="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"/>
          <w:id w:val="858241491"/>
          <w:placeholder>
            <w:docPart w:val="47711CDCD83E4969A392D3D9B822644B"/>
          </w:placeholder>
        </w:sdtPr>
        <w:sdtContent>
          <w:r w:rsidR="001E7ECF" w:rsidRPr="001E7ECF">
            <w:rPr>
              <w:rFonts w:cs="Times New Roman"/>
              <w:color w:val="000000"/>
            </w:rPr>
            <w:t>[1]–[3]</w:t>
          </w:r>
        </w:sdtContent>
      </w:sdt>
      <w:r w:rsidRPr="00322E56">
        <w:rPr>
          <w:rFonts w:cs="Times New Roman"/>
        </w:rPr>
        <w:t xml:space="preserve">. The potential of onsite thermal energy storage (TES) has mostly been underestimated even though its significance for decarbonization and demand reduction has been established by researchers </w:t>
      </w:r>
      <w:sdt>
        <w:sdtPr>
          <w:rPr>
            <w:rFonts w:cs="Times New Roman"/>
            <w:color w:val="000000"/>
          </w:rPr>
          <w:tag w:val="MENDELEY_CITATION_v3_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"/>
          <w:id w:val="1456907217"/>
          <w:placeholder>
            <w:docPart w:val="0D5B2A864B484645AB98B872BDC92CE2"/>
          </w:placeholder>
        </w:sdtPr>
        <w:sdtContent>
          <w:r w:rsidR="001E7ECF" w:rsidRPr="001E7ECF">
            <w:rPr>
              <w:rFonts w:cs="Times New Roman"/>
              <w:color w:val="000000"/>
            </w:rPr>
            <w:t>[2]</w:t>
          </w:r>
        </w:sdtContent>
      </w:sdt>
      <w:r w:rsidRPr="00322E56">
        <w:rPr>
          <w:rFonts w:cs="Times New Roman"/>
        </w:rPr>
        <w:t>.</w:t>
      </w:r>
    </w:p>
    <w:p w14:paraId="5AE0798A" w14:textId="464DA722" w:rsidR="00B17E5F" w:rsidRPr="00322E56" w:rsidRDefault="00B17E5F" w:rsidP="0085603A">
      <w:pPr>
        <w:rPr>
          <w:rFonts w:cs="Times New Roman"/>
          <w:noProof/>
        </w:rPr>
      </w:pPr>
      <w:r w:rsidRPr="00322E56">
        <w:rPr>
          <w:rFonts w:cs="Times New Roman"/>
        </w:rPr>
        <w:t xml:space="preserve">Studies can be found in literature that investigate the demand response potential of TES. Peak thermal loads have been shifted to off peak time using utility pricing and demand-based controls </w:t>
      </w:r>
      <w:sdt>
        <w:sdtPr>
          <w:rPr>
            <w:rFonts w:cs="Times New Roman"/>
            <w:color w:val="000000"/>
          </w:rPr>
          <w:tag w:val="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"/>
          <w:id w:val="-534581775"/>
          <w:placeholder>
            <w:docPart w:val="0D5B2A864B484645AB98B872BDC92CE2"/>
          </w:placeholder>
        </w:sdtPr>
        <w:sdtContent>
          <w:r w:rsidR="001E7ECF" w:rsidRPr="001E7ECF">
            <w:rPr>
              <w:rFonts w:cs="Times New Roman"/>
              <w:color w:val="000000"/>
            </w:rPr>
            <w:t>[2], [137], [154], [202]</w:t>
          </w:r>
        </w:sdtContent>
      </w:sdt>
      <w:r w:rsidRPr="00322E56">
        <w:rPr>
          <w:rFonts w:cs="Times New Roman"/>
        </w:rPr>
        <w:t>. However, only a handful of research works reported in literature have investigated TES for carbon emissions reduction accounting for HP loads. The Table 18 below summarizes the literature investigating TES potential for demand management and carbon mitigation. Noticeably, gas consumption for furnace as a base case is compared against electric HP in most papers.</w:t>
      </w:r>
      <w:r w:rsidRPr="00322E56">
        <w:rPr>
          <w:rFonts w:cs="Times New Roman"/>
          <w:noProof/>
        </w:rPr>
        <w:t xml:space="preserve"> </w:t>
      </w:r>
    </w:p>
    <w:p w14:paraId="70A38570" w14:textId="496629BD" w:rsidR="00B17E5F" w:rsidRDefault="00B17E5F" w:rsidP="002F2897">
      <w:pPr>
        <w:rPr>
          <w:rFonts w:cs="Times New Roman"/>
          <w:noProof/>
          <w:lang w:val="en-GB"/>
        </w:rPr>
      </w:pPr>
      <w:r w:rsidRPr="00322E56">
        <w:rPr>
          <w:rFonts w:cs="Times New Roman"/>
          <w:noProof/>
          <w:lang w:val="en-GB"/>
        </w:rPr>
        <w:t>As shown in Table 18, the papers reported in literature are either passive or hybrid TES systems. Most researchers either employed passive cooling or heating by using PCM in building envelope or in case of active system, integrated TES with an additional energy production sources like PV systems. There is a large disparity in savings reported.  Majority of the works evaluate the electric heat pump CO</w:t>
      </w:r>
      <w:r w:rsidRPr="00322E56">
        <w:rPr>
          <w:rFonts w:cs="Times New Roman"/>
          <w:noProof/>
          <w:vertAlign w:val="subscript"/>
          <w:lang w:val="en-GB"/>
        </w:rPr>
        <w:t>2</w:t>
      </w:r>
      <w:r w:rsidRPr="00322E56">
        <w:rPr>
          <w:rFonts w:cs="Times New Roman"/>
          <w:noProof/>
          <w:lang w:val="en-GB"/>
        </w:rPr>
        <w:t xml:space="preserve"> emission reduction in comparison to gas furnaces as a reference, which yields more than 40% reduction </w:t>
      </w:r>
      <w:sdt>
        <w:sdtPr>
          <w:rPr>
            <w:rFonts w:cs="Times New Roman"/>
            <w:noProof/>
            <w:color w:val="000000"/>
            <w:lang w:val="en-GB"/>
          </w:rPr>
          <w:tag w:val="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"/>
          <w:id w:val="-631943492"/>
          <w:placeholder>
            <w:docPart w:val="1C468A653C424DAB9D55C507F2EF04C8"/>
          </w:placeholder>
        </w:sdtPr>
        <w:sdtContent>
          <w:r w:rsidR="001E7ECF" w:rsidRPr="001E7ECF">
            <w:rPr>
              <w:rFonts w:cs="Times New Roman"/>
              <w:noProof/>
              <w:color w:val="000000"/>
              <w:lang w:val="en-GB"/>
            </w:rPr>
            <w:t>[34]–[36]</w:t>
          </w:r>
        </w:sdtContent>
      </w:sdt>
      <w:r w:rsidRPr="00322E56">
        <w:rPr>
          <w:rFonts w:cs="Times New Roman"/>
          <w:noProof/>
          <w:lang w:val="en-GB"/>
        </w:rPr>
        <w:t xml:space="preserve">. Other studies compared PCMs with various insulations and passive configurations </w:t>
      </w:r>
      <w:sdt>
        <w:sdtPr>
          <w:rPr>
            <w:rFonts w:cs="Times New Roman"/>
            <w:noProof/>
            <w:color w:val="000000"/>
            <w:lang w:val="en-GB"/>
          </w:rPr>
          <w:tag w:val="MENDELEY_CITATION_v3_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"/>
          <w:id w:val="1668443598"/>
          <w:placeholder>
            <w:docPart w:val="1C468A653C424DAB9D55C507F2EF04C8"/>
          </w:placeholder>
        </w:sdtPr>
        <w:sdtContent>
          <w:r w:rsidR="001E7ECF" w:rsidRPr="001E7ECF">
            <w:rPr>
              <w:rFonts w:cs="Times New Roman"/>
              <w:noProof/>
              <w:color w:val="000000"/>
              <w:lang w:val="en-GB"/>
            </w:rPr>
            <w:t>[203], [204]</w:t>
          </w:r>
        </w:sdtContent>
      </w:sdt>
      <w:r w:rsidRPr="00322E56">
        <w:rPr>
          <w:rFonts w:cs="Times New Roman"/>
          <w:noProof/>
          <w:lang w:val="en-GB"/>
        </w:rPr>
        <w:t xml:space="preserve">. In optimization studies, different PCMs and their melting points have been investigated to optimize the savings </w:t>
      </w:r>
      <w:sdt>
        <w:sdtPr>
          <w:rPr>
            <w:rFonts w:cs="Times New Roman"/>
            <w:noProof/>
            <w:color w:val="000000"/>
            <w:lang w:val="en-GB"/>
          </w:rPr>
          <w:tag w:val="MENDELEY_CITATION_v3_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"/>
          <w:id w:val="-2017834734"/>
          <w:placeholder>
            <w:docPart w:val="1C468A653C424DAB9D55C507F2EF04C8"/>
          </w:placeholder>
        </w:sdtPr>
        <w:sdtContent>
          <w:r w:rsidR="001E7ECF" w:rsidRPr="001E7ECF">
            <w:rPr>
              <w:rFonts w:cs="Times New Roman"/>
              <w:noProof/>
              <w:color w:val="000000"/>
              <w:lang w:val="en-GB"/>
            </w:rPr>
            <w:t>[205], [206]</w:t>
          </w:r>
        </w:sdtContent>
      </w:sdt>
      <w:r w:rsidRPr="00322E56">
        <w:rPr>
          <w:rFonts w:cs="Times New Roman"/>
          <w:noProof/>
          <w:lang w:val="en-GB"/>
        </w:rPr>
        <w:t xml:space="preserve">. </w:t>
      </w:r>
    </w:p>
    <w:p w14:paraId="4CF03FE1" w14:textId="77777777" w:rsidR="00C711CD" w:rsidRPr="00322E56" w:rsidRDefault="00C711CD" w:rsidP="00C711CD">
      <w:pPr>
        <w:pStyle w:val="Caption"/>
        <w:jc w:val="center"/>
        <w:rPr>
          <w:rFonts w:cs="Times New Roman"/>
        </w:rPr>
      </w:pPr>
      <w:bookmarkStart w:id="248" w:name="_Toc140399958"/>
      <w:r w:rsidRPr="00322E56">
        <w:rPr>
          <w:rFonts w:cs="Times New Roman"/>
        </w:rPr>
        <w:lastRenderedPageBreak/>
        <w:t xml:space="preserve">Table </w:t>
      </w:r>
      <w:r w:rsidRPr="00322E56">
        <w:rPr>
          <w:rFonts w:cs="Times New Roman"/>
        </w:rPr>
        <w:fldChar w:fldCharType="begin"/>
      </w:r>
      <w:r w:rsidRPr="00322E56">
        <w:rPr>
          <w:rFonts w:cs="Times New Roman"/>
        </w:rPr>
        <w:instrText xml:space="preserve"> SEQ Table \* ARABIC </w:instrText>
      </w:r>
      <w:r w:rsidRPr="00322E56">
        <w:rPr>
          <w:rFonts w:cs="Times New Roman"/>
        </w:rPr>
        <w:fldChar w:fldCharType="separate"/>
      </w:r>
      <w:r>
        <w:rPr>
          <w:rFonts w:cs="Times New Roman"/>
          <w:noProof/>
        </w:rPr>
        <w:t>18</w:t>
      </w:r>
      <w:r w:rsidRPr="00322E56">
        <w:rPr>
          <w:rFonts w:cs="Times New Roman"/>
        </w:rPr>
        <w:fldChar w:fldCharType="end"/>
      </w:r>
      <w:r w:rsidRPr="00322E56">
        <w:rPr>
          <w:rFonts w:cs="Times New Roman"/>
        </w:rPr>
        <w:t>: Load shifting, and carbon mitigation reported in literature using PCM-TES</w:t>
      </w:r>
      <w:bookmarkEnd w:id="248"/>
    </w:p>
    <w:tbl>
      <w:tblPr>
        <w:tblW w:w="4956" w:type="pct"/>
        <w:jc w:val="center"/>
        <w:tblBorders>
          <w:top w:val="single" w:sz="4" w:space="0" w:color="auto"/>
          <w:bottom w:val="single" w:sz="4" w:space="0" w:color="auto"/>
        </w:tblBorders>
        <w:tblCellMar>
          <w:left w:w="71" w:type="dxa"/>
          <w:right w:w="71" w:type="dxa"/>
        </w:tblCellMar>
        <w:tblLook w:val="0000" w:firstRow="0" w:lastRow="0" w:firstColumn="0" w:lastColumn="0" w:noHBand="0" w:noVBand="0"/>
      </w:tblPr>
      <w:tblGrid>
        <w:gridCol w:w="1745"/>
        <w:gridCol w:w="1391"/>
        <w:gridCol w:w="2292"/>
        <w:gridCol w:w="1555"/>
        <w:gridCol w:w="1581"/>
      </w:tblGrid>
      <w:tr w:rsidR="00C711CD" w:rsidRPr="00B3664F" w14:paraId="524F9815" w14:textId="77777777" w:rsidTr="00273064">
        <w:trPr>
          <w:trHeight w:val="432"/>
          <w:jc w:val="center"/>
        </w:trPr>
        <w:tc>
          <w:tcPr>
            <w:tcW w:w="1019" w:type="pct"/>
            <w:tcBorders>
              <w:top w:val="single" w:sz="4" w:space="0" w:color="auto"/>
              <w:bottom w:val="single" w:sz="4" w:space="0" w:color="auto"/>
            </w:tcBorders>
          </w:tcPr>
          <w:p w14:paraId="37CF6A03" w14:textId="77777777" w:rsidR="00C711CD" w:rsidRPr="00B3664F" w:rsidRDefault="00C711CD" w:rsidP="00273064">
            <w:pPr>
              <w:pStyle w:val="NoSpacing"/>
              <w:rPr>
                <w:b/>
                <w:bCs/>
                <w:sz w:val="22"/>
                <w:szCs w:val="22"/>
              </w:rPr>
            </w:pPr>
            <w:r w:rsidRPr="00B3664F">
              <w:rPr>
                <w:b/>
                <w:bCs/>
                <w:sz w:val="22"/>
                <w:szCs w:val="22"/>
              </w:rPr>
              <w:t>Author</w:t>
            </w:r>
          </w:p>
        </w:tc>
        <w:tc>
          <w:tcPr>
            <w:tcW w:w="812" w:type="pct"/>
            <w:tcBorders>
              <w:top w:val="single" w:sz="4" w:space="0" w:color="auto"/>
              <w:bottom w:val="single" w:sz="4" w:space="0" w:color="auto"/>
            </w:tcBorders>
          </w:tcPr>
          <w:p w14:paraId="2B22D5AD" w14:textId="77777777" w:rsidR="00C711CD" w:rsidRPr="00B3664F" w:rsidRDefault="00C711CD" w:rsidP="00273064">
            <w:pPr>
              <w:pStyle w:val="NoSpacing"/>
              <w:rPr>
                <w:b/>
                <w:bCs/>
                <w:sz w:val="22"/>
                <w:szCs w:val="22"/>
              </w:rPr>
            </w:pPr>
            <w:r w:rsidRPr="00B3664F">
              <w:rPr>
                <w:b/>
                <w:bCs/>
                <w:sz w:val="22"/>
                <w:szCs w:val="22"/>
              </w:rPr>
              <w:t>Location</w:t>
            </w:r>
          </w:p>
        </w:tc>
        <w:tc>
          <w:tcPr>
            <w:tcW w:w="1338" w:type="pct"/>
            <w:tcBorders>
              <w:top w:val="single" w:sz="4" w:space="0" w:color="auto"/>
              <w:bottom w:val="single" w:sz="4" w:space="0" w:color="auto"/>
            </w:tcBorders>
          </w:tcPr>
          <w:p w14:paraId="726C067E" w14:textId="77777777" w:rsidR="00C711CD" w:rsidRPr="00B3664F" w:rsidRDefault="00C711CD" w:rsidP="00273064">
            <w:pPr>
              <w:pStyle w:val="NoSpacing"/>
              <w:rPr>
                <w:b/>
                <w:bCs/>
                <w:sz w:val="22"/>
                <w:szCs w:val="22"/>
              </w:rPr>
            </w:pPr>
            <w:r w:rsidRPr="00B3664F">
              <w:rPr>
                <w:b/>
                <w:bCs/>
                <w:sz w:val="22"/>
                <w:szCs w:val="22"/>
              </w:rPr>
              <w:t>System Description</w:t>
            </w:r>
          </w:p>
        </w:tc>
        <w:tc>
          <w:tcPr>
            <w:tcW w:w="908" w:type="pct"/>
            <w:tcBorders>
              <w:top w:val="single" w:sz="4" w:space="0" w:color="auto"/>
              <w:bottom w:val="single" w:sz="4" w:space="0" w:color="auto"/>
            </w:tcBorders>
          </w:tcPr>
          <w:p w14:paraId="3541F5E7" w14:textId="77777777" w:rsidR="00C711CD" w:rsidRPr="00B3664F" w:rsidRDefault="00C711CD" w:rsidP="00273064">
            <w:pPr>
              <w:pStyle w:val="NoSpacing"/>
              <w:rPr>
                <w:b/>
                <w:bCs/>
                <w:sz w:val="22"/>
                <w:szCs w:val="22"/>
              </w:rPr>
            </w:pPr>
            <w:r w:rsidRPr="00B3664F">
              <w:rPr>
                <w:b/>
                <w:bCs/>
                <w:sz w:val="22"/>
                <w:szCs w:val="22"/>
              </w:rPr>
              <w:t>Demand Impact</w:t>
            </w:r>
          </w:p>
        </w:tc>
        <w:tc>
          <w:tcPr>
            <w:tcW w:w="923" w:type="pct"/>
            <w:tcBorders>
              <w:top w:val="single" w:sz="4" w:space="0" w:color="auto"/>
              <w:bottom w:val="single" w:sz="4" w:space="0" w:color="auto"/>
            </w:tcBorders>
          </w:tcPr>
          <w:p w14:paraId="3E836893" w14:textId="77777777" w:rsidR="00C711CD" w:rsidRPr="00B3664F" w:rsidRDefault="00C711CD" w:rsidP="00273064">
            <w:pPr>
              <w:pStyle w:val="NoSpacing"/>
              <w:rPr>
                <w:b/>
                <w:bCs/>
                <w:sz w:val="22"/>
                <w:szCs w:val="22"/>
              </w:rPr>
            </w:pPr>
            <w:r w:rsidRPr="00B3664F">
              <w:rPr>
                <w:b/>
                <w:bCs/>
                <w:sz w:val="22"/>
                <w:szCs w:val="22"/>
              </w:rPr>
              <w:t>Carbon Mitigation</w:t>
            </w:r>
          </w:p>
        </w:tc>
      </w:tr>
      <w:tr w:rsidR="00C711CD" w:rsidRPr="00B3664F" w14:paraId="2AC30BEE" w14:textId="77777777" w:rsidTr="00273064">
        <w:trPr>
          <w:trHeight w:val="432"/>
          <w:jc w:val="center"/>
        </w:trPr>
        <w:sdt>
          <w:sdtPr>
            <w:rPr>
              <w:color w:val="000000"/>
              <w:sz w:val="22"/>
              <w:szCs w:val="22"/>
            </w:rPr>
            <w:tag w:val="MENDELEY_CITATION_v3_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"/>
            <w:id w:val="-1342618754"/>
            <w:placeholder>
              <w:docPart w:val="954CCEEA371C064598877EBBD6DB0E91"/>
            </w:placeholder>
          </w:sdtPr>
          <w:sdtContent>
            <w:tc>
              <w:tcPr>
                <w:tcW w:w="1019" w:type="pct"/>
                <w:tcBorders>
                  <w:top w:val="single" w:sz="4" w:space="0" w:color="auto"/>
                </w:tcBorders>
              </w:tcPr>
              <w:p w14:paraId="528A3ECF" w14:textId="77777777" w:rsidR="00C711CD" w:rsidRPr="00B3664F" w:rsidRDefault="00C711CD" w:rsidP="00273064">
                <w:pPr>
                  <w:pStyle w:val="NoSpacing"/>
                  <w:rPr>
                    <w:sz w:val="22"/>
                    <w:szCs w:val="22"/>
                  </w:rPr>
                </w:pPr>
                <w:r w:rsidRPr="001E7ECF">
                  <w:rPr>
                    <w:color w:val="000000"/>
                    <w:sz w:val="22"/>
                    <w:szCs w:val="22"/>
                  </w:rPr>
                  <w:t>[33]</w:t>
                </w:r>
              </w:p>
            </w:tc>
          </w:sdtContent>
        </w:sdt>
        <w:tc>
          <w:tcPr>
            <w:tcW w:w="812" w:type="pct"/>
            <w:tcBorders>
              <w:top w:val="single" w:sz="4" w:space="0" w:color="auto"/>
            </w:tcBorders>
          </w:tcPr>
          <w:p w14:paraId="1C987B98" w14:textId="77777777" w:rsidR="00C711CD" w:rsidRPr="00B3664F" w:rsidRDefault="00C711CD" w:rsidP="00273064">
            <w:pPr>
              <w:pStyle w:val="NoSpacing"/>
              <w:rPr>
                <w:sz w:val="22"/>
                <w:szCs w:val="22"/>
              </w:rPr>
            </w:pPr>
            <w:r w:rsidRPr="00B3664F">
              <w:rPr>
                <w:sz w:val="22"/>
                <w:szCs w:val="22"/>
              </w:rPr>
              <w:t>Turkey, Spain</w:t>
            </w:r>
          </w:p>
        </w:tc>
        <w:tc>
          <w:tcPr>
            <w:tcW w:w="1338" w:type="pct"/>
            <w:tcBorders>
              <w:top w:val="single" w:sz="4" w:space="0" w:color="auto"/>
            </w:tcBorders>
          </w:tcPr>
          <w:p w14:paraId="20CA3B61" w14:textId="77777777" w:rsidR="00C711CD" w:rsidRPr="00B3664F" w:rsidRDefault="00C711CD" w:rsidP="00273064">
            <w:pPr>
              <w:pStyle w:val="NoSpacing"/>
              <w:rPr>
                <w:sz w:val="22"/>
                <w:szCs w:val="22"/>
              </w:rPr>
            </w:pPr>
            <w:r w:rsidRPr="00B3664F">
              <w:rPr>
                <w:sz w:val="22"/>
                <w:szCs w:val="22"/>
              </w:rPr>
              <w:t>PCM in buildings using passive TES and Active Aquifer TES</w:t>
            </w:r>
          </w:p>
        </w:tc>
        <w:tc>
          <w:tcPr>
            <w:tcW w:w="908" w:type="pct"/>
            <w:tcBorders>
              <w:top w:val="single" w:sz="4" w:space="0" w:color="auto"/>
            </w:tcBorders>
          </w:tcPr>
          <w:p w14:paraId="0954C4D2" w14:textId="77777777" w:rsidR="00C711CD" w:rsidRPr="00B3664F" w:rsidRDefault="00C711CD" w:rsidP="00273064">
            <w:pPr>
              <w:pStyle w:val="NoSpacing"/>
              <w:rPr>
                <w:sz w:val="22"/>
                <w:szCs w:val="22"/>
              </w:rPr>
            </w:pPr>
            <w:r w:rsidRPr="00B3664F">
              <w:rPr>
                <w:sz w:val="22"/>
                <w:szCs w:val="22"/>
              </w:rPr>
              <w:t>Loads reduced by 7% for cooling and 10% for heating</w:t>
            </w:r>
          </w:p>
        </w:tc>
        <w:tc>
          <w:tcPr>
            <w:tcW w:w="923" w:type="pct"/>
            <w:tcBorders>
              <w:top w:val="single" w:sz="4" w:space="0" w:color="auto"/>
            </w:tcBorders>
          </w:tcPr>
          <w:p w14:paraId="140F51D5" w14:textId="77777777" w:rsidR="00C711CD" w:rsidRPr="00B3664F" w:rsidRDefault="00C711CD" w:rsidP="00273064">
            <w:pPr>
              <w:pStyle w:val="NoSpacing"/>
              <w:rPr>
                <w:sz w:val="22"/>
                <w:szCs w:val="22"/>
              </w:rPr>
            </w:pPr>
            <w:r w:rsidRPr="00B3664F">
              <w:rPr>
                <w:sz w:val="22"/>
                <w:szCs w:val="22"/>
              </w:rPr>
              <w:t>~26%* CO</w:t>
            </w:r>
            <w:r w:rsidRPr="00B3664F">
              <w:rPr>
                <w:sz w:val="22"/>
                <w:szCs w:val="22"/>
                <w:vertAlign w:val="subscript"/>
              </w:rPr>
              <w:t>2</w:t>
            </w:r>
            <w:r w:rsidRPr="00B3664F">
              <w:rPr>
                <w:sz w:val="22"/>
                <w:szCs w:val="22"/>
              </w:rPr>
              <w:t xml:space="preserve"> emission reduction</w:t>
            </w:r>
          </w:p>
        </w:tc>
      </w:tr>
      <w:tr w:rsidR="00C711CD" w:rsidRPr="00B3664F" w14:paraId="68A34AAD" w14:textId="77777777" w:rsidTr="00273064">
        <w:trPr>
          <w:trHeight w:val="432"/>
          <w:jc w:val="center"/>
        </w:trPr>
        <w:sdt>
          <w:sdtPr>
            <w:rPr>
              <w:color w:val="000000"/>
              <w:sz w:val="22"/>
              <w:szCs w:val="22"/>
            </w:rPr>
            <w:tag w:val="MENDELEY_CITATION_v3_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"/>
            <w:id w:val="1670827255"/>
            <w:placeholder>
              <w:docPart w:val="954CCEEA371C064598877EBBD6DB0E91"/>
            </w:placeholder>
          </w:sdtPr>
          <w:sdtContent>
            <w:tc>
              <w:tcPr>
                <w:tcW w:w="1019" w:type="pct"/>
              </w:tcPr>
              <w:p w14:paraId="17AD821B" w14:textId="77777777" w:rsidR="00C711CD" w:rsidRPr="00B3664F" w:rsidRDefault="00C711CD" w:rsidP="00273064">
                <w:pPr>
                  <w:pStyle w:val="NoSpacing"/>
                  <w:rPr>
                    <w:sz w:val="22"/>
                    <w:szCs w:val="22"/>
                  </w:rPr>
                </w:pPr>
                <w:r w:rsidRPr="001E7ECF">
                  <w:rPr>
                    <w:color w:val="000000"/>
                    <w:sz w:val="22"/>
                    <w:szCs w:val="22"/>
                  </w:rPr>
                  <w:t>[34]</w:t>
                </w:r>
              </w:p>
            </w:tc>
          </w:sdtContent>
        </w:sdt>
        <w:tc>
          <w:tcPr>
            <w:tcW w:w="812" w:type="pct"/>
          </w:tcPr>
          <w:p w14:paraId="7664F4B6" w14:textId="77777777" w:rsidR="00C711CD" w:rsidRPr="00B3664F" w:rsidRDefault="00C711CD" w:rsidP="00273064">
            <w:pPr>
              <w:pStyle w:val="NoSpacing"/>
              <w:rPr>
                <w:sz w:val="22"/>
                <w:szCs w:val="22"/>
              </w:rPr>
            </w:pPr>
            <w:r w:rsidRPr="00B3664F">
              <w:rPr>
                <w:sz w:val="22"/>
                <w:szCs w:val="22"/>
              </w:rPr>
              <w:t>Ithaca, NY</w:t>
            </w:r>
          </w:p>
        </w:tc>
        <w:tc>
          <w:tcPr>
            <w:tcW w:w="1338" w:type="pct"/>
          </w:tcPr>
          <w:p w14:paraId="1A0CDF15" w14:textId="77777777" w:rsidR="00C711CD" w:rsidRPr="00B3664F" w:rsidRDefault="00C711CD" w:rsidP="00273064">
            <w:pPr>
              <w:pStyle w:val="NoSpacing"/>
              <w:rPr>
                <w:sz w:val="22"/>
                <w:szCs w:val="22"/>
              </w:rPr>
            </w:pPr>
            <w:r w:rsidRPr="00B3664F">
              <w:rPr>
                <w:sz w:val="22"/>
                <w:szCs w:val="22"/>
              </w:rPr>
              <w:t>Borehole TES coupled to heat pump</w:t>
            </w:r>
          </w:p>
        </w:tc>
        <w:tc>
          <w:tcPr>
            <w:tcW w:w="908" w:type="pct"/>
          </w:tcPr>
          <w:p w14:paraId="7AD6F0EE" w14:textId="77777777" w:rsidR="00C711CD" w:rsidRPr="00B3664F" w:rsidRDefault="00C711CD" w:rsidP="00273064">
            <w:pPr>
              <w:pStyle w:val="NoSpacing"/>
              <w:rPr>
                <w:sz w:val="22"/>
                <w:szCs w:val="22"/>
              </w:rPr>
            </w:pPr>
            <w:r w:rsidRPr="00B3664F">
              <w:rPr>
                <w:sz w:val="22"/>
                <w:szCs w:val="22"/>
              </w:rPr>
              <w:t>Not reported</w:t>
            </w:r>
          </w:p>
        </w:tc>
        <w:tc>
          <w:tcPr>
            <w:tcW w:w="923" w:type="pct"/>
          </w:tcPr>
          <w:p w14:paraId="22E5E588" w14:textId="77777777" w:rsidR="00C711CD" w:rsidRPr="00B3664F" w:rsidRDefault="00C711CD" w:rsidP="00273064">
            <w:pPr>
              <w:pStyle w:val="NoSpacing"/>
              <w:rPr>
                <w:sz w:val="22"/>
                <w:szCs w:val="22"/>
              </w:rPr>
            </w:pPr>
            <w:r w:rsidRPr="00B3664F">
              <w:rPr>
                <w:sz w:val="22"/>
                <w:szCs w:val="22"/>
              </w:rPr>
              <w:t>64% CO</w:t>
            </w:r>
            <w:r w:rsidRPr="00B3664F">
              <w:rPr>
                <w:sz w:val="22"/>
                <w:szCs w:val="22"/>
                <w:vertAlign w:val="subscript"/>
              </w:rPr>
              <w:t>2</w:t>
            </w:r>
            <w:r w:rsidRPr="00B3664F">
              <w:rPr>
                <w:sz w:val="22"/>
                <w:szCs w:val="22"/>
              </w:rPr>
              <w:t xml:space="preserve"> emission reduction</w:t>
            </w:r>
          </w:p>
        </w:tc>
      </w:tr>
      <w:tr w:rsidR="00C711CD" w:rsidRPr="00B3664F" w14:paraId="38296513" w14:textId="77777777" w:rsidTr="00273064">
        <w:trPr>
          <w:trHeight w:val="432"/>
          <w:jc w:val="center"/>
        </w:trPr>
        <w:sdt>
          <w:sdtPr>
            <w:rPr>
              <w:color w:val="000000"/>
              <w:sz w:val="22"/>
              <w:szCs w:val="22"/>
            </w:rPr>
            <w:tag w:val="MENDELEY_CITATION_v3_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"/>
            <w:id w:val="-1277328749"/>
            <w:placeholder>
              <w:docPart w:val="954CCEEA371C064598877EBBD6DB0E91"/>
            </w:placeholder>
          </w:sdtPr>
          <w:sdtContent>
            <w:tc>
              <w:tcPr>
                <w:tcW w:w="1019" w:type="pct"/>
              </w:tcPr>
              <w:p w14:paraId="5B74B87F" w14:textId="77777777" w:rsidR="00C711CD" w:rsidRPr="00B3664F" w:rsidRDefault="00C711CD" w:rsidP="00273064">
                <w:pPr>
                  <w:pStyle w:val="NoSpacing"/>
                  <w:rPr>
                    <w:sz w:val="22"/>
                    <w:szCs w:val="22"/>
                  </w:rPr>
                </w:pPr>
                <w:r w:rsidRPr="001E7ECF">
                  <w:rPr>
                    <w:color w:val="000000"/>
                    <w:sz w:val="22"/>
                    <w:szCs w:val="22"/>
                  </w:rPr>
                  <w:t>[208]</w:t>
                </w:r>
              </w:p>
            </w:tc>
          </w:sdtContent>
        </w:sdt>
        <w:tc>
          <w:tcPr>
            <w:tcW w:w="812" w:type="pct"/>
          </w:tcPr>
          <w:p w14:paraId="27D6BE53" w14:textId="77777777" w:rsidR="00C711CD" w:rsidRPr="00B3664F" w:rsidRDefault="00C711CD" w:rsidP="00273064">
            <w:pPr>
              <w:pStyle w:val="NoSpacing"/>
              <w:rPr>
                <w:sz w:val="22"/>
                <w:szCs w:val="22"/>
              </w:rPr>
            </w:pPr>
            <w:r w:rsidRPr="00B3664F">
              <w:rPr>
                <w:sz w:val="22"/>
                <w:szCs w:val="22"/>
              </w:rPr>
              <w:t>Spain</w:t>
            </w:r>
          </w:p>
        </w:tc>
        <w:tc>
          <w:tcPr>
            <w:tcW w:w="1338" w:type="pct"/>
          </w:tcPr>
          <w:p w14:paraId="745035FD" w14:textId="77777777" w:rsidR="00C711CD" w:rsidRPr="00B3664F" w:rsidRDefault="00C711CD" w:rsidP="00273064">
            <w:pPr>
              <w:pStyle w:val="NoSpacing"/>
              <w:rPr>
                <w:sz w:val="22"/>
                <w:szCs w:val="22"/>
              </w:rPr>
            </w:pPr>
            <w:r w:rsidRPr="00B3664F">
              <w:rPr>
                <w:sz w:val="22"/>
                <w:szCs w:val="22"/>
              </w:rPr>
              <w:t>Passive PCM in buildings</w:t>
            </w:r>
          </w:p>
        </w:tc>
        <w:tc>
          <w:tcPr>
            <w:tcW w:w="908" w:type="pct"/>
          </w:tcPr>
          <w:p w14:paraId="443421D2" w14:textId="77777777" w:rsidR="00C711CD" w:rsidRPr="00B3664F" w:rsidRDefault="00C711CD" w:rsidP="00273064">
            <w:pPr>
              <w:pStyle w:val="NoSpacing"/>
              <w:rPr>
                <w:sz w:val="22"/>
                <w:szCs w:val="22"/>
              </w:rPr>
            </w:pPr>
            <w:r w:rsidRPr="00B3664F">
              <w:rPr>
                <w:sz w:val="22"/>
                <w:szCs w:val="22"/>
              </w:rPr>
              <w:t>HVAC loads reduced by 20%</w:t>
            </w:r>
          </w:p>
        </w:tc>
        <w:tc>
          <w:tcPr>
            <w:tcW w:w="923" w:type="pct"/>
          </w:tcPr>
          <w:p w14:paraId="1F025952" w14:textId="77777777" w:rsidR="00C711CD" w:rsidRPr="00B3664F" w:rsidRDefault="00C711CD" w:rsidP="00273064">
            <w:pPr>
              <w:pStyle w:val="NoSpacing"/>
              <w:rPr>
                <w:sz w:val="22"/>
                <w:szCs w:val="22"/>
              </w:rPr>
            </w:pPr>
            <w:r w:rsidRPr="00B3664F">
              <w:rPr>
                <w:sz w:val="22"/>
                <w:szCs w:val="22"/>
              </w:rPr>
              <w:t>5.5% CO</w:t>
            </w:r>
            <w:r w:rsidRPr="00B3664F">
              <w:rPr>
                <w:sz w:val="22"/>
                <w:szCs w:val="22"/>
                <w:vertAlign w:val="subscript"/>
              </w:rPr>
              <w:t>2</w:t>
            </w:r>
            <w:r w:rsidRPr="00B3664F">
              <w:rPr>
                <w:sz w:val="22"/>
                <w:szCs w:val="22"/>
              </w:rPr>
              <w:t xml:space="preserve"> emission reduction</w:t>
            </w:r>
          </w:p>
        </w:tc>
      </w:tr>
      <w:tr w:rsidR="00C711CD" w:rsidRPr="00B3664F" w14:paraId="55657765" w14:textId="77777777" w:rsidTr="00273064">
        <w:trPr>
          <w:trHeight w:val="432"/>
          <w:jc w:val="center"/>
        </w:trPr>
        <w:sdt>
          <w:sdtPr>
            <w:rPr>
              <w:color w:val="000000"/>
              <w:sz w:val="22"/>
              <w:szCs w:val="22"/>
            </w:rPr>
            <w:tag w:val="MENDELEY_CITATION_v3_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"/>
            <w:id w:val="1416059890"/>
            <w:placeholder>
              <w:docPart w:val="954CCEEA371C064598877EBBD6DB0E91"/>
            </w:placeholder>
          </w:sdtPr>
          <w:sdtContent>
            <w:tc>
              <w:tcPr>
                <w:tcW w:w="1019" w:type="pct"/>
              </w:tcPr>
              <w:p w14:paraId="27174BEB" w14:textId="77777777" w:rsidR="00C711CD" w:rsidRPr="00B3664F" w:rsidRDefault="00C711CD" w:rsidP="00273064">
                <w:pPr>
                  <w:pStyle w:val="NoSpacing"/>
                  <w:rPr>
                    <w:sz w:val="22"/>
                    <w:szCs w:val="22"/>
                  </w:rPr>
                </w:pPr>
                <w:r w:rsidRPr="001E7ECF">
                  <w:rPr>
                    <w:color w:val="000000"/>
                    <w:sz w:val="22"/>
                    <w:szCs w:val="22"/>
                  </w:rPr>
                  <w:t>[35]</w:t>
                </w:r>
              </w:p>
            </w:tc>
          </w:sdtContent>
        </w:sdt>
        <w:tc>
          <w:tcPr>
            <w:tcW w:w="812" w:type="pct"/>
          </w:tcPr>
          <w:p w14:paraId="43C82AD2" w14:textId="77777777" w:rsidR="00C711CD" w:rsidRPr="00B3664F" w:rsidRDefault="00C711CD" w:rsidP="00273064">
            <w:pPr>
              <w:pStyle w:val="NoSpacing"/>
              <w:rPr>
                <w:sz w:val="22"/>
                <w:szCs w:val="22"/>
              </w:rPr>
            </w:pPr>
            <w:r w:rsidRPr="00B3664F">
              <w:rPr>
                <w:sz w:val="22"/>
                <w:szCs w:val="22"/>
              </w:rPr>
              <w:t>Italy</w:t>
            </w:r>
          </w:p>
        </w:tc>
        <w:tc>
          <w:tcPr>
            <w:tcW w:w="1338" w:type="pct"/>
          </w:tcPr>
          <w:p w14:paraId="711F99D2" w14:textId="77777777" w:rsidR="00C711CD" w:rsidRPr="00B3664F" w:rsidRDefault="00C711CD" w:rsidP="00273064">
            <w:pPr>
              <w:pStyle w:val="NoSpacing"/>
              <w:rPr>
                <w:sz w:val="22"/>
                <w:szCs w:val="22"/>
              </w:rPr>
            </w:pPr>
            <w:r w:rsidRPr="00B3664F">
              <w:rPr>
                <w:sz w:val="22"/>
                <w:szCs w:val="22"/>
              </w:rPr>
              <w:t>TES with Photo Voltaic system and heat pump</w:t>
            </w:r>
          </w:p>
        </w:tc>
        <w:tc>
          <w:tcPr>
            <w:tcW w:w="908" w:type="pct"/>
          </w:tcPr>
          <w:p w14:paraId="645CFDD4" w14:textId="77777777" w:rsidR="00C711CD" w:rsidRPr="00B3664F" w:rsidRDefault="00C711CD" w:rsidP="00273064">
            <w:pPr>
              <w:pStyle w:val="NoSpacing"/>
              <w:rPr>
                <w:sz w:val="22"/>
                <w:szCs w:val="22"/>
              </w:rPr>
            </w:pPr>
            <w:r w:rsidRPr="00B3664F">
              <w:rPr>
                <w:sz w:val="22"/>
                <w:szCs w:val="22"/>
              </w:rPr>
              <w:t>41% energy cost reduced by peak load shifting</w:t>
            </w:r>
          </w:p>
        </w:tc>
        <w:tc>
          <w:tcPr>
            <w:tcW w:w="923" w:type="pct"/>
          </w:tcPr>
          <w:p w14:paraId="5E82A79F" w14:textId="77777777" w:rsidR="00C711CD" w:rsidRPr="00B3664F" w:rsidRDefault="00C711CD" w:rsidP="00273064">
            <w:pPr>
              <w:pStyle w:val="NoSpacing"/>
              <w:rPr>
                <w:sz w:val="22"/>
                <w:szCs w:val="22"/>
              </w:rPr>
            </w:pPr>
            <w:r w:rsidRPr="00B3664F">
              <w:rPr>
                <w:sz w:val="22"/>
                <w:szCs w:val="22"/>
              </w:rPr>
              <w:t>50% CO</w:t>
            </w:r>
            <w:r w:rsidRPr="00B3664F">
              <w:rPr>
                <w:sz w:val="22"/>
                <w:szCs w:val="22"/>
                <w:vertAlign w:val="subscript"/>
              </w:rPr>
              <w:t>2</w:t>
            </w:r>
            <w:r w:rsidRPr="00B3664F">
              <w:rPr>
                <w:sz w:val="22"/>
                <w:szCs w:val="22"/>
              </w:rPr>
              <w:t xml:space="preserve"> emission reduction</w:t>
            </w:r>
          </w:p>
        </w:tc>
      </w:tr>
      <w:tr w:rsidR="00C711CD" w:rsidRPr="00B3664F" w14:paraId="35084EC4" w14:textId="77777777" w:rsidTr="00273064">
        <w:trPr>
          <w:trHeight w:val="432"/>
          <w:jc w:val="center"/>
        </w:trPr>
        <w:sdt>
          <w:sdtPr>
            <w:rPr>
              <w:color w:val="000000"/>
              <w:sz w:val="22"/>
              <w:szCs w:val="22"/>
            </w:rPr>
            <w:tag w:val="MENDELEY_CITATION_v3_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"/>
            <w:id w:val="-2108110964"/>
            <w:placeholder>
              <w:docPart w:val="954CCEEA371C064598877EBBD6DB0E91"/>
            </w:placeholder>
          </w:sdtPr>
          <w:sdtContent>
            <w:tc>
              <w:tcPr>
                <w:tcW w:w="1019" w:type="pct"/>
              </w:tcPr>
              <w:p w14:paraId="30A24877" w14:textId="77777777" w:rsidR="00C711CD" w:rsidRPr="00B3664F" w:rsidRDefault="00C711CD" w:rsidP="00273064">
                <w:pPr>
                  <w:pStyle w:val="NoSpacing"/>
                  <w:rPr>
                    <w:sz w:val="22"/>
                    <w:szCs w:val="22"/>
                  </w:rPr>
                </w:pPr>
                <w:r w:rsidRPr="001E7ECF">
                  <w:rPr>
                    <w:color w:val="000000"/>
                    <w:sz w:val="22"/>
                    <w:szCs w:val="22"/>
                  </w:rPr>
                  <w:t>[194]</w:t>
                </w:r>
              </w:p>
            </w:tc>
          </w:sdtContent>
        </w:sdt>
        <w:tc>
          <w:tcPr>
            <w:tcW w:w="812" w:type="pct"/>
          </w:tcPr>
          <w:p w14:paraId="5CC2D0D9" w14:textId="77777777" w:rsidR="00C711CD" w:rsidRPr="00B3664F" w:rsidRDefault="00C711CD" w:rsidP="00273064">
            <w:pPr>
              <w:pStyle w:val="NoSpacing"/>
              <w:rPr>
                <w:sz w:val="22"/>
                <w:szCs w:val="22"/>
              </w:rPr>
            </w:pPr>
            <w:r w:rsidRPr="00B3664F">
              <w:rPr>
                <w:sz w:val="22"/>
                <w:szCs w:val="22"/>
              </w:rPr>
              <w:t>Iran</w:t>
            </w:r>
          </w:p>
        </w:tc>
        <w:tc>
          <w:tcPr>
            <w:tcW w:w="1338" w:type="pct"/>
          </w:tcPr>
          <w:p w14:paraId="38D309F2" w14:textId="77777777" w:rsidR="00C711CD" w:rsidRPr="00B3664F" w:rsidRDefault="00C711CD" w:rsidP="00273064">
            <w:pPr>
              <w:pStyle w:val="NoSpacing"/>
              <w:rPr>
                <w:sz w:val="22"/>
                <w:szCs w:val="22"/>
              </w:rPr>
            </w:pPr>
            <w:r w:rsidRPr="00B3664F">
              <w:rPr>
                <w:sz w:val="22"/>
                <w:szCs w:val="22"/>
              </w:rPr>
              <w:t>Bio PCM integrated in wall and construction material of building</w:t>
            </w:r>
          </w:p>
        </w:tc>
        <w:tc>
          <w:tcPr>
            <w:tcW w:w="908" w:type="pct"/>
          </w:tcPr>
          <w:p w14:paraId="13315F16" w14:textId="77777777" w:rsidR="00C711CD" w:rsidRPr="00B3664F" w:rsidRDefault="00C711CD" w:rsidP="00273064">
            <w:pPr>
              <w:pStyle w:val="NoSpacing"/>
              <w:rPr>
                <w:sz w:val="22"/>
                <w:szCs w:val="22"/>
              </w:rPr>
            </w:pPr>
            <w:r w:rsidRPr="00B3664F">
              <w:rPr>
                <w:sz w:val="22"/>
                <w:szCs w:val="22"/>
              </w:rPr>
              <w:t>4% annual cooling and heating load reduction</w:t>
            </w:r>
          </w:p>
        </w:tc>
        <w:tc>
          <w:tcPr>
            <w:tcW w:w="923" w:type="pct"/>
          </w:tcPr>
          <w:p w14:paraId="68197E1F" w14:textId="77777777" w:rsidR="00C711CD" w:rsidRPr="00B3664F" w:rsidRDefault="00C711CD" w:rsidP="00273064">
            <w:pPr>
              <w:pStyle w:val="NoSpacing"/>
              <w:rPr>
                <w:sz w:val="22"/>
                <w:szCs w:val="22"/>
              </w:rPr>
            </w:pPr>
            <w:r w:rsidRPr="00B3664F">
              <w:rPr>
                <w:sz w:val="22"/>
                <w:szCs w:val="22"/>
              </w:rPr>
              <w:t>2-5% CO</w:t>
            </w:r>
            <w:r w:rsidRPr="00B3664F">
              <w:rPr>
                <w:sz w:val="22"/>
                <w:szCs w:val="22"/>
                <w:vertAlign w:val="subscript"/>
              </w:rPr>
              <w:t>2</w:t>
            </w:r>
            <w:r w:rsidRPr="00B3664F">
              <w:rPr>
                <w:sz w:val="22"/>
                <w:szCs w:val="22"/>
              </w:rPr>
              <w:t xml:space="preserve"> emission reduction</w:t>
            </w:r>
          </w:p>
        </w:tc>
      </w:tr>
      <w:tr w:rsidR="00C711CD" w:rsidRPr="00B3664F" w14:paraId="35BDBBB6" w14:textId="77777777" w:rsidTr="00273064">
        <w:trPr>
          <w:trHeight w:val="432"/>
          <w:jc w:val="center"/>
        </w:trPr>
        <w:sdt>
          <w:sdtPr>
            <w:rPr>
              <w:color w:val="000000"/>
              <w:sz w:val="22"/>
              <w:szCs w:val="22"/>
            </w:rPr>
            <w:tag w:val="MENDELEY_CITATION_v3_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"/>
            <w:id w:val="-1118992319"/>
            <w:placeholder>
              <w:docPart w:val="954CCEEA371C064598877EBBD6DB0E91"/>
            </w:placeholder>
          </w:sdtPr>
          <w:sdtContent>
            <w:tc>
              <w:tcPr>
                <w:tcW w:w="1019" w:type="pct"/>
              </w:tcPr>
              <w:p w14:paraId="1AC29770" w14:textId="77777777" w:rsidR="00C711CD" w:rsidRPr="00B3664F" w:rsidRDefault="00C711CD" w:rsidP="00273064">
                <w:pPr>
                  <w:pStyle w:val="NoSpacing"/>
                  <w:rPr>
                    <w:sz w:val="22"/>
                    <w:szCs w:val="22"/>
                  </w:rPr>
                </w:pPr>
                <w:r w:rsidRPr="001E7ECF">
                  <w:rPr>
                    <w:color w:val="000000"/>
                    <w:sz w:val="22"/>
                    <w:szCs w:val="22"/>
                  </w:rPr>
                  <w:t>[203]</w:t>
                </w:r>
              </w:p>
            </w:tc>
          </w:sdtContent>
        </w:sdt>
        <w:tc>
          <w:tcPr>
            <w:tcW w:w="812" w:type="pct"/>
          </w:tcPr>
          <w:p w14:paraId="36385C2F" w14:textId="77777777" w:rsidR="00C711CD" w:rsidRPr="00B3664F" w:rsidRDefault="00C711CD" w:rsidP="00273064">
            <w:pPr>
              <w:pStyle w:val="NoSpacing"/>
              <w:rPr>
                <w:sz w:val="22"/>
                <w:szCs w:val="22"/>
              </w:rPr>
            </w:pPr>
            <w:r w:rsidRPr="00B3664F">
              <w:rPr>
                <w:sz w:val="22"/>
                <w:szCs w:val="22"/>
              </w:rPr>
              <w:t>Saudi Arabia</w:t>
            </w:r>
          </w:p>
        </w:tc>
        <w:tc>
          <w:tcPr>
            <w:tcW w:w="1338" w:type="pct"/>
          </w:tcPr>
          <w:p w14:paraId="2B354F44" w14:textId="77777777" w:rsidR="00C711CD" w:rsidRPr="00B3664F" w:rsidRDefault="00C711CD" w:rsidP="00273064">
            <w:pPr>
              <w:pStyle w:val="NoSpacing"/>
              <w:rPr>
                <w:sz w:val="22"/>
                <w:szCs w:val="22"/>
              </w:rPr>
            </w:pPr>
            <w:r w:rsidRPr="00B3664F">
              <w:rPr>
                <w:sz w:val="22"/>
                <w:szCs w:val="22"/>
              </w:rPr>
              <w:t>3 different PCMs (18, 23, 25°C) in building envelope</w:t>
            </w:r>
          </w:p>
        </w:tc>
        <w:tc>
          <w:tcPr>
            <w:tcW w:w="908" w:type="pct"/>
          </w:tcPr>
          <w:p w14:paraId="372EB587" w14:textId="77777777" w:rsidR="00C711CD" w:rsidRPr="00B3664F" w:rsidRDefault="00C711CD" w:rsidP="00273064">
            <w:pPr>
              <w:pStyle w:val="NoSpacing"/>
              <w:rPr>
                <w:sz w:val="22"/>
                <w:szCs w:val="22"/>
              </w:rPr>
            </w:pPr>
            <w:r w:rsidRPr="00B3664F">
              <w:rPr>
                <w:sz w:val="22"/>
                <w:szCs w:val="22"/>
              </w:rPr>
              <w:t>Not reported</w:t>
            </w:r>
          </w:p>
        </w:tc>
        <w:tc>
          <w:tcPr>
            <w:tcW w:w="923" w:type="pct"/>
          </w:tcPr>
          <w:p w14:paraId="15F6BD02" w14:textId="77777777" w:rsidR="00C711CD" w:rsidRPr="00B3664F" w:rsidRDefault="00C711CD" w:rsidP="00273064">
            <w:pPr>
              <w:pStyle w:val="NoSpacing"/>
              <w:rPr>
                <w:sz w:val="22"/>
                <w:szCs w:val="22"/>
              </w:rPr>
            </w:pPr>
            <w:r w:rsidRPr="00B3664F">
              <w:rPr>
                <w:sz w:val="22"/>
                <w:szCs w:val="22"/>
              </w:rPr>
              <w:t>6.8-56.9% CO</w:t>
            </w:r>
            <w:r w:rsidRPr="00B3664F">
              <w:rPr>
                <w:sz w:val="22"/>
                <w:szCs w:val="22"/>
                <w:vertAlign w:val="subscript"/>
              </w:rPr>
              <w:t xml:space="preserve">2 </w:t>
            </w:r>
            <w:r w:rsidRPr="00B3664F">
              <w:rPr>
                <w:sz w:val="22"/>
                <w:szCs w:val="22"/>
              </w:rPr>
              <w:t>emission reduction</w:t>
            </w:r>
          </w:p>
        </w:tc>
      </w:tr>
      <w:tr w:rsidR="00C711CD" w:rsidRPr="00B3664F" w14:paraId="1DDC347A" w14:textId="77777777" w:rsidTr="00273064">
        <w:trPr>
          <w:trHeight w:val="432"/>
          <w:jc w:val="center"/>
        </w:trPr>
        <w:sdt>
          <w:sdtPr>
            <w:rPr>
              <w:color w:val="000000"/>
              <w:sz w:val="22"/>
              <w:szCs w:val="22"/>
            </w:rPr>
            <w:tag w:val="MENDELEY_CITATION_v3_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"/>
            <w:id w:val="1509482366"/>
            <w:placeholder>
              <w:docPart w:val="954CCEEA371C064598877EBBD6DB0E91"/>
            </w:placeholder>
          </w:sdtPr>
          <w:sdtContent>
            <w:tc>
              <w:tcPr>
                <w:tcW w:w="1019" w:type="pct"/>
              </w:tcPr>
              <w:p w14:paraId="4AD7019E" w14:textId="77777777" w:rsidR="00C711CD" w:rsidRPr="00B3664F" w:rsidRDefault="00C711CD" w:rsidP="00273064">
                <w:pPr>
                  <w:pStyle w:val="NoSpacing"/>
                  <w:rPr>
                    <w:sz w:val="22"/>
                    <w:szCs w:val="22"/>
                  </w:rPr>
                </w:pPr>
                <w:r w:rsidRPr="001E7ECF">
                  <w:rPr>
                    <w:color w:val="000000"/>
                    <w:sz w:val="22"/>
                    <w:szCs w:val="22"/>
                  </w:rPr>
                  <w:t>[36]</w:t>
                </w:r>
              </w:p>
            </w:tc>
          </w:sdtContent>
        </w:sdt>
        <w:tc>
          <w:tcPr>
            <w:tcW w:w="812" w:type="pct"/>
          </w:tcPr>
          <w:p w14:paraId="3565F5B2" w14:textId="77777777" w:rsidR="00C711CD" w:rsidRPr="00B3664F" w:rsidRDefault="00C711CD" w:rsidP="00273064">
            <w:pPr>
              <w:pStyle w:val="NoSpacing"/>
              <w:rPr>
                <w:sz w:val="22"/>
                <w:szCs w:val="22"/>
              </w:rPr>
            </w:pPr>
            <w:r w:rsidRPr="00B3664F">
              <w:rPr>
                <w:sz w:val="22"/>
                <w:szCs w:val="22"/>
              </w:rPr>
              <w:t>UK</w:t>
            </w:r>
          </w:p>
        </w:tc>
        <w:tc>
          <w:tcPr>
            <w:tcW w:w="1338" w:type="pct"/>
          </w:tcPr>
          <w:p w14:paraId="238F8BB3" w14:textId="77777777" w:rsidR="00C711CD" w:rsidRPr="00B3664F" w:rsidRDefault="00C711CD" w:rsidP="00273064">
            <w:pPr>
              <w:pStyle w:val="NoSpacing"/>
              <w:rPr>
                <w:sz w:val="22"/>
                <w:szCs w:val="22"/>
              </w:rPr>
            </w:pPr>
            <w:r w:rsidRPr="00B3664F">
              <w:rPr>
                <w:sz w:val="22"/>
                <w:szCs w:val="22"/>
              </w:rPr>
              <w:t>PCM in floor, coupled to air source HP</w:t>
            </w:r>
          </w:p>
        </w:tc>
        <w:tc>
          <w:tcPr>
            <w:tcW w:w="908" w:type="pct"/>
          </w:tcPr>
          <w:p w14:paraId="54EF2A4B" w14:textId="77777777" w:rsidR="00C711CD" w:rsidRPr="00B3664F" w:rsidRDefault="00C711CD" w:rsidP="00273064">
            <w:pPr>
              <w:pStyle w:val="NoSpacing"/>
              <w:rPr>
                <w:sz w:val="22"/>
                <w:szCs w:val="22"/>
              </w:rPr>
            </w:pPr>
            <w:r w:rsidRPr="00B3664F">
              <w:rPr>
                <w:sz w:val="22"/>
                <w:szCs w:val="22"/>
              </w:rPr>
              <w:t>50% annual load reduction</w:t>
            </w:r>
          </w:p>
        </w:tc>
        <w:tc>
          <w:tcPr>
            <w:tcW w:w="923" w:type="pct"/>
          </w:tcPr>
          <w:p w14:paraId="76365808" w14:textId="77777777" w:rsidR="00C711CD" w:rsidRPr="00B3664F" w:rsidRDefault="00C711CD" w:rsidP="00273064">
            <w:pPr>
              <w:pStyle w:val="NoSpacing"/>
              <w:rPr>
                <w:sz w:val="22"/>
                <w:szCs w:val="22"/>
              </w:rPr>
            </w:pPr>
            <w:r w:rsidRPr="00B3664F">
              <w:rPr>
                <w:sz w:val="22"/>
                <w:szCs w:val="22"/>
              </w:rPr>
              <w:t>36% CO</w:t>
            </w:r>
            <w:r w:rsidRPr="00B3664F">
              <w:rPr>
                <w:sz w:val="22"/>
                <w:szCs w:val="22"/>
                <w:vertAlign w:val="subscript"/>
              </w:rPr>
              <w:t>2</w:t>
            </w:r>
            <w:r w:rsidRPr="00B3664F">
              <w:rPr>
                <w:sz w:val="22"/>
                <w:szCs w:val="22"/>
              </w:rPr>
              <w:t xml:space="preserve"> emission reduction</w:t>
            </w:r>
          </w:p>
        </w:tc>
      </w:tr>
      <w:tr w:rsidR="00C711CD" w:rsidRPr="00B3664F" w14:paraId="4807D149" w14:textId="77777777" w:rsidTr="00273064">
        <w:trPr>
          <w:trHeight w:val="432"/>
          <w:jc w:val="center"/>
        </w:trPr>
        <w:sdt>
          <w:sdtPr>
            <w:rPr>
              <w:color w:val="000000"/>
              <w:sz w:val="22"/>
              <w:szCs w:val="22"/>
            </w:rPr>
            <w:tag w:val="MENDELEY_CITATION_v3_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"/>
            <w:id w:val="517124682"/>
            <w:placeholder>
              <w:docPart w:val="954CCEEA371C064598877EBBD6DB0E91"/>
            </w:placeholder>
          </w:sdtPr>
          <w:sdtContent>
            <w:tc>
              <w:tcPr>
                <w:tcW w:w="1019" w:type="pct"/>
              </w:tcPr>
              <w:p w14:paraId="23D5F2AE" w14:textId="77777777" w:rsidR="00C711CD" w:rsidRPr="00B3664F" w:rsidRDefault="00C711CD" w:rsidP="00273064">
                <w:pPr>
                  <w:pStyle w:val="NoSpacing"/>
                  <w:rPr>
                    <w:sz w:val="22"/>
                    <w:szCs w:val="22"/>
                  </w:rPr>
                </w:pPr>
                <w:r w:rsidRPr="001E7ECF">
                  <w:rPr>
                    <w:color w:val="000000"/>
                    <w:sz w:val="22"/>
                    <w:szCs w:val="22"/>
                  </w:rPr>
                  <w:t>[206]</w:t>
                </w:r>
              </w:p>
            </w:tc>
          </w:sdtContent>
        </w:sdt>
        <w:tc>
          <w:tcPr>
            <w:tcW w:w="812" w:type="pct"/>
          </w:tcPr>
          <w:p w14:paraId="61CBC630" w14:textId="77777777" w:rsidR="00C711CD" w:rsidRPr="00B3664F" w:rsidRDefault="00C711CD" w:rsidP="00273064">
            <w:pPr>
              <w:pStyle w:val="NoSpacing"/>
              <w:rPr>
                <w:sz w:val="22"/>
                <w:szCs w:val="22"/>
              </w:rPr>
            </w:pPr>
            <w:r w:rsidRPr="00B3664F">
              <w:rPr>
                <w:sz w:val="22"/>
                <w:szCs w:val="22"/>
              </w:rPr>
              <w:t>Saudi Arabia</w:t>
            </w:r>
          </w:p>
        </w:tc>
        <w:tc>
          <w:tcPr>
            <w:tcW w:w="1338" w:type="pct"/>
          </w:tcPr>
          <w:p w14:paraId="617F1C7E" w14:textId="77777777" w:rsidR="00C711CD" w:rsidRPr="00B3664F" w:rsidRDefault="00C711CD" w:rsidP="00273064">
            <w:pPr>
              <w:pStyle w:val="NoSpacing"/>
              <w:rPr>
                <w:sz w:val="22"/>
                <w:szCs w:val="22"/>
              </w:rPr>
            </w:pPr>
            <w:r w:rsidRPr="00B3664F">
              <w:rPr>
                <w:sz w:val="22"/>
                <w:szCs w:val="22"/>
              </w:rPr>
              <w:t>PCMs (18, 21, 24, 25, 28°C) in wall, coupled to HVAC</w:t>
            </w:r>
          </w:p>
        </w:tc>
        <w:tc>
          <w:tcPr>
            <w:tcW w:w="908" w:type="pct"/>
          </w:tcPr>
          <w:p w14:paraId="6474EDAE" w14:textId="77777777" w:rsidR="00C711CD" w:rsidRPr="00B3664F" w:rsidRDefault="00C711CD" w:rsidP="00273064">
            <w:pPr>
              <w:pStyle w:val="NoSpacing"/>
              <w:rPr>
                <w:sz w:val="22"/>
                <w:szCs w:val="22"/>
              </w:rPr>
            </w:pPr>
            <w:r w:rsidRPr="00B3664F">
              <w:rPr>
                <w:sz w:val="22"/>
                <w:szCs w:val="22"/>
              </w:rPr>
              <w:t>Not reported</w:t>
            </w:r>
          </w:p>
        </w:tc>
        <w:tc>
          <w:tcPr>
            <w:tcW w:w="923" w:type="pct"/>
          </w:tcPr>
          <w:p w14:paraId="74CF193B" w14:textId="77777777" w:rsidR="00C711CD" w:rsidRPr="00B3664F" w:rsidRDefault="00C711CD" w:rsidP="00273064">
            <w:pPr>
              <w:pStyle w:val="NoSpacing"/>
              <w:rPr>
                <w:sz w:val="22"/>
                <w:szCs w:val="22"/>
              </w:rPr>
            </w:pPr>
            <w:r w:rsidRPr="00B3664F">
              <w:rPr>
                <w:sz w:val="22"/>
                <w:szCs w:val="22"/>
              </w:rPr>
              <w:t>9.4-61% CO</w:t>
            </w:r>
            <w:r w:rsidRPr="00B3664F">
              <w:rPr>
                <w:sz w:val="22"/>
                <w:szCs w:val="22"/>
                <w:vertAlign w:val="subscript"/>
              </w:rPr>
              <w:t>2</w:t>
            </w:r>
            <w:r w:rsidRPr="00B3664F">
              <w:rPr>
                <w:sz w:val="22"/>
                <w:szCs w:val="22"/>
              </w:rPr>
              <w:t xml:space="preserve"> emission reduction</w:t>
            </w:r>
          </w:p>
        </w:tc>
      </w:tr>
      <w:tr w:rsidR="00C711CD" w:rsidRPr="00B3664F" w14:paraId="145BC202" w14:textId="77777777" w:rsidTr="00273064">
        <w:trPr>
          <w:trHeight w:val="432"/>
          <w:jc w:val="center"/>
        </w:trPr>
        <w:sdt>
          <w:sdtPr>
            <w:rPr>
              <w:color w:val="000000"/>
              <w:sz w:val="22"/>
              <w:szCs w:val="22"/>
            </w:rPr>
            <w:tag w:val="MENDELEY_CITATION_v3_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"/>
            <w:id w:val="-1492014898"/>
            <w:placeholder>
              <w:docPart w:val="954CCEEA371C064598877EBBD6DB0E91"/>
            </w:placeholder>
          </w:sdtPr>
          <w:sdtContent>
            <w:tc>
              <w:tcPr>
                <w:tcW w:w="1019" w:type="pct"/>
              </w:tcPr>
              <w:p w14:paraId="6EF4CA3D" w14:textId="77777777" w:rsidR="00C711CD" w:rsidRPr="00B3664F" w:rsidRDefault="00C711CD" w:rsidP="00273064">
                <w:pPr>
                  <w:pStyle w:val="NoSpacing"/>
                  <w:rPr>
                    <w:sz w:val="22"/>
                    <w:szCs w:val="22"/>
                  </w:rPr>
                </w:pPr>
                <w:r w:rsidRPr="001E7ECF">
                  <w:rPr>
                    <w:color w:val="000000"/>
                    <w:sz w:val="22"/>
                    <w:szCs w:val="22"/>
                  </w:rPr>
                  <w:t>[204]</w:t>
                </w:r>
              </w:p>
            </w:tc>
          </w:sdtContent>
        </w:sdt>
        <w:tc>
          <w:tcPr>
            <w:tcW w:w="812" w:type="pct"/>
          </w:tcPr>
          <w:p w14:paraId="3FFF7581" w14:textId="77777777" w:rsidR="00C711CD" w:rsidRPr="00B3664F" w:rsidRDefault="00C711CD" w:rsidP="00273064">
            <w:pPr>
              <w:pStyle w:val="NoSpacing"/>
              <w:rPr>
                <w:sz w:val="22"/>
                <w:szCs w:val="22"/>
              </w:rPr>
            </w:pPr>
            <w:r w:rsidRPr="00B3664F">
              <w:rPr>
                <w:sz w:val="22"/>
                <w:szCs w:val="22"/>
              </w:rPr>
              <w:t>Mexico</w:t>
            </w:r>
          </w:p>
        </w:tc>
        <w:tc>
          <w:tcPr>
            <w:tcW w:w="1338" w:type="pct"/>
          </w:tcPr>
          <w:p w14:paraId="464BACB5" w14:textId="77777777" w:rsidR="00C711CD" w:rsidRPr="00B3664F" w:rsidRDefault="00C711CD" w:rsidP="00273064">
            <w:pPr>
              <w:pStyle w:val="NoSpacing"/>
              <w:rPr>
                <w:sz w:val="22"/>
                <w:szCs w:val="22"/>
              </w:rPr>
            </w:pPr>
            <w:r w:rsidRPr="00B3664F">
              <w:rPr>
                <w:sz w:val="22"/>
                <w:szCs w:val="22"/>
              </w:rPr>
              <w:t>PCM (25°C) in building envelope</w:t>
            </w:r>
          </w:p>
        </w:tc>
        <w:tc>
          <w:tcPr>
            <w:tcW w:w="908" w:type="pct"/>
          </w:tcPr>
          <w:p w14:paraId="602D633C" w14:textId="77777777" w:rsidR="00C711CD" w:rsidRPr="00B3664F" w:rsidRDefault="00C711CD" w:rsidP="00273064">
            <w:pPr>
              <w:pStyle w:val="NoSpacing"/>
              <w:rPr>
                <w:sz w:val="22"/>
                <w:szCs w:val="22"/>
              </w:rPr>
            </w:pPr>
            <w:r w:rsidRPr="00B3664F">
              <w:rPr>
                <w:sz w:val="22"/>
                <w:szCs w:val="22"/>
              </w:rPr>
              <w:t>11-58% annual load reduction</w:t>
            </w:r>
          </w:p>
        </w:tc>
        <w:tc>
          <w:tcPr>
            <w:tcW w:w="923" w:type="pct"/>
          </w:tcPr>
          <w:p w14:paraId="4844D993" w14:textId="77777777" w:rsidR="00C711CD" w:rsidRPr="00B3664F" w:rsidRDefault="00C711CD" w:rsidP="00273064">
            <w:pPr>
              <w:pStyle w:val="NoSpacing"/>
              <w:rPr>
                <w:sz w:val="22"/>
                <w:szCs w:val="22"/>
              </w:rPr>
            </w:pPr>
            <w:r w:rsidRPr="00B3664F">
              <w:rPr>
                <w:sz w:val="22"/>
                <w:szCs w:val="22"/>
              </w:rPr>
              <w:t>~25%* CO</w:t>
            </w:r>
            <w:r w:rsidRPr="00B3664F">
              <w:rPr>
                <w:sz w:val="22"/>
                <w:szCs w:val="22"/>
                <w:vertAlign w:val="subscript"/>
              </w:rPr>
              <w:t>2</w:t>
            </w:r>
            <w:r w:rsidRPr="00B3664F">
              <w:rPr>
                <w:sz w:val="22"/>
                <w:szCs w:val="22"/>
              </w:rPr>
              <w:t xml:space="preserve"> emission reduction</w:t>
            </w:r>
          </w:p>
        </w:tc>
      </w:tr>
      <w:tr w:rsidR="00C711CD" w:rsidRPr="00B3664F" w14:paraId="3ECA0CA0" w14:textId="77777777" w:rsidTr="00273064">
        <w:trPr>
          <w:trHeight w:val="432"/>
          <w:jc w:val="center"/>
        </w:trPr>
        <w:sdt>
          <w:sdtPr>
            <w:rPr>
              <w:color w:val="000000"/>
              <w:sz w:val="22"/>
              <w:szCs w:val="22"/>
            </w:rPr>
            <w:tag w:val="MENDELEY_CITATION_v3_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"/>
            <w:id w:val="-1026942858"/>
            <w:placeholder>
              <w:docPart w:val="954CCEEA371C064598877EBBD6DB0E91"/>
            </w:placeholder>
          </w:sdtPr>
          <w:sdtContent>
            <w:tc>
              <w:tcPr>
                <w:tcW w:w="1019" w:type="pct"/>
              </w:tcPr>
              <w:p w14:paraId="1F2E85E5" w14:textId="77777777" w:rsidR="00C711CD" w:rsidRPr="00B3664F" w:rsidRDefault="00C711CD" w:rsidP="00273064">
                <w:pPr>
                  <w:pStyle w:val="NoSpacing"/>
                  <w:rPr>
                    <w:sz w:val="22"/>
                    <w:szCs w:val="22"/>
                  </w:rPr>
                </w:pPr>
                <w:r w:rsidRPr="001E7ECF">
                  <w:rPr>
                    <w:color w:val="000000"/>
                    <w:sz w:val="22"/>
                    <w:szCs w:val="22"/>
                  </w:rPr>
                  <w:t>[205]</w:t>
                </w:r>
              </w:p>
            </w:tc>
          </w:sdtContent>
        </w:sdt>
        <w:tc>
          <w:tcPr>
            <w:tcW w:w="812" w:type="pct"/>
          </w:tcPr>
          <w:p w14:paraId="56D35A63" w14:textId="77777777" w:rsidR="00C711CD" w:rsidRPr="00B3664F" w:rsidRDefault="00C711CD" w:rsidP="00273064">
            <w:pPr>
              <w:pStyle w:val="NoSpacing"/>
              <w:rPr>
                <w:sz w:val="22"/>
                <w:szCs w:val="22"/>
              </w:rPr>
            </w:pPr>
            <w:r w:rsidRPr="00B3664F">
              <w:rPr>
                <w:sz w:val="22"/>
                <w:szCs w:val="22"/>
              </w:rPr>
              <w:t>Turkey</w:t>
            </w:r>
          </w:p>
        </w:tc>
        <w:tc>
          <w:tcPr>
            <w:tcW w:w="1338" w:type="pct"/>
          </w:tcPr>
          <w:p w14:paraId="053F6AA6" w14:textId="77777777" w:rsidR="00C711CD" w:rsidRPr="00B3664F" w:rsidRDefault="00C711CD" w:rsidP="00273064">
            <w:pPr>
              <w:pStyle w:val="NoSpacing"/>
              <w:rPr>
                <w:sz w:val="22"/>
                <w:szCs w:val="22"/>
              </w:rPr>
            </w:pPr>
            <w:r w:rsidRPr="00B3664F">
              <w:rPr>
                <w:sz w:val="22"/>
                <w:szCs w:val="22"/>
              </w:rPr>
              <w:t>PCM in wall, configuration and temperature optimized</w:t>
            </w:r>
          </w:p>
        </w:tc>
        <w:tc>
          <w:tcPr>
            <w:tcW w:w="908" w:type="pct"/>
          </w:tcPr>
          <w:p w14:paraId="6CEB1E3F" w14:textId="77777777" w:rsidR="00C711CD" w:rsidRPr="00B3664F" w:rsidRDefault="00C711CD" w:rsidP="00273064">
            <w:pPr>
              <w:pStyle w:val="NoSpacing"/>
              <w:rPr>
                <w:sz w:val="22"/>
                <w:szCs w:val="22"/>
              </w:rPr>
            </w:pPr>
            <w:r w:rsidRPr="00B3664F">
              <w:rPr>
                <w:sz w:val="22"/>
                <w:szCs w:val="22"/>
              </w:rPr>
              <w:t>17.2% annual energy savings</w:t>
            </w:r>
          </w:p>
        </w:tc>
        <w:tc>
          <w:tcPr>
            <w:tcW w:w="923" w:type="pct"/>
          </w:tcPr>
          <w:p w14:paraId="12F43CB8" w14:textId="77777777" w:rsidR="00C711CD" w:rsidRPr="00B3664F" w:rsidRDefault="00C711CD" w:rsidP="00273064">
            <w:pPr>
              <w:pStyle w:val="NoSpacing"/>
              <w:rPr>
                <w:sz w:val="22"/>
                <w:szCs w:val="22"/>
              </w:rPr>
            </w:pPr>
            <w:r w:rsidRPr="00B3664F">
              <w:rPr>
                <w:sz w:val="22"/>
                <w:szCs w:val="22"/>
              </w:rPr>
              <w:t>18.4% CO</w:t>
            </w:r>
            <w:r w:rsidRPr="00B3664F">
              <w:rPr>
                <w:sz w:val="22"/>
                <w:szCs w:val="22"/>
                <w:vertAlign w:val="subscript"/>
              </w:rPr>
              <w:t>2</w:t>
            </w:r>
            <w:r w:rsidRPr="00B3664F">
              <w:rPr>
                <w:sz w:val="22"/>
                <w:szCs w:val="22"/>
              </w:rPr>
              <w:t xml:space="preserve"> emission reduction</w:t>
            </w:r>
          </w:p>
        </w:tc>
      </w:tr>
    </w:tbl>
    <w:p w14:paraId="68532F4A" w14:textId="77777777" w:rsidR="00C711CD" w:rsidRPr="00322E56" w:rsidRDefault="00C711CD" w:rsidP="00C711CD">
      <w:pPr>
        <w:rPr>
          <w:rFonts w:cs="Times New Roman"/>
          <w:noProof/>
        </w:rPr>
      </w:pPr>
      <w:r w:rsidRPr="00322E56">
        <w:rPr>
          <w:rFonts w:cs="Times New Roman"/>
          <w:noProof/>
        </w:rPr>
        <w:t>*Calculated from the data given in the paper</w:t>
      </w:r>
    </w:p>
    <w:p w14:paraId="15432BB3" w14:textId="7B83415B" w:rsidR="00C711CD" w:rsidRPr="00C711CD" w:rsidRDefault="00C711CD" w:rsidP="00C711CD">
      <w:pPr>
        <w:spacing w:line="240" w:lineRule="auto"/>
        <w:rPr>
          <w:rFonts w:cs="Times New Roman"/>
          <w:noProof/>
        </w:rPr>
      </w:pPr>
      <w:r w:rsidRPr="00322E56">
        <w:rPr>
          <w:rFonts w:cs="Times New Roman"/>
          <w:noProof/>
        </w:rPr>
        <w:br w:type="page"/>
      </w:r>
    </w:p>
    <w:p w14:paraId="4C42FF84" w14:textId="77777777" w:rsidR="00B17E5F" w:rsidRDefault="00B17E5F" w:rsidP="002F2897">
      <w:pPr>
        <w:rPr>
          <w:rFonts w:cs="Times New Roman"/>
          <w:noProof/>
          <w:lang w:val="en-GB"/>
        </w:rPr>
      </w:pPr>
      <w:r w:rsidRPr="00322E56">
        <w:rPr>
          <w:rFonts w:cs="Times New Roman"/>
          <w:noProof/>
          <w:lang w:val="en-GB"/>
        </w:rPr>
        <w:lastRenderedPageBreak/>
        <w:t>Figure 4</w:t>
      </w:r>
      <w:r>
        <w:rPr>
          <w:rFonts w:cs="Times New Roman"/>
          <w:noProof/>
          <w:lang w:val="en-GB"/>
        </w:rPr>
        <w:t>9</w:t>
      </w:r>
      <w:r w:rsidRPr="00322E56">
        <w:rPr>
          <w:rFonts w:cs="Times New Roman"/>
          <w:noProof/>
          <w:lang w:val="en-GB"/>
        </w:rPr>
        <w:t xml:space="preserve"> shows the reduced carbon emissions in literature for different regions. Passive TES have varying benefits but for all regions, heat pump coupled systems consistently report more than 35% reduction. </w:t>
      </w:r>
    </w:p>
    <w:p w14:paraId="41513F19" w14:textId="33A5572D" w:rsidR="00B17E5F" w:rsidRDefault="00B17E5F" w:rsidP="002F2897">
      <w:pPr>
        <w:rPr>
          <w:rFonts w:cs="Times New Roman"/>
          <w:noProof/>
          <w:lang w:val="en-GB"/>
        </w:rPr>
      </w:pPr>
      <w:r w:rsidRPr="00322E56">
        <w:rPr>
          <w:rFonts w:cs="Times New Roman"/>
          <w:noProof/>
          <w:lang w:val="en-GB"/>
        </w:rPr>
        <w:t xml:space="preserve">HP-TES has especially garnered attention for its demand response potential, flexible configurations, and less space requirements. Active HP-TES systems were reviewed to establish that peak loads and cost associated with HVAC loads can be successfully reduced </w:t>
      </w:r>
      <w:sdt>
        <w:sdtPr>
          <w:rPr>
            <w:rFonts w:cs="Times New Roman"/>
            <w:noProof/>
            <w:color w:val="000000"/>
            <w:lang w:val="en-GB"/>
          </w:rPr>
          <w:tag w:val="MENDELEY_CITATION_v3_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"/>
          <w:id w:val="793330314"/>
          <w:placeholder>
            <w:docPart w:val="557E742691FF47E583884E1952A26A89"/>
          </w:placeholder>
        </w:sdtPr>
        <w:sdtContent>
          <w:r w:rsidR="001E7ECF" w:rsidRPr="001E7ECF">
            <w:rPr>
              <w:rFonts w:cs="Times New Roman"/>
              <w:noProof/>
              <w:color w:val="000000"/>
              <w:lang w:val="en-GB"/>
            </w:rPr>
            <w:t>[23]</w:t>
          </w:r>
        </w:sdtContent>
      </w:sdt>
      <w:r w:rsidRPr="00322E56">
        <w:rPr>
          <w:rFonts w:cs="Times New Roman"/>
          <w:noProof/>
          <w:lang w:val="en-GB"/>
        </w:rPr>
        <w:t xml:space="preserve">. Many researchers have used demand response control strategies to shift the peak load, but very few papers have investigated the decarbonization potential of TES. Peak load was shifted using various controls and configurations for residential HP-TES, and corresponding emissions were reported </w:t>
      </w:r>
      <w:sdt>
        <w:sdtPr>
          <w:rPr>
            <w:rFonts w:cs="Times New Roman"/>
            <w:noProof/>
            <w:color w:val="000000"/>
            <w:lang w:val="en-GB"/>
          </w:rPr>
          <w:tag w:val="MENDELEY_CITATION_v3_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"/>
          <w:id w:val="-307250580"/>
          <w:placeholder>
            <w:docPart w:val="664DCFD9FD5E4FC99ABB097AE72DE459"/>
          </w:placeholder>
        </w:sdtPr>
        <w:sdtContent>
          <w:r w:rsidR="001E7ECF" w:rsidRPr="001E7ECF">
            <w:rPr>
              <w:rFonts w:cs="Times New Roman"/>
              <w:noProof/>
              <w:color w:val="000000"/>
              <w:lang w:val="en-GB"/>
            </w:rPr>
            <w:t>[207]</w:t>
          </w:r>
        </w:sdtContent>
      </w:sdt>
      <w:r w:rsidRPr="00322E56">
        <w:rPr>
          <w:rFonts w:cs="Times New Roman"/>
          <w:noProof/>
          <w:lang w:val="en-GB"/>
        </w:rPr>
        <w:t xml:space="preserve">. The emissions have been calculated by deriving relations to the energy consumption and power usage. Abu Hamdeh </w:t>
      </w:r>
      <w:r w:rsidRPr="00322E56">
        <w:rPr>
          <w:rFonts w:cs="Times New Roman"/>
          <w:i/>
          <w:iCs/>
          <w:noProof/>
          <w:lang w:val="en-GB"/>
        </w:rPr>
        <w:t xml:space="preserve">et al. </w:t>
      </w:r>
      <w:r w:rsidRPr="00322E56">
        <w:rPr>
          <w:rFonts w:cs="Times New Roman"/>
          <w:noProof/>
          <w:lang w:val="en-GB"/>
        </w:rPr>
        <w:t xml:space="preserve">(2022) multiplied the power usage by the amount of greenhouse gases emission per kWh </w:t>
      </w:r>
      <w:sdt>
        <w:sdtPr>
          <w:rPr>
            <w:rFonts w:cs="Times New Roman"/>
            <w:noProof/>
            <w:color w:val="000000"/>
            <w:lang w:val="en-GB"/>
          </w:rPr>
          <w:tag w:val="MENDELEY_CITATION_v3_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"/>
          <w:id w:val="980510007"/>
          <w:placeholder>
            <w:docPart w:val="8FE07A01F52D47AF85CB14DD91BE5DCB"/>
          </w:placeholder>
        </w:sdtPr>
        <w:sdtContent>
          <w:r w:rsidR="001E7ECF" w:rsidRPr="001E7ECF">
            <w:rPr>
              <w:rFonts w:cs="Times New Roman"/>
              <w:noProof/>
              <w:color w:val="000000"/>
              <w:lang w:val="en-GB"/>
            </w:rPr>
            <w:t>[203]</w:t>
          </w:r>
        </w:sdtContent>
      </w:sdt>
      <w:r w:rsidRPr="00322E56">
        <w:rPr>
          <w:rFonts w:cs="Times New Roman"/>
          <w:noProof/>
          <w:lang w:val="en-GB"/>
        </w:rPr>
        <w:t xml:space="preserve">. Arce </w:t>
      </w:r>
      <w:r w:rsidRPr="00322E56">
        <w:rPr>
          <w:rFonts w:cs="Times New Roman"/>
          <w:i/>
          <w:iCs/>
          <w:noProof/>
          <w:lang w:val="en-GB"/>
        </w:rPr>
        <w:t xml:space="preserve">et al. </w:t>
      </w:r>
      <w:r w:rsidRPr="00322E56">
        <w:rPr>
          <w:rFonts w:cs="Times New Roman"/>
          <w:noProof/>
          <w:lang w:val="en-GB"/>
        </w:rPr>
        <w:t xml:space="preserve">(2011) used European Commission emission factors, load reduction and energy savings to calculate the carbon emissions reduced </w:t>
      </w:r>
      <w:sdt>
        <w:sdtPr>
          <w:rPr>
            <w:rFonts w:cs="Times New Roman"/>
            <w:noProof/>
            <w:color w:val="000000"/>
            <w:lang w:val="en-GB"/>
          </w:rPr>
          <w:tag w:val="MENDELEY_CITATION_v3_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"/>
          <w:id w:val="1532233816"/>
          <w:placeholder>
            <w:docPart w:val="8FE07A01F52D47AF85CB14DD91BE5DCB"/>
          </w:placeholder>
        </w:sdtPr>
        <w:sdtContent>
          <w:r w:rsidR="001E7ECF" w:rsidRPr="001E7ECF">
            <w:rPr>
              <w:rFonts w:cs="Times New Roman"/>
              <w:noProof/>
              <w:color w:val="000000"/>
              <w:lang w:val="en-GB"/>
            </w:rPr>
            <w:t>[208]</w:t>
          </w:r>
        </w:sdtContent>
      </w:sdt>
      <w:r w:rsidRPr="00322E56">
        <w:rPr>
          <w:rFonts w:cs="Times New Roman"/>
          <w:noProof/>
          <w:lang w:val="en-GB"/>
        </w:rPr>
        <w:t xml:space="preserve">. Cabeza </w:t>
      </w:r>
      <w:r w:rsidRPr="00322E56">
        <w:rPr>
          <w:rFonts w:cs="Times New Roman"/>
          <w:i/>
          <w:iCs/>
          <w:noProof/>
          <w:lang w:val="en-GB"/>
        </w:rPr>
        <w:t xml:space="preserve">et al. </w:t>
      </w:r>
      <w:r w:rsidRPr="00322E56">
        <w:rPr>
          <w:rFonts w:cs="Times New Roman"/>
          <w:noProof/>
          <w:lang w:val="en-GB"/>
        </w:rPr>
        <w:t>(2015) defined CO</w:t>
      </w:r>
      <w:r w:rsidRPr="00322E56">
        <w:rPr>
          <w:rFonts w:cs="Times New Roman"/>
          <w:noProof/>
          <w:vertAlign w:val="subscript"/>
          <w:lang w:val="en-GB"/>
        </w:rPr>
        <w:t>2</w:t>
      </w:r>
      <w:r w:rsidRPr="00322E56">
        <w:rPr>
          <w:rFonts w:cs="Times New Roman"/>
          <w:noProof/>
          <w:lang w:val="en-GB"/>
        </w:rPr>
        <w:t xml:space="preserve"> factor as a corelation between CO</w:t>
      </w:r>
      <w:r w:rsidRPr="00322E56">
        <w:rPr>
          <w:rFonts w:cs="Times New Roman"/>
          <w:noProof/>
          <w:vertAlign w:val="subscript"/>
          <w:lang w:val="en-GB"/>
        </w:rPr>
        <w:t>2</w:t>
      </w:r>
      <w:r w:rsidRPr="00322E56">
        <w:rPr>
          <w:rFonts w:cs="Times New Roman"/>
          <w:noProof/>
          <w:lang w:val="en-GB"/>
        </w:rPr>
        <w:t xml:space="preserve"> emissions (g) and energy consumption (kWh). The CO</w:t>
      </w:r>
      <w:r w:rsidRPr="00322E56">
        <w:rPr>
          <w:rFonts w:cs="Times New Roman"/>
          <w:noProof/>
          <w:vertAlign w:val="subscript"/>
          <w:lang w:val="en-GB"/>
        </w:rPr>
        <w:t>2</w:t>
      </w:r>
      <w:r w:rsidRPr="00322E56">
        <w:rPr>
          <w:rFonts w:cs="Times New Roman"/>
          <w:noProof/>
          <w:lang w:val="en-GB"/>
        </w:rPr>
        <w:t xml:space="preserve"> footprint (g/kWh) is 0.08 times energy consumption </w:t>
      </w:r>
      <w:sdt>
        <w:sdtPr>
          <w:rPr>
            <w:rFonts w:cs="Times New Roman"/>
            <w:noProof/>
            <w:color w:val="000000"/>
            <w:lang w:val="en-GB"/>
          </w:rPr>
          <w:tag w:val="MENDELEY_CITATION_v3_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"/>
          <w:id w:val="1115637172"/>
          <w:placeholder>
            <w:docPart w:val="8FE07A01F52D47AF85CB14DD91BE5DCB"/>
          </w:placeholder>
        </w:sdtPr>
        <w:sdtContent>
          <w:r w:rsidR="001E7ECF" w:rsidRPr="001E7ECF">
            <w:rPr>
              <w:rFonts w:cs="Times New Roman"/>
              <w:noProof/>
              <w:color w:val="000000"/>
              <w:lang w:val="en-GB"/>
            </w:rPr>
            <w:t>[33]</w:t>
          </w:r>
        </w:sdtContent>
      </w:sdt>
      <w:r w:rsidRPr="00322E56">
        <w:rPr>
          <w:rFonts w:cs="Times New Roman"/>
          <w:noProof/>
          <w:lang w:val="en-GB"/>
        </w:rPr>
        <w:t xml:space="preserve">.  </w:t>
      </w:r>
    </w:p>
    <w:p w14:paraId="64EE7B3F" w14:textId="77777777" w:rsidR="00B17E5F" w:rsidRDefault="00B17E5F" w:rsidP="002F2897">
      <w:pPr>
        <w:rPr>
          <w:rFonts w:cs="Times New Roman"/>
          <w:noProof/>
          <w:lang w:val="en-GB"/>
        </w:rPr>
      </w:pPr>
      <w:r>
        <w:rPr>
          <w:rFonts w:cs="Times New Roman"/>
          <w:noProof/>
          <w:lang w:val="en-GB"/>
        </w:rPr>
        <w:t xml:space="preserve">Table 19 shows the gap in literature and scope of this work. </w:t>
      </w:r>
      <w:r w:rsidRPr="00322E56">
        <w:rPr>
          <w:rFonts w:cs="Times New Roman"/>
          <w:noProof/>
          <w:lang w:val="en-GB"/>
        </w:rPr>
        <w:t>No studies were found that utilize emissions data into the control strategy of HP-TES systems.</w:t>
      </w:r>
    </w:p>
    <w:p w14:paraId="1CF0CA72" w14:textId="77777777" w:rsidR="00C711CD" w:rsidRDefault="00C711CD" w:rsidP="00C711CD">
      <w:pPr>
        <w:pStyle w:val="Heading3"/>
        <w:rPr>
          <w:lang w:val="en-GB"/>
        </w:rPr>
      </w:pPr>
      <w:bookmarkStart w:id="249" w:name="_Toc140399896"/>
      <w:r>
        <w:rPr>
          <w:lang w:val="en-GB"/>
        </w:rPr>
        <w:t>Marginal Grid Emissions</w:t>
      </w:r>
      <w:bookmarkEnd w:id="249"/>
    </w:p>
    <w:p w14:paraId="6D02BBF0" w14:textId="5C932C63" w:rsidR="00C711CD" w:rsidRPr="00322E56" w:rsidRDefault="00C711CD" w:rsidP="00C711CD">
      <w:pPr>
        <w:rPr>
          <w:rFonts w:cs="Times New Roman"/>
          <w:noProof/>
          <w:lang w:val="en-GB"/>
        </w:rPr>
      </w:pPr>
      <w:r w:rsidRPr="00322E56">
        <w:rPr>
          <w:rFonts w:cs="Times New Roman"/>
          <w:lang w:val="en-GB"/>
        </w:rPr>
        <w:t xml:space="preserve">The electricity sector has seen a shift from traditional centralized system to a smart grid device. This phenomenon has been ushered in by the increased integration of renewable energies. The rapid proliferation of the ‘Internet of Things’ (IoT) </w:t>
      </w:r>
      <w:sdt>
        <w:sdtPr>
          <w:rPr>
            <w:rFonts w:cs="Times New Roman"/>
            <w:color w:val="000000"/>
            <w:lang w:val="en-GB"/>
          </w:rPr>
          <w:tag w:val="MENDELEY_CITATION_v3_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"/>
          <w:id w:val="395787745"/>
          <w:placeholder>
            <w:docPart w:val="D8514824C8D6F848930C1DC678B369A5"/>
          </w:placeholder>
        </w:sdtPr>
        <w:sdtContent>
          <w:r w:rsidRPr="001E7ECF">
            <w:rPr>
              <w:rFonts w:cs="Times New Roman"/>
              <w:color w:val="000000"/>
              <w:lang w:val="en-GB"/>
            </w:rPr>
            <w:t>[59]</w:t>
          </w:r>
        </w:sdtContent>
      </w:sdt>
      <w:r w:rsidRPr="00322E56">
        <w:rPr>
          <w:rFonts w:cs="Times New Roman"/>
          <w:lang w:val="en-GB"/>
        </w:rPr>
        <w:t xml:space="preserve">, allow major loads, such as HP, to be controlled with the goal of reducing peak power consumption on the electrical grid. In a smart grid, HP can be considered part of the demand side that can be actively managed to stabilize voltage fluctuations caused by high demand or high penetration of renewable energy </w:t>
      </w:r>
      <w:sdt>
        <w:sdtPr>
          <w:rPr>
            <w:rFonts w:cs="Times New Roman"/>
            <w:color w:val="000000"/>
            <w:lang w:val="en-GB"/>
          </w:rPr>
          <w:tag w:val="MENDELEY_CITATION_v3_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"/>
          <w:id w:val="83046243"/>
          <w:placeholder>
            <w:docPart w:val="D8514824C8D6F848930C1DC678B369A5"/>
          </w:placeholder>
        </w:sdtPr>
        <w:sdtContent>
          <w:r w:rsidRPr="001E7ECF">
            <w:rPr>
              <w:rFonts w:cs="Times New Roman"/>
              <w:color w:val="000000"/>
              <w:lang w:val="en-GB"/>
            </w:rPr>
            <w:t>[209]</w:t>
          </w:r>
        </w:sdtContent>
      </w:sdt>
      <w:r w:rsidRPr="00322E56">
        <w:rPr>
          <w:rFonts w:cs="Times New Roman"/>
          <w:lang w:val="en-GB"/>
        </w:rPr>
        <w:t>.</w:t>
      </w:r>
    </w:p>
    <w:p w14:paraId="572B5C27" w14:textId="5F1E7B99" w:rsidR="00B17E5F" w:rsidRPr="00322E56" w:rsidRDefault="00B17E5F" w:rsidP="00C711CD">
      <w:pPr>
        <w:spacing w:line="240" w:lineRule="auto"/>
        <w:ind w:firstLine="0"/>
        <w:rPr>
          <w:rFonts w:cs="Times New Roman"/>
          <w:noProof/>
        </w:rPr>
      </w:pPr>
    </w:p>
    <w:p w14:paraId="7537E2B4" w14:textId="77777777" w:rsidR="00B17E5F" w:rsidRPr="00322E56" w:rsidRDefault="00B17E5F" w:rsidP="00396102">
      <w:pPr>
        <w:keepNext/>
        <w:jc w:val="center"/>
        <w:rPr>
          <w:rFonts w:cs="Times New Roman"/>
        </w:rPr>
      </w:pPr>
      <w:r w:rsidRPr="00322E56">
        <w:rPr>
          <w:rFonts w:cs="Times New Roman"/>
          <w:noProof/>
        </w:rPr>
        <w:lastRenderedPageBreak/>
        <w:drawing>
          <wp:inline distT="0" distB="0" distL="0" distR="0" wp14:anchorId="0BF485A5" wp14:editId="76C2C284">
            <wp:extent cx="5243331" cy="3522731"/>
            <wp:effectExtent l="0" t="0" r="1905" b="0"/>
            <wp:docPr id="42" name="Picture 4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Chart, bar chart&#10;&#10;Description automatically generated"/>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243331" cy="3522731"/>
                    </a:xfrm>
                    <a:prstGeom prst="rect">
                      <a:avLst/>
                    </a:prstGeom>
                    <a:noFill/>
                  </pic:spPr>
                </pic:pic>
              </a:graphicData>
            </a:graphic>
          </wp:inline>
        </w:drawing>
      </w:r>
    </w:p>
    <w:p w14:paraId="7C00F7CB" w14:textId="1732666D" w:rsidR="00B17E5F" w:rsidRPr="00322E56" w:rsidRDefault="00B17E5F" w:rsidP="00396102">
      <w:pPr>
        <w:pStyle w:val="Caption"/>
        <w:jc w:val="center"/>
        <w:rPr>
          <w:rFonts w:cs="Times New Roman"/>
          <w:noProof/>
          <w:lang w:val="en-GB"/>
        </w:rPr>
      </w:pPr>
      <w:bookmarkStart w:id="250" w:name="_Toc140403915"/>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49</w:t>
      </w:r>
      <w:r w:rsidRPr="00322E56">
        <w:rPr>
          <w:rFonts w:cs="Times New Roman"/>
        </w:rPr>
        <w:fldChar w:fldCharType="end"/>
      </w:r>
      <w:r w:rsidRPr="00322E56">
        <w:rPr>
          <w:rFonts w:cs="Times New Roman"/>
        </w:rPr>
        <w:t>: One representative reference reporting emission reduction by using PCM in various locations and configurations.</w:t>
      </w:r>
      <w:bookmarkEnd w:id="250"/>
    </w:p>
    <w:p w14:paraId="4C2F0FDF" w14:textId="77777777" w:rsidR="00B17E5F" w:rsidRPr="00322E56" w:rsidRDefault="00B17E5F">
      <w:pPr>
        <w:spacing w:line="240" w:lineRule="auto"/>
        <w:rPr>
          <w:rFonts w:cs="Times New Roman"/>
          <w:noProof/>
        </w:rPr>
      </w:pPr>
      <w:r w:rsidRPr="00322E56">
        <w:rPr>
          <w:rFonts w:cs="Times New Roman"/>
          <w:noProof/>
        </w:rPr>
        <w:br w:type="page"/>
      </w:r>
    </w:p>
    <w:p w14:paraId="4480B1DB" w14:textId="6D510D45" w:rsidR="00B17E5F" w:rsidRPr="00322E56" w:rsidRDefault="00B17E5F" w:rsidP="004E1791">
      <w:pPr>
        <w:pStyle w:val="Caption"/>
        <w:jc w:val="center"/>
        <w:rPr>
          <w:rFonts w:cs="Times New Roman"/>
        </w:rPr>
      </w:pPr>
      <w:bookmarkStart w:id="251" w:name="_Toc140399959"/>
      <w:r w:rsidRPr="00322E56">
        <w:rPr>
          <w:rFonts w:cs="Times New Roman"/>
        </w:rPr>
        <w:lastRenderedPageBreak/>
        <w:t xml:space="preserve">Table </w:t>
      </w:r>
      <w:r w:rsidRPr="00322E56">
        <w:rPr>
          <w:rFonts w:cs="Times New Roman"/>
        </w:rPr>
        <w:fldChar w:fldCharType="begin"/>
      </w:r>
      <w:r w:rsidRPr="00322E56">
        <w:rPr>
          <w:rFonts w:cs="Times New Roman"/>
        </w:rPr>
        <w:instrText xml:space="preserve"> SEQ Table \* ARABIC </w:instrText>
      </w:r>
      <w:r w:rsidRPr="00322E56">
        <w:rPr>
          <w:rFonts w:cs="Times New Roman"/>
        </w:rPr>
        <w:fldChar w:fldCharType="separate"/>
      </w:r>
      <w:r w:rsidR="00FC25C0">
        <w:rPr>
          <w:rFonts w:cs="Times New Roman"/>
          <w:noProof/>
        </w:rPr>
        <w:t>19</w:t>
      </w:r>
      <w:r w:rsidRPr="00322E56">
        <w:rPr>
          <w:rFonts w:cs="Times New Roman"/>
        </w:rPr>
        <w:fldChar w:fldCharType="end"/>
      </w:r>
      <w:r w:rsidRPr="00322E56">
        <w:rPr>
          <w:rFonts w:cs="Times New Roman"/>
        </w:rPr>
        <w:t>: Table showing gap in literature and scope of this work.</w:t>
      </w:r>
      <w:bookmarkEnd w:id="251"/>
    </w:p>
    <w:tbl>
      <w:tblPr>
        <w:tblStyle w:val="TableGrid"/>
        <w:tblW w:w="5410" w:type="pct"/>
        <w:jc w:val="center"/>
        <w:tblBorders>
          <w:left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2487"/>
        <w:gridCol w:w="1374"/>
        <w:gridCol w:w="1374"/>
        <w:gridCol w:w="1374"/>
        <w:gridCol w:w="1374"/>
        <w:gridCol w:w="1365"/>
      </w:tblGrid>
      <w:tr w:rsidR="00B17E5F" w:rsidRPr="00F96436" w14:paraId="019BE87C" w14:textId="77777777" w:rsidTr="00B72B2C">
        <w:trPr>
          <w:trHeight w:val="315"/>
          <w:jc w:val="center"/>
        </w:trPr>
        <w:tc>
          <w:tcPr>
            <w:tcW w:w="1330" w:type="pct"/>
            <w:tcBorders>
              <w:top w:val="single" w:sz="4" w:space="0" w:color="auto"/>
              <w:bottom w:val="single" w:sz="4" w:space="0" w:color="auto"/>
            </w:tcBorders>
            <w:hideMark/>
          </w:tcPr>
          <w:p w14:paraId="18340237" w14:textId="77777777" w:rsidR="00B17E5F" w:rsidRPr="00F96436" w:rsidRDefault="00B17E5F" w:rsidP="00F96436">
            <w:pPr>
              <w:pStyle w:val="NoSpacing"/>
              <w:rPr>
                <w:b/>
                <w:bCs/>
              </w:rPr>
            </w:pPr>
            <w:r w:rsidRPr="00F96436">
              <w:rPr>
                <w:b/>
                <w:bCs/>
              </w:rPr>
              <w:t>Reference</w:t>
            </w:r>
          </w:p>
        </w:tc>
        <w:tc>
          <w:tcPr>
            <w:tcW w:w="735" w:type="pct"/>
            <w:tcBorders>
              <w:top w:val="single" w:sz="4" w:space="0" w:color="auto"/>
              <w:bottom w:val="single" w:sz="4" w:space="0" w:color="auto"/>
            </w:tcBorders>
            <w:hideMark/>
          </w:tcPr>
          <w:p w14:paraId="1E45C1CA" w14:textId="77777777" w:rsidR="00B17E5F" w:rsidRPr="00F96436" w:rsidRDefault="00B17E5F" w:rsidP="00F96436">
            <w:pPr>
              <w:pStyle w:val="NoSpacing"/>
              <w:rPr>
                <w:b/>
                <w:bCs/>
              </w:rPr>
            </w:pPr>
            <w:r w:rsidRPr="00F96436">
              <w:rPr>
                <w:b/>
                <w:bCs/>
              </w:rPr>
              <w:t>Active HP-TES mediated by heat pump</w:t>
            </w:r>
          </w:p>
        </w:tc>
        <w:tc>
          <w:tcPr>
            <w:tcW w:w="735" w:type="pct"/>
            <w:tcBorders>
              <w:top w:val="single" w:sz="4" w:space="0" w:color="auto"/>
              <w:bottom w:val="single" w:sz="4" w:space="0" w:color="auto"/>
            </w:tcBorders>
            <w:hideMark/>
          </w:tcPr>
          <w:p w14:paraId="752812A2" w14:textId="77777777" w:rsidR="00B17E5F" w:rsidRPr="00F96436" w:rsidRDefault="00B17E5F" w:rsidP="00F96436">
            <w:pPr>
              <w:pStyle w:val="NoSpacing"/>
              <w:rPr>
                <w:b/>
                <w:bCs/>
              </w:rPr>
            </w:pPr>
            <w:r w:rsidRPr="00F96436">
              <w:rPr>
                <w:b/>
                <w:bCs/>
              </w:rPr>
              <w:t>Carbon Emission controls for HP-TES</w:t>
            </w:r>
          </w:p>
        </w:tc>
        <w:tc>
          <w:tcPr>
            <w:tcW w:w="735" w:type="pct"/>
            <w:tcBorders>
              <w:top w:val="single" w:sz="4" w:space="0" w:color="auto"/>
              <w:bottom w:val="single" w:sz="4" w:space="0" w:color="auto"/>
            </w:tcBorders>
            <w:hideMark/>
          </w:tcPr>
          <w:p w14:paraId="1D5FD028" w14:textId="77777777" w:rsidR="00B17E5F" w:rsidRPr="00F96436" w:rsidRDefault="00B17E5F" w:rsidP="00F96436">
            <w:pPr>
              <w:pStyle w:val="NoSpacing"/>
              <w:rPr>
                <w:b/>
                <w:bCs/>
              </w:rPr>
            </w:pPr>
            <w:r w:rsidRPr="00F96436">
              <w:rPr>
                <w:b/>
                <w:bCs/>
              </w:rPr>
              <w:t>CO</w:t>
            </w:r>
            <w:r w:rsidRPr="00F96436">
              <w:rPr>
                <w:b/>
                <w:bCs/>
                <w:vertAlign w:val="subscript"/>
              </w:rPr>
              <w:t>2</w:t>
            </w:r>
            <w:r w:rsidRPr="00F96436">
              <w:rPr>
                <w:b/>
                <w:bCs/>
              </w:rPr>
              <w:t xml:space="preserve"> emissions reported</w:t>
            </w:r>
          </w:p>
        </w:tc>
        <w:tc>
          <w:tcPr>
            <w:tcW w:w="735" w:type="pct"/>
            <w:tcBorders>
              <w:top w:val="single" w:sz="4" w:space="0" w:color="auto"/>
              <w:bottom w:val="single" w:sz="4" w:space="0" w:color="auto"/>
            </w:tcBorders>
            <w:hideMark/>
          </w:tcPr>
          <w:p w14:paraId="7FC15962" w14:textId="77777777" w:rsidR="00B17E5F" w:rsidRPr="00F96436" w:rsidRDefault="00B17E5F" w:rsidP="00F96436">
            <w:pPr>
              <w:pStyle w:val="NoSpacing"/>
              <w:rPr>
                <w:b/>
                <w:bCs/>
              </w:rPr>
            </w:pPr>
            <w:r w:rsidRPr="00F96436">
              <w:rPr>
                <w:b/>
                <w:bCs/>
              </w:rPr>
              <w:t>Electric heat pump baseline vs PCM</w:t>
            </w:r>
          </w:p>
        </w:tc>
        <w:tc>
          <w:tcPr>
            <w:tcW w:w="730" w:type="pct"/>
            <w:tcBorders>
              <w:top w:val="single" w:sz="4" w:space="0" w:color="auto"/>
              <w:bottom w:val="single" w:sz="4" w:space="0" w:color="auto"/>
            </w:tcBorders>
            <w:hideMark/>
          </w:tcPr>
          <w:p w14:paraId="378EF00D" w14:textId="77777777" w:rsidR="00B17E5F" w:rsidRPr="00F96436" w:rsidRDefault="00B17E5F" w:rsidP="00F96436">
            <w:pPr>
              <w:pStyle w:val="NoSpacing"/>
              <w:rPr>
                <w:b/>
                <w:bCs/>
              </w:rPr>
            </w:pPr>
            <w:r w:rsidRPr="00F96436">
              <w:rPr>
                <w:b/>
                <w:bCs/>
              </w:rPr>
              <w:t>Utility based controls for peak load shifting</w:t>
            </w:r>
          </w:p>
        </w:tc>
      </w:tr>
      <w:tr w:rsidR="00B17E5F" w:rsidRPr="00F96436" w14:paraId="58640548" w14:textId="77777777" w:rsidTr="00B72B2C">
        <w:trPr>
          <w:trHeight w:val="315"/>
          <w:jc w:val="center"/>
        </w:trPr>
        <w:sdt>
          <w:sdtPr>
            <w:rPr>
              <w:rFonts w:cs="Times New Roman"/>
              <w:color w:val="000000"/>
              <w:sz w:val="22"/>
              <w:szCs w:val="22"/>
            </w:rPr>
            <w:tag w:val="MENDELEY_CITATION_v3_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"/>
            <w:id w:val="-842773296"/>
            <w:placeholder>
              <w:docPart w:val="513D13F826DC4338994072FB0656B897"/>
            </w:placeholder>
          </w:sdtPr>
          <w:sdtContent>
            <w:tc>
              <w:tcPr>
                <w:tcW w:w="1330" w:type="pct"/>
                <w:tcBorders>
                  <w:top w:val="single" w:sz="4" w:space="0" w:color="auto"/>
                </w:tcBorders>
                <w:hideMark/>
              </w:tcPr>
              <w:p w14:paraId="553294A5" w14:textId="4BD53344" w:rsidR="00B17E5F" w:rsidRPr="00F96436" w:rsidRDefault="001E7ECF" w:rsidP="00B72B2C">
                <w:pPr>
                  <w:rPr>
                    <w:rFonts w:cs="Times New Roman"/>
                    <w:sz w:val="22"/>
                    <w:szCs w:val="22"/>
                  </w:rPr>
                </w:pPr>
                <w:r w:rsidRPr="001E7ECF">
                  <w:rPr>
                    <w:rFonts w:cs="Times New Roman"/>
                    <w:color w:val="000000"/>
                    <w:sz w:val="22"/>
                    <w:szCs w:val="22"/>
                  </w:rPr>
                  <w:t>[33]</w:t>
                </w:r>
              </w:p>
            </w:tc>
          </w:sdtContent>
        </w:sdt>
        <w:tc>
          <w:tcPr>
            <w:tcW w:w="735" w:type="pct"/>
            <w:tcBorders>
              <w:top w:val="single" w:sz="4" w:space="0" w:color="auto"/>
            </w:tcBorders>
            <w:hideMark/>
          </w:tcPr>
          <w:p w14:paraId="107D4F3E" w14:textId="77777777" w:rsidR="00B17E5F" w:rsidRPr="00F96436" w:rsidRDefault="00B17E5F" w:rsidP="00B72B2C">
            <w:pPr>
              <w:rPr>
                <w:rFonts w:cs="Times New Roman"/>
                <w:b/>
                <w:bCs/>
                <w:sz w:val="22"/>
                <w:szCs w:val="22"/>
              </w:rPr>
            </w:pPr>
            <w:r w:rsidRPr="00F96436">
              <w:rPr>
                <w:rFonts w:cs="Times New Roman"/>
                <w:b/>
                <w:bCs/>
                <w:color w:val="FF0000"/>
                <w:sz w:val="22"/>
                <w:szCs w:val="22"/>
              </w:rPr>
              <w:t>×</w:t>
            </w:r>
          </w:p>
        </w:tc>
        <w:tc>
          <w:tcPr>
            <w:tcW w:w="735" w:type="pct"/>
            <w:tcBorders>
              <w:top w:val="single" w:sz="4" w:space="0" w:color="auto"/>
            </w:tcBorders>
            <w:hideMark/>
          </w:tcPr>
          <w:p w14:paraId="3255BF89" w14:textId="77777777" w:rsidR="00B17E5F" w:rsidRPr="00F96436" w:rsidRDefault="00B17E5F" w:rsidP="00B72B2C">
            <w:pPr>
              <w:rPr>
                <w:rFonts w:cs="Times New Roman"/>
                <w:b/>
                <w:bCs/>
                <w:color w:val="FF0000"/>
                <w:sz w:val="22"/>
                <w:szCs w:val="22"/>
              </w:rPr>
            </w:pPr>
            <w:r w:rsidRPr="00F96436">
              <w:rPr>
                <w:rFonts w:cs="Times New Roman"/>
                <w:b/>
                <w:bCs/>
                <w:color w:val="FF0000"/>
                <w:sz w:val="22"/>
                <w:szCs w:val="22"/>
              </w:rPr>
              <w:t>×</w:t>
            </w:r>
          </w:p>
        </w:tc>
        <w:tc>
          <w:tcPr>
            <w:tcW w:w="735" w:type="pct"/>
            <w:tcBorders>
              <w:top w:val="single" w:sz="4" w:space="0" w:color="auto"/>
            </w:tcBorders>
            <w:hideMark/>
          </w:tcPr>
          <w:p w14:paraId="1EA1C596" w14:textId="77777777" w:rsidR="00B17E5F" w:rsidRPr="00F96436" w:rsidRDefault="00B17E5F" w:rsidP="00B72B2C">
            <w:pPr>
              <w:rPr>
                <w:rFonts w:cs="Times New Roman"/>
                <w:b/>
                <w:bCs/>
                <w:color w:val="FF0000"/>
                <w:sz w:val="22"/>
                <w:szCs w:val="22"/>
              </w:rPr>
            </w:pPr>
            <w:r w:rsidRPr="00F96436">
              <w:rPr>
                <w:rFonts w:cs="Times New Roman"/>
                <w:b/>
                <w:bCs/>
                <w:color w:val="00B050"/>
                <w:sz w:val="22"/>
                <w:szCs w:val="22"/>
              </w:rPr>
              <w:t>■</w:t>
            </w:r>
          </w:p>
        </w:tc>
        <w:tc>
          <w:tcPr>
            <w:tcW w:w="735" w:type="pct"/>
            <w:tcBorders>
              <w:top w:val="single" w:sz="4" w:space="0" w:color="auto"/>
            </w:tcBorders>
            <w:hideMark/>
          </w:tcPr>
          <w:p w14:paraId="3F25C4AA" w14:textId="77777777" w:rsidR="00B17E5F" w:rsidRPr="00F96436" w:rsidRDefault="00B17E5F" w:rsidP="00B72B2C">
            <w:pPr>
              <w:rPr>
                <w:rFonts w:cs="Times New Roman"/>
                <w:b/>
                <w:bCs/>
                <w:color w:val="FF0000"/>
                <w:sz w:val="22"/>
                <w:szCs w:val="22"/>
              </w:rPr>
            </w:pPr>
            <w:r w:rsidRPr="00F96436">
              <w:rPr>
                <w:rFonts w:cs="Times New Roman"/>
                <w:b/>
                <w:bCs/>
                <w:color w:val="FF0000"/>
                <w:sz w:val="22"/>
                <w:szCs w:val="22"/>
              </w:rPr>
              <w:t>×</w:t>
            </w:r>
          </w:p>
        </w:tc>
        <w:tc>
          <w:tcPr>
            <w:tcW w:w="730" w:type="pct"/>
            <w:tcBorders>
              <w:top w:val="single" w:sz="4" w:space="0" w:color="auto"/>
            </w:tcBorders>
            <w:hideMark/>
          </w:tcPr>
          <w:p w14:paraId="26F677F0" w14:textId="77777777" w:rsidR="00B17E5F" w:rsidRPr="00F96436" w:rsidRDefault="00B17E5F" w:rsidP="00B72B2C">
            <w:pPr>
              <w:rPr>
                <w:rFonts w:cs="Times New Roman"/>
                <w:b/>
                <w:bCs/>
                <w:color w:val="FF0000"/>
                <w:sz w:val="22"/>
                <w:szCs w:val="22"/>
              </w:rPr>
            </w:pPr>
            <w:r w:rsidRPr="00F96436">
              <w:rPr>
                <w:rFonts w:cs="Times New Roman"/>
                <w:b/>
                <w:bCs/>
                <w:color w:val="FF0000"/>
                <w:sz w:val="22"/>
                <w:szCs w:val="22"/>
              </w:rPr>
              <w:t>×</w:t>
            </w:r>
          </w:p>
        </w:tc>
      </w:tr>
      <w:tr w:rsidR="00B17E5F" w:rsidRPr="00F96436" w14:paraId="3F71284F" w14:textId="77777777" w:rsidTr="00B72B2C">
        <w:trPr>
          <w:trHeight w:val="315"/>
          <w:jc w:val="center"/>
        </w:trPr>
        <w:sdt>
          <w:sdtPr>
            <w:rPr>
              <w:rFonts w:cs="Times New Roman"/>
              <w:color w:val="000000"/>
              <w:sz w:val="22"/>
              <w:szCs w:val="22"/>
            </w:rPr>
            <w:tag w:val="MENDELEY_CITATION_v3_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"/>
            <w:id w:val="533233098"/>
            <w:placeholder>
              <w:docPart w:val="C70450D639554399A0E8E578DFB1139F"/>
            </w:placeholder>
          </w:sdtPr>
          <w:sdtContent>
            <w:tc>
              <w:tcPr>
                <w:tcW w:w="1330" w:type="pct"/>
              </w:tcPr>
              <w:p w14:paraId="102B85DB" w14:textId="7E161089" w:rsidR="00B17E5F" w:rsidRPr="00F96436" w:rsidRDefault="001E7ECF" w:rsidP="00B72B2C">
                <w:pPr>
                  <w:rPr>
                    <w:rFonts w:cs="Times New Roman"/>
                    <w:sz w:val="22"/>
                    <w:szCs w:val="22"/>
                  </w:rPr>
                </w:pPr>
                <w:r w:rsidRPr="001E7ECF">
                  <w:rPr>
                    <w:rFonts w:cs="Times New Roman"/>
                    <w:color w:val="000000"/>
                    <w:sz w:val="22"/>
                    <w:szCs w:val="22"/>
                  </w:rPr>
                  <w:t>[34]</w:t>
                </w:r>
              </w:p>
            </w:tc>
          </w:sdtContent>
        </w:sdt>
        <w:tc>
          <w:tcPr>
            <w:tcW w:w="735" w:type="pct"/>
          </w:tcPr>
          <w:p w14:paraId="70BAEF35" w14:textId="77777777" w:rsidR="00B17E5F" w:rsidRPr="00F96436" w:rsidRDefault="00B17E5F" w:rsidP="00B72B2C">
            <w:pPr>
              <w:rPr>
                <w:rFonts w:cs="Times New Roman"/>
                <w:b/>
                <w:bCs/>
                <w:color w:val="FF0000"/>
                <w:sz w:val="22"/>
                <w:szCs w:val="22"/>
              </w:rPr>
            </w:pPr>
            <w:r w:rsidRPr="00F96436">
              <w:rPr>
                <w:rFonts w:cs="Times New Roman"/>
                <w:b/>
                <w:bCs/>
                <w:color w:val="FF0000"/>
                <w:sz w:val="22"/>
                <w:szCs w:val="22"/>
              </w:rPr>
              <w:t>×</w:t>
            </w:r>
          </w:p>
        </w:tc>
        <w:tc>
          <w:tcPr>
            <w:tcW w:w="735" w:type="pct"/>
          </w:tcPr>
          <w:p w14:paraId="4E77BD7D" w14:textId="77777777" w:rsidR="00B17E5F" w:rsidRPr="00F96436" w:rsidRDefault="00B17E5F" w:rsidP="00B72B2C">
            <w:pPr>
              <w:rPr>
                <w:rFonts w:cs="Times New Roman"/>
                <w:b/>
                <w:bCs/>
                <w:color w:val="FF0000"/>
                <w:sz w:val="22"/>
                <w:szCs w:val="22"/>
              </w:rPr>
            </w:pPr>
            <w:r w:rsidRPr="00F96436">
              <w:rPr>
                <w:rFonts w:cs="Times New Roman"/>
                <w:b/>
                <w:bCs/>
                <w:color w:val="FF0000"/>
                <w:sz w:val="22"/>
                <w:szCs w:val="22"/>
              </w:rPr>
              <w:t>×</w:t>
            </w:r>
          </w:p>
        </w:tc>
        <w:tc>
          <w:tcPr>
            <w:tcW w:w="735" w:type="pct"/>
          </w:tcPr>
          <w:p w14:paraId="62AD3A5A" w14:textId="77777777" w:rsidR="00B17E5F" w:rsidRPr="00F96436" w:rsidRDefault="00B17E5F" w:rsidP="00B72B2C">
            <w:pPr>
              <w:rPr>
                <w:rFonts w:cs="Times New Roman"/>
                <w:b/>
                <w:bCs/>
                <w:color w:val="00B050"/>
                <w:sz w:val="22"/>
                <w:szCs w:val="22"/>
              </w:rPr>
            </w:pPr>
            <w:r w:rsidRPr="00F96436">
              <w:rPr>
                <w:rFonts w:cs="Times New Roman"/>
                <w:b/>
                <w:bCs/>
                <w:color w:val="00B050"/>
                <w:sz w:val="22"/>
                <w:szCs w:val="22"/>
              </w:rPr>
              <w:t>■</w:t>
            </w:r>
          </w:p>
        </w:tc>
        <w:tc>
          <w:tcPr>
            <w:tcW w:w="735" w:type="pct"/>
          </w:tcPr>
          <w:p w14:paraId="2AA475A6" w14:textId="77777777" w:rsidR="00B17E5F" w:rsidRPr="00F96436" w:rsidRDefault="00B17E5F" w:rsidP="00B72B2C">
            <w:pPr>
              <w:rPr>
                <w:rFonts w:cs="Times New Roman"/>
                <w:b/>
                <w:bCs/>
                <w:color w:val="FF0000"/>
                <w:sz w:val="22"/>
                <w:szCs w:val="22"/>
              </w:rPr>
            </w:pPr>
            <w:r w:rsidRPr="00F96436">
              <w:rPr>
                <w:rFonts w:cs="Times New Roman"/>
                <w:b/>
                <w:bCs/>
                <w:color w:val="FF0000"/>
                <w:sz w:val="22"/>
                <w:szCs w:val="22"/>
              </w:rPr>
              <w:t>×</w:t>
            </w:r>
          </w:p>
        </w:tc>
        <w:tc>
          <w:tcPr>
            <w:tcW w:w="730" w:type="pct"/>
          </w:tcPr>
          <w:p w14:paraId="02422AD0" w14:textId="77777777" w:rsidR="00B17E5F" w:rsidRPr="00F96436" w:rsidRDefault="00B17E5F" w:rsidP="00B72B2C">
            <w:pPr>
              <w:rPr>
                <w:rFonts w:cs="Times New Roman"/>
                <w:b/>
                <w:bCs/>
                <w:color w:val="00B050"/>
                <w:sz w:val="22"/>
                <w:szCs w:val="22"/>
              </w:rPr>
            </w:pPr>
            <w:r w:rsidRPr="00F96436">
              <w:rPr>
                <w:rFonts w:cs="Times New Roman"/>
                <w:b/>
                <w:bCs/>
                <w:color w:val="00B050"/>
                <w:sz w:val="22"/>
                <w:szCs w:val="22"/>
              </w:rPr>
              <w:t>■</w:t>
            </w:r>
          </w:p>
        </w:tc>
      </w:tr>
      <w:tr w:rsidR="00B17E5F" w:rsidRPr="00F96436" w14:paraId="609D9290" w14:textId="77777777" w:rsidTr="00B72B2C">
        <w:trPr>
          <w:trHeight w:val="315"/>
          <w:jc w:val="center"/>
        </w:trPr>
        <w:tc>
          <w:tcPr>
            <w:tcW w:w="1330" w:type="pct"/>
          </w:tcPr>
          <w:p w14:paraId="732421C2" w14:textId="29EB4A97" w:rsidR="00B17E5F" w:rsidRPr="00F96436" w:rsidRDefault="00000000" w:rsidP="00B72B2C">
            <w:pPr>
              <w:rPr>
                <w:rFonts w:cs="Times New Roman"/>
                <w:sz w:val="22"/>
                <w:szCs w:val="22"/>
              </w:rPr>
            </w:pPr>
            <w:sdt>
              <w:sdtPr>
                <w:rPr>
                  <w:rFonts w:cs="Times New Roman"/>
                  <w:color w:val="000000"/>
                  <w:sz w:val="22"/>
                  <w:szCs w:val="22"/>
                </w:rPr>
                <w:tag w:val="MENDELEY_CITATION_v3_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"/>
                <w:id w:val="-711577072"/>
                <w:placeholder>
                  <w:docPart w:val="8179E32C220A43B9B2BB684338114BE7"/>
                </w:placeholder>
              </w:sdtPr>
              <w:sdtContent>
                <w:r w:rsidR="001E7ECF" w:rsidRPr="001E7ECF">
                  <w:rPr>
                    <w:rFonts w:cs="Times New Roman"/>
                    <w:color w:val="000000"/>
                    <w:sz w:val="22"/>
                    <w:szCs w:val="22"/>
                  </w:rPr>
                  <w:t>[208]</w:t>
                </w:r>
              </w:sdtContent>
            </w:sdt>
          </w:p>
        </w:tc>
        <w:tc>
          <w:tcPr>
            <w:tcW w:w="735" w:type="pct"/>
          </w:tcPr>
          <w:p w14:paraId="4C30161F" w14:textId="77777777" w:rsidR="00B17E5F" w:rsidRPr="00F96436" w:rsidRDefault="00B17E5F" w:rsidP="00B72B2C">
            <w:pPr>
              <w:rPr>
                <w:rFonts w:cs="Times New Roman"/>
                <w:b/>
                <w:bCs/>
                <w:color w:val="FF0000"/>
                <w:sz w:val="22"/>
                <w:szCs w:val="22"/>
              </w:rPr>
            </w:pPr>
            <w:r w:rsidRPr="00F96436">
              <w:rPr>
                <w:rFonts w:cs="Times New Roman"/>
                <w:b/>
                <w:bCs/>
                <w:color w:val="FF0000"/>
                <w:sz w:val="22"/>
                <w:szCs w:val="22"/>
              </w:rPr>
              <w:t>×</w:t>
            </w:r>
          </w:p>
        </w:tc>
        <w:tc>
          <w:tcPr>
            <w:tcW w:w="735" w:type="pct"/>
          </w:tcPr>
          <w:p w14:paraId="6BCD8CD5" w14:textId="77777777" w:rsidR="00B17E5F" w:rsidRPr="00F96436" w:rsidRDefault="00B17E5F" w:rsidP="00B72B2C">
            <w:pPr>
              <w:rPr>
                <w:rFonts w:cs="Times New Roman"/>
                <w:b/>
                <w:bCs/>
                <w:color w:val="FF0000"/>
                <w:sz w:val="22"/>
                <w:szCs w:val="22"/>
              </w:rPr>
            </w:pPr>
            <w:r w:rsidRPr="00F96436">
              <w:rPr>
                <w:rFonts w:cs="Times New Roman"/>
                <w:b/>
                <w:bCs/>
                <w:color w:val="FF0000"/>
                <w:sz w:val="22"/>
                <w:szCs w:val="22"/>
              </w:rPr>
              <w:t>×</w:t>
            </w:r>
          </w:p>
        </w:tc>
        <w:tc>
          <w:tcPr>
            <w:tcW w:w="735" w:type="pct"/>
          </w:tcPr>
          <w:p w14:paraId="47A0C4F5" w14:textId="77777777" w:rsidR="00B17E5F" w:rsidRPr="00F96436" w:rsidRDefault="00B17E5F" w:rsidP="00B72B2C">
            <w:pPr>
              <w:rPr>
                <w:rFonts w:cs="Times New Roman"/>
                <w:b/>
                <w:bCs/>
                <w:color w:val="00B050"/>
                <w:sz w:val="22"/>
                <w:szCs w:val="22"/>
              </w:rPr>
            </w:pPr>
            <w:r w:rsidRPr="00F96436">
              <w:rPr>
                <w:rFonts w:cs="Times New Roman"/>
                <w:b/>
                <w:bCs/>
                <w:color w:val="00B050"/>
                <w:sz w:val="22"/>
                <w:szCs w:val="22"/>
              </w:rPr>
              <w:t>■</w:t>
            </w:r>
          </w:p>
        </w:tc>
        <w:tc>
          <w:tcPr>
            <w:tcW w:w="735" w:type="pct"/>
          </w:tcPr>
          <w:p w14:paraId="7DB0D553" w14:textId="77777777" w:rsidR="00B17E5F" w:rsidRPr="00F96436" w:rsidRDefault="00B17E5F" w:rsidP="00B72B2C">
            <w:pPr>
              <w:rPr>
                <w:rFonts w:cs="Times New Roman"/>
                <w:b/>
                <w:bCs/>
                <w:color w:val="FF0000"/>
                <w:sz w:val="22"/>
                <w:szCs w:val="22"/>
              </w:rPr>
            </w:pPr>
            <w:r w:rsidRPr="00F96436">
              <w:rPr>
                <w:rFonts w:cs="Times New Roman"/>
                <w:b/>
                <w:bCs/>
                <w:color w:val="FF0000"/>
                <w:sz w:val="22"/>
                <w:szCs w:val="22"/>
              </w:rPr>
              <w:t>×</w:t>
            </w:r>
          </w:p>
        </w:tc>
        <w:tc>
          <w:tcPr>
            <w:tcW w:w="730" w:type="pct"/>
          </w:tcPr>
          <w:p w14:paraId="03F4C7B1" w14:textId="77777777" w:rsidR="00B17E5F" w:rsidRPr="00F96436" w:rsidRDefault="00B17E5F" w:rsidP="00B72B2C">
            <w:pPr>
              <w:rPr>
                <w:rFonts w:cs="Times New Roman"/>
                <w:b/>
                <w:bCs/>
                <w:color w:val="00B050"/>
                <w:sz w:val="22"/>
                <w:szCs w:val="22"/>
              </w:rPr>
            </w:pPr>
            <w:r w:rsidRPr="00F96436">
              <w:rPr>
                <w:rFonts w:cs="Times New Roman"/>
                <w:b/>
                <w:bCs/>
                <w:color w:val="FF0000"/>
                <w:sz w:val="22"/>
                <w:szCs w:val="22"/>
              </w:rPr>
              <w:t>×</w:t>
            </w:r>
          </w:p>
        </w:tc>
      </w:tr>
      <w:tr w:rsidR="00B17E5F" w:rsidRPr="00F96436" w14:paraId="06E02E7A" w14:textId="77777777" w:rsidTr="00B72B2C">
        <w:trPr>
          <w:trHeight w:val="315"/>
          <w:jc w:val="center"/>
        </w:trPr>
        <w:sdt>
          <w:sdtPr>
            <w:rPr>
              <w:rFonts w:cs="Times New Roman"/>
              <w:color w:val="000000"/>
              <w:sz w:val="22"/>
              <w:szCs w:val="22"/>
            </w:rPr>
            <w:tag w:val="MENDELEY_CITATION_v3_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"/>
            <w:id w:val="240687582"/>
            <w:placeholder>
              <w:docPart w:val="945F7A50E6E64ED086385E71C7E3297D"/>
            </w:placeholder>
          </w:sdtPr>
          <w:sdtContent>
            <w:tc>
              <w:tcPr>
                <w:tcW w:w="1330" w:type="pct"/>
              </w:tcPr>
              <w:p w14:paraId="180C802C" w14:textId="57B5F369" w:rsidR="00B17E5F" w:rsidRPr="00F96436" w:rsidRDefault="001E7ECF" w:rsidP="00B72B2C">
                <w:pPr>
                  <w:rPr>
                    <w:rFonts w:cs="Times New Roman"/>
                    <w:sz w:val="22"/>
                    <w:szCs w:val="22"/>
                  </w:rPr>
                </w:pPr>
                <w:r w:rsidRPr="001E7ECF">
                  <w:rPr>
                    <w:rFonts w:cs="Times New Roman"/>
                    <w:color w:val="000000"/>
                    <w:sz w:val="22"/>
                    <w:szCs w:val="22"/>
                  </w:rPr>
                  <w:t>[35]</w:t>
                </w:r>
              </w:p>
            </w:tc>
          </w:sdtContent>
        </w:sdt>
        <w:tc>
          <w:tcPr>
            <w:tcW w:w="735" w:type="pct"/>
          </w:tcPr>
          <w:p w14:paraId="329DD401" w14:textId="77777777" w:rsidR="00B17E5F" w:rsidRPr="00F96436" w:rsidRDefault="00B17E5F" w:rsidP="00B72B2C">
            <w:pPr>
              <w:rPr>
                <w:rFonts w:cs="Times New Roman"/>
                <w:b/>
                <w:bCs/>
                <w:color w:val="FF0000"/>
                <w:sz w:val="22"/>
                <w:szCs w:val="22"/>
              </w:rPr>
            </w:pPr>
            <w:r w:rsidRPr="00F96436">
              <w:rPr>
                <w:rFonts w:cs="Times New Roman"/>
                <w:b/>
                <w:bCs/>
                <w:color w:val="FF0000"/>
                <w:sz w:val="22"/>
                <w:szCs w:val="22"/>
              </w:rPr>
              <w:t>×</w:t>
            </w:r>
          </w:p>
        </w:tc>
        <w:tc>
          <w:tcPr>
            <w:tcW w:w="735" w:type="pct"/>
          </w:tcPr>
          <w:p w14:paraId="6BDAF0CB" w14:textId="77777777" w:rsidR="00B17E5F" w:rsidRPr="00F96436" w:rsidRDefault="00B17E5F" w:rsidP="00B72B2C">
            <w:pPr>
              <w:rPr>
                <w:rFonts w:cs="Times New Roman"/>
                <w:b/>
                <w:bCs/>
                <w:color w:val="FF0000"/>
                <w:sz w:val="22"/>
                <w:szCs w:val="22"/>
              </w:rPr>
            </w:pPr>
            <w:r w:rsidRPr="00F96436">
              <w:rPr>
                <w:rFonts w:cs="Times New Roman"/>
                <w:b/>
                <w:bCs/>
                <w:color w:val="FF0000"/>
                <w:sz w:val="22"/>
                <w:szCs w:val="22"/>
              </w:rPr>
              <w:t>×</w:t>
            </w:r>
          </w:p>
        </w:tc>
        <w:tc>
          <w:tcPr>
            <w:tcW w:w="735" w:type="pct"/>
          </w:tcPr>
          <w:p w14:paraId="4954920F" w14:textId="77777777" w:rsidR="00B17E5F" w:rsidRPr="00F96436" w:rsidRDefault="00B17E5F" w:rsidP="00B72B2C">
            <w:pPr>
              <w:rPr>
                <w:rFonts w:cs="Times New Roman"/>
                <w:b/>
                <w:bCs/>
                <w:color w:val="00B050"/>
                <w:sz w:val="22"/>
                <w:szCs w:val="22"/>
              </w:rPr>
            </w:pPr>
            <w:r w:rsidRPr="00F96436">
              <w:rPr>
                <w:rFonts w:cs="Times New Roman"/>
                <w:b/>
                <w:bCs/>
                <w:color w:val="00B050"/>
                <w:sz w:val="22"/>
                <w:szCs w:val="22"/>
              </w:rPr>
              <w:t>■</w:t>
            </w:r>
          </w:p>
        </w:tc>
        <w:tc>
          <w:tcPr>
            <w:tcW w:w="735" w:type="pct"/>
          </w:tcPr>
          <w:p w14:paraId="4C741C18" w14:textId="77777777" w:rsidR="00B17E5F" w:rsidRPr="00F96436" w:rsidRDefault="00B17E5F" w:rsidP="00B72B2C">
            <w:pPr>
              <w:rPr>
                <w:rFonts w:cs="Times New Roman"/>
                <w:b/>
                <w:bCs/>
                <w:color w:val="FF0000"/>
                <w:sz w:val="22"/>
                <w:szCs w:val="22"/>
              </w:rPr>
            </w:pPr>
            <w:r w:rsidRPr="00F96436">
              <w:rPr>
                <w:rFonts w:cs="Times New Roman"/>
                <w:b/>
                <w:bCs/>
                <w:color w:val="FF0000"/>
                <w:sz w:val="22"/>
                <w:szCs w:val="22"/>
              </w:rPr>
              <w:t>×</w:t>
            </w:r>
          </w:p>
        </w:tc>
        <w:tc>
          <w:tcPr>
            <w:tcW w:w="730" w:type="pct"/>
          </w:tcPr>
          <w:p w14:paraId="1D66ABF9" w14:textId="77777777" w:rsidR="00B17E5F" w:rsidRPr="00F96436" w:rsidRDefault="00B17E5F" w:rsidP="00B72B2C">
            <w:pPr>
              <w:rPr>
                <w:rFonts w:cs="Times New Roman"/>
                <w:b/>
                <w:bCs/>
                <w:color w:val="00B050"/>
                <w:sz w:val="22"/>
                <w:szCs w:val="22"/>
              </w:rPr>
            </w:pPr>
            <w:r w:rsidRPr="00F96436">
              <w:rPr>
                <w:rFonts w:cs="Times New Roman"/>
                <w:b/>
                <w:bCs/>
                <w:color w:val="00B050"/>
                <w:sz w:val="22"/>
                <w:szCs w:val="22"/>
              </w:rPr>
              <w:t>■</w:t>
            </w:r>
          </w:p>
        </w:tc>
      </w:tr>
      <w:tr w:rsidR="00B17E5F" w:rsidRPr="00F96436" w14:paraId="7B08D22A" w14:textId="77777777" w:rsidTr="00B72B2C">
        <w:trPr>
          <w:trHeight w:val="315"/>
          <w:jc w:val="center"/>
        </w:trPr>
        <w:tc>
          <w:tcPr>
            <w:tcW w:w="1330" w:type="pct"/>
          </w:tcPr>
          <w:p w14:paraId="6163A894" w14:textId="30BE40A2" w:rsidR="00B17E5F" w:rsidRPr="00F96436" w:rsidRDefault="00000000" w:rsidP="00B72B2C">
            <w:pPr>
              <w:rPr>
                <w:rFonts w:cs="Times New Roman"/>
                <w:sz w:val="22"/>
                <w:szCs w:val="22"/>
              </w:rPr>
            </w:pPr>
            <w:sdt>
              <w:sdtPr>
                <w:rPr>
                  <w:rFonts w:cs="Times New Roman"/>
                  <w:color w:val="000000"/>
                  <w:sz w:val="22"/>
                  <w:szCs w:val="22"/>
                </w:rPr>
                <w:tag w:val="MENDELEY_CITATION_v3_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"/>
                <w:id w:val="-530340179"/>
                <w:placeholder>
                  <w:docPart w:val="372038D0E23840099C659F21D4140B3B"/>
                </w:placeholder>
              </w:sdtPr>
              <w:sdtContent>
                <w:r w:rsidR="001E7ECF" w:rsidRPr="001E7ECF">
                  <w:rPr>
                    <w:rFonts w:cs="Times New Roman"/>
                    <w:color w:val="000000"/>
                    <w:sz w:val="22"/>
                    <w:szCs w:val="22"/>
                  </w:rPr>
                  <w:t>[207]</w:t>
                </w:r>
              </w:sdtContent>
            </w:sdt>
          </w:p>
        </w:tc>
        <w:tc>
          <w:tcPr>
            <w:tcW w:w="735" w:type="pct"/>
          </w:tcPr>
          <w:p w14:paraId="474720B0" w14:textId="77777777" w:rsidR="00B17E5F" w:rsidRPr="00F96436" w:rsidRDefault="00B17E5F" w:rsidP="00B72B2C">
            <w:pPr>
              <w:rPr>
                <w:rFonts w:cs="Times New Roman"/>
                <w:b/>
                <w:bCs/>
                <w:color w:val="FF0000"/>
                <w:sz w:val="22"/>
                <w:szCs w:val="22"/>
              </w:rPr>
            </w:pPr>
            <w:r w:rsidRPr="00F96436">
              <w:rPr>
                <w:rFonts w:cs="Times New Roman"/>
                <w:b/>
                <w:bCs/>
                <w:color w:val="FF0000"/>
                <w:sz w:val="22"/>
                <w:szCs w:val="22"/>
              </w:rPr>
              <w:t>×</w:t>
            </w:r>
          </w:p>
        </w:tc>
        <w:tc>
          <w:tcPr>
            <w:tcW w:w="735" w:type="pct"/>
          </w:tcPr>
          <w:p w14:paraId="0EBDE17F" w14:textId="77777777" w:rsidR="00B17E5F" w:rsidRPr="00F96436" w:rsidRDefault="00B17E5F" w:rsidP="00B72B2C">
            <w:pPr>
              <w:rPr>
                <w:rFonts w:cs="Times New Roman"/>
                <w:b/>
                <w:bCs/>
                <w:color w:val="FF0000"/>
                <w:sz w:val="22"/>
                <w:szCs w:val="22"/>
              </w:rPr>
            </w:pPr>
            <w:r w:rsidRPr="00F96436">
              <w:rPr>
                <w:rFonts w:cs="Times New Roman"/>
                <w:b/>
                <w:bCs/>
                <w:color w:val="FF0000"/>
                <w:sz w:val="22"/>
                <w:szCs w:val="22"/>
              </w:rPr>
              <w:t>×</w:t>
            </w:r>
          </w:p>
        </w:tc>
        <w:tc>
          <w:tcPr>
            <w:tcW w:w="735" w:type="pct"/>
          </w:tcPr>
          <w:p w14:paraId="25808BA5" w14:textId="77777777" w:rsidR="00B17E5F" w:rsidRPr="00F96436" w:rsidRDefault="00B17E5F" w:rsidP="00B72B2C">
            <w:pPr>
              <w:rPr>
                <w:rFonts w:cs="Times New Roman"/>
                <w:b/>
                <w:bCs/>
                <w:color w:val="00B050"/>
                <w:sz w:val="22"/>
                <w:szCs w:val="22"/>
              </w:rPr>
            </w:pPr>
            <w:r w:rsidRPr="00F96436">
              <w:rPr>
                <w:rFonts w:cs="Times New Roman"/>
                <w:b/>
                <w:bCs/>
                <w:color w:val="00B050"/>
                <w:sz w:val="22"/>
                <w:szCs w:val="22"/>
              </w:rPr>
              <w:t>■</w:t>
            </w:r>
          </w:p>
        </w:tc>
        <w:tc>
          <w:tcPr>
            <w:tcW w:w="735" w:type="pct"/>
          </w:tcPr>
          <w:p w14:paraId="4F7A0FDC" w14:textId="77777777" w:rsidR="00B17E5F" w:rsidRPr="00F96436" w:rsidRDefault="00B17E5F" w:rsidP="00B72B2C">
            <w:pPr>
              <w:rPr>
                <w:rFonts w:cs="Times New Roman"/>
                <w:b/>
                <w:bCs/>
                <w:color w:val="FF0000"/>
                <w:sz w:val="22"/>
                <w:szCs w:val="22"/>
              </w:rPr>
            </w:pPr>
            <w:r w:rsidRPr="00F96436">
              <w:rPr>
                <w:rFonts w:cs="Times New Roman"/>
                <w:b/>
                <w:bCs/>
                <w:color w:val="FF0000"/>
                <w:sz w:val="22"/>
                <w:szCs w:val="22"/>
              </w:rPr>
              <w:t>×</w:t>
            </w:r>
          </w:p>
        </w:tc>
        <w:tc>
          <w:tcPr>
            <w:tcW w:w="730" w:type="pct"/>
          </w:tcPr>
          <w:p w14:paraId="18BF3960" w14:textId="77777777" w:rsidR="00B17E5F" w:rsidRPr="00F96436" w:rsidRDefault="00B17E5F" w:rsidP="00B72B2C">
            <w:pPr>
              <w:rPr>
                <w:rFonts w:cs="Times New Roman"/>
                <w:b/>
                <w:bCs/>
                <w:color w:val="00B050"/>
                <w:sz w:val="22"/>
                <w:szCs w:val="22"/>
              </w:rPr>
            </w:pPr>
            <w:r w:rsidRPr="00F96436">
              <w:rPr>
                <w:rFonts w:cs="Times New Roman"/>
                <w:b/>
                <w:bCs/>
                <w:color w:val="00B050"/>
                <w:sz w:val="22"/>
                <w:szCs w:val="22"/>
              </w:rPr>
              <w:t>■</w:t>
            </w:r>
          </w:p>
        </w:tc>
      </w:tr>
      <w:tr w:rsidR="00B17E5F" w:rsidRPr="00F96436" w14:paraId="36681C71" w14:textId="77777777" w:rsidTr="00B72B2C">
        <w:trPr>
          <w:trHeight w:val="315"/>
          <w:jc w:val="center"/>
        </w:trPr>
        <w:sdt>
          <w:sdtPr>
            <w:rPr>
              <w:rFonts w:cs="Times New Roman"/>
              <w:color w:val="000000"/>
              <w:sz w:val="22"/>
              <w:szCs w:val="22"/>
            </w:rPr>
            <w:tag w:val="MENDELEY_CITATION_v3_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"/>
            <w:id w:val="-317270198"/>
            <w:placeholder>
              <w:docPart w:val="B49DC1B93F254BA681F788A2999BE55E"/>
            </w:placeholder>
          </w:sdtPr>
          <w:sdtContent>
            <w:tc>
              <w:tcPr>
                <w:tcW w:w="1330" w:type="pct"/>
              </w:tcPr>
              <w:p w14:paraId="1C73A19A" w14:textId="341A6916" w:rsidR="00B17E5F" w:rsidRPr="00F96436" w:rsidRDefault="001E7ECF" w:rsidP="00B72B2C">
                <w:pPr>
                  <w:rPr>
                    <w:rFonts w:cs="Times New Roman"/>
                    <w:color w:val="000000"/>
                    <w:sz w:val="22"/>
                    <w:szCs w:val="22"/>
                  </w:rPr>
                </w:pPr>
                <w:r w:rsidRPr="001E7ECF">
                  <w:rPr>
                    <w:rFonts w:cs="Times New Roman"/>
                    <w:color w:val="000000"/>
                    <w:sz w:val="22"/>
                    <w:szCs w:val="22"/>
                  </w:rPr>
                  <w:t>[194]</w:t>
                </w:r>
              </w:p>
            </w:tc>
          </w:sdtContent>
        </w:sdt>
        <w:tc>
          <w:tcPr>
            <w:tcW w:w="735" w:type="pct"/>
          </w:tcPr>
          <w:p w14:paraId="1B0B4CAA" w14:textId="77777777" w:rsidR="00B17E5F" w:rsidRPr="00F96436" w:rsidRDefault="00B17E5F" w:rsidP="00B72B2C">
            <w:pPr>
              <w:rPr>
                <w:rFonts w:cs="Times New Roman"/>
                <w:b/>
                <w:bCs/>
                <w:color w:val="FF0000"/>
                <w:sz w:val="22"/>
                <w:szCs w:val="22"/>
              </w:rPr>
            </w:pPr>
            <w:r w:rsidRPr="00F96436">
              <w:rPr>
                <w:rFonts w:cs="Times New Roman"/>
                <w:b/>
                <w:bCs/>
                <w:color w:val="FF0000"/>
                <w:sz w:val="22"/>
                <w:szCs w:val="22"/>
              </w:rPr>
              <w:t>×</w:t>
            </w:r>
          </w:p>
        </w:tc>
        <w:tc>
          <w:tcPr>
            <w:tcW w:w="735" w:type="pct"/>
          </w:tcPr>
          <w:p w14:paraId="1B88E6AF" w14:textId="77777777" w:rsidR="00B17E5F" w:rsidRPr="00F96436" w:rsidRDefault="00B17E5F" w:rsidP="00B72B2C">
            <w:pPr>
              <w:rPr>
                <w:rFonts w:cs="Times New Roman"/>
                <w:b/>
                <w:bCs/>
                <w:color w:val="FF0000"/>
                <w:sz w:val="22"/>
                <w:szCs w:val="22"/>
              </w:rPr>
            </w:pPr>
            <w:r w:rsidRPr="00F96436">
              <w:rPr>
                <w:rFonts w:cs="Times New Roman"/>
                <w:b/>
                <w:bCs/>
                <w:color w:val="FF0000"/>
                <w:sz w:val="22"/>
                <w:szCs w:val="22"/>
              </w:rPr>
              <w:t>×</w:t>
            </w:r>
          </w:p>
        </w:tc>
        <w:tc>
          <w:tcPr>
            <w:tcW w:w="735" w:type="pct"/>
          </w:tcPr>
          <w:p w14:paraId="6E0681A4" w14:textId="77777777" w:rsidR="00B17E5F" w:rsidRPr="00F96436" w:rsidRDefault="00B17E5F" w:rsidP="00B72B2C">
            <w:pPr>
              <w:rPr>
                <w:rFonts w:cs="Times New Roman"/>
                <w:b/>
                <w:bCs/>
                <w:color w:val="00B050"/>
                <w:sz w:val="22"/>
                <w:szCs w:val="22"/>
              </w:rPr>
            </w:pPr>
            <w:r w:rsidRPr="00F96436">
              <w:rPr>
                <w:rFonts w:cs="Times New Roman"/>
                <w:b/>
                <w:bCs/>
                <w:color w:val="00B050"/>
                <w:sz w:val="22"/>
                <w:szCs w:val="22"/>
              </w:rPr>
              <w:t>■</w:t>
            </w:r>
          </w:p>
        </w:tc>
        <w:tc>
          <w:tcPr>
            <w:tcW w:w="735" w:type="pct"/>
          </w:tcPr>
          <w:p w14:paraId="0AA86804" w14:textId="77777777" w:rsidR="00B17E5F" w:rsidRPr="00F96436" w:rsidRDefault="00B17E5F" w:rsidP="00B72B2C">
            <w:pPr>
              <w:rPr>
                <w:rFonts w:cs="Times New Roman"/>
                <w:b/>
                <w:bCs/>
                <w:color w:val="FF0000"/>
                <w:sz w:val="22"/>
                <w:szCs w:val="22"/>
              </w:rPr>
            </w:pPr>
            <w:r w:rsidRPr="00F96436">
              <w:rPr>
                <w:rFonts w:cs="Times New Roman"/>
                <w:b/>
                <w:bCs/>
                <w:color w:val="00B050"/>
                <w:sz w:val="22"/>
                <w:szCs w:val="22"/>
              </w:rPr>
              <w:t>■</w:t>
            </w:r>
          </w:p>
        </w:tc>
        <w:tc>
          <w:tcPr>
            <w:tcW w:w="730" w:type="pct"/>
          </w:tcPr>
          <w:p w14:paraId="79AB299B" w14:textId="77777777" w:rsidR="00B17E5F" w:rsidRPr="00F96436" w:rsidRDefault="00B17E5F" w:rsidP="00B72B2C">
            <w:pPr>
              <w:rPr>
                <w:rFonts w:cs="Times New Roman"/>
                <w:b/>
                <w:bCs/>
                <w:color w:val="FF0000"/>
                <w:sz w:val="22"/>
                <w:szCs w:val="22"/>
              </w:rPr>
            </w:pPr>
            <w:r w:rsidRPr="00F96436">
              <w:rPr>
                <w:rFonts w:cs="Times New Roman"/>
                <w:b/>
                <w:bCs/>
                <w:color w:val="FF0000"/>
                <w:sz w:val="22"/>
                <w:szCs w:val="22"/>
              </w:rPr>
              <w:t>×</w:t>
            </w:r>
          </w:p>
        </w:tc>
      </w:tr>
      <w:tr w:rsidR="00B17E5F" w:rsidRPr="00F96436" w14:paraId="1F5AFE9E" w14:textId="77777777" w:rsidTr="00B72B2C">
        <w:trPr>
          <w:trHeight w:val="315"/>
          <w:jc w:val="center"/>
        </w:trPr>
        <w:tc>
          <w:tcPr>
            <w:tcW w:w="1330" w:type="pct"/>
          </w:tcPr>
          <w:p w14:paraId="5317DBB7" w14:textId="3D4678EE" w:rsidR="00B17E5F" w:rsidRPr="00F96436" w:rsidRDefault="00000000" w:rsidP="00B72B2C">
            <w:pPr>
              <w:rPr>
                <w:rFonts w:cs="Times New Roman"/>
                <w:sz w:val="22"/>
                <w:szCs w:val="22"/>
              </w:rPr>
            </w:pPr>
            <w:sdt>
              <w:sdtPr>
                <w:rPr>
                  <w:rFonts w:cs="Times New Roman"/>
                  <w:color w:val="000000"/>
                  <w:sz w:val="22"/>
                  <w:szCs w:val="22"/>
                </w:rPr>
                <w:tag w:val="MENDELEY_CITATION_v3_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"/>
                <w:id w:val="809138090"/>
                <w:placeholder>
                  <w:docPart w:val="A89890DED42C4FAFA09DEBDD03F755A6"/>
                </w:placeholder>
              </w:sdtPr>
              <w:sdtContent>
                <w:r w:rsidR="001E7ECF" w:rsidRPr="001E7ECF">
                  <w:rPr>
                    <w:rFonts w:cs="Times New Roman"/>
                    <w:color w:val="000000"/>
                    <w:sz w:val="22"/>
                    <w:szCs w:val="22"/>
                  </w:rPr>
                  <w:t>[203]</w:t>
                </w:r>
              </w:sdtContent>
            </w:sdt>
          </w:p>
        </w:tc>
        <w:tc>
          <w:tcPr>
            <w:tcW w:w="735" w:type="pct"/>
          </w:tcPr>
          <w:p w14:paraId="5554CBF4" w14:textId="77777777" w:rsidR="00B17E5F" w:rsidRPr="00F96436" w:rsidRDefault="00B17E5F" w:rsidP="00B72B2C">
            <w:pPr>
              <w:rPr>
                <w:rFonts w:cs="Times New Roman"/>
                <w:b/>
                <w:bCs/>
                <w:color w:val="FF0000"/>
                <w:sz w:val="22"/>
                <w:szCs w:val="22"/>
              </w:rPr>
            </w:pPr>
            <w:r w:rsidRPr="00F96436">
              <w:rPr>
                <w:rFonts w:cs="Times New Roman"/>
                <w:b/>
                <w:bCs/>
                <w:color w:val="FF0000"/>
                <w:sz w:val="22"/>
                <w:szCs w:val="22"/>
              </w:rPr>
              <w:t>×</w:t>
            </w:r>
          </w:p>
        </w:tc>
        <w:tc>
          <w:tcPr>
            <w:tcW w:w="735" w:type="pct"/>
          </w:tcPr>
          <w:p w14:paraId="31212CA1" w14:textId="77777777" w:rsidR="00B17E5F" w:rsidRPr="00F96436" w:rsidRDefault="00B17E5F" w:rsidP="00B72B2C">
            <w:pPr>
              <w:rPr>
                <w:rFonts w:cs="Times New Roman"/>
                <w:b/>
                <w:bCs/>
                <w:color w:val="FF0000"/>
                <w:sz w:val="22"/>
                <w:szCs w:val="22"/>
              </w:rPr>
            </w:pPr>
            <w:r w:rsidRPr="00F96436">
              <w:rPr>
                <w:rFonts w:cs="Times New Roman"/>
                <w:b/>
                <w:bCs/>
                <w:color w:val="FF0000"/>
                <w:sz w:val="22"/>
                <w:szCs w:val="22"/>
              </w:rPr>
              <w:t>×</w:t>
            </w:r>
          </w:p>
        </w:tc>
        <w:tc>
          <w:tcPr>
            <w:tcW w:w="735" w:type="pct"/>
          </w:tcPr>
          <w:p w14:paraId="60B9DFEC" w14:textId="77777777" w:rsidR="00B17E5F" w:rsidRPr="00F96436" w:rsidRDefault="00B17E5F" w:rsidP="00B72B2C">
            <w:pPr>
              <w:rPr>
                <w:rFonts w:cs="Times New Roman"/>
                <w:b/>
                <w:bCs/>
                <w:color w:val="00B050"/>
                <w:sz w:val="22"/>
                <w:szCs w:val="22"/>
              </w:rPr>
            </w:pPr>
            <w:r w:rsidRPr="00F96436">
              <w:rPr>
                <w:rFonts w:cs="Times New Roman"/>
                <w:b/>
                <w:bCs/>
                <w:color w:val="00B050"/>
                <w:sz w:val="22"/>
                <w:szCs w:val="22"/>
              </w:rPr>
              <w:t>■</w:t>
            </w:r>
          </w:p>
        </w:tc>
        <w:tc>
          <w:tcPr>
            <w:tcW w:w="735" w:type="pct"/>
          </w:tcPr>
          <w:p w14:paraId="55D04CDB" w14:textId="77777777" w:rsidR="00B17E5F" w:rsidRPr="00F96436" w:rsidRDefault="00B17E5F" w:rsidP="00B72B2C">
            <w:pPr>
              <w:rPr>
                <w:rFonts w:cs="Times New Roman"/>
                <w:b/>
                <w:bCs/>
                <w:color w:val="00B050"/>
                <w:sz w:val="22"/>
                <w:szCs w:val="22"/>
              </w:rPr>
            </w:pPr>
            <w:r w:rsidRPr="00F96436">
              <w:rPr>
                <w:rFonts w:cs="Times New Roman"/>
                <w:b/>
                <w:bCs/>
                <w:color w:val="00B050"/>
                <w:sz w:val="22"/>
                <w:szCs w:val="22"/>
              </w:rPr>
              <w:t>■</w:t>
            </w:r>
          </w:p>
        </w:tc>
        <w:tc>
          <w:tcPr>
            <w:tcW w:w="730" w:type="pct"/>
          </w:tcPr>
          <w:p w14:paraId="33214B85" w14:textId="77777777" w:rsidR="00B17E5F" w:rsidRPr="00F96436" w:rsidRDefault="00B17E5F" w:rsidP="00B72B2C">
            <w:pPr>
              <w:rPr>
                <w:rFonts w:cs="Times New Roman"/>
                <w:b/>
                <w:bCs/>
                <w:color w:val="FF0000"/>
                <w:sz w:val="22"/>
                <w:szCs w:val="22"/>
              </w:rPr>
            </w:pPr>
            <w:r w:rsidRPr="00F96436">
              <w:rPr>
                <w:rFonts w:cs="Times New Roman"/>
                <w:b/>
                <w:bCs/>
                <w:color w:val="FF0000"/>
                <w:sz w:val="22"/>
                <w:szCs w:val="22"/>
              </w:rPr>
              <w:t>×</w:t>
            </w:r>
          </w:p>
        </w:tc>
      </w:tr>
      <w:tr w:rsidR="00B17E5F" w:rsidRPr="00F96436" w14:paraId="04076687" w14:textId="77777777" w:rsidTr="00B72B2C">
        <w:trPr>
          <w:trHeight w:val="315"/>
          <w:jc w:val="center"/>
        </w:trPr>
        <w:sdt>
          <w:sdtPr>
            <w:rPr>
              <w:rFonts w:cs="Times New Roman"/>
              <w:color w:val="000000"/>
              <w:sz w:val="22"/>
              <w:szCs w:val="22"/>
            </w:rPr>
            <w:tag w:val="MENDELEY_CITATION_v3_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"/>
            <w:id w:val="823704520"/>
            <w:placeholder>
              <w:docPart w:val="C707A59392DA490CB109859AF1C95859"/>
            </w:placeholder>
          </w:sdtPr>
          <w:sdtContent>
            <w:tc>
              <w:tcPr>
                <w:tcW w:w="1330" w:type="pct"/>
              </w:tcPr>
              <w:p w14:paraId="00E6A9F3" w14:textId="3E5E9AF6" w:rsidR="00B17E5F" w:rsidRPr="00F96436" w:rsidRDefault="001E7ECF" w:rsidP="00B72B2C">
                <w:pPr>
                  <w:rPr>
                    <w:rFonts w:cs="Times New Roman"/>
                    <w:sz w:val="22"/>
                    <w:szCs w:val="22"/>
                  </w:rPr>
                </w:pPr>
                <w:r w:rsidRPr="001E7ECF">
                  <w:rPr>
                    <w:rFonts w:cs="Times New Roman"/>
                    <w:color w:val="000000"/>
                    <w:sz w:val="22"/>
                    <w:szCs w:val="22"/>
                  </w:rPr>
                  <w:t>[36]</w:t>
                </w:r>
              </w:p>
            </w:tc>
          </w:sdtContent>
        </w:sdt>
        <w:tc>
          <w:tcPr>
            <w:tcW w:w="735" w:type="pct"/>
          </w:tcPr>
          <w:p w14:paraId="2C128BBF" w14:textId="77777777" w:rsidR="00B17E5F" w:rsidRPr="00F96436" w:rsidRDefault="00B17E5F" w:rsidP="00B72B2C">
            <w:pPr>
              <w:rPr>
                <w:rFonts w:cs="Times New Roman"/>
                <w:b/>
                <w:bCs/>
                <w:color w:val="FF0000"/>
                <w:sz w:val="22"/>
                <w:szCs w:val="22"/>
              </w:rPr>
            </w:pPr>
            <w:r w:rsidRPr="00F96436">
              <w:rPr>
                <w:rFonts w:cs="Times New Roman"/>
                <w:b/>
                <w:bCs/>
                <w:color w:val="FF0000"/>
                <w:sz w:val="22"/>
                <w:szCs w:val="22"/>
              </w:rPr>
              <w:t>×</w:t>
            </w:r>
          </w:p>
        </w:tc>
        <w:tc>
          <w:tcPr>
            <w:tcW w:w="735" w:type="pct"/>
          </w:tcPr>
          <w:p w14:paraId="5E87E844" w14:textId="77777777" w:rsidR="00B17E5F" w:rsidRPr="00F96436" w:rsidRDefault="00B17E5F" w:rsidP="00B72B2C">
            <w:pPr>
              <w:rPr>
                <w:rFonts w:cs="Times New Roman"/>
                <w:b/>
                <w:bCs/>
                <w:color w:val="FF0000"/>
                <w:sz w:val="22"/>
                <w:szCs w:val="22"/>
              </w:rPr>
            </w:pPr>
            <w:r w:rsidRPr="00F96436">
              <w:rPr>
                <w:rFonts w:cs="Times New Roman"/>
                <w:b/>
                <w:bCs/>
                <w:color w:val="FF0000"/>
                <w:sz w:val="22"/>
                <w:szCs w:val="22"/>
              </w:rPr>
              <w:t>×</w:t>
            </w:r>
          </w:p>
        </w:tc>
        <w:tc>
          <w:tcPr>
            <w:tcW w:w="735" w:type="pct"/>
          </w:tcPr>
          <w:p w14:paraId="1EE661CB" w14:textId="77777777" w:rsidR="00B17E5F" w:rsidRPr="00F96436" w:rsidRDefault="00B17E5F" w:rsidP="00B72B2C">
            <w:pPr>
              <w:rPr>
                <w:rFonts w:cs="Times New Roman"/>
                <w:b/>
                <w:bCs/>
                <w:color w:val="00B050"/>
                <w:sz w:val="22"/>
                <w:szCs w:val="22"/>
              </w:rPr>
            </w:pPr>
            <w:r w:rsidRPr="00F96436">
              <w:rPr>
                <w:rFonts w:cs="Times New Roman"/>
                <w:b/>
                <w:bCs/>
                <w:color w:val="00B050"/>
                <w:sz w:val="22"/>
                <w:szCs w:val="22"/>
              </w:rPr>
              <w:t>■</w:t>
            </w:r>
          </w:p>
        </w:tc>
        <w:tc>
          <w:tcPr>
            <w:tcW w:w="735" w:type="pct"/>
          </w:tcPr>
          <w:p w14:paraId="074265E4" w14:textId="77777777" w:rsidR="00B17E5F" w:rsidRPr="00F96436" w:rsidRDefault="00B17E5F" w:rsidP="00B72B2C">
            <w:pPr>
              <w:rPr>
                <w:rFonts w:cs="Times New Roman"/>
                <w:b/>
                <w:bCs/>
                <w:color w:val="FF0000"/>
                <w:sz w:val="22"/>
                <w:szCs w:val="22"/>
              </w:rPr>
            </w:pPr>
            <w:r w:rsidRPr="00F96436">
              <w:rPr>
                <w:rFonts w:cs="Times New Roman"/>
                <w:b/>
                <w:bCs/>
                <w:color w:val="FF0000"/>
                <w:sz w:val="22"/>
                <w:szCs w:val="22"/>
              </w:rPr>
              <w:t>×</w:t>
            </w:r>
          </w:p>
        </w:tc>
        <w:tc>
          <w:tcPr>
            <w:tcW w:w="730" w:type="pct"/>
          </w:tcPr>
          <w:p w14:paraId="194B97B3" w14:textId="77777777" w:rsidR="00B17E5F" w:rsidRPr="00F96436" w:rsidRDefault="00B17E5F" w:rsidP="00B72B2C">
            <w:pPr>
              <w:rPr>
                <w:rFonts w:cs="Times New Roman"/>
                <w:b/>
                <w:bCs/>
                <w:color w:val="FF0000"/>
                <w:sz w:val="22"/>
                <w:szCs w:val="22"/>
              </w:rPr>
            </w:pPr>
            <w:r w:rsidRPr="00F96436">
              <w:rPr>
                <w:rFonts w:cs="Times New Roman"/>
                <w:b/>
                <w:bCs/>
                <w:color w:val="00B050"/>
                <w:sz w:val="22"/>
                <w:szCs w:val="22"/>
              </w:rPr>
              <w:t>■</w:t>
            </w:r>
          </w:p>
        </w:tc>
      </w:tr>
      <w:tr w:rsidR="00B17E5F" w:rsidRPr="00F96436" w14:paraId="60C911C4" w14:textId="77777777" w:rsidTr="00B72B2C">
        <w:trPr>
          <w:trHeight w:val="315"/>
          <w:jc w:val="center"/>
        </w:trPr>
        <w:tc>
          <w:tcPr>
            <w:tcW w:w="1330" w:type="pct"/>
          </w:tcPr>
          <w:sdt>
            <w:sdtPr>
              <w:rPr>
                <w:rFonts w:cs="Times New Roman"/>
                <w:color w:val="000000"/>
                <w:sz w:val="22"/>
                <w:szCs w:val="22"/>
              </w:rPr>
              <w:tag w:val="MENDELEY_CITATION_v3_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"/>
              <w:id w:val="1105310070"/>
              <w:placeholder>
                <w:docPart w:val="83283363D7B94AE79D4BEC586CD263FE"/>
              </w:placeholder>
            </w:sdtPr>
            <w:sdtContent>
              <w:p w14:paraId="2AF4FADF" w14:textId="5AF44139" w:rsidR="00B17E5F" w:rsidRPr="00F96436" w:rsidRDefault="001E7ECF" w:rsidP="00B72B2C">
                <w:pPr>
                  <w:rPr>
                    <w:rFonts w:cs="Times New Roman"/>
                    <w:sz w:val="22"/>
                    <w:szCs w:val="22"/>
                  </w:rPr>
                </w:pPr>
                <w:r w:rsidRPr="001E7ECF">
                  <w:rPr>
                    <w:rFonts w:cs="Times New Roman"/>
                    <w:color w:val="000000"/>
                    <w:sz w:val="22"/>
                    <w:szCs w:val="22"/>
                  </w:rPr>
                  <w:t>[3]</w:t>
                </w:r>
              </w:p>
            </w:sdtContent>
          </w:sdt>
        </w:tc>
        <w:tc>
          <w:tcPr>
            <w:tcW w:w="735" w:type="pct"/>
          </w:tcPr>
          <w:p w14:paraId="13490ED6" w14:textId="77777777" w:rsidR="00B17E5F" w:rsidRPr="00F96436" w:rsidRDefault="00B17E5F" w:rsidP="00B72B2C">
            <w:pPr>
              <w:rPr>
                <w:rFonts w:cs="Times New Roman"/>
                <w:b/>
                <w:bCs/>
                <w:color w:val="00B050"/>
                <w:sz w:val="22"/>
                <w:szCs w:val="22"/>
              </w:rPr>
            </w:pPr>
            <w:r w:rsidRPr="00F96436">
              <w:rPr>
                <w:rFonts w:cs="Times New Roman"/>
                <w:b/>
                <w:bCs/>
                <w:color w:val="00B050"/>
                <w:sz w:val="22"/>
                <w:szCs w:val="22"/>
              </w:rPr>
              <w:t>■</w:t>
            </w:r>
          </w:p>
        </w:tc>
        <w:tc>
          <w:tcPr>
            <w:tcW w:w="735" w:type="pct"/>
          </w:tcPr>
          <w:p w14:paraId="74CAE8B4" w14:textId="77777777" w:rsidR="00B17E5F" w:rsidRPr="00F96436" w:rsidRDefault="00B17E5F" w:rsidP="00B72B2C">
            <w:pPr>
              <w:rPr>
                <w:rFonts w:cs="Times New Roman"/>
                <w:b/>
                <w:bCs/>
                <w:color w:val="FF0000"/>
                <w:sz w:val="22"/>
                <w:szCs w:val="22"/>
              </w:rPr>
            </w:pPr>
            <w:r w:rsidRPr="00F96436">
              <w:rPr>
                <w:rFonts w:cs="Times New Roman"/>
                <w:b/>
                <w:bCs/>
                <w:color w:val="FF0000"/>
                <w:sz w:val="22"/>
                <w:szCs w:val="22"/>
              </w:rPr>
              <w:t>×</w:t>
            </w:r>
          </w:p>
        </w:tc>
        <w:tc>
          <w:tcPr>
            <w:tcW w:w="735" w:type="pct"/>
          </w:tcPr>
          <w:p w14:paraId="274E2DBD" w14:textId="77777777" w:rsidR="00B17E5F" w:rsidRPr="00F96436" w:rsidRDefault="00B17E5F" w:rsidP="00B72B2C">
            <w:pPr>
              <w:rPr>
                <w:rFonts w:cs="Times New Roman"/>
                <w:b/>
                <w:bCs/>
                <w:color w:val="FF0000"/>
                <w:sz w:val="22"/>
                <w:szCs w:val="22"/>
              </w:rPr>
            </w:pPr>
            <w:r w:rsidRPr="00F96436">
              <w:rPr>
                <w:rFonts w:cs="Times New Roman"/>
                <w:b/>
                <w:bCs/>
                <w:color w:val="FF0000"/>
                <w:sz w:val="22"/>
                <w:szCs w:val="22"/>
              </w:rPr>
              <w:t>×</w:t>
            </w:r>
          </w:p>
        </w:tc>
        <w:tc>
          <w:tcPr>
            <w:tcW w:w="735" w:type="pct"/>
          </w:tcPr>
          <w:p w14:paraId="7D3D784F" w14:textId="77777777" w:rsidR="00B17E5F" w:rsidRPr="00F96436" w:rsidRDefault="00B17E5F" w:rsidP="00B72B2C">
            <w:pPr>
              <w:rPr>
                <w:rFonts w:cs="Times New Roman"/>
                <w:b/>
                <w:bCs/>
                <w:color w:val="00B050"/>
                <w:sz w:val="22"/>
                <w:szCs w:val="22"/>
              </w:rPr>
            </w:pPr>
            <w:r w:rsidRPr="00F96436">
              <w:rPr>
                <w:rFonts w:cs="Times New Roman"/>
                <w:b/>
                <w:bCs/>
                <w:color w:val="00B050"/>
                <w:sz w:val="22"/>
                <w:szCs w:val="22"/>
              </w:rPr>
              <w:t>■</w:t>
            </w:r>
          </w:p>
        </w:tc>
        <w:tc>
          <w:tcPr>
            <w:tcW w:w="730" w:type="pct"/>
          </w:tcPr>
          <w:p w14:paraId="3A3D67EF" w14:textId="77777777" w:rsidR="00B17E5F" w:rsidRPr="00F96436" w:rsidRDefault="00B17E5F" w:rsidP="00B72B2C">
            <w:pPr>
              <w:rPr>
                <w:rFonts w:cs="Times New Roman"/>
                <w:b/>
                <w:bCs/>
                <w:color w:val="00B050"/>
                <w:sz w:val="22"/>
                <w:szCs w:val="22"/>
              </w:rPr>
            </w:pPr>
            <w:r w:rsidRPr="00F96436">
              <w:rPr>
                <w:rFonts w:cs="Times New Roman"/>
                <w:b/>
                <w:bCs/>
                <w:color w:val="00B050"/>
                <w:sz w:val="22"/>
                <w:szCs w:val="22"/>
              </w:rPr>
              <w:t>■</w:t>
            </w:r>
          </w:p>
        </w:tc>
      </w:tr>
      <w:tr w:rsidR="00B17E5F" w:rsidRPr="00F96436" w14:paraId="1635B43E" w14:textId="77777777" w:rsidTr="00B72B2C">
        <w:trPr>
          <w:trHeight w:val="315"/>
          <w:jc w:val="center"/>
        </w:trPr>
        <w:tc>
          <w:tcPr>
            <w:tcW w:w="1330" w:type="pct"/>
          </w:tcPr>
          <w:p w14:paraId="1CBB7328" w14:textId="77777777" w:rsidR="00B17E5F" w:rsidRPr="00F96436" w:rsidRDefault="00B17E5F" w:rsidP="00B72B2C">
            <w:pPr>
              <w:rPr>
                <w:rFonts w:cs="Times New Roman"/>
                <w:sz w:val="22"/>
                <w:szCs w:val="22"/>
              </w:rPr>
            </w:pPr>
            <w:r w:rsidRPr="00F96436">
              <w:rPr>
                <w:rFonts w:cs="Times New Roman"/>
                <w:sz w:val="22"/>
                <w:szCs w:val="22"/>
              </w:rPr>
              <w:t>This work</w:t>
            </w:r>
          </w:p>
        </w:tc>
        <w:tc>
          <w:tcPr>
            <w:tcW w:w="735" w:type="pct"/>
          </w:tcPr>
          <w:p w14:paraId="5E3D8F09" w14:textId="77777777" w:rsidR="00B17E5F" w:rsidRPr="00F96436" w:rsidRDefault="00B17E5F" w:rsidP="00B72B2C">
            <w:pPr>
              <w:rPr>
                <w:rFonts w:cs="Times New Roman"/>
                <w:b/>
                <w:bCs/>
                <w:color w:val="00B050"/>
                <w:sz w:val="22"/>
                <w:szCs w:val="22"/>
              </w:rPr>
            </w:pPr>
            <w:r w:rsidRPr="00F96436">
              <w:rPr>
                <w:rFonts w:cs="Times New Roman"/>
                <w:b/>
                <w:bCs/>
                <w:color w:val="00B050"/>
                <w:sz w:val="22"/>
                <w:szCs w:val="22"/>
              </w:rPr>
              <w:t>■</w:t>
            </w:r>
          </w:p>
        </w:tc>
        <w:tc>
          <w:tcPr>
            <w:tcW w:w="735" w:type="pct"/>
          </w:tcPr>
          <w:p w14:paraId="7AA52D60" w14:textId="77777777" w:rsidR="00B17E5F" w:rsidRPr="00F96436" w:rsidRDefault="00B17E5F" w:rsidP="00B72B2C">
            <w:pPr>
              <w:rPr>
                <w:rFonts w:cs="Times New Roman"/>
                <w:b/>
                <w:bCs/>
                <w:color w:val="00B050"/>
                <w:sz w:val="22"/>
                <w:szCs w:val="22"/>
              </w:rPr>
            </w:pPr>
            <w:r w:rsidRPr="00F96436">
              <w:rPr>
                <w:rFonts w:cs="Times New Roman"/>
                <w:b/>
                <w:bCs/>
                <w:color w:val="00B050"/>
                <w:sz w:val="22"/>
                <w:szCs w:val="22"/>
              </w:rPr>
              <w:t>■</w:t>
            </w:r>
          </w:p>
        </w:tc>
        <w:tc>
          <w:tcPr>
            <w:tcW w:w="735" w:type="pct"/>
          </w:tcPr>
          <w:p w14:paraId="2DCAA54D" w14:textId="77777777" w:rsidR="00B17E5F" w:rsidRPr="00F96436" w:rsidRDefault="00B17E5F" w:rsidP="00B72B2C">
            <w:pPr>
              <w:rPr>
                <w:rFonts w:cs="Times New Roman"/>
                <w:b/>
                <w:bCs/>
                <w:color w:val="00B050"/>
                <w:sz w:val="22"/>
                <w:szCs w:val="22"/>
              </w:rPr>
            </w:pPr>
            <w:r w:rsidRPr="00F96436">
              <w:rPr>
                <w:rFonts w:cs="Times New Roman"/>
                <w:b/>
                <w:bCs/>
                <w:color w:val="00B050"/>
                <w:sz w:val="22"/>
                <w:szCs w:val="22"/>
              </w:rPr>
              <w:t>■</w:t>
            </w:r>
          </w:p>
        </w:tc>
        <w:tc>
          <w:tcPr>
            <w:tcW w:w="735" w:type="pct"/>
          </w:tcPr>
          <w:p w14:paraId="52344454" w14:textId="77777777" w:rsidR="00B17E5F" w:rsidRPr="00F96436" w:rsidRDefault="00B17E5F" w:rsidP="00B72B2C">
            <w:pPr>
              <w:rPr>
                <w:rFonts w:cs="Times New Roman"/>
                <w:b/>
                <w:bCs/>
                <w:color w:val="00B050"/>
                <w:sz w:val="22"/>
                <w:szCs w:val="22"/>
              </w:rPr>
            </w:pPr>
            <w:r w:rsidRPr="00F96436">
              <w:rPr>
                <w:rFonts w:cs="Times New Roman"/>
                <w:b/>
                <w:bCs/>
                <w:color w:val="00B050"/>
                <w:sz w:val="22"/>
                <w:szCs w:val="22"/>
              </w:rPr>
              <w:t>■</w:t>
            </w:r>
          </w:p>
        </w:tc>
        <w:tc>
          <w:tcPr>
            <w:tcW w:w="730" w:type="pct"/>
          </w:tcPr>
          <w:p w14:paraId="3A2E1DB0" w14:textId="77777777" w:rsidR="00B17E5F" w:rsidRPr="00F96436" w:rsidRDefault="00B17E5F" w:rsidP="00B72B2C">
            <w:pPr>
              <w:rPr>
                <w:rFonts w:cs="Times New Roman"/>
                <w:b/>
                <w:bCs/>
                <w:color w:val="00B050"/>
                <w:sz w:val="22"/>
                <w:szCs w:val="22"/>
              </w:rPr>
            </w:pPr>
            <w:r w:rsidRPr="00F96436">
              <w:rPr>
                <w:rFonts w:cs="Times New Roman"/>
                <w:b/>
                <w:bCs/>
                <w:color w:val="00B050"/>
                <w:sz w:val="22"/>
                <w:szCs w:val="22"/>
              </w:rPr>
              <w:t>■</w:t>
            </w:r>
          </w:p>
        </w:tc>
      </w:tr>
    </w:tbl>
    <w:p w14:paraId="2550770E" w14:textId="77777777" w:rsidR="00B17E5F" w:rsidRPr="00322E56" w:rsidRDefault="00B17E5F" w:rsidP="0085603A">
      <w:pPr>
        <w:rPr>
          <w:rFonts w:cs="Times New Roman"/>
          <w:noProof/>
        </w:rPr>
      </w:pPr>
    </w:p>
    <w:p w14:paraId="1AF42755" w14:textId="77777777" w:rsidR="00B17E5F" w:rsidRPr="00322E56" w:rsidRDefault="00B17E5F">
      <w:pPr>
        <w:spacing w:line="240" w:lineRule="auto"/>
        <w:rPr>
          <w:rFonts w:cs="Times New Roman"/>
        </w:rPr>
      </w:pPr>
      <w:r w:rsidRPr="00322E56">
        <w:rPr>
          <w:rFonts w:cs="Times New Roman"/>
        </w:rPr>
        <w:br w:type="page"/>
      </w:r>
    </w:p>
    <w:p w14:paraId="42132E94" w14:textId="422B7459" w:rsidR="00B17E5F" w:rsidRDefault="00B17E5F" w:rsidP="00C711CD">
      <w:pPr>
        <w:ind w:firstLine="0"/>
        <w:rPr>
          <w:rFonts w:cs="Times New Roman"/>
          <w:lang w:val="en-GB"/>
        </w:rPr>
      </w:pPr>
      <w:r w:rsidRPr="00322E56">
        <w:rPr>
          <w:rFonts w:cs="Times New Roman"/>
          <w:lang w:val="en-GB"/>
        </w:rPr>
        <w:lastRenderedPageBreak/>
        <w:t xml:space="preserve">With smart control of HP-TES, the system can switch between charging and discharging mode depending on the outdoor temperature, electricity price, desired indoor temperature, renewable energy generation, and COP of HP </w:t>
      </w:r>
      <w:sdt>
        <w:sdtPr>
          <w:rPr>
            <w:rFonts w:cs="Times New Roman"/>
            <w:color w:val="000000"/>
            <w:lang w:val="en-GB"/>
          </w:rPr>
          <w:tag w:val="MENDELEY_CITATION_v3_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"/>
          <w:id w:val="-650750629"/>
          <w:placeholder>
            <w:docPart w:val="E74E5F9C2A8C469091D49A8C5724758B"/>
          </w:placeholder>
        </w:sdtPr>
        <w:sdtContent>
          <w:r w:rsidR="001E7ECF" w:rsidRPr="001E7ECF">
            <w:rPr>
              <w:rFonts w:cs="Times New Roman"/>
              <w:color w:val="000000"/>
              <w:lang w:val="en-GB"/>
            </w:rPr>
            <w:t>[59]</w:t>
          </w:r>
        </w:sdtContent>
      </w:sdt>
      <w:r w:rsidRPr="00322E56">
        <w:rPr>
          <w:rFonts w:cs="Times New Roman"/>
          <w:lang w:val="en-GB"/>
        </w:rPr>
        <w:t xml:space="preserve">.  It is important to describe how to incorporate a grid’s GHG (greenhouse gases) condition into a site-specific MPC. The grid system-wide emission rate in a specific grid region depends on the total power production rate from grid power generators, and other factors that affect system operating conditions, such as weather. The marginal operating emissions rate (MOER) is the partial derivative of the systemwide emission rate with respect to the total production rate </w:t>
      </w:r>
      <w:sdt>
        <w:sdtPr>
          <w:rPr>
            <w:rFonts w:cs="Times New Roman"/>
            <w:color w:val="000000"/>
            <w:lang w:val="en-GB"/>
          </w:rPr>
          <w:tag w:val="MENDELEY_CITATION_v3_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"/>
          <w:id w:val="1627667464"/>
          <w:placeholder>
            <w:docPart w:val="E74E5F9C2A8C469091D49A8C5724758B"/>
          </w:placeholder>
        </w:sdtPr>
        <w:sdtContent>
          <w:r w:rsidR="001E7ECF" w:rsidRPr="001E7ECF">
            <w:rPr>
              <w:rFonts w:cs="Times New Roman"/>
              <w:color w:val="000000"/>
              <w:lang w:val="en-GB"/>
            </w:rPr>
            <w:t>[210]</w:t>
          </w:r>
        </w:sdtContent>
      </w:sdt>
      <w:r w:rsidRPr="00322E56">
        <w:rPr>
          <w:rFonts w:cs="Times New Roman"/>
          <w:lang w:val="en-GB"/>
        </w:rPr>
        <w:t>. It means the change of the emission rate in the grid region with respect to the last megawatt produced by dispatchable generators having the unit of metric Ton CO</w:t>
      </w:r>
      <w:r w:rsidRPr="00322E56">
        <w:rPr>
          <w:rFonts w:cs="Times New Roman"/>
          <w:vertAlign w:val="subscript"/>
          <w:lang w:val="en-GB"/>
        </w:rPr>
        <w:t>2</w:t>
      </w:r>
      <w:r w:rsidRPr="00322E56">
        <w:rPr>
          <w:rFonts w:cs="Times New Roman"/>
          <w:lang w:val="en-GB"/>
        </w:rPr>
        <w:t>-equivalent per MWh [mTonCO</w:t>
      </w:r>
      <w:r w:rsidRPr="00322E56">
        <w:rPr>
          <w:rFonts w:cs="Times New Roman"/>
          <w:vertAlign w:val="subscript"/>
          <w:lang w:val="en-GB"/>
        </w:rPr>
        <w:t>2</w:t>
      </w:r>
      <w:r w:rsidRPr="00322E56">
        <w:rPr>
          <w:rFonts w:cs="Times New Roman"/>
          <w:lang w:val="en-GB"/>
        </w:rPr>
        <w:t xml:space="preserve">/MWh]. Intuitively, this indicates how much carbon emission rate increases/decreases in a grid region when one consumes one megawatt more/less. Therefore, MOER allows for associating the power usage at a specific site with the carbon emission rate in the grid region by simply multiplying the on-site power consumption with the MOER signal. In this </w:t>
      </w:r>
      <w:r>
        <w:rPr>
          <w:rFonts w:cs="Times New Roman"/>
          <w:lang w:val="en-GB"/>
        </w:rPr>
        <w:t>work</w:t>
      </w:r>
      <w:r w:rsidRPr="00322E56">
        <w:rPr>
          <w:rFonts w:cs="Times New Roman"/>
          <w:lang w:val="en-GB"/>
        </w:rPr>
        <w:t xml:space="preserve">, we used the MOER signal, based on a proprietary model </w:t>
      </w:r>
      <w:sdt>
        <w:sdtPr>
          <w:rPr>
            <w:rFonts w:cs="Times New Roman"/>
            <w:color w:val="000000"/>
            <w:lang w:val="en-GB"/>
          </w:rPr>
          <w:tag w:val="MENDELEY_CITATION_v3_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"/>
          <w:id w:val="-1380549681"/>
          <w:placeholder>
            <w:docPart w:val="E74E5F9C2A8C469091D49A8C5724758B"/>
          </w:placeholder>
        </w:sdtPr>
        <w:sdtContent>
          <w:r w:rsidR="001E7ECF" w:rsidRPr="001E7ECF">
            <w:rPr>
              <w:rFonts w:cs="Times New Roman"/>
              <w:color w:val="000000"/>
              <w:lang w:val="en-GB"/>
            </w:rPr>
            <w:t>[210]</w:t>
          </w:r>
        </w:sdtContent>
      </w:sdt>
      <w:r w:rsidRPr="00322E56">
        <w:rPr>
          <w:rFonts w:cs="Times New Roman"/>
          <w:lang w:val="en-GB"/>
        </w:rPr>
        <w:t xml:space="preserve">, but adapted for real-time use </w:t>
      </w:r>
      <w:sdt>
        <w:sdtPr>
          <w:rPr>
            <w:rFonts w:cs="Times New Roman"/>
            <w:color w:val="000000"/>
            <w:lang w:val="en-GB"/>
          </w:rPr>
          <w:tag w:val="MENDELEY_CITATION_v3_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"/>
          <w:id w:val="1551193493"/>
          <w:placeholder>
            <w:docPart w:val="E74E5F9C2A8C469091D49A8C5724758B"/>
          </w:placeholder>
        </w:sdtPr>
        <w:sdtContent>
          <w:r w:rsidR="001E7ECF" w:rsidRPr="001E7ECF">
            <w:rPr>
              <w:rFonts w:cs="Times New Roman"/>
              <w:color w:val="000000"/>
              <w:lang w:val="en-GB"/>
            </w:rPr>
            <w:t>[211]</w:t>
          </w:r>
        </w:sdtContent>
      </w:sdt>
      <w:r w:rsidRPr="00322E56">
        <w:rPr>
          <w:rFonts w:cs="Times New Roman"/>
          <w:lang w:val="en-GB"/>
        </w:rPr>
        <w:t xml:space="preserve">. </w:t>
      </w:r>
    </w:p>
    <w:p w14:paraId="63AA1D56" w14:textId="77777777" w:rsidR="00C711CD" w:rsidRPr="00322E56" w:rsidRDefault="00C711CD" w:rsidP="00C711CD">
      <w:pPr>
        <w:pStyle w:val="Heading2"/>
        <w:rPr>
          <w:rFonts w:cs="Times New Roman"/>
          <w:noProof/>
          <w:lang w:val="en-GB"/>
        </w:rPr>
      </w:pPr>
      <w:bookmarkStart w:id="252" w:name="_Toc140399897"/>
      <w:r w:rsidRPr="00322E56">
        <w:rPr>
          <w:rFonts w:cs="Times New Roman"/>
          <w:noProof/>
          <w:lang w:val="en-GB"/>
        </w:rPr>
        <w:t>Case Study</w:t>
      </w:r>
      <w:bookmarkEnd w:id="252"/>
    </w:p>
    <w:p w14:paraId="10344EB4" w14:textId="77777777" w:rsidR="00C711CD" w:rsidRDefault="00C711CD" w:rsidP="00C711CD">
      <w:pPr>
        <w:rPr>
          <w:rFonts w:cs="Times New Roman"/>
          <w:noProof/>
          <w:lang w:val="en-GB"/>
        </w:rPr>
      </w:pPr>
      <w:r w:rsidRPr="00322E56">
        <w:rPr>
          <w:rFonts w:cs="Times New Roman"/>
          <w:noProof/>
          <w:lang w:val="en-GB"/>
        </w:rPr>
        <w:t>The focus of this case study is to evaluate the carbon mitigation potential of TES assisted heat pumps against the normal heat pump operation, to compare the emissions with and without TES using a rule-based control strategy.</w:t>
      </w:r>
    </w:p>
    <w:p w14:paraId="74EEB762" w14:textId="2FB1F0BB" w:rsidR="00B17E5F" w:rsidRPr="00C711CD" w:rsidRDefault="00C711CD" w:rsidP="00C711CD">
      <w:pPr>
        <w:rPr>
          <w:rFonts w:cs="Times New Roman"/>
          <w:lang w:val="en-GB"/>
        </w:rPr>
      </w:pPr>
      <w:r w:rsidRPr="00322E56">
        <w:rPr>
          <w:rFonts w:cs="Times New Roman"/>
          <w:lang w:val="en-GB"/>
        </w:rPr>
        <w:t xml:space="preserve">In our previous work, we used time-based pricing to determine the economic value of residential TES system </w:t>
      </w:r>
      <w:sdt>
        <w:sdtPr>
          <w:rPr>
            <w:rFonts w:cs="Times New Roman"/>
            <w:color w:val="000000"/>
            <w:lang w:val="en-GB"/>
          </w:rPr>
          <w:tag w:val="MENDELEY_CITATION_v3_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"/>
          <w:id w:val="-1815863336"/>
          <w:placeholder>
            <w:docPart w:val="855EA40644413F46BBACCEADF7B0A2AD"/>
          </w:placeholder>
        </w:sdtPr>
        <w:sdtContent>
          <w:r w:rsidRPr="001E7ECF">
            <w:rPr>
              <w:rFonts w:cs="Times New Roman"/>
              <w:color w:val="000000"/>
              <w:lang w:val="en-GB"/>
            </w:rPr>
            <w:t>[154]</w:t>
          </w:r>
        </w:sdtContent>
      </w:sdt>
      <w:r w:rsidRPr="00322E56">
        <w:rPr>
          <w:rFonts w:cs="Times New Roman"/>
          <w:lang w:val="en-GB"/>
        </w:rPr>
        <w:t xml:space="preserve">. The PCM was incorporated into the conventional HVAC and time-of-use (TOU) utility rate schedule was analysed to evaluate the demand impact and energy savings. The objective of this present work is to evaluate the simple control strategy to reduce grid emissions while shifting the peak load, accounting for both grid and utility data. Marginal grid emissions data is used to determine if the emissions are relatively </w:t>
      </w:r>
      <w:r w:rsidRPr="00322E56">
        <w:rPr>
          <w:rFonts w:cs="Times New Roman"/>
          <w:lang w:val="en-GB"/>
        </w:rPr>
        <w:lastRenderedPageBreak/>
        <w:t xml:space="preserve">higher than the average of the previous day. The controls are then applied for the heat pump and TES operation, and emissions are reported. </w:t>
      </w:r>
    </w:p>
    <w:p w14:paraId="76870D80" w14:textId="77777777" w:rsidR="00B17E5F" w:rsidRPr="00322E56" w:rsidRDefault="00B17E5F" w:rsidP="00B72B2C">
      <w:pPr>
        <w:rPr>
          <w:rFonts w:cs="Times New Roman"/>
          <w:lang w:val="en-GB"/>
        </w:rPr>
      </w:pPr>
      <w:r w:rsidRPr="00322E56">
        <w:rPr>
          <w:rFonts w:cs="Times New Roman"/>
          <w:lang w:val="en-GB"/>
        </w:rPr>
        <w:t>A simple building thermal energy model and HP model is evaluated with an active configuration implying direct use of TES for the building cooling during the discharge. The TES is based on water/ice PCM with 0°C storage temperature. TES is not directly conditioning the building but interacts with HP to mediate the heat transfer. The potential reduction in grid emissions is assessed using marginal grid emissions data and peak load is shifted using residential TOU utility tariff. Both correspond to the ASHRAE climate zone 3B, in California. For modelling, Engineering Equation Solver (EES) and Microsoft Excel are used. System overview and decision controls are explained in the Methodology.</w:t>
      </w:r>
    </w:p>
    <w:p w14:paraId="361DF078" w14:textId="77777777" w:rsidR="00B17E5F" w:rsidRPr="00322E56" w:rsidRDefault="00B17E5F" w:rsidP="006512F7">
      <w:pPr>
        <w:pStyle w:val="Heading3"/>
        <w:rPr>
          <w:rFonts w:cs="Times New Roman"/>
        </w:rPr>
      </w:pPr>
      <w:bookmarkStart w:id="253" w:name="_Toc140399898"/>
      <w:r w:rsidRPr="00322E56">
        <w:rPr>
          <w:rFonts w:cs="Times New Roman"/>
        </w:rPr>
        <w:t>Methodology</w:t>
      </w:r>
      <w:bookmarkEnd w:id="253"/>
    </w:p>
    <w:p w14:paraId="359F06EF" w14:textId="77777777" w:rsidR="00B17E5F" w:rsidRPr="0012096B" w:rsidRDefault="00B17E5F" w:rsidP="0012096B">
      <w:pPr>
        <w:rPr>
          <w:rFonts w:cs="Times New Roman"/>
          <w:lang w:val="en-GB"/>
        </w:rPr>
      </w:pPr>
      <w:r w:rsidRPr="00322E56">
        <w:rPr>
          <w:rFonts w:cs="Times New Roman"/>
          <w:lang w:val="en-GB"/>
        </w:rPr>
        <w:t>The model comprises of various components connected to the building and HP using R410-a refrigerant. A TES heat exchanger with embedded PCM is integrated into HP to modify the vapor compression system and is transferring energy to and from the ambient. Thermostat controls monitor the building indoor temperature. The ambient weather data, TOU utility data, and marginal grid emissions data obtained for the same climate location, ASHRAE climate zone 3B. Marginal grid emissions data and electric utility schedule controls the heat pump to cool the building, and charge and discharge the ice-based TES. The analysis is performed for cooling only during the hottest week of June. The building energy consumption, HP work, and emissions are calculated in Microsoft Excel according to the rule-based control strategy</w:t>
      </w:r>
      <w:r w:rsidRPr="00322E56" w:rsidDel="005C1332">
        <w:rPr>
          <w:rFonts w:cs="Times New Roman"/>
          <w:lang w:val="en-GB"/>
        </w:rPr>
        <w:t xml:space="preserve"> </w:t>
      </w:r>
      <w:r w:rsidRPr="00322E56">
        <w:rPr>
          <w:rFonts w:cs="Times New Roman"/>
          <w:lang w:val="en-GB"/>
        </w:rPr>
        <w:t xml:space="preserve">in the minutely time steps. </w:t>
      </w:r>
    </w:p>
    <w:p w14:paraId="30D9C269" w14:textId="77777777" w:rsidR="00B17E5F" w:rsidRPr="00322E56" w:rsidRDefault="00B17E5F" w:rsidP="00CE7DBF">
      <w:pPr>
        <w:pStyle w:val="Smallheading"/>
        <w:rPr>
          <w:rFonts w:cs="Times New Roman"/>
        </w:rPr>
      </w:pPr>
      <w:r w:rsidRPr="00322E56">
        <w:rPr>
          <w:rFonts w:cs="Times New Roman"/>
        </w:rPr>
        <w:t>System Overview and Configuration</w:t>
      </w:r>
    </w:p>
    <w:p w14:paraId="0EFA52D4" w14:textId="30510623" w:rsidR="00B17E5F" w:rsidRPr="00322E56" w:rsidRDefault="00B17E5F" w:rsidP="00C711CD">
      <w:pPr>
        <w:rPr>
          <w:rFonts w:cs="Times New Roman"/>
          <w:lang w:val="en-GB"/>
        </w:rPr>
      </w:pPr>
      <w:r w:rsidRPr="00322E56">
        <w:rPr>
          <w:rFonts w:cs="Times New Roman"/>
        </w:rPr>
        <w:t xml:space="preserve">The conventional vapor compression cycle of HP is modified by coupling TES to the system. TES is integrated with HP via active configuration and assists the HP cooling. TES does not cool the building directly, but heat transfer occurs through HP, as shown in Figure </w:t>
      </w:r>
      <w:r>
        <w:rPr>
          <w:rFonts w:cs="Times New Roman"/>
        </w:rPr>
        <w:t>50</w:t>
      </w:r>
      <w:r w:rsidRPr="00322E56">
        <w:rPr>
          <w:rFonts w:cs="Times New Roman"/>
        </w:rPr>
        <w:t xml:space="preserve">.  </w:t>
      </w:r>
    </w:p>
    <w:p w14:paraId="34483AB3" w14:textId="77777777" w:rsidR="00B17E5F" w:rsidRPr="00322E56" w:rsidRDefault="00B17E5F">
      <w:pPr>
        <w:spacing w:line="240" w:lineRule="auto"/>
        <w:rPr>
          <w:rFonts w:cs="Times New Roman"/>
          <w:lang w:val="en-GB"/>
        </w:rPr>
      </w:pPr>
      <w:r w:rsidRPr="00322E56">
        <w:rPr>
          <w:rFonts w:cs="Times New Roman"/>
          <w:lang w:val="en-GB"/>
        </w:rPr>
        <w:br w:type="page"/>
      </w:r>
    </w:p>
    <w:p w14:paraId="5200BAE5" w14:textId="77777777" w:rsidR="00B17E5F" w:rsidRPr="00322E56" w:rsidRDefault="00B17E5F" w:rsidP="00AF2720">
      <w:pPr>
        <w:keepNext/>
        <w:rPr>
          <w:rFonts w:cs="Times New Roman"/>
        </w:rPr>
      </w:pPr>
      <w:r w:rsidRPr="00322E56">
        <w:rPr>
          <w:rFonts w:cs="Times New Roman"/>
          <w:noProof/>
          <w:sz w:val="20"/>
          <w:szCs w:val="16"/>
        </w:rPr>
        <w:lastRenderedPageBreak/>
        <w:drawing>
          <wp:inline distT="0" distB="0" distL="0" distR="0" wp14:anchorId="2A757C05" wp14:editId="7823880E">
            <wp:extent cx="5590572" cy="1721823"/>
            <wp:effectExtent l="0" t="0" r="0" b="0"/>
            <wp:docPr id="45" name="Picture 45"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graphical user interface&#10;&#10;Description automatically generated"/>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654308" cy="1741453"/>
                    </a:xfrm>
                    <a:prstGeom prst="rect">
                      <a:avLst/>
                    </a:prstGeom>
                    <a:noFill/>
                  </pic:spPr>
                </pic:pic>
              </a:graphicData>
            </a:graphic>
          </wp:inline>
        </w:drawing>
      </w:r>
    </w:p>
    <w:p w14:paraId="010EC32E" w14:textId="5C14E690" w:rsidR="00B17E5F" w:rsidRPr="00322E56" w:rsidRDefault="00B17E5F" w:rsidP="00EA2E17">
      <w:pPr>
        <w:pStyle w:val="Caption"/>
        <w:jc w:val="center"/>
        <w:rPr>
          <w:rFonts w:cs="Times New Roman"/>
          <w:lang w:val="en-GB"/>
        </w:rPr>
      </w:pPr>
      <w:bookmarkStart w:id="254" w:name="_Toc140403916"/>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50</w:t>
      </w:r>
      <w:r w:rsidRPr="00322E56">
        <w:rPr>
          <w:rFonts w:cs="Times New Roman"/>
        </w:rPr>
        <w:fldChar w:fldCharType="end"/>
      </w:r>
      <w:r w:rsidRPr="00322E56">
        <w:rPr>
          <w:rFonts w:cs="Times New Roman"/>
        </w:rPr>
        <w:t>: HP-TES configuration in cooling mode (A. TES Discharging B. TES Charging)</w:t>
      </w:r>
      <w:bookmarkEnd w:id="254"/>
    </w:p>
    <w:p w14:paraId="2E6262FA" w14:textId="77777777" w:rsidR="00B17E5F" w:rsidRPr="00322E56" w:rsidRDefault="00B17E5F">
      <w:pPr>
        <w:spacing w:line="240" w:lineRule="auto"/>
        <w:rPr>
          <w:rFonts w:cs="Times New Roman"/>
        </w:rPr>
      </w:pPr>
      <w:r w:rsidRPr="00322E56">
        <w:rPr>
          <w:rFonts w:cs="Times New Roman"/>
        </w:rPr>
        <w:br w:type="page"/>
      </w:r>
    </w:p>
    <w:p w14:paraId="68AA7803" w14:textId="77777777" w:rsidR="00C711CD" w:rsidRPr="00322E56" w:rsidRDefault="00C711CD" w:rsidP="00C711CD">
      <w:pPr>
        <w:ind w:firstLine="0"/>
        <w:rPr>
          <w:rFonts w:cs="Times New Roman"/>
        </w:rPr>
      </w:pPr>
      <w:r w:rsidRPr="00322E56">
        <w:rPr>
          <w:rFonts w:cs="Times New Roman"/>
        </w:rPr>
        <w:lastRenderedPageBreak/>
        <w:t>PCM-TES can function either as a condenser or an evaporator, dependent upon the mode of operation.  It is assumed that TES has an infinite coefficient of heat transfer and is always at constant temperature of 0℃.</w:t>
      </w:r>
    </w:p>
    <w:p w14:paraId="59FA76A5" w14:textId="0F41656B" w:rsidR="00C711CD" w:rsidRPr="00C711CD" w:rsidRDefault="00C711CD" w:rsidP="00C711CD">
      <w:pPr>
        <w:rPr>
          <w:rFonts w:cs="Times New Roman"/>
          <w:lang w:val="en-GB"/>
        </w:rPr>
      </w:pPr>
      <w:r w:rsidRPr="00322E56">
        <w:rPr>
          <w:rFonts w:cs="Times New Roman"/>
          <w:lang w:val="en-GB"/>
        </w:rPr>
        <w:t>HP has four modes of operation. HP is turned off in the standby mode and only thermal energy from outdoors is being transferred to the building. HP is turned on to cool the building through refrigeration cycle in normal mode, and no TES is involved. During charging mode, TES stores the energy from HP as Q</w:t>
      </w:r>
      <w:r w:rsidRPr="00322E56">
        <w:rPr>
          <w:rFonts w:cs="Times New Roman"/>
          <w:vertAlign w:val="subscript"/>
          <w:lang w:val="en-GB"/>
        </w:rPr>
        <w:t>PCM</w:t>
      </w:r>
      <w:r w:rsidRPr="00322E56">
        <w:rPr>
          <w:rFonts w:cs="Times New Roman"/>
          <w:lang w:val="en-GB"/>
        </w:rPr>
        <w:t xml:space="preserve"> to be used at later time. During discharging mode, TES releases the already stored energy into the building via HP. This mode has increased COP than the normal mode due to favourable temperature gradient. TES, which is at a colder temperature, is coupled to HP condenser and creates a negative temperature lift to move the condenser heat from building to TES.</w:t>
      </w:r>
    </w:p>
    <w:p w14:paraId="0F7BCB32" w14:textId="2F653DA4" w:rsidR="00B17E5F" w:rsidRPr="00322E56" w:rsidRDefault="00B17E5F" w:rsidP="00CE7DBF">
      <w:pPr>
        <w:pStyle w:val="Smallheading"/>
        <w:rPr>
          <w:rFonts w:cs="Times New Roman"/>
        </w:rPr>
      </w:pPr>
      <w:r w:rsidRPr="00322E56">
        <w:rPr>
          <w:rFonts w:cs="Times New Roman"/>
        </w:rPr>
        <w:t>Cooling Mode</w:t>
      </w:r>
    </w:p>
    <w:p w14:paraId="1B2EE8E3" w14:textId="77777777" w:rsidR="00B17E5F" w:rsidRPr="00322E56" w:rsidRDefault="00B17E5F" w:rsidP="00AF2720">
      <w:pPr>
        <w:rPr>
          <w:rFonts w:cs="Times New Roman"/>
        </w:rPr>
      </w:pPr>
      <w:r w:rsidRPr="00322E56">
        <w:rPr>
          <w:rFonts w:cs="Times New Roman"/>
        </w:rPr>
        <w:t xml:space="preserve">Operating modes for cooling and respective energy flows are shown in Figure </w:t>
      </w:r>
      <w:r>
        <w:rPr>
          <w:rFonts w:cs="Times New Roman"/>
        </w:rPr>
        <w:t>51</w:t>
      </w:r>
      <w:r w:rsidRPr="00322E56">
        <w:rPr>
          <w:rFonts w:cs="Times New Roman"/>
        </w:rPr>
        <w:t>. Ambient is at a higher temperature than the building. During cooling normal operation, the condenser heat, Q</w:t>
      </w:r>
      <w:r w:rsidRPr="00322E56">
        <w:rPr>
          <w:rFonts w:cs="Times New Roman"/>
          <w:vertAlign w:val="subscript"/>
        </w:rPr>
        <w:t>cond</w:t>
      </w:r>
      <w:r w:rsidRPr="00322E56">
        <w:rPr>
          <w:rFonts w:cs="Times New Roman"/>
        </w:rPr>
        <w:t>, is discarded to the ambient while the heat of the evaporator, Q</w:t>
      </w:r>
      <w:r w:rsidRPr="00322E56">
        <w:rPr>
          <w:rFonts w:cs="Times New Roman"/>
          <w:vertAlign w:val="subscript"/>
        </w:rPr>
        <w:t>evap</w:t>
      </w:r>
      <w:r w:rsidRPr="00322E56">
        <w:rPr>
          <w:rFonts w:cs="Times New Roman"/>
        </w:rPr>
        <w:t xml:space="preserve">, is removed from the building and directed to the heat pump. </w:t>
      </w:r>
    </w:p>
    <w:p w14:paraId="71A912A2" w14:textId="77777777" w:rsidR="00B17E5F" w:rsidRPr="00322E56" w:rsidRDefault="00B17E5F" w:rsidP="00AF2720">
      <w:pPr>
        <w:rPr>
          <w:rFonts w:cs="Times New Roman"/>
        </w:rPr>
      </w:pPr>
      <w:r w:rsidRPr="00322E56">
        <w:rPr>
          <w:rFonts w:cs="Times New Roman"/>
        </w:rPr>
        <w:t>TES behaves as condenser or evaporator depending on the mode of operation. Evaporator is assumed to be the TES during charging. So, the TES is being cooled directly. The heat, Q</w:t>
      </w:r>
      <w:r w:rsidRPr="00322E56">
        <w:rPr>
          <w:rFonts w:cs="Times New Roman"/>
          <w:vertAlign w:val="subscript"/>
        </w:rPr>
        <w:t>evap</w:t>
      </w:r>
      <w:r w:rsidRPr="00322E56">
        <w:rPr>
          <w:rFonts w:cs="Times New Roman"/>
        </w:rPr>
        <w:t>, is removed from the TES though latent heat of freezing. TES solidifies as the heat stored from the TES is discarded to the ambient via heat pump. In the discharging mode, the TES is defined as the condenser and the evaporator was tied to the building. The Q</w:t>
      </w:r>
      <w:r w:rsidRPr="00322E56">
        <w:rPr>
          <w:rFonts w:cs="Times New Roman"/>
          <w:vertAlign w:val="subscript"/>
        </w:rPr>
        <w:t>cond</w:t>
      </w:r>
      <w:r w:rsidRPr="00322E56">
        <w:rPr>
          <w:rFonts w:cs="Times New Roman"/>
        </w:rPr>
        <w:t xml:space="preserve"> is now being stored to the TES instead of ambient and the PCM within the TES is being liquified. </w:t>
      </w:r>
    </w:p>
    <w:p w14:paraId="0F6600FC" w14:textId="77777777" w:rsidR="00C711CD" w:rsidRPr="00322E56" w:rsidRDefault="00C711CD" w:rsidP="00C711CD">
      <w:pPr>
        <w:rPr>
          <w:rFonts w:cs="Times New Roman"/>
        </w:rPr>
      </w:pPr>
      <w:r w:rsidRPr="00322E56">
        <w:rPr>
          <w:rFonts w:cs="Times New Roman"/>
          <w:noProof/>
        </w:rPr>
        <w:lastRenderedPageBreak/>
        <w:drawing>
          <wp:inline distT="0" distB="0" distL="0" distR="0" wp14:anchorId="621CB094" wp14:editId="01AF0B9D">
            <wp:extent cx="5555848" cy="1852823"/>
            <wp:effectExtent l="0" t="0" r="0" b="1905"/>
            <wp:docPr id="46" name="Picture 46" descr="A diagram of a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diagram of a system&#10;&#10;Description automatically generated"/>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629814" cy="1877490"/>
                    </a:xfrm>
                    <a:prstGeom prst="rect">
                      <a:avLst/>
                    </a:prstGeom>
                    <a:noFill/>
                  </pic:spPr>
                </pic:pic>
              </a:graphicData>
            </a:graphic>
          </wp:inline>
        </w:drawing>
      </w:r>
    </w:p>
    <w:p w14:paraId="57408AE1" w14:textId="1A419532" w:rsidR="00C711CD" w:rsidRPr="00322E56" w:rsidRDefault="00C711CD" w:rsidP="00C711CD">
      <w:pPr>
        <w:pStyle w:val="Caption"/>
        <w:jc w:val="center"/>
        <w:rPr>
          <w:rFonts w:cs="Times New Roman"/>
        </w:rPr>
      </w:pPr>
      <w:bookmarkStart w:id="255" w:name="_Toc140403917"/>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51</w:t>
      </w:r>
      <w:r w:rsidRPr="00322E56">
        <w:rPr>
          <w:rFonts w:cs="Times New Roman"/>
        </w:rPr>
        <w:fldChar w:fldCharType="end"/>
      </w:r>
      <w:r w:rsidRPr="00322E56">
        <w:rPr>
          <w:rFonts w:cs="Times New Roman"/>
        </w:rPr>
        <w:t>: Operating modes in cooling</w:t>
      </w:r>
      <w:r>
        <w:rPr>
          <w:rFonts w:cs="Times New Roman"/>
        </w:rPr>
        <w:t>.</w:t>
      </w:r>
      <w:bookmarkEnd w:id="255"/>
    </w:p>
    <w:p w14:paraId="36EB714C" w14:textId="77777777" w:rsidR="00C711CD" w:rsidRDefault="00C711CD">
      <w:pPr>
        <w:spacing w:before="0" w:line="240" w:lineRule="auto"/>
        <w:ind w:firstLine="0"/>
        <w:jc w:val="left"/>
        <w:rPr>
          <w:rFonts w:eastAsiaTheme="minorHAnsi" w:cs="Times New Roman"/>
          <w:i/>
          <w:iCs/>
          <w:sz w:val="22"/>
          <w:szCs w:val="22"/>
          <w:lang w:val="en-GB"/>
        </w:rPr>
      </w:pPr>
      <w:r>
        <w:rPr>
          <w:rFonts w:cs="Times New Roman"/>
        </w:rPr>
        <w:br w:type="page"/>
      </w:r>
    </w:p>
    <w:p w14:paraId="519FC7F4" w14:textId="4F8831CD" w:rsidR="00C711CD" w:rsidRPr="00322E56" w:rsidRDefault="00C711CD" w:rsidP="00C711CD">
      <w:pPr>
        <w:pStyle w:val="Smallheading"/>
        <w:rPr>
          <w:rFonts w:cs="Times New Roman"/>
        </w:rPr>
      </w:pPr>
      <w:r w:rsidRPr="00322E56">
        <w:rPr>
          <w:rFonts w:cs="Times New Roman"/>
        </w:rPr>
        <w:t>System Controls</w:t>
      </w:r>
    </w:p>
    <w:p w14:paraId="30DD9D7A" w14:textId="365E023A" w:rsidR="00614D01" w:rsidRPr="00322E56" w:rsidRDefault="00C711CD" w:rsidP="00C711CD">
      <w:pPr>
        <w:rPr>
          <w:rFonts w:cs="Times New Roman"/>
          <w:lang w:val="en-GB"/>
        </w:rPr>
      </w:pPr>
      <w:r w:rsidRPr="00322E56">
        <w:rPr>
          <w:rFonts w:cs="Times New Roman"/>
          <w:lang w:val="en-GB"/>
        </w:rPr>
        <w:t>The operating mode of HP-TES is determined by the thermostat decision whether the building needs to be cooled or not, utility off-peak and on-peak time, state of charge of PCM (SOC), and grid emissions. The control strategy of HP-TES model is regulated based</w:t>
      </w:r>
      <w:r>
        <w:rPr>
          <w:rFonts w:cs="Times New Roman"/>
          <w:lang w:val="en-GB"/>
        </w:rPr>
        <w:t xml:space="preserve"> </w:t>
      </w:r>
      <w:r w:rsidR="00614D01" w:rsidRPr="00322E56">
        <w:rPr>
          <w:rFonts w:cs="Times New Roman"/>
          <w:lang w:val="en-GB"/>
        </w:rPr>
        <w:t xml:space="preserve">on four decision variables: ‘Thermostat call’, ‘Utility Peak’, ‘Emissions Peak’ and ‘State of Charge’. </w:t>
      </w:r>
    </w:p>
    <w:p w14:paraId="40EF319A" w14:textId="77777777" w:rsidR="00614D01" w:rsidRPr="00322E56" w:rsidRDefault="00614D01" w:rsidP="00614D01">
      <w:pPr>
        <w:rPr>
          <w:rFonts w:cs="Times New Roman"/>
          <w:lang w:val="en-GB"/>
        </w:rPr>
      </w:pPr>
      <w:r w:rsidRPr="00322E56">
        <w:rPr>
          <w:rFonts w:cs="Times New Roman"/>
          <w:lang w:val="en-GB"/>
        </w:rPr>
        <w:t>The thermostat model regulates the indoor temperature and determines if cooling is needed at a given time to call for cooling. A cooling temperature setpoint is fixed at 21℃, and the need is determined when the indoor temperature is higher than the cooling setpoint. The utility model determines the utility peak time. The emissions are obtained from the grid emissions model while the TES model determines the PCM state of charge.</w:t>
      </w:r>
    </w:p>
    <w:p w14:paraId="334ECA72" w14:textId="77777777" w:rsidR="00614D01" w:rsidRDefault="00614D01" w:rsidP="00614D01">
      <w:pPr>
        <w:rPr>
          <w:rFonts w:cs="Times New Roman"/>
          <w:lang w:val="en-GB"/>
        </w:rPr>
      </w:pPr>
      <w:r w:rsidRPr="00322E56">
        <w:rPr>
          <w:rFonts w:cs="Times New Roman"/>
          <w:lang w:val="en-GB"/>
        </w:rPr>
        <w:t xml:space="preserve">The operating modes are shown in the decision tree diagram (Figure </w:t>
      </w:r>
      <w:r>
        <w:rPr>
          <w:rFonts w:cs="Times New Roman"/>
          <w:lang w:val="en-GB"/>
        </w:rPr>
        <w:t>52</w:t>
      </w:r>
      <w:r w:rsidRPr="00322E56">
        <w:rPr>
          <w:rFonts w:cs="Times New Roman"/>
          <w:lang w:val="en-GB"/>
        </w:rPr>
        <w:t>). Assuming the initial PCM SOC as 50%, if the thermostat is calling for cooling during the utility peak time defined by TOU tariff, PCM discharging mode will turn on. But during utility off peak, the emissions peak will determine if the discharging mode should be on. Charging mode is only activated during off-peak times to take advantage of the lower electrical cost and emissions, while thermostat is not calling for cooling, and PCM is not already charged. If during utility off-peak time, thermostat is calling for cooling, the HP goes into normal operation depending on emissions peak. Emissions peak is determined by average of grid emissions in the past 24 hours, if emissions are greater than the average of last 24 hours at a given point, it’s emissions peak. In previous work [6], emissions were not included, and controls were based only on utility data.</w:t>
      </w:r>
    </w:p>
    <w:p w14:paraId="1C4D20FE" w14:textId="234BB9CE" w:rsidR="00614D01" w:rsidRPr="00322E56" w:rsidRDefault="00B17E5F" w:rsidP="00C711CD">
      <w:pPr>
        <w:spacing w:line="240" w:lineRule="auto"/>
        <w:rPr>
          <w:rFonts w:cs="Times New Roman"/>
        </w:rPr>
      </w:pPr>
      <w:r w:rsidRPr="00322E56">
        <w:rPr>
          <w:rFonts w:cs="Times New Roman"/>
        </w:rPr>
        <w:br w:type="page"/>
      </w:r>
    </w:p>
    <w:p w14:paraId="19391A2F" w14:textId="15A46438" w:rsidR="00B17E5F" w:rsidRPr="00322E56" w:rsidRDefault="00B17E5F" w:rsidP="00600423">
      <w:pPr>
        <w:spacing w:line="240" w:lineRule="auto"/>
        <w:ind w:firstLine="0"/>
        <w:rPr>
          <w:rFonts w:cs="Times New Roman"/>
        </w:rPr>
      </w:pPr>
    </w:p>
    <w:p w14:paraId="3EAE29BB" w14:textId="77777777" w:rsidR="00B17E5F" w:rsidRPr="00322E56" w:rsidRDefault="00B17E5F" w:rsidP="00603C13">
      <w:pPr>
        <w:keepNext/>
        <w:jc w:val="center"/>
        <w:rPr>
          <w:rFonts w:cs="Times New Roman"/>
        </w:rPr>
      </w:pPr>
      <w:r w:rsidRPr="00322E56">
        <w:rPr>
          <w:rFonts w:cs="Times New Roman"/>
          <w:noProof/>
        </w:rPr>
        <w:drawing>
          <wp:inline distT="0" distB="0" distL="0" distR="0" wp14:anchorId="5B05D7A8" wp14:editId="0A2F3FFF">
            <wp:extent cx="5584463" cy="2939970"/>
            <wp:effectExtent l="0" t="0" r="3810" b="0"/>
            <wp:docPr id="49" name="Picture 4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Diagram&#10;&#10;Description automatically generated"/>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602485" cy="2949458"/>
                    </a:xfrm>
                    <a:prstGeom prst="rect">
                      <a:avLst/>
                    </a:prstGeom>
                    <a:noFill/>
                  </pic:spPr>
                </pic:pic>
              </a:graphicData>
            </a:graphic>
          </wp:inline>
        </w:drawing>
      </w:r>
    </w:p>
    <w:p w14:paraId="3A83CEAA" w14:textId="1DAF16D5" w:rsidR="00B17E5F" w:rsidRPr="00322E56" w:rsidRDefault="00B17E5F" w:rsidP="00603C13">
      <w:pPr>
        <w:pStyle w:val="Caption"/>
        <w:jc w:val="center"/>
        <w:rPr>
          <w:rFonts w:cs="Times New Roman"/>
        </w:rPr>
      </w:pPr>
      <w:bookmarkStart w:id="256" w:name="_Toc140403918"/>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52</w:t>
      </w:r>
      <w:r w:rsidRPr="00322E56">
        <w:rPr>
          <w:rFonts w:cs="Times New Roman"/>
        </w:rPr>
        <w:fldChar w:fldCharType="end"/>
      </w:r>
      <w:r w:rsidRPr="00322E56">
        <w:rPr>
          <w:rFonts w:cs="Times New Roman"/>
        </w:rPr>
        <w:t>: Controls decision tree used in this work</w:t>
      </w:r>
      <w:r>
        <w:rPr>
          <w:rFonts w:cs="Times New Roman"/>
        </w:rPr>
        <w:t>.</w:t>
      </w:r>
      <w:bookmarkEnd w:id="256"/>
    </w:p>
    <w:p w14:paraId="6D9C2087" w14:textId="2B23E98E" w:rsidR="00C711CD" w:rsidRDefault="00B17E5F">
      <w:pPr>
        <w:spacing w:before="0" w:line="240" w:lineRule="auto"/>
        <w:ind w:firstLine="0"/>
        <w:jc w:val="left"/>
        <w:rPr>
          <w:rFonts w:cs="Times New Roman"/>
        </w:rPr>
      </w:pPr>
      <w:r w:rsidRPr="00322E56">
        <w:rPr>
          <w:rFonts w:cs="Times New Roman"/>
        </w:rPr>
        <w:br w:type="page"/>
      </w:r>
    </w:p>
    <w:p w14:paraId="085614C6" w14:textId="77BBDFA6" w:rsidR="00C711CD" w:rsidRPr="00C711CD" w:rsidRDefault="00C711CD" w:rsidP="00C711CD">
      <w:pPr>
        <w:pStyle w:val="Smallheading"/>
      </w:pPr>
      <w:r w:rsidRPr="00C711CD">
        <w:t>Information Flow</w:t>
      </w:r>
    </w:p>
    <w:p w14:paraId="6967A607" w14:textId="0BC1CCD5" w:rsidR="00C711CD" w:rsidRDefault="00C711CD" w:rsidP="00C711CD">
      <w:pPr>
        <w:rPr>
          <w:rFonts w:cs="Times New Roman"/>
          <w:lang w:val="en-GB"/>
        </w:rPr>
      </w:pPr>
      <w:r w:rsidRPr="00322E56">
        <w:rPr>
          <w:rFonts w:cs="Times New Roman"/>
        </w:rPr>
        <w:t>The overall system flow is depicted in Figure 5</w:t>
      </w:r>
      <w:r>
        <w:rPr>
          <w:rFonts w:cs="Times New Roman"/>
        </w:rPr>
        <w:t>3</w:t>
      </w:r>
      <w:r w:rsidRPr="00322E56">
        <w:rPr>
          <w:rFonts w:cs="Times New Roman"/>
        </w:rPr>
        <w:t xml:space="preserve">, which depends on the component models to analyze the weather, utility and emissions data. All the components are mainly coordinated by the decision tree as a main control to maximize the system efficiency. Some values are updated to use as intermediate inputs in the model, represented by feedback arrows. The building model, HP model, and TES model are used from the previous work </w:t>
      </w:r>
      <w:sdt>
        <w:sdtPr>
          <w:rPr>
            <w:rFonts w:cs="Times New Roman"/>
            <w:color w:val="000000"/>
            <w:lang w:val="en-GB"/>
          </w:rPr>
          <w:tag w:val="MENDELEY_CITATION_v3_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"/>
          <w:id w:val="342522975"/>
          <w:placeholder>
            <w:docPart w:val="96FBA1FBDBACBA428EB68F5BFB545A5E"/>
          </w:placeholder>
        </w:sdtPr>
        <w:sdtContent>
          <w:r w:rsidRPr="001E7ECF">
            <w:rPr>
              <w:rFonts w:cs="Times New Roman"/>
              <w:color w:val="000000"/>
              <w:lang w:val="en-GB"/>
            </w:rPr>
            <w:t>[154]</w:t>
          </w:r>
        </w:sdtContent>
      </w:sdt>
      <w:r w:rsidRPr="00322E56">
        <w:rPr>
          <w:rFonts w:cs="Times New Roman"/>
          <w:lang w:val="en-GB"/>
        </w:rPr>
        <w:t>.</w:t>
      </w:r>
    </w:p>
    <w:p w14:paraId="067C6AC5" w14:textId="77777777" w:rsidR="00C711CD" w:rsidRPr="00322E56" w:rsidRDefault="00C711CD" w:rsidP="00C711CD">
      <w:pPr>
        <w:pStyle w:val="Heading3"/>
        <w:rPr>
          <w:rFonts w:cs="Times New Roman"/>
        </w:rPr>
      </w:pPr>
      <w:bookmarkStart w:id="257" w:name="_Toc140399899"/>
      <w:r w:rsidRPr="00322E56">
        <w:rPr>
          <w:rFonts w:cs="Times New Roman"/>
        </w:rPr>
        <w:t>Component Models</w:t>
      </w:r>
      <w:bookmarkEnd w:id="257"/>
    </w:p>
    <w:p w14:paraId="6E18B798" w14:textId="77777777" w:rsidR="00C711CD" w:rsidRPr="00322E56" w:rsidRDefault="00C711CD" w:rsidP="00C711CD">
      <w:pPr>
        <w:pStyle w:val="Smallheading"/>
        <w:numPr>
          <w:ilvl w:val="0"/>
          <w:numId w:val="15"/>
        </w:numPr>
        <w:rPr>
          <w:rFonts w:cs="Times New Roman"/>
        </w:rPr>
      </w:pPr>
      <w:r w:rsidRPr="00322E56">
        <w:rPr>
          <w:rFonts w:cs="Times New Roman"/>
        </w:rPr>
        <w:t>Weather and Utility Data</w:t>
      </w:r>
    </w:p>
    <w:p w14:paraId="4548381D" w14:textId="77777777" w:rsidR="00C711CD" w:rsidRPr="00322E56" w:rsidRDefault="00C711CD" w:rsidP="00C711CD">
      <w:pPr>
        <w:rPr>
          <w:rFonts w:cs="Times New Roman"/>
          <w:lang w:val="en-GB"/>
        </w:rPr>
      </w:pPr>
      <w:r w:rsidRPr="00322E56">
        <w:rPr>
          <w:rFonts w:cs="Times New Roman"/>
          <w:lang w:val="en-GB"/>
        </w:rPr>
        <w:t xml:space="preserve">The TMY 3 weather data used is of Fresno, CA which corresponds to ASHRAE climate zone 3B. The location correlates to marginal grid emissions and utility tariff. The Time of Use (TOU) utility data is a </w:t>
      </w:r>
      <w:bookmarkStart w:id="258" w:name="_Hlk39503305"/>
      <w:r w:rsidRPr="00322E56">
        <w:rPr>
          <w:rFonts w:cs="Times New Roman"/>
          <w:lang w:val="en-GB"/>
        </w:rPr>
        <w:t xml:space="preserve">fixed utility rate schedule </w:t>
      </w:r>
      <w:bookmarkEnd w:id="258"/>
      <w:r w:rsidRPr="00322E56">
        <w:rPr>
          <w:rFonts w:cs="Times New Roman"/>
          <w:lang w:val="en-GB"/>
        </w:rPr>
        <w:t>from Pacific Gas and Electric (PG&amp;E) Electric Schedule E-TOU-B. The analysis for cooling is performed considering both peak and off-peak hours for a hot week of June 24-30, 1994. The peak hours vary by season. For cooling season defined from June till September, on-peak hours are observed from 4pm to 9pm on weekdays, and the utility rate is $0. 39689/kWh. At other times, including the weekends, the off-peak rate is $0. 29383/kWh. The difference between on-peak and off-peak utility rate is $0.103/kWh.</w:t>
      </w:r>
    </w:p>
    <w:p w14:paraId="7E9D8EB7" w14:textId="77777777" w:rsidR="00C711CD" w:rsidRDefault="00C711CD" w:rsidP="00C711CD">
      <w:pPr>
        <w:rPr>
          <w:rFonts w:cs="Times New Roman"/>
          <w:lang w:val="en-GB"/>
        </w:rPr>
      </w:pPr>
      <w:r w:rsidRPr="00322E56">
        <w:rPr>
          <w:rFonts w:cs="Times New Roman"/>
          <w:lang w:val="en-GB"/>
        </w:rPr>
        <w:t>Figure 5</w:t>
      </w:r>
      <w:r>
        <w:rPr>
          <w:rFonts w:cs="Times New Roman"/>
          <w:lang w:val="en-GB"/>
        </w:rPr>
        <w:t>4</w:t>
      </w:r>
      <w:r w:rsidRPr="00322E56">
        <w:rPr>
          <w:rFonts w:cs="Times New Roman"/>
          <w:lang w:val="en-GB"/>
        </w:rPr>
        <w:t xml:space="preserve"> shows ambient temperature versus utility rate for cooling season. The cost for cooling increases when the demand increases as a function of outdoor dry bulb temperature. The design objective is to take advantage of the low rates and assist heat pump operation using TES when the cost is high during peak hours.</w:t>
      </w:r>
    </w:p>
    <w:p w14:paraId="09852259" w14:textId="77777777" w:rsidR="00C711CD" w:rsidRPr="00322E56" w:rsidRDefault="00C711CD" w:rsidP="00C711CD">
      <w:pPr>
        <w:pStyle w:val="Smallheading"/>
        <w:rPr>
          <w:rFonts w:cs="Times New Roman"/>
        </w:rPr>
      </w:pPr>
      <w:r w:rsidRPr="00322E56">
        <w:rPr>
          <w:rFonts w:cs="Times New Roman"/>
        </w:rPr>
        <w:t>Building Model</w:t>
      </w:r>
    </w:p>
    <w:p w14:paraId="0BBA6234" w14:textId="2B11B520" w:rsidR="00B17E5F" w:rsidRPr="00C711CD" w:rsidRDefault="00C711CD" w:rsidP="00C711CD">
      <w:pPr>
        <w:rPr>
          <w:rFonts w:cs="Times New Roman"/>
          <w:lang w:val="en-GB"/>
        </w:rPr>
      </w:pPr>
      <w:r w:rsidRPr="00322E56">
        <w:rPr>
          <w:rFonts w:cs="Times New Roman"/>
          <w:lang w:val="en-GB"/>
        </w:rPr>
        <w:t xml:space="preserve">Building’s thermal response is simulated by a simple building model that calculates indoor temperature. The model takes into account the heat pump load, building’s thermal capacitance, and ambient load. </w:t>
      </w:r>
    </w:p>
    <w:p w14:paraId="60C58AEC" w14:textId="5EA5824C" w:rsidR="00B17E5F" w:rsidRPr="00322E56" w:rsidRDefault="00B17E5F" w:rsidP="00600423">
      <w:pPr>
        <w:spacing w:line="240" w:lineRule="auto"/>
        <w:ind w:firstLine="0"/>
        <w:rPr>
          <w:rFonts w:cs="Times New Roman"/>
          <w:lang w:val="en-GB"/>
        </w:rPr>
      </w:pPr>
    </w:p>
    <w:p w14:paraId="156F71DA" w14:textId="77777777" w:rsidR="00B17E5F" w:rsidRPr="00322E56" w:rsidRDefault="00B17E5F" w:rsidP="00603C13">
      <w:pPr>
        <w:keepNext/>
        <w:jc w:val="center"/>
        <w:rPr>
          <w:rFonts w:cs="Times New Roman"/>
        </w:rPr>
      </w:pPr>
      <w:r w:rsidRPr="00322E56">
        <w:rPr>
          <w:rFonts w:cs="Times New Roman"/>
          <w:noProof/>
        </w:rPr>
        <w:drawing>
          <wp:inline distT="0" distB="0" distL="0" distR="0" wp14:anchorId="51B6C5B2" wp14:editId="6BCB1002">
            <wp:extent cx="5659948" cy="3125165"/>
            <wp:effectExtent l="0" t="0" r="4445" b="0"/>
            <wp:docPr id="50" name="Picture 5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Diagram&#10;&#10;Description automatically generated"/>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673690" cy="3132753"/>
                    </a:xfrm>
                    <a:prstGeom prst="rect">
                      <a:avLst/>
                    </a:prstGeom>
                    <a:noFill/>
                  </pic:spPr>
                </pic:pic>
              </a:graphicData>
            </a:graphic>
          </wp:inline>
        </w:drawing>
      </w:r>
    </w:p>
    <w:p w14:paraId="6F6F842C" w14:textId="18C6E668" w:rsidR="00B17E5F" w:rsidRPr="00322E56" w:rsidRDefault="00B17E5F" w:rsidP="00603C13">
      <w:pPr>
        <w:pStyle w:val="Caption"/>
        <w:jc w:val="center"/>
        <w:rPr>
          <w:rFonts w:cs="Times New Roman"/>
        </w:rPr>
      </w:pPr>
      <w:bookmarkStart w:id="259" w:name="_Toc140403919"/>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53</w:t>
      </w:r>
      <w:r w:rsidRPr="00322E56">
        <w:rPr>
          <w:rFonts w:cs="Times New Roman"/>
        </w:rPr>
        <w:fldChar w:fldCharType="end"/>
      </w:r>
      <w:r w:rsidRPr="00322E56">
        <w:rPr>
          <w:rFonts w:cs="Times New Roman"/>
        </w:rPr>
        <w:t>: Information Flow Diagram</w:t>
      </w:r>
      <w:bookmarkEnd w:id="259"/>
    </w:p>
    <w:p w14:paraId="53AE95EB" w14:textId="7D00DB3C" w:rsidR="00B17E5F" w:rsidRPr="00322E56" w:rsidRDefault="00B17E5F" w:rsidP="00C711CD">
      <w:pPr>
        <w:spacing w:line="240" w:lineRule="auto"/>
        <w:rPr>
          <w:rFonts w:cs="Times New Roman"/>
        </w:rPr>
      </w:pPr>
      <w:r w:rsidRPr="00322E56">
        <w:rPr>
          <w:rFonts w:cs="Times New Roman"/>
        </w:rPr>
        <w:br w:type="page"/>
      </w:r>
    </w:p>
    <w:p w14:paraId="6BBA3B46" w14:textId="77777777" w:rsidR="00B17E5F" w:rsidRPr="00322E56" w:rsidRDefault="00B17E5F" w:rsidP="009235D2">
      <w:pPr>
        <w:keepNext/>
        <w:jc w:val="center"/>
        <w:rPr>
          <w:rFonts w:cs="Times New Roman"/>
        </w:rPr>
      </w:pPr>
      <w:r w:rsidRPr="00322E56">
        <w:rPr>
          <w:rFonts w:cs="Times New Roman"/>
          <w:noProof/>
        </w:rPr>
        <w:drawing>
          <wp:inline distT="0" distB="0" distL="0" distR="0" wp14:anchorId="68320E77" wp14:editId="6361E13E">
            <wp:extent cx="5497974" cy="3167924"/>
            <wp:effectExtent l="0" t="0" r="1270" b="0"/>
            <wp:docPr id="51" name="Picture 5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Chart, line chart&#10;&#10;Description automatically generated"/>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538219" cy="3191113"/>
                    </a:xfrm>
                    <a:prstGeom prst="rect">
                      <a:avLst/>
                    </a:prstGeom>
                    <a:noFill/>
                  </pic:spPr>
                </pic:pic>
              </a:graphicData>
            </a:graphic>
          </wp:inline>
        </w:drawing>
      </w:r>
    </w:p>
    <w:p w14:paraId="6280E3A4" w14:textId="3BB78C13" w:rsidR="00B17E5F" w:rsidRPr="00322E56" w:rsidRDefault="00B17E5F" w:rsidP="009235D2">
      <w:pPr>
        <w:pStyle w:val="Caption"/>
        <w:jc w:val="center"/>
        <w:rPr>
          <w:rFonts w:cs="Times New Roman"/>
        </w:rPr>
      </w:pPr>
      <w:bookmarkStart w:id="260" w:name="_Toc140403920"/>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54</w:t>
      </w:r>
      <w:r w:rsidRPr="00322E56">
        <w:rPr>
          <w:rFonts w:cs="Times New Roman"/>
        </w:rPr>
        <w:fldChar w:fldCharType="end"/>
      </w:r>
      <w:r w:rsidRPr="00322E56">
        <w:rPr>
          <w:rFonts w:cs="Times New Roman"/>
        </w:rPr>
        <w:t>: Ambient Temperature and Utility data for cooling day</w:t>
      </w:r>
      <w:bookmarkEnd w:id="260"/>
    </w:p>
    <w:p w14:paraId="05A9E41F" w14:textId="77777777" w:rsidR="00B17E5F" w:rsidRPr="00322E56" w:rsidRDefault="00B17E5F">
      <w:pPr>
        <w:spacing w:line="240" w:lineRule="auto"/>
        <w:rPr>
          <w:rFonts w:cs="Times New Roman"/>
        </w:rPr>
      </w:pPr>
      <w:r w:rsidRPr="00322E56">
        <w:rPr>
          <w:rFonts w:cs="Times New Roman"/>
        </w:rPr>
        <w:br w:type="page"/>
      </w:r>
    </w:p>
    <w:p w14:paraId="4B51C33B" w14:textId="1ABB9936" w:rsidR="00C711CD" w:rsidRDefault="00C711CD" w:rsidP="00C711CD">
      <w:pPr>
        <w:ind w:firstLine="0"/>
        <w:rPr>
          <w:rFonts w:cs="Times New Roman"/>
        </w:rPr>
      </w:pPr>
      <w:r w:rsidRPr="00322E56">
        <w:rPr>
          <w:rFonts w:cs="Times New Roman"/>
          <w:lang w:val="en-GB"/>
        </w:rPr>
        <w:t>A balance point temperature of 18℃ is assumed to model the ambient load, as shown in Equation 12. An overall heat transfer coefficient of 0.25 kW/K is estimated based on cooling design day.</w:t>
      </w:r>
      <w:r w:rsidR="00B17E5F" w:rsidRPr="00322E56">
        <w:rPr>
          <w:rFonts w:cs="Times New Roman"/>
        </w:rPr>
        <w:tab/>
      </w:r>
    </w:p>
    <w:p w14:paraId="67F208E0" w14:textId="4034F96E" w:rsidR="00B17E5F" w:rsidRPr="00322E56" w:rsidRDefault="00000000" w:rsidP="004402E3">
      <w:pPr>
        <w:rPr>
          <w:rFonts w:cs="Times New Roman"/>
          <w:i/>
        </w:rPr>
      </w:pP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amb</m:t>
            </m:r>
          </m:sub>
        </m:sSub>
        <m:r>
          <w:rPr>
            <w:rFonts w:ascii="Cambria Math" w:hAnsi="Cambria Math" w:cs="Times New Roman"/>
          </w:rPr>
          <m:t>=U*(</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amb</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bal</m:t>
            </m:r>
          </m:sub>
        </m:sSub>
        <m:r>
          <w:rPr>
            <w:rFonts w:ascii="Cambria Math" w:hAnsi="Cambria Math" w:cs="Times New Roman"/>
          </w:rPr>
          <m:t>)</m:t>
        </m:r>
      </m:oMath>
      <w:r w:rsidR="00B17E5F" w:rsidRPr="00322E56">
        <w:rPr>
          <w:rFonts w:cs="Times New Roman"/>
          <w:iCs/>
        </w:rPr>
        <w:t xml:space="preserve"> </w:t>
      </w:r>
      <w:r w:rsidR="00B17E5F" w:rsidRPr="00322E56">
        <w:rPr>
          <w:rFonts w:cs="Times New Roman"/>
          <w:iCs/>
        </w:rPr>
        <w:tab/>
      </w:r>
      <w:r w:rsidR="00B17E5F" w:rsidRPr="00322E56">
        <w:rPr>
          <w:rFonts w:cs="Times New Roman"/>
          <w:iCs/>
        </w:rPr>
        <w:tab/>
      </w:r>
      <w:r w:rsidR="00B17E5F" w:rsidRPr="00322E56">
        <w:rPr>
          <w:rFonts w:cs="Times New Roman"/>
          <w:iCs/>
        </w:rPr>
        <w:tab/>
      </w:r>
      <w:r w:rsidR="00B17E5F" w:rsidRPr="00322E56">
        <w:rPr>
          <w:rFonts w:cs="Times New Roman"/>
          <w:iCs/>
        </w:rPr>
        <w:tab/>
      </w:r>
      <w:r w:rsidR="00B17E5F" w:rsidRPr="00322E56">
        <w:rPr>
          <w:rFonts w:cs="Times New Roman"/>
          <w:iCs/>
        </w:rPr>
        <w:tab/>
      </w:r>
      <w:r w:rsidR="00B17E5F" w:rsidRPr="00322E56">
        <w:rPr>
          <w:rFonts w:cs="Times New Roman"/>
          <w:iCs/>
        </w:rPr>
        <w:tab/>
      </w:r>
      <w:r w:rsidR="00B17E5F" w:rsidRPr="00322E56">
        <w:rPr>
          <w:rFonts w:cs="Times New Roman"/>
          <w:iCs/>
        </w:rPr>
        <w:tab/>
        <w:t>(11)</w:t>
      </w:r>
    </w:p>
    <w:p w14:paraId="4B4B7994" w14:textId="51FBCA75" w:rsidR="00B17E5F" w:rsidRPr="00322E56" w:rsidRDefault="00B17E5F" w:rsidP="004402E3">
      <w:pPr>
        <w:rPr>
          <w:rFonts w:cs="Times New Roman"/>
          <w:lang w:val="en-GB"/>
        </w:rPr>
      </w:pPr>
      <w:r w:rsidRPr="00322E56">
        <w:rPr>
          <w:rFonts w:cs="Times New Roman"/>
          <w:lang w:val="en-GB"/>
        </w:rPr>
        <w:t>Indoor temperature is determined by the energy balance where Q</w:t>
      </w:r>
      <w:r w:rsidRPr="00322E56">
        <w:rPr>
          <w:rFonts w:cs="Times New Roman"/>
          <w:vertAlign w:val="subscript"/>
          <w:lang w:val="en-GB"/>
        </w:rPr>
        <w:t>VCS</w:t>
      </w:r>
      <w:r w:rsidRPr="00322E56">
        <w:rPr>
          <w:rFonts w:cs="Times New Roman"/>
          <w:lang w:val="en-GB"/>
        </w:rPr>
        <w:t xml:space="preserve"> is the cooling or heating load output from the heat pump model in either normal or discharging modes, in one minute time step. A single-family house with 223 m</w:t>
      </w:r>
      <w:r w:rsidRPr="00322E56">
        <w:rPr>
          <w:rFonts w:cs="Times New Roman"/>
          <w:vertAlign w:val="superscript"/>
          <w:lang w:val="en-GB"/>
        </w:rPr>
        <w:t>2</w:t>
      </w:r>
      <w:r w:rsidRPr="00322E56">
        <w:rPr>
          <w:rFonts w:cs="Times New Roman"/>
          <w:lang w:val="en-GB"/>
        </w:rPr>
        <w:t xml:space="preserve"> (2400 ft</w:t>
      </w:r>
      <w:r w:rsidRPr="00322E56">
        <w:rPr>
          <w:rFonts w:cs="Times New Roman"/>
          <w:vertAlign w:val="superscript"/>
          <w:lang w:val="en-GB"/>
        </w:rPr>
        <w:t>2</w:t>
      </w:r>
      <w:r w:rsidRPr="00322E56">
        <w:rPr>
          <w:rFonts w:cs="Times New Roman"/>
          <w:lang w:val="en-GB"/>
        </w:rPr>
        <w:t xml:space="preserve">) area was selected and the building capacitance was estimated to be 16459 J/K </w:t>
      </w:r>
      <w:sdt>
        <w:sdtPr>
          <w:rPr>
            <w:rFonts w:cs="Times New Roman"/>
            <w:color w:val="000000"/>
            <w:lang w:val="en-GB"/>
          </w:rPr>
          <w:tag w:val="MENDELEY_CITATION_v3_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"/>
          <w:id w:val="-1978675584"/>
          <w:placeholder>
            <w:docPart w:val="EB7B5B18569E4DCEA689B6BF0EA36B46"/>
          </w:placeholder>
        </w:sdtPr>
        <w:sdtContent>
          <w:r w:rsidR="001E7ECF" w:rsidRPr="001E7ECF">
            <w:rPr>
              <w:rFonts w:cs="Times New Roman"/>
              <w:color w:val="000000"/>
              <w:lang w:val="en-GB"/>
            </w:rPr>
            <w:t>[154]</w:t>
          </w:r>
        </w:sdtContent>
      </w:sdt>
      <w:r w:rsidRPr="00322E56">
        <w:rPr>
          <w:rFonts w:cs="Times New Roman"/>
          <w:lang w:val="en-GB"/>
        </w:rPr>
        <w:t>. It was chosen to result in a reasonable rate of change of building.</w:t>
      </w:r>
    </w:p>
    <w:p w14:paraId="2B550D5E" w14:textId="481CFF3E" w:rsidR="00B3664F" w:rsidRPr="00043073" w:rsidRDefault="00B17E5F" w:rsidP="00043073">
      <w:pPr>
        <w:rPr>
          <w:rFonts w:cs="Times New Roman"/>
          <w:iCs/>
        </w:rPr>
      </w:pPr>
      <w:r w:rsidRPr="00322E56">
        <w:rPr>
          <w:rFonts w:cs="Times New Roman"/>
        </w:rPr>
        <w:tab/>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indoor,i+1</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VCS</m:t>
                    </m:r>
                  </m:sub>
                </m:sSub>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amb</m:t>
                    </m:r>
                  </m:sub>
                </m:sSub>
              </m:e>
            </m:d>
            <m:r>
              <w:rPr>
                <w:rFonts w:ascii="Cambria Math" w:hAnsi="Cambria Math" w:cs="Times New Roman"/>
              </w:rPr>
              <m:t xml:space="preserve">*dt </m:t>
            </m:r>
          </m:num>
          <m:den>
            <m:r>
              <w:rPr>
                <w:rFonts w:ascii="Cambria Math" w:hAnsi="Cambria Math" w:cs="Times New Roman"/>
              </w:rPr>
              <m:t>C</m:t>
            </m:r>
          </m:den>
        </m:f>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indoor,i</m:t>
            </m:r>
          </m:sub>
        </m:sSub>
      </m:oMath>
      <w:r w:rsidRPr="00322E56">
        <w:rPr>
          <w:rFonts w:cs="Times New Roman"/>
          <w:iCs/>
        </w:rPr>
        <w:t xml:space="preserve"> </w:t>
      </w:r>
      <w:r w:rsidRPr="00322E56">
        <w:rPr>
          <w:rFonts w:cs="Times New Roman"/>
          <w:iCs/>
        </w:rPr>
        <w:tab/>
      </w:r>
      <w:r w:rsidRPr="00322E56">
        <w:rPr>
          <w:rFonts w:cs="Times New Roman"/>
          <w:iCs/>
        </w:rPr>
        <w:tab/>
      </w:r>
      <w:r w:rsidRPr="00322E56">
        <w:rPr>
          <w:rFonts w:cs="Times New Roman"/>
          <w:iCs/>
        </w:rPr>
        <w:tab/>
      </w:r>
      <w:r w:rsidRPr="00322E56">
        <w:rPr>
          <w:rFonts w:cs="Times New Roman"/>
          <w:iCs/>
        </w:rPr>
        <w:tab/>
      </w:r>
      <w:r w:rsidRPr="00322E56">
        <w:rPr>
          <w:rFonts w:cs="Times New Roman"/>
          <w:iCs/>
        </w:rPr>
        <w:tab/>
        <w:t>(12)</w:t>
      </w:r>
    </w:p>
    <w:p w14:paraId="46454614" w14:textId="77777777" w:rsidR="00B17E5F" w:rsidRPr="00322E56" w:rsidRDefault="00B17E5F" w:rsidP="00CE7DBF">
      <w:pPr>
        <w:pStyle w:val="Smallheading"/>
        <w:rPr>
          <w:rFonts w:cs="Times New Roman"/>
        </w:rPr>
      </w:pPr>
      <w:r w:rsidRPr="00322E56">
        <w:rPr>
          <w:rFonts w:cs="Times New Roman"/>
        </w:rPr>
        <w:t>Thermostat Model</w:t>
      </w:r>
    </w:p>
    <w:p w14:paraId="6A9E3B7D" w14:textId="77777777" w:rsidR="00B17E5F" w:rsidRPr="00322E56" w:rsidRDefault="00B17E5F" w:rsidP="004402E3">
      <w:pPr>
        <w:rPr>
          <w:rFonts w:cs="Times New Roman"/>
          <w:lang w:val="en-GB"/>
        </w:rPr>
      </w:pPr>
      <w:r w:rsidRPr="00322E56">
        <w:rPr>
          <w:rFonts w:cs="Times New Roman"/>
          <w:lang w:val="en-GB"/>
        </w:rPr>
        <w:t>The thermostat model tracks the indoor temperature and calculates the variable ‘thermostat call’.  It uses a constant setpoint temperature to turn on cooling mode.  Due to thermal loading from the ambient temperature, when the building indoor temperature exceeds the setpoint cooling temperature of 21°C (with a dead band of +/- 0.5°C), the thermostat calls for cooling.  Depending on other conditions (time of day, emissions, and outdoor temperature), the HP will enter into either discharging mode where TES will be used, or normal mode where HP cools the building without TES.</w:t>
      </w:r>
    </w:p>
    <w:p w14:paraId="535D1C86" w14:textId="77777777" w:rsidR="00B17E5F" w:rsidRPr="00322E56" w:rsidRDefault="00B17E5F" w:rsidP="00CE7DBF">
      <w:pPr>
        <w:pStyle w:val="Smallheading"/>
        <w:rPr>
          <w:rFonts w:cs="Times New Roman"/>
        </w:rPr>
      </w:pPr>
      <w:r w:rsidRPr="00322E56">
        <w:rPr>
          <w:rFonts w:cs="Times New Roman"/>
        </w:rPr>
        <w:t>Heat Pump Model</w:t>
      </w:r>
    </w:p>
    <w:p w14:paraId="361C3305" w14:textId="77777777" w:rsidR="00B17E5F" w:rsidRPr="00322E56" w:rsidRDefault="00B17E5F" w:rsidP="004402E3">
      <w:pPr>
        <w:rPr>
          <w:rFonts w:cs="Times New Roman"/>
          <w:lang w:val="en-GB"/>
        </w:rPr>
      </w:pPr>
      <w:r w:rsidRPr="00322E56">
        <w:rPr>
          <w:rFonts w:cs="Times New Roman"/>
          <w:lang w:val="en-GB"/>
        </w:rPr>
        <w:t>A heat pump model was simulated in EES and the operating modes with TES were modelled separately. The vapor compression model calculates the COP for cooling from the evaporator output and electric consumption by compressor [6]. The compressor has a constant volumetric flow rate of 2.5e</w:t>
      </w:r>
      <w:r w:rsidRPr="00322E56">
        <w:rPr>
          <w:rFonts w:cs="Times New Roman"/>
          <w:vertAlign w:val="superscript"/>
          <w:lang w:val="en-GB"/>
        </w:rPr>
        <w:t>-6</w:t>
      </w:r>
      <w:r w:rsidRPr="00322E56">
        <w:rPr>
          <w:rFonts w:cs="Times New Roman"/>
          <w:lang w:val="en-GB"/>
        </w:rPr>
        <w:t xml:space="preserve"> m</w:t>
      </w:r>
      <w:r w:rsidRPr="00322E56">
        <w:rPr>
          <w:rFonts w:cs="Times New Roman"/>
          <w:vertAlign w:val="superscript"/>
          <w:lang w:val="en-GB"/>
        </w:rPr>
        <w:t>3</w:t>
      </w:r>
      <w:r w:rsidRPr="00322E56">
        <w:rPr>
          <w:rFonts w:cs="Times New Roman"/>
          <w:lang w:val="en-GB"/>
        </w:rPr>
        <w:t>. Equation 13 defines the cooling COP.</w:t>
      </w:r>
    </w:p>
    <w:p w14:paraId="72DE27B2" w14:textId="1F7D3222" w:rsidR="00B17E5F" w:rsidRPr="00322E56" w:rsidRDefault="00000000" w:rsidP="00B3664F">
      <w:pPr>
        <w:jc w:val="center"/>
        <w:rPr>
          <w:rFonts w:cs="Times New Roman"/>
          <w:i/>
        </w:rPr>
      </w:pPr>
      <m:oMath>
        <m:sSub>
          <m:sSubPr>
            <m:ctrlPr>
              <w:rPr>
                <w:rFonts w:ascii="Cambria Math" w:hAnsi="Cambria Math" w:cs="Times New Roman"/>
                <w:i/>
              </w:rPr>
            </m:ctrlPr>
          </m:sSubPr>
          <m:e>
            <m:r>
              <w:rPr>
                <w:rFonts w:ascii="Cambria Math" w:hAnsi="Cambria Math" w:cs="Times New Roman"/>
              </w:rPr>
              <m:t>COP</m:t>
            </m:r>
          </m:e>
          <m:sub>
            <m:r>
              <w:rPr>
                <w:rFonts w:ascii="Cambria Math" w:hAnsi="Cambria Math" w:cs="Times New Roman"/>
              </w:rPr>
              <m:t>c</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evap</m:t>
                </m:r>
              </m:sub>
            </m:sSub>
          </m:num>
          <m:den>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comp</m:t>
                </m:r>
              </m:sub>
            </m:sSub>
          </m:den>
        </m:f>
      </m:oMath>
      <w:r w:rsidR="00B17E5F" w:rsidRPr="00322E56">
        <w:rPr>
          <w:rFonts w:cs="Times New Roman"/>
          <w:iCs/>
        </w:rPr>
        <w:tab/>
      </w:r>
      <w:r w:rsidR="00B3664F">
        <w:rPr>
          <w:rFonts w:cs="Times New Roman"/>
          <w:iCs/>
        </w:rPr>
        <w:tab/>
      </w:r>
      <w:r w:rsidR="00B3664F">
        <w:rPr>
          <w:rFonts w:cs="Times New Roman"/>
          <w:iCs/>
        </w:rPr>
        <w:tab/>
      </w:r>
      <w:r w:rsidR="00B3664F">
        <w:rPr>
          <w:rFonts w:cs="Times New Roman"/>
          <w:iCs/>
        </w:rPr>
        <w:tab/>
      </w:r>
      <w:r w:rsidR="00B3664F">
        <w:rPr>
          <w:rFonts w:cs="Times New Roman"/>
          <w:iCs/>
        </w:rPr>
        <w:tab/>
      </w:r>
      <w:r w:rsidR="00B3664F">
        <w:rPr>
          <w:rFonts w:cs="Times New Roman"/>
          <w:iCs/>
        </w:rPr>
        <w:tab/>
      </w:r>
      <w:r w:rsidR="00B3664F">
        <w:rPr>
          <w:rFonts w:cs="Times New Roman"/>
          <w:iCs/>
        </w:rPr>
        <w:tab/>
      </w:r>
      <w:r w:rsidR="00B17E5F" w:rsidRPr="00322E56">
        <w:rPr>
          <w:rFonts w:cs="Times New Roman"/>
          <w:iCs/>
        </w:rPr>
        <w:t>(13)</w:t>
      </w:r>
    </w:p>
    <w:p w14:paraId="4FA5D28C" w14:textId="77777777" w:rsidR="00B17E5F" w:rsidRPr="00322E56" w:rsidRDefault="00B17E5F" w:rsidP="004402E3">
      <w:pPr>
        <w:rPr>
          <w:rFonts w:cs="Times New Roman"/>
          <w:lang w:val="en-GB"/>
        </w:rPr>
      </w:pPr>
      <w:r w:rsidRPr="00322E56">
        <w:rPr>
          <w:rFonts w:cs="Times New Roman"/>
          <w:lang w:val="en-GB"/>
        </w:rPr>
        <w:t>The outputs of heat pump model, Q</w:t>
      </w:r>
      <w:r w:rsidRPr="00322E56">
        <w:rPr>
          <w:rFonts w:cs="Times New Roman"/>
          <w:vertAlign w:val="subscript"/>
          <w:lang w:val="en-GB"/>
        </w:rPr>
        <w:t>evap</w:t>
      </w:r>
      <w:r w:rsidRPr="00322E56">
        <w:rPr>
          <w:rFonts w:cs="Times New Roman"/>
          <w:lang w:val="en-GB"/>
        </w:rPr>
        <w:t xml:space="preserve"> from the evaporator and Q</w:t>
      </w:r>
      <w:r w:rsidRPr="00322E56">
        <w:rPr>
          <w:rFonts w:cs="Times New Roman"/>
          <w:vertAlign w:val="subscript"/>
          <w:lang w:val="en-GB"/>
        </w:rPr>
        <w:t>cond</w:t>
      </w:r>
      <w:r w:rsidRPr="00322E56">
        <w:rPr>
          <w:rFonts w:cs="Times New Roman"/>
          <w:lang w:val="en-GB"/>
        </w:rPr>
        <w:t xml:space="preserve"> from the condenser are called into Excel, where they are coupled to the PCM-TES or ambient depending on the operating mode. The condenser is tied to the ambient in normal mode, thus the dry bulb temperature was used as an input. The condenser is paired to the TES in the discharging mode. Where TES is kept at a constant 0°C. The discharging mode does not depend on ambient temperature and thus its operating parameters are constant. Because the temperature gradient is more favourable, total work during discharging is 0.748 kW, much lower than the normal mode which varies between 2.65 and 7 kW depending on the ambient temperature. The condenser is coupled to the ambient in charging mode, and now the evaporator interacts with the TES. The decision tree (Figure </w:t>
      </w:r>
      <w:r>
        <w:rPr>
          <w:rFonts w:cs="Times New Roman"/>
          <w:lang w:val="en-GB"/>
        </w:rPr>
        <w:t>52</w:t>
      </w:r>
      <w:r w:rsidRPr="00322E56">
        <w:rPr>
          <w:rFonts w:cs="Times New Roman"/>
          <w:lang w:val="en-GB"/>
        </w:rPr>
        <w:t>) and thermostat model was used to control the HP and PCM state of use.</w:t>
      </w:r>
    </w:p>
    <w:p w14:paraId="278B1A81" w14:textId="77777777" w:rsidR="00B17E5F" w:rsidRPr="00322E56" w:rsidRDefault="00B17E5F" w:rsidP="00CE7DBF">
      <w:pPr>
        <w:pStyle w:val="Smallheading"/>
        <w:rPr>
          <w:rFonts w:cs="Times New Roman"/>
        </w:rPr>
      </w:pPr>
      <w:r w:rsidRPr="00322E56">
        <w:rPr>
          <w:rFonts w:cs="Times New Roman"/>
        </w:rPr>
        <w:t>TES Model</w:t>
      </w:r>
    </w:p>
    <w:p w14:paraId="1E8491F2" w14:textId="77777777" w:rsidR="00B17E5F" w:rsidRPr="00322E56" w:rsidRDefault="00B17E5F" w:rsidP="004402E3">
      <w:pPr>
        <w:rPr>
          <w:rFonts w:cs="Times New Roman"/>
        </w:rPr>
      </w:pPr>
      <w:r w:rsidRPr="00322E56">
        <w:rPr>
          <w:rFonts w:cs="Times New Roman"/>
        </w:rPr>
        <w:t xml:space="preserve">The HP vapor compression system is coupled to PCM via heat exchanger in such a way that TES does not interact directly with the building and is not affected by the ambient temperature. An ice/water based PCM with phase change temperature of 0°C is embedded in the TES. TES heat exchanger is assumed to have an indefinite heat transfer rate at a constant temperature maintained </w:t>
      </w:r>
      <w:r w:rsidRPr="00322E56">
        <w:rPr>
          <w:rFonts w:cs="Times New Roman"/>
          <w:lang w:val="en-GB"/>
        </w:rPr>
        <w:t>at 0°C. TES is</w:t>
      </w:r>
      <w:r w:rsidRPr="00322E56">
        <w:rPr>
          <w:rFonts w:cs="Times New Roman"/>
        </w:rPr>
        <w:t xml:space="preserve"> modelled as an 80-gallon tank, which can provide up to 27.8 kWh of cooling capacity. The operating modes are controlled by the PCM state of charge which is a function of peak time, and indoor temperature. </w:t>
      </w:r>
    </w:p>
    <w:p w14:paraId="5EDFA48A" w14:textId="77777777" w:rsidR="00B17E5F" w:rsidRPr="00322E56" w:rsidRDefault="00B17E5F" w:rsidP="004402E3">
      <w:pPr>
        <w:rPr>
          <w:rFonts w:cs="Times New Roman"/>
        </w:rPr>
      </w:pPr>
      <w:r w:rsidRPr="00322E56">
        <w:rPr>
          <w:rFonts w:cs="Times New Roman"/>
        </w:rPr>
        <w:t xml:space="preserve">The fraction of maximum energy that can be stored by TES is defined as state of charge of PCM (PCM SOC). The PCM SOC is increased during charging to store the energy and reduced during discharging mode when it is consumed. For charging mode, the state of use of PCM (SOU) is -1, for discharging it is +1, and PCM SOU is 0 when it is not being used. </w:t>
      </w:r>
    </w:p>
    <w:p w14:paraId="44B821BE" w14:textId="77777777" w:rsidR="00B17E5F" w:rsidRPr="00322E56" w:rsidRDefault="00B17E5F" w:rsidP="00CE7DBF">
      <w:pPr>
        <w:pStyle w:val="Smallheading"/>
        <w:rPr>
          <w:rFonts w:cs="Times New Roman"/>
        </w:rPr>
      </w:pPr>
      <w:r w:rsidRPr="00322E56">
        <w:rPr>
          <w:rFonts w:cs="Times New Roman"/>
        </w:rPr>
        <w:t>Grid Emissions Model</w:t>
      </w:r>
    </w:p>
    <w:p w14:paraId="66F3472B" w14:textId="77777777" w:rsidR="00B17E5F" w:rsidRPr="00322E56" w:rsidRDefault="00B17E5F" w:rsidP="004402E3">
      <w:pPr>
        <w:rPr>
          <w:rFonts w:cs="Times New Roman"/>
        </w:rPr>
      </w:pPr>
      <w:r w:rsidRPr="00322E56">
        <w:rPr>
          <w:rFonts w:cs="Times New Roman"/>
        </w:rPr>
        <w:t xml:space="preserve">Marginal grid emissions schedule is obtained for Fresno, CA from a data driven tool that uses an empirical model. The tool generates emissions schedule based on continuous emissions and electricity generation data from major fossil fuel plants in the U.S.  </w:t>
      </w:r>
    </w:p>
    <w:p w14:paraId="1DFE31F6" w14:textId="77777777" w:rsidR="00B17E5F" w:rsidRDefault="00B17E5F" w:rsidP="004402E3">
      <w:pPr>
        <w:rPr>
          <w:rFonts w:cs="Times New Roman"/>
        </w:rPr>
      </w:pPr>
      <w:r w:rsidRPr="00322E56">
        <w:rPr>
          <w:rFonts w:cs="Times New Roman"/>
        </w:rPr>
        <w:t>Figure 5</w:t>
      </w:r>
      <w:r>
        <w:rPr>
          <w:rFonts w:cs="Times New Roman"/>
        </w:rPr>
        <w:t>5</w:t>
      </w:r>
      <w:r w:rsidRPr="00322E56">
        <w:rPr>
          <w:rFonts w:cs="Times New Roman"/>
        </w:rPr>
        <w:t xml:space="preserve"> shows the hourly emissions data for the year of 2022 obtained on November 15. The data from January until November 15 is real time, and rest is projected based on historical data. Controls are designed based on average of the last 24 hours and variable called ‘Emission Peak’ is defined. If at any given point, the emissions exceed the average of last 24 hours, it will be considered emission peak.  Discharging mode will be turned on if cooling is needed at that time.  This strategy avoids using HP during both utility and emission peak times, to assess the maximum grid emission savings. </w:t>
      </w:r>
    </w:p>
    <w:p w14:paraId="64CD34EF" w14:textId="77777777" w:rsidR="00C711CD" w:rsidRPr="00322E56" w:rsidRDefault="00C711CD" w:rsidP="00C711CD">
      <w:pPr>
        <w:pStyle w:val="Heading3"/>
        <w:rPr>
          <w:rFonts w:cs="Times New Roman"/>
        </w:rPr>
      </w:pPr>
      <w:bookmarkStart w:id="261" w:name="_Toc140399900"/>
      <w:r w:rsidRPr="00322E56">
        <w:rPr>
          <w:rFonts w:cs="Times New Roman"/>
        </w:rPr>
        <w:t>Results and Discussion</w:t>
      </w:r>
      <w:bookmarkEnd w:id="261"/>
    </w:p>
    <w:p w14:paraId="2F74A12C" w14:textId="77777777" w:rsidR="00C711CD" w:rsidRDefault="00C711CD" w:rsidP="00C711CD">
      <w:pPr>
        <w:rPr>
          <w:rFonts w:cs="Times New Roman"/>
          <w:lang w:val="en-GB"/>
        </w:rPr>
      </w:pPr>
      <w:r w:rsidRPr="00322E56">
        <w:rPr>
          <w:rFonts w:cs="Times New Roman"/>
          <w:lang w:val="en-GB"/>
        </w:rPr>
        <w:t>The analysis is performed for one week of cooling season to report utility cost, electric consumption, and carbon emission reduction. The indoor temperature was maintained at 20℃ for cooling. For the simulated 7-day period, the grid emissions corresponding to the HP electric consumption are compared for the cases with and without PCM TES. The baseline system is defined as the case without TES.</w:t>
      </w:r>
    </w:p>
    <w:p w14:paraId="613F6E47" w14:textId="77777777" w:rsidR="00C711CD" w:rsidRPr="00322E56" w:rsidRDefault="00C711CD" w:rsidP="00C711CD">
      <w:pPr>
        <w:pStyle w:val="Smallheading"/>
        <w:numPr>
          <w:ilvl w:val="0"/>
          <w:numId w:val="16"/>
        </w:numPr>
        <w:rPr>
          <w:rFonts w:cs="Times New Roman"/>
        </w:rPr>
      </w:pPr>
      <w:r w:rsidRPr="00322E56">
        <w:rPr>
          <w:rFonts w:cs="Times New Roman"/>
        </w:rPr>
        <w:t>Carbon Emissions</w:t>
      </w:r>
    </w:p>
    <w:p w14:paraId="59767CFF" w14:textId="77777777" w:rsidR="00C711CD" w:rsidRDefault="00C711CD" w:rsidP="00C711CD">
      <w:pPr>
        <w:rPr>
          <w:rFonts w:cs="Times New Roman"/>
          <w:lang w:val="en-GB"/>
        </w:rPr>
      </w:pPr>
      <w:r w:rsidRPr="00322E56">
        <w:rPr>
          <w:rFonts w:cs="Times New Roman"/>
          <w:lang w:val="en-GB"/>
        </w:rPr>
        <w:t>Figure 5</w:t>
      </w:r>
      <w:r>
        <w:rPr>
          <w:rFonts w:cs="Times New Roman"/>
          <w:lang w:val="en-GB"/>
        </w:rPr>
        <w:t>6</w:t>
      </w:r>
      <w:r w:rsidRPr="00322E56">
        <w:rPr>
          <w:rFonts w:cs="Times New Roman"/>
          <w:lang w:val="en-GB"/>
        </w:rPr>
        <w:t xml:space="preserve"> shows the grid emissions for both baseline and TES systems. The no-TES baseline case resulted in 181.78 kg of CO</w:t>
      </w:r>
      <w:r w:rsidRPr="00322E56">
        <w:rPr>
          <w:rFonts w:cs="Times New Roman"/>
          <w:vertAlign w:val="subscript"/>
          <w:lang w:val="en-GB"/>
        </w:rPr>
        <w:t>2</w:t>
      </w:r>
      <w:r w:rsidRPr="00322E56">
        <w:rPr>
          <w:rFonts w:cs="Times New Roman"/>
          <w:lang w:val="en-GB"/>
        </w:rPr>
        <w:t xml:space="preserve"> over the simulated week, while using the TES system, emissions were 160.1 kgCO</w:t>
      </w:r>
      <w:r w:rsidRPr="00322E56">
        <w:rPr>
          <w:rFonts w:cs="Times New Roman"/>
          <w:vertAlign w:val="subscript"/>
          <w:lang w:val="en-GB"/>
        </w:rPr>
        <w:t>2</w:t>
      </w:r>
      <w:r w:rsidRPr="00322E56">
        <w:rPr>
          <w:rFonts w:cs="Times New Roman"/>
          <w:lang w:val="en-GB"/>
        </w:rPr>
        <w:t>, reducing 11.92% grid emissions for the simulated week. These savings were achieved by using TES to discharge during emission peak and utility peak.</w:t>
      </w:r>
    </w:p>
    <w:p w14:paraId="6AA3C65F" w14:textId="77777777" w:rsidR="00C711CD" w:rsidRPr="00322E56" w:rsidRDefault="00C711CD" w:rsidP="00C711CD">
      <w:pPr>
        <w:pStyle w:val="Smallheading"/>
        <w:rPr>
          <w:rFonts w:cs="Times New Roman"/>
        </w:rPr>
      </w:pPr>
      <w:r w:rsidRPr="00322E56">
        <w:rPr>
          <w:rFonts w:cs="Times New Roman"/>
        </w:rPr>
        <w:t>Electric Consumption</w:t>
      </w:r>
    </w:p>
    <w:p w14:paraId="40FAA549" w14:textId="27FE1716" w:rsidR="00C711CD" w:rsidRDefault="00C711CD" w:rsidP="00C711CD">
      <w:pPr>
        <w:rPr>
          <w:rFonts w:cs="Times New Roman"/>
          <w:lang w:val="en-GB"/>
        </w:rPr>
      </w:pPr>
      <w:r w:rsidRPr="00322E56">
        <w:rPr>
          <w:rFonts w:cs="Times New Roman"/>
        </w:rPr>
        <w:t>Figure 5</w:t>
      </w:r>
      <w:r>
        <w:rPr>
          <w:rFonts w:cs="Times New Roman"/>
        </w:rPr>
        <w:t>7</w:t>
      </w:r>
      <w:r w:rsidRPr="00322E56">
        <w:rPr>
          <w:rFonts w:cs="Times New Roman"/>
        </w:rPr>
        <w:t xml:space="preserve"> shows the HVAC electric consumption and the peak electric consumption for both baseline and TES systems. TOU tariff for Fresno, CA is used for this study and the on-peak pricing applies from Monday through Friday only, excluding weekends. For the baseline system, where no TES was used, total electric consumption was 353.2 kWh, and on-peak consumption was 98.1 kWh.  </w:t>
      </w:r>
    </w:p>
    <w:p w14:paraId="3BCF6F14" w14:textId="59C86209" w:rsidR="00B17E5F" w:rsidRPr="00322E56" w:rsidRDefault="00B17E5F" w:rsidP="00C711CD">
      <w:pPr>
        <w:spacing w:line="240" w:lineRule="auto"/>
        <w:ind w:firstLine="0"/>
        <w:rPr>
          <w:rFonts w:cs="Times New Roman"/>
        </w:rPr>
      </w:pPr>
    </w:p>
    <w:p w14:paraId="1FE51B66" w14:textId="77777777" w:rsidR="00B17E5F" w:rsidRPr="00322E56" w:rsidRDefault="00B17E5F" w:rsidP="004402E3">
      <w:pPr>
        <w:keepNext/>
        <w:rPr>
          <w:rFonts w:cs="Times New Roman"/>
        </w:rPr>
      </w:pPr>
      <w:r w:rsidRPr="00322E56">
        <w:rPr>
          <w:rFonts w:cs="Times New Roman"/>
          <w:noProof/>
        </w:rPr>
        <w:drawing>
          <wp:inline distT="0" distB="0" distL="0" distR="0" wp14:anchorId="3D0AE496" wp14:editId="65F018E5">
            <wp:extent cx="5603366" cy="3368233"/>
            <wp:effectExtent l="0" t="0" r="0" b="0"/>
            <wp:docPr id="52" name="Picture 5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Chart, bar chart&#10;&#10;Description automatically generated"/>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659639" cy="3402059"/>
                    </a:xfrm>
                    <a:prstGeom prst="rect">
                      <a:avLst/>
                    </a:prstGeom>
                    <a:noFill/>
                  </pic:spPr>
                </pic:pic>
              </a:graphicData>
            </a:graphic>
          </wp:inline>
        </w:drawing>
      </w:r>
    </w:p>
    <w:p w14:paraId="3358D652" w14:textId="1F871822" w:rsidR="00B17E5F" w:rsidRPr="00322E56" w:rsidRDefault="00B17E5F" w:rsidP="00F1758F">
      <w:pPr>
        <w:pStyle w:val="Caption"/>
        <w:jc w:val="center"/>
        <w:rPr>
          <w:rFonts w:cs="Times New Roman"/>
        </w:rPr>
      </w:pPr>
      <w:bookmarkStart w:id="262" w:name="_Toc140403921"/>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55</w:t>
      </w:r>
      <w:r w:rsidRPr="00322E56">
        <w:rPr>
          <w:rFonts w:cs="Times New Roman"/>
        </w:rPr>
        <w:fldChar w:fldCharType="end"/>
      </w:r>
      <w:r w:rsidRPr="00322E56">
        <w:rPr>
          <w:rFonts w:cs="Times New Roman"/>
        </w:rPr>
        <w:t>: Fresno annual grid emissions during 2022</w:t>
      </w:r>
      <w:bookmarkEnd w:id="262"/>
    </w:p>
    <w:p w14:paraId="474E500E" w14:textId="77777777" w:rsidR="00C711CD" w:rsidRPr="00322E56" w:rsidRDefault="00B17E5F" w:rsidP="00C711CD">
      <w:pPr>
        <w:keepNext/>
        <w:jc w:val="center"/>
        <w:rPr>
          <w:rFonts w:cs="Times New Roman"/>
        </w:rPr>
      </w:pPr>
      <w:r w:rsidRPr="00322E56">
        <w:rPr>
          <w:rFonts w:cs="Times New Roman"/>
        </w:rPr>
        <w:br w:type="page"/>
      </w:r>
      <w:r w:rsidR="00C711CD" w:rsidRPr="00322E56">
        <w:rPr>
          <w:rFonts w:cs="Times New Roman"/>
          <w:noProof/>
        </w:rPr>
        <w:drawing>
          <wp:inline distT="0" distB="0" distL="0" distR="0" wp14:anchorId="25420836" wp14:editId="15AE1D37">
            <wp:extent cx="5144696" cy="2475319"/>
            <wp:effectExtent l="12700" t="12700" r="12065" b="13970"/>
            <wp:docPr id="53" name="Picture 5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Chart, line chart&#10;&#10;Description automatically generated"/>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181959" cy="2493248"/>
                    </a:xfrm>
                    <a:prstGeom prst="rect">
                      <a:avLst/>
                    </a:prstGeom>
                    <a:noFill/>
                    <a:ln>
                      <a:solidFill>
                        <a:schemeClr val="bg2">
                          <a:lumMod val="90000"/>
                        </a:schemeClr>
                      </a:solidFill>
                    </a:ln>
                  </pic:spPr>
                </pic:pic>
              </a:graphicData>
            </a:graphic>
          </wp:inline>
        </w:drawing>
      </w:r>
    </w:p>
    <w:p w14:paraId="2261F178" w14:textId="40F69CFE" w:rsidR="00C711CD" w:rsidRDefault="00C711CD" w:rsidP="00C711CD">
      <w:pPr>
        <w:pStyle w:val="Caption"/>
        <w:jc w:val="center"/>
        <w:rPr>
          <w:rFonts w:cs="Times New Roman"/>
        </w:rPr>
      </w:pPr>
      <w:bookmarkStart w:id="263" w:name="_Toc140403922"/>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56</w:t>
      </w:r>
      <w:r w:rsidRPr="00322E56">
        <w:rPr>
          <w:rFonts w:cs="Times New Roman"/>
        </w:rPr>
        <w:fldChar w:fldCharType="end"/>
      </w:r>
      <w:r w:rsidRPr="00322E56">
        <w:rPr>
          <w:rFonts w:cs="Times New Roman"/>
        </w:rPr>
        <w:t>: Emissions reduced using TES</w:t>
      </w:r>
      <w:bookmarkEnd w:id="263"/>
    </w:p>
    <w:p w14:paraId="0ECEC3AF" w14:textId="77777777" w:rsidR="00C711CD" w:rsidRDefault="00C711CD" w:rsidP="00C711CD"/>
    <w:p w14:paraId="04B4611F" w14:textId="77777777" w:rsidR="00C711CD" w:rsidRPr="00C711CD" w:rsidRDefault="00C711CD" w:rsidP="00C711CD"/>
    <w:p w14:paraId="22794DE8" w14:textId="77777777" w:rsidR="00C711CD" w:rsidRPr="00322E56" w:rsidRDefault="00C711CD" w:rsidP="00C711CD">
      <w:pPr>
        <w:keepNext/>
        <w:spacing w:line="240" w:lineRule="auto"/>
        <w:jc w:val="center"/>
        <w:rPr>
          <w:rFonts w:cs="Times New Roman"/>
        </w:rPr>
      </w:pPr>
      <w:r w:rsidRPr="00322E56">
        <w:rPr>
          <w:rFonts w:cs="Times New Roman"/>
          <w:noProof/>
        </w:rPr>
        <w:drawing>
          <wp:inline distT="0" distB="0" distL="0" distR="0" wp14:anchorId="0503FD68" wp14:editId="25AAF0A8">
            <wp:extent cx="5060196" cy="2507216"/>
            <wp:effectExtent l="12700" t="12700" r="7620" b="7620"/>
            <wp:docPr id="54" name="Picture 5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Chart, line chart&#10;&#10;Description automatically generated"/>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118716" cy="2536211"/>
                    </a:xfrm>
                    <a:prstGeom prst="rect">
                      <a:avLst/>
                    </a:prstGeom>
                    <a:noFill/>
                    <a:ln>
                      <a:solidFill>
                        <a:schemeClr val="bg2">
                          <a:lumMod val="90000"/>
                        </a:schemeClr>
                      </a:solidFill>
                    </a:ln>
                  </pic:spPr>
                </pic:pic>
              </a:graphicData>
            </a:graphic>
          </wp:inline>
        </w:drawing>
      </w:r>
    </w:p>
    <w:p w14:paraId="22AE716F" w14:textId="1A4EC931" w:rsidR="00C711CD" w:rsidRDefault="00C711CD" w:rsidP="00C711CD">
      <w:pPr>
        <w:pStyle w:val="Caption"/>
        <w:jc w:val="center"/>
        <w:rPr>
          <w:rFonts w:cs="Times New Roman"/>
        </w:rPr>
      </w:pPr>
      <w:bookmarkStart w:id="264" w:name="_Toc140403923"/>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57</w:t>
      </w:r>
      <w:r w:rsidRPr="00322E56">
        <w:rPr>
          <w:rFonts w:cs="Times New Roman"/>
        </w:rPr>
        <w:fldChar w:fldCharType="end"/>
      </w:r>
      <w:r w:rsidRPr="00322E56">
        <w:rPr>
          <w:rFonts w:cs="Times New Roman"/>
        </w:rPr>
        <w:t>: Electric Consumption with and without TE</w:t>
      </w:r>
      <w:r>
        <w:rPr>
          <w:rFonts w:cs="Times New Roman"/>
        </w:rPr>
        <w:t>S.</w:t>
      </w:r>
      <w:bookmarkEnd w:id="264"/>
    </w:p>
    <w:p w14:paraId="1D985FA1" w14:textId="29DF32E7" w:rsidR="00B17E5F" w:rsidRPr="00322E56" w:rsidRDefault="00C711CD" w:rsidP="00C711CD">
      <w:pPr>
        <w:spacing w:before="0" w:line="240" w:lineRule="auto"/>
        <w:ind w:firstLine="0"/>
        <w:jc w:val="left"/>
        <w:rPr>
          <w:rFonts w:cs="Times New Roman"/>
        </w:rPr>
      </w:pPr>
      <w:r>
        <w:rPr>
          <w:rFonts w:cs="Times New Roman"/>
        </w:rPr>
        <w:br w:type="page"/>
      </w:r>
    </w:p>
    <w:p w14:paraId="3B7E32E1" w14:textId="229D371D" w:rsidR="00B3664F" w:rsidRPr="00322E56" w:rsidRDefault="00B3664F" w:rsidP="00C711CD">
      <w:pPr>
        <w:ind w:firstLine="0"/>
        <w:rPr>
          <w:rFonts w:cs="Times New Roman"/>
        </w:rPr>
      </w:pPr>
      <w:r w:rsidRPr="00322E56">
        <w:rPr>
          <w:rFonts w:cs="Times New Roman"/>
        </w:rPr>
        <w:t>For the system with TES, the total electric consumption was reduced by 10.19% to 317.2 kWh. TES on-peak usage was 48.8 kWh, which means 50.2% of peak load was shifted.  In our previous study [6], 87% of peak load was shifted to off-peak hours using TES under TOU tariff.  The present study also implements grid emissions-based controls and TES is more frequently used in discharging mode than in previous study.</w:t>
      </w:r>
    </w:p>
    <w:p w14:paraId="5B46E72D" w14:textId="77777777" w:rsidR="00B3664F" w:rsidRPr="00322E56" w:rsidRDefault="00B3664F" w:rsidP="00B3664F">
      <w:pPr>
        <w:pStyle w:val="Smallheading"/>
        <w:rPr>
          <w:rFonts w:cs="Times New Roman"/>
        </w:rPr>
      </w:pPr>
      <w:r w:rsidRPr="00322E56">
        <w:rPr>
          <w:rFonts w:cs="Times New Roman"/>
        </w:rPr>
        <w:t>Operating Cost</w:t>
      </w:r>
    </w:p>
    <w:p w14:paraId="4A1F7D6B" w14:textId="77777777" w:rsidR="00B3664F" w:rsidRPr="00322E56" w:rsidRDefault="00B3664F" w:rsidP="00B3664F">
      <w:pPr>
        <w:rPr>
          <w:rFonts w:cs="Times New Roman"/>
          <w:lang w:val="en-GB"/>
        </w:rPr>
      </w:pPr>
      <w:r w:rsidRPr="00322E56">
        <w:rPr>
          <w:rFonts w:cs="Times New Roman"/>
          <w:lang w:val="en-GB"/>
        </w:rPr>
        <w:t>The utility cost to cool the building is shown in Figure 5</w:t>
      </w:r>
      <w:r>
        <w:rPr>
          <w:rFonts w:cs="Times New Roman"/>
          <w:lang w:val="en-GB"/>
        </w:rPr>
        <w:t>8</w:t>
      </w:r>
      <w:r w:rsidRPr="00322E56">
        <w:rPr>
          <w:rFonts w:cs="Times New Roman"/>
          <w:lang w:val="en-GB"/>
        </w:rPr>
        <w:t>. Compared to baseline, 12.68% of system operating cost was saved using TES. The baseline system without TES accumulated $112.52 for cooling during the simulated week, while TES accounted for $98.25. In the previous study [6], 20% utility cost was saved using TES. The cost for the present system has increased when additional emission-based controls were introduced. In the control strategy, the emissions peak has precedent over the utility peak. Therefore, cost savings are not as significant as was seen in the previous study when only cost peak was considered.</w:t>
      </w:r>
    </w:p>
    <w:p w14:paraId="177C3D90" w14:textId="77777777" w:rsidR="00B3664F" w:rsidRPr="00322E56" w:rsidRDefault="00B3664F" w:rsidP="004402E3">
      <w:pPr>
        <w:rPr>
          <w:rFonts w:cs="Times New Roman"/>
          <w:lang w:val="en-GB"/>
        </w:rPr>
      </w:pPr>
    </w:p>
    <w:p w14:paraId="317DCF0C" w14:textId="77777777" w:rsidR="00B17E5F" w:rsidRPr="00322E56" w:rsidRDefault="00B17E5F">
      <w:pPr>
        <w:spacing w:line="240" w:lineRule="auto"/>
        <w:rPr>
          <w:rFonts w:cs="Times New Roman"/>
        </w:rPr>
      </w:pPr>
      <w:r w:rsidRPr="00322E56">
        <w:rPr>
          <w:rFonts w:cs="Times New Roman"/>
        </w:rPr>
        <w:br w:type="page"/>
      </w:r>
    </w:p>
    <w:p w14:paraId="34797E94" w14:textId="77777777" w:rsidR="006A6B3E" w:rsidRPr="00322E56" w:rsidRDefault="006A6B3E" w:rsidP="006A6B3E">
      <w:pPr>
        <w:pStyle w:val="Caption"/>
        <w:jc w:val="center"/>
        <w:rPr>
          <w:rFonts w:cs="Times New Roman"/>
        </w:rPr>
      </w:pPr>
      <w:r w:rsidRPr="00322E56">
        <w:rPr>
          <w:rFonts w:cs="Times New Roman"/>
          <w:noProof/>
        </w:rPr>
        <w:drawing>
          <wp:inline distT="0" distB="0" distL="0" distR="0" wp14:anchorId="0EBF4299" wp14:editId="4C824B12">
            <wp:extent cx="5112765" cy="2294565"/>
            <wp:effectExtent l="12700" t="12700" r="18415" b="17145"/>
            <wp:docPr id="55" name="Picture 5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Chart&#10;&#10;Description automatically generated"/>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151808" cy="2312087"/>
                    </a:xfrm>
                    <a:prstGeom prst="rect">
                      <a:avLst/>
                    </a:prstGeom>
                    <a:noFill/>
                    <a:ln>
                      <a:solidFill>
                        <a:schemeClr val="bg2">
                          <a:lumMod val="90000"/>
                        </a:schemeClr>
                      </a:solidFill>
                    </a:ln>
                  </pic:spPr>
                </pic:pic>
              </a:graphicData>
            </a:graphic>
          </wp:inline>
        </w:drawing>
      </w:r>
    </w:p>
    <w:p w14:paraId="6D6AFDF7" w14:textId="48ABF198" w:rsidR="00B17E5F" w:rsidRPr="00322E56" w:rsidRDefault="006A6B3E" w:rsidP="00C711CD">
      <w:pPr>
        <w:pStyle w:val="Heading1"/>
      </w:pPr>
      <w:bookmarkStart w:id="265" w:name="_Toc140399901"/>
      <w:bookmarkStart w:id="266" w:name="_Toc140403924"/>
      <w:r w:rsidRPr="00322E56">
        <w:t xml:space="preserve">Figure </w:t>
      </w:r>
      <w:fldSimple w:instr=" SEQ Figure \* ARABIC ">
        <w:r w:rsidR="00A5526B">
          <w:rPr>
            <w:noProof/>
          </w:rPr>
          <w:t>58</w:t>
        </w:r>
      </w:fldSimple>
      <w:r w:rsidRPr="00322E56">
        <w:t>: Utility Cost reduced using TES</w:t>
      </w:r>
      <w:r>
        <w:t>.</w:t>
      </w:r>
      <w:r w:rsidR="00B17E5F" w:rsidRPr="00322E56">
        <w:br w:type="page"/>
        <w:t>Conclus</w:t>
      </w:r>
      <w:r w:rsidR="00C711CD">
        <w:t>IONS</w:t>
      </w:r>
      <w:bookmarkEnd w:id="265"/>
      <w:bookmarkEnd w:id="266"/>
    </w:p>
    <w:p w14:paraId="3C9DE298" w14:textId="77777777" w:rsidR="00B17E5F" w:rsidRPr="00322E56" w:rsidRDefault="00B17E5F" w:rsidP="00F9369A">
      <w:pPr>
        <w:rPr>
          <w:rFonts w:cs="Times New Roman"/>
          <w:lang w:val="en-GB"/>
        </w:rPr>
      </w:pPr>
      <w:r w:rsidRPr="00322E56">
        <w:rPr>
          <w:rFonts w:cs="Times New Roman"/>
          <w:lang w:val="en-GB"/>
        </w:rPr>
        <w:t xml:space="preserve">The objective of this case study is to assess the carbon emissions reduction potential of HP-TES using a rule-based strategy accounting for marginal grid emissions data and time-of-use utility tariff. An HP-TES configuration was evaluated with an ice/water based PCM coupled to the HP. A vapor compression model was developed using EES, and Excel was used to compute results for the integrated HP-TES system. The analysis was performed for one week of cooling season. The utility cost for cooling was reduced by 12.68% using TES while also maintaining occupant comfort. The total electric consumption was also reduced by 10.19% and 50.2% of peak electric load was shifted to off-peak time. 11.92% of grid emissions were reduced by using TES during emissions and utility peak times defined in the control strategy. The study concluded that while this configuration can still create some economic advantage with a simple control strategy, controls should be further optimized to reduce peak energy consumption.  The analysis was performed for 7 days only, and the results should not be extrapolated for annual savings. This work highlights the potential for reducing grid emissions using a rule-based strategy. </w:t>
      </w:r>
    </w:p>
    <w:p w14:paraId="100AB06C" w14:textId="77777777" w:rsidR="00B17E5F" w:rsidRPr="00322E56" w:rsidRDefault="00B17E5F" w:rsidP="00F9369A">
      <w:pPr>
        <w:rPr>
          <w:rFonts w:cs="Times New Roman"/>
        </w:rPr>
      </w:pPr>
    </w:p>
    <w:p w14:paraId="051ED27D" w14:textId="77777777" w:rsidR="00B17E5F" w:rsidRPr="00322E56" w:rsidRDefault="00B17E5F">
      <w:pPr>
        <w:spacing w:line="240" w:lineRule="auto"/>
        <w:rPr>
          <w:rFonts w:cs="Times New Roman"/>
          <w:b/>
          <w:bCs/>
          <w:iCs/>
          <w:szCs w:val="28"/>
        </w:rPr>
      </w:pPr>
      <w:r w:rsidRPr="00322E56">
        <w:rPr>
          <w:rFonts w:cs="Times New Roman"/>
        </w:rPr>
        <w:br w:type="page"/>
      </w:r>
    </w:p>
    <w:p w14:paraId="0A7DC22E" w14:textId="77777777" w:rsidR="00B17E5F" w:rsidRPr="00322E56" w:rsidRDefault="00B17E5F" w:rsidP="005006B3">
      <w:pPr>
        <w:pStyle w:val="Heading2"/>
        <w:rPr>
          <w:rFonts w:cs="Times New Roman"/>
        </w:rPr>
      </w:pPr>
      <w:bookmarkStart w:id="267" w:name="_Toc140399902"/>
      <w:r w:rsidRPr="00322E56">
        <w:rPr>
          <w:rFonts w:cs="Times New Roman"/>
        </w:rPr>
        <w:t>Annual Simulations</w:t>
      </w:r>
      <w:bookmarkEnd w:id="267"/>
    </w:p>
    <w:p w14:paraId="158F1E1A" w14:textId="77777777" w:rsidR="00B17E5F" w:rsidRPr="00322E56" w:rsidRDefault="00B17E5F" w:rsidP="006E3716">
      <w:pPr>
        <w:ind w:firstLine="360"/>
        <w:rPr>
          <w:rFonts w:cs="Times New Roman"/>
        </w:rPr>
      </w:pPr>
      <w:r w:rsidRPr="00322E56">
        <w:rPr>
          <w:rFonts w:cs="Times New Roman"/>
        </w:rPr>
        <w:t xml:space="preserve">The focus of this work is on developing controls of TES integrated with HP, and modeling the behavior of TES with HP. The preliminary work used a simplified heat pump and building model to evaluate the HP-TES configuration, and reported preliminary results based on a sub-optimal control strategy. The new model improves improve the controls, and sub-models. </w:t>
      </w:r>
    </w:p>
    <w:p w14:paraId="2E82988C" w14:textId="77777777" w:rsidR="00B17E5F" w:rsidRPr="00322E56" w:rsidRDefault="00B17E5F" w:rsidP="000554D7">
      <w:pPr>
        <w:pStyle w:val="Heading3"/>
        <w:rPr>
          <w:rFonts w:cs="Times New Roman"/>
        </w:rPr>
      </w:pPr>
      <w:bookmarkStart w:id="268" w:name="_Toc140399903"/>
      <w:r w:rsidRPr="00322E56">
        <w:rPr>
          <w:rFonts w:cs="Times New Roman"/>
        </w:rPr>
        <w:t>Overview</w:t>
      </w:r>
      <w:bookmarkEnd w:id="268"/>
    </w:p>
    <w:p w14:paraId="6323092D" w14:textId="77777777" w:rsidR="00B17E5F" w:rsidRPr="00322E56" w:rsidRDefault="00B17E5F" w:rsidP="001159E9">
      <w:pPr>
        <w:ind w:firstLine="360"/>
        <w:rPr>
          <w:rFonts w:cs="Times New Roman"/>
        </w:rPr>
      </w:pPr>
      <w:r w:rsidRPr="00322E56">
        <w:rPr>
          <w:rFonts w:cs="Times New Roman"/>
        </w:rPr>
        <w:t>The model comprises of various components connected to the building and R-410a vapor compression system (VCS). A PCM heat exchanger is integrated into the heat pump to modify the vapor compression system and is transferring energy to and from the ambient. Thermostat controls monitor the building indoor temperature. The marginal grid emissions data and electric utility schedule controls the heat pump to heat or cool the building, and charge and discharge the PCM.  TMY 3 weather data is used corresponding to the respective ASHRAE climate zone.</w:t>
      </w:r>
    </w:p>
    <w:p w14:paraId="5223E6C7" w14:textId="77777777" w:rsidR="00B17E5F" w:rsidRPr="00322E56" w:rsidRDefault="00B17E5F" w:rsidP="000554D7">
      <w:pPr>
        <w:pStyle w:val="Heading3"/>
        <w:rPr>
          <w:rFonts w:cs="Times New Roman"/>
        </w:rPr>
      </w:pPr>
      <w:bookmarkStart w:id="269" w:name="_Toc140399904"/>
      <w:r w:rsidRPr="00322E56">
        <w:rPr>
          <w:rFonts w:cs="Times New Roman"/>
        </w:rPr>
        <w:t>MATLAB flow chart</w:t>
      </w:r>
      <w:bookmarkEnd w:id="269"/>
    </w:p>
    <w:p w14:paraId="46593B8E" w14:textId="77777777" w:rsidR="00B17E5F" w:rsidRPr="00322E56" w:rsidRDefault="00B17E5F" w:rsidP="00D108CE">
      <w:pPr>
        <w:ind w:firstLine="720"/>
        <w:rPr>
          <w:rFonts w:cs="Times New Roman"/>
        </w:rPr>
      </w:pPr>
      <w:r w:rsidRPr="00322E56">
        <w:rPr>
          <w:rFonts w:cs="Times New Roman"/>
        </w:rPr>
        <w:t>The building, Vapor Compression Heat Pump (VCHP), PCM-TES, and all the operating modes are modular functions to be integrated in the MAIN file. The thermostat controls are in MAIN file.</w:t>
      </w:r>
    </w:p>
    <w:p w14:paraId="684E9990" w14:textId="77777777" w:rsidR="00B17E5F" w:rsidRDefault="00B17E5F" w:rsidP="00EC39CA">
      <w:pPr>
        <w:ind w:firstLine="720"/>
        <w:rPr>
          <w:rFonts w:cs="Times New Roman"/>
        </w:rPr>
      </w:pPr>
      <w:r>
        <w:rPr>
          <w:rFonts w:cs="Times New Roman"/>
        </w:rPr>
        <w:t xml:space="preserve">Figure 59 shows a simplified MATLAB flow diagram. </w:t>
      </w:r>
      <w:r w:rsidRPr="00322E56">
        <w:rPr>
          <w:rFonts w:cs="Times New Roman"/>
        </w:rPr>
        <w:t>The red arrows that are fed back to the MAIN, refer to updated i+1 values. Tindoor and thermostat determine if the system should call Cooling.m for primary cooling mode or Heating.m for primary heating mode.</w:t>
      </w:r>
      <w:r>
        <w:rPr>
          <w:rFonts w:cs="Times New Roman"/>
        </w:rPr>
        <w:t xml:space="preserve">  A detailed flow chart is also shown in Figure 60.</w:t>
      </w:r>
    </w:p>
    <w:p w14:paraId="2A66277E" w14:textId="77777777" w:rsidR="00B17E5F" w:rsidRDefault="00B17E5F">
      <w:pPr>
        <w:spacing w:line="240" w:lineRule="auto"/>
        <w:rPr>
          <w:rFonts w:cs="Times New Roman"/>
        </w:rPr>
      </w:pPr>
      <w:r>
        <w:rPr>
          <w:rFonts w:cs="Times New Roman"/>
        </w:rPr>
        <w:br w:type="page"/>
      </w:r>
    </w:p>
    <w:p w14:paraId="2C05E21E" w14:textId="77777777" w:rsidR="00B17E5F" w:rsidRDefault="00B17E5F" w:rsidP="007A23B1">
      <w:pPr>
        <w:keepNext/>
        <w:jc w:val="center"/>
      </w:pPr>
      <w:r w:rsidRPr="007A23B1">
        <w:rPr>
          <w:rFonts w:cs="Times New Roman"/>
          <w:noProof/>
        </w:rPr>
        <w:drawing>
          <wp:inline distT="0" distB="0" distL="0" distR="0" wp14:anchorId="33F89138" wp14:editId="61E7EF87">
            <wp:extent cx="5486400" cy="2406015"/>
            <wp:effectExtent l="0" t="0" r="0" b="0"/>
            <wp:docPr id="1024" name="Picture 1024">
              <a:extLst xmlns:a="http://schemas.openxmlformats.org/drawingml/2006/main">
                <a:ext uri="{FF2B5EF4-FFF2-40B4-BE49-F238E27FC236}">
                  <a16:creationId xmlns:a16="http://schemas.microsoft.com/office/drawing/2014/main" id="{22E66A0F-B0D2-FECE-1586-392B787397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0">
                      <a:extLst>
                        <a:ext uri="{FF2B5EF4-FFF2-40B4-BE49-F238E27FC236}">
                          <a16:creationId xmlns:a16="http://schemas.microsoft.com/office/drawing/2014/main" id="{22E66A0F-B0D2-FECE-1586-392B7873976C}"/>
                        </a:ext>
                      </a:extLst>
                    </pic:cNvPr>
                    <pic:cNvPicPr>
                      <a:picLocks noChangeAspect="1"/>
                    </pic:cNvPicPr>
                  </pic:nvPicPr>
                  <pic:blipFill>
                    <a:blip r:embed="rId90"/>
                    <a:stretch>
                      <a:fillRect/>
                    </a:stretch>
                  </pic:blipFill>
                  <pic:spPr>
                    <a:xfrm>
                      <a:off x="0" y="0"/>
                      <a:ext cx="5486400" cy="2406015"/>
                    </a:xfrm>
                    <a:prstGeom prst="rect">
                      <a:avLst/>
                    </a:prstGeom>
                  </pic:spPr>
                </pic:pic>
              </a:graphicData>
            </a:graphic>
          </wp:inline>
        </w:drawing>
      </w:r>
    </w:p>
    <w:p w14:paraId="78C06E77" w14:textId="2C2D0750" w:rsidR="00B17E5F" w:rsidRPr="00835E84" w:rsidRDefault="00B17E5F" w:rsidP="00835E84">
      <w:pPr>
        <w:pStyle w:val="Caption"/>
        <w:jc w:val="center"/>
      </w:pPr>
      <w:bookmarkStart w:id="270" w:name="_Toc140403925"/>
      <w:r>
        <w:t xml:space="preserve">Figure </w:t>
      </w:r>
      <w:fldSimple w:instr=" SEQ Figure \* ARABIC ">
        <w:r w:rsidR="00A5526B">
          <w:rPr>
            <w:noProof/>
          </w:rPr>
          <w:t>59</w:t>
        </w:r>
      </w:fldSimple>
      <w:r>
        <w:t>: Simplified information flow</w:t>
      </w:r>
      <w:bookmarkEnd w:id="270"/>
    </w:p>
    <w:p w14:paraId="095AB5B5" w14:textId="77777777" w:rsidR="00B17E5F" w:rsidRDefault="00B17E5F">
      <w:pPr>
        <w:spacing w:line="240" w:lineRule="auto"/>
        <w:rPr>
          <w:noProof/>
        </w:rPr>
      </w:pPr>
      <w:r>
        <w:rPr>
          <w:noProof/>
        </w:rPr>
        <w:br w:type="page"/>
      </w:r>
    </w:p>
    <w:p w14:paraId="77F99893" w14:textId="77777777" w:rsidR="00B17E5F" w:rsidRDefault="00B17E5F" w:rsidP="000B2567">
      <w:pPr>
        <w:keepNext/>
      </w:pPr>
      <w:r>
        <w:rPr>
          <w:noProof/>
        </w:rPr>
        <w:drawing>
          <wp:inline distT="0" distB="0" distL="0" distR="0" wp14:anchorId="19DCF43F" wp14:editId="4C92E56F">
            <wp:extent cx="5029200" cy="7008492"/>
            <wp:effectExtent l="0" t="0" r="0" b="254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029200" cy="7008492"/>
                    </a:xfrm>
                    <a:prstGeom prst="rect">
                      <a:avLst/>
                    </a:prstGeom>
                  </pic:spPr>
                </pic:pic>
              </a:graphicData>
            </a:graphic>
          </wp:inline>
        </w:drawing>
      </w:r>
    </w:p>
    <w:p w14:paraId="3D5F259B" w14:textId="3F41E469" w:rsidR="00B17E5F" w:rsidRPr="00322E56" w:rsidRDefault="00B17E5F" w:rsidP="000B2567">
      <w:pPr>
        <w:pStyle w:val="Caption"/>
        <w:jc w:val="center"/>
        <w:rPr>
          <w:rFonts w:cs="Times New Roman"/>
        </w:rPr>
      </w:pPr>
      <w:bookmarkStart w:id="271" w:name="_Toc140403926"/>
      <w:r>
        <w:t xml:space="preserve">Figure </w:t>
      </w:r>
      <w:fldSimple w:instr=" SEQ Figure \* ARABIC ">
        <w:r w:rsidR="00A5526B">
          <w:rPr>
            <w:noProof/>
          </w:rPr>
          <w:t>60</w:t>
        </w:r>
      </w:fldSimple>
      <w:r>
        <w:t>: MATLAB Model flow</w:t>
      </w:r>
      <w:bookmarkEnd w:id="271"/>
    </w:p>
    <w:p w14:paraId="06327BDC" w14:textId="77777777" w:rsidR="00B17E5F" w:rsidRPr="00322E56" w:rsidRDefault="00B17E5F" w:rsidP="00106169">
      <w:pPr>
        <w:pStyle w:val="Heading3"/>
        <w:rPr>
          <w:rFonts w:cs="Times New Roman"/>
        </w:rPr>
      </w:pPr>
      <w:bookmarkStart w:id="272" w:name="_Toc140399905"/>
      <w:r w:rsidRPr="00322E56">
        <w:rPr>
          <w:rFonts w:cs="Times New Roman"/>
        </w:rPr>
        <w:t>Thermostat model</w:t>
      </w:r>
      <w:bookmarkEnd w:id="272"/>
    </w:p>
    <w:p w14:paraId="2B0ADB45" w14:textId="35811DA6" w:rsidR="00B17E5F" w:rsidRPr="00322E56" w:rsidRDefault="00874508" w:rsidP="00600423">
      <w:pPr>
        <w:rPr>
          <w:rFonts w:cs="Times New Roman"/>
        </w:rPr>
      </w:pPr>
      <w:r>
        <w:rPr>
          <w:rFonts w:cs="Times New Roman"/>
        </w:rPr>
        <w:t xml:space="preserve">Table 20 and </w:t>
      </w:r>
      <w:r w:rsidR="00B17E5F" w:rsidRPr="00322E56">
        <w:rPr>
          <w:rFonts w:cs="Times New Roman"/>
        </w:rPr>
        <w:t xml:space="preserve">Figure </w:t>
      </w:r>
      <w:r w:rsidR="00B17E5F">
        <w:rPr>
          <w:rFonts w:cs="Times New Roman"/>
        </w:rPr>
        <w:t xml:space="preserve">61 </w:t>
      </w:r>
      <w:r w:rsidR="00B17E5F" w:rsidRPr="00322E56">
        <w:rPr>
          <w:rFonts w:cs="Times New Roman"/>
        </w:rPr>
        <w:t xml:space="preserve">shows the </w:t>
      </w:r>
      <w:r w:rsidR="00B17E5F">
        <w:rPr>
          <w:rFonts w:cs="Times New Roman"/>
        </w:rPr>
        <w:t>main indoor setpoint temperatures and respective modes</w:t>
      </w:r>
      <w:r w:rsidR="00B17E5F" w:rsidRPr="00322E56">
        <w:rPr>
          <w:rFonts w:cs="Times New Roman"/>
        </w:rPr>
        <w:t xml:space="preserve">. </w:t>
      </w:r>
      <w:r w:rsidR="00B17E5F">
        <w:rPr>
          <w:rFonts w:cs="Times New Roman"/>
        </w:rPr>
        <w:t xml:space="preserve">We use a variable named </w:t>
      </w:r>
      <w:r w:rsidR="00B17E5F" w:rsidRPr="00322E56">
        <w:rPr>
          <w:rFonts w:cs="Times New Roman"/>
        </w:rPr>
        <w:t xml:space="preserve">Th-call </w:t>
      </w:r>
      <w:r w:rsidR="00B17E5F">
        <w:rPr>
          <w:rFonts w:cs="Times New Roman"/>
        </w:rPr>
        <w:t xml:space="preserve">that </w:t>
      </w:r>
      <w:r w:rsidR="00B17E5F" w:rsidRPr="00322E56">
        <w:rPr>
          <w:rFonts w:cs="Times New Roman"/>
        </w:rPr>
        <w:t xml:space="preserve">refers to thermostat call, i.e., whether the thermostat is calling for heating or cooling. Th-call has </w:t>
      </w:r>
      <w:r w:rsidR="00B17E5F">
        <w:rPr>
          <w:rFonts w:cs="Times New Roman"/>
        </w:rPr>
        <w:t>5</w:t>
      </w:r>
      <w:r w:rsidR="00B17E5F" w:rsidRPr="00322E56">
        <w:rPr>
          <w:rFonts w:cs="Times New Roman"/>
        </w:rPr>
        <w:t xml:space="preserve"> values,</w:t>
      </w:r>
    </w:p>
    <w:p w14:paraId="5A8AAC33" w14:textId="77777777" w:rsidR="00B17E5F" w:rsidRPr="00322E56" w:rsidRDefault="00B17E5F" w:rsidP="00106169">
      <w:pPr>
        <w:pStyle w:val="ListParagraph"/>
        <w:numPr>
          <w:ilvl w:val="0"/>
          <w:numId w:val="20"/>
        </w:numPr>
        <w:spacing w:before="0" w:after="0"/>
        <w:rPr>
          <w:rFonts w:cs="Times New Roman"/>
        </w:rPr>
      </w:pPr>
      <w:r w:rsidRPr="00322E56">
        <w:rPr>
          <w:rFonts w:cs="Times New Roman"/>
        </w:rPr>
        <w:t>Th-call = 0 means cooling not needed</w:t>
      </w:r>
    </w:p>
    <w:p w14:paraId="14FCFAF8" w14:textId="77777777" w:rsidR="00B17E5F" w:rsidRPr="00322E56" w:rsidRDefault="00B17E5F" w:rsidP="00106169">
      <w:pPr>
        <w:pStyle w:val="ListParagraph"/>
        <w:numPr>
          <w:ilvl w:val="0"/>
          <w:numId w:val="20"/>
        </w:numPr>
        <w:spacing w:before="0" w:after="0"/>
        <w:rPr>
          <w:rFonts w:cs="Times New Roman"/>
        </w:rPr>
      </w:pPr>
      <w:r w:rsidRPr="00322E56">
        <w:rPr>
          <w:rFonts w:cs="Times New Roman"/>
        </w:rPr>
        <w:t>Th-call = 1 means cooling is needed</w:t>
      </w:r>
    </w:p>
    <w:p w14:paraId="4834B8C9" w14:textId="77777777" w:rsidR="00B17E5F" w:rsidRPr="00322E56" w:rsidRDefault="00B17E5F" w:rsidP="00106169">
      <w:pPr>
        <w:pStyle w:val="ListParagraph"/>
        <w:numPr>
          <w:ilvl w:val="0"/>
          <w:numId w:val="20"/>
        </w:numPr>
        <w:spacing w:before="0" w:after="0"/>
        <w:rPr>
          <w:rFonts w:cs="Times New Roman"/>
        </w:rPr>
      </w:pPr>
      <w:r w:rsidRPr="00322E56">
        <w:rPr>
          <w:rFonts w:cs="Times New Roman"/>
        </w:rPr>
        <w:t>Th-call = -1 means heating is needed</w:t>
      </w:r>
    </w:p>
    <w:p w14:paraId="29A1D5CE" w14:textId="77777777" w:rsidR="00B17E5F" w:rsidRDefault="00B17E5F" w:rsidP="00106169">
      <w:pPr>
        <w:pStyle w:val="ListParagraph"/>
        <w:numPr>
          <w:ilvl w:val="0"/>
          <w:numId w:val="20"/>
        </w:numPr>
        <w:spacing w:before="0" w:after="0"/>
        <w:rPr>
          <w:rFonts w:cs="Times New Roman"/>
        </w:rPr>
      </w:pPr>
      <w:r w:rsidRPr="00322E56">
        <w:rPr>
          <w:rFonts w:cs="Times New Roman"/>
        </w:rPr>
        <w:t>Th-call = 10 means heating is not needed</w:t>
      </w:r>
    </w:p>
    <w:p w14:paraId="4094110F" w14:textId="77777777" w:rsidR="00B17E5F" w:rsidRPr="00AC586E" w:rsidRDefault="00B17E5F" w:rsidP="00AC586E">
      <w:pPr>
        <w:pStyle w:val="ListParagraph"/>
        <w:numPr>
          <w:ilvl w:val="0"/>
          <w:numId w:val="20"/>
        </w:numPr>
        <w:spacing w:before="0" w:after="0"/>
        <w:rPr>
          <w:rFonts w:cs="Times New Roman"/>
        </w:rPr>
      </w:pPr>
      <w:r w:rsidRPr="00322E56">
        <w:rPr>
          <w:rFonts w:cs="Times New Roman"/>
        </w:rPr>
        <w:t xml:space="preserve">Th-call = </w:t>
      </w:r>
      <w:r>
        <w:rPr>
          <w:rFonts w:cs="Times New Roman"/>
        </w:rPr>
        <w:t>-</w:t>
      </w:r>
      <w:r w:rsidRPr="00322E56">
        <w:rPr>
          <w:rFonts w:cs="Times New Roman"/>
        </w:rPr>
        <w:t xml:space="preserve">10 means </w:t>
      </w:r>
      <w:r>
        <w:rPr>
          <w:rFonts w:cs="Times New Roman"/>
        </w:rPr>
        <w:t xml:space="preserve">auxiliary </w:t>
      </w:r>
      <w:r w:rsidRPr="00322E56">
        <w:rPr>
          <w:rFonts w:cs="Times New Roman"/>
        </w:rPr>
        <w:t>heating is needed</w:t>
      </w:r>
    </w:p>
    <w:p w14:paraId="0B5F4265" w14:textId="77777777" w:rsidR="00B17E5F" w:rsidRDefault="00B17E5F" w:rsidP="00D04F4F">
      <w:pPr>
        <w:rPr>
          <w:rFonts w:cs="Times New Roman"/>
        </w:rPr>
      </w:pPr>
      <w:r w:rsidRPr="00322E56">
        <w:rPr>
          <w:rFonts w:cs="Times New Roman"/>
        </w:rPr>
        <w:t>Th-call is determined by indoor temperature, T</w:t>
      </w:r>
      <w:r w:rsidRPr="00322E56">
        <w:rPr>
          <w:rFonts w:cs="Times New Roman"/>
          <w:vertAlign w:val="subscript"/>
        </w:rPr>
        <w:t>indoor</w:t>
      </w:r>
      <w:r w:rsidRPr="00322E56">
        <w:rPr>
          <w:rFonts w:cs="Times New Roman"/>
        </w:rPr>
        <w:t xml:space="preserve">, and set point temperatures for both heating and cooling modes. The operating modes for both heating and cooling are separate functions and are determined by </w:t>
      </w:r>
      <w:r>
        <w:rPr>
          <w:rFonts w:cs="Times New Roman"/>
        </w:rPr>
        <w:t>controls logic</w:t>
      </w:r>
      <w:r w:rsidRPr="00322E56">
        <w:rPr>
          <w:rFonts w:cs="Times New Roman"/>
        </w:rPr>
        <w:t>.</w:t>
      </w:r>
    </w:p>
    <w:p w14:paraId="6082DD47" w14:textId="6DF22735" w:rsidR="00B17E5F" w:rsidRDefault="00B17E5F" w:rsidP="00D04F4F">
      <w:pPr>
        <w:rPr>
          <w:rFonts w:cs="Times New Roman"/>
        </w:rPr>
      </w:pPr>
      <w:r>
        <w:rPr>
          <w:rFonts w:cs="Times New Roman"/>
        </w:rPr>
        <w:t>Figure 62 shows the models that were integrated into MATLAB for HP-TES analysis. A</w:t>
      </w:r>
      <w:r w:rsidR="006A6B3E">
        <w:rPr>
          <w:rFonts w:cs="Times New Roman"/>
        </w:rPr>
        <w:t>n existing</w:t>
      </w:r>
      <w:r>
        <w:rPr>
          <w:rFonts w:cs="Times New Roman"/>
        </w:rPr>
        <w:t xml:space="preserve"> validated building model </w:t>
      </w:r>
      <w:r w:rsidR="006A6B3E">
        <w:rPr>
          <w:rFonts w:cs="Times New Roman"/>
        </w:rPr>
        <w:t xml:space="preserve">provided by Cui et al. </w:t>
      </w:r>
      <w:sdt>
        <w:sdtPr>
          <w:rPr>
            <w:rFonts w:cs="Times New Roman"/>
            <w:color w:val="000000"/>
          </w:rPr>
          <w:tag w:val="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"/>
          <w:id w:val="575397211"/>
          <w:placeholder>
            <w:docPart w:val="4D3192F8A22EAF4BB9D1788E7737DB17"/>
          </w:placeholder>
        </w:sdtPr>
        <w:sdtContent>
          <w:r w:rsidR="001E7ECF" w:rsidRPr="001E7ECF">
            <w:rPr>
              <w:rFonts w:cs="Times New Roman"/>
              <w:color w:val="000000"/>
            </w:rPr>
            <w:t>[212]–[214]</w:t>
          </w:r>
        </w:sdtContent>
      </w:sdt>
      <w:r w:rsidR="006A6B3E">
        <w:rPr>
          <w:rFonts w:cs="Times New Roman"/>
        </w:rPr>
        <w:t xml:space="preserve"> as a python code </w:t>
      </w:r>
      <w:r>
        <w:rPr>
          <w:rFonts w:cs="Times New Roman"/>
        </w:rPr>
        <w:t xml:space="preserve">was </w:t>
      </w:r>
      <w:r w:rsidR="006A6B3E">
        <w:rPr>
          <w:rFonts w:cs="Times New Roman"/>
        </w:rPr>
        <w:t>integrated into the developed model as a MATLAB function. The HP and PCM model functions were written in MATLAB.</w:t>
      </w:r>
    </w:p>
    <w:p w14:paraId="3288157B" w14:textId="77777777" w:rsidR="00600423" w:rsidRPr="00322E56" w:rsidRDefault="00600423" w:rsidP="00600423">
      <w:pPr>
        <w:pStyle w:val="Heading3"/>
        <w:rPr>
          <w:rFonts w:cs="Times New Roman"/>
        </w:rPr>
      </w:pPr>
      <w:bookmarkStart w:id="273" w:name="_Toc140399906"/>
      <w:r w:rsidRPr="00322E56">
        <w:rPr>
          <w:rFonts w:cs="Times New Roman"/>
        </w:rPr>
        <w:t>Building Model</w:t>
      </w:r>
      <w:bookmarkEnd w:id="273"/>
    </w:p>
    <w:p w14:paraId="74B6FCAB" w14:textId="78202522" w:rsidR="00600423" w:rsidRDefault="00600423" w:rsidP="00600423">
      <w:pPr>
        <w:ind w:firstLine="540"/>
        <w:rPr>
          <w:rFonts w:cs="Times New Roman"/>
        </w:rPr>
      </w:pPr>
      <w:r w:rsidRPr="00322E56">
        <w:rPr>
          <w:rFonts w:cs="Times New Roman"/>
        </w:rPr>
        <w:t>The preliminary model use</w:t>
      </w:r>
      <w:r>
        <w:rPr>
          <w:rFonts w:cs="Times New Roman"/>
        </w:rPr>
        <w:t>d</w:t>
      </w:r>
      <w:r w:rsidRPr="00322E56">
        <w:rPr>
          <w:rFonts w:cs="Times New Roman"/>
        </w:rPr>
        <w:t xml:space="preserve"> a simplified building model to simulate the thermal response of the building by calculating the indoor temperature. The reason for using simplified model was to report the preliminary results by analyzing the HP-TES configuration and developing control strategies for maximized cost savings and demand reduction.</w:t>
      </w:r>
      <w:r>
        <w:rPr>
          <w:rFonts w:cs="Times New Roman"/>
        </w:rPr>
        <w:t xml:space="preserve"> The new model used equations from a validated RC building model by Cui et al. </w:t>
      </w:r>
      <w:sdt>
        <w:sdtPr>
          <w:rPr>
            <w:rFonts w:cs="Times New Roman"/>
            <w:color w:val="000000"/>
          </w:rPr>
          <w:tag w:val="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"/>
          <w:id w:val="-1448622135"/>
          <w:placeholder>
            <w:docPart w:val="20BEAAFE486841B7A0FAE1AB9AD2768C"/>
          </w:placeholder>
        </w:sdtPr>
        <w:sdtContent>
          <w:r w:rsidR="001E7ECF" w:rsidRPr="001E7ECF">
            <w:rPr>
              <w:rFonts w:cs="Times New Roman"/>
              <w:color w:val="000000"/>
            </w:rPr>
            <w:t>[212]–[214]</w:t>
          </w:r>
        </w:sdtContent>
      </w:sdt>
      <w:r>
        <w:rPr>
          <w:rFonts w:cs="Times New Roman"/>
        </w:rPr>
        <w:t xml:space="preserve"> and implemented in MATLAB. The values for model were taken from Jason et al. </w:t>
      </w:r>
      <w:sdt>
        <w:sdtPr>
          <w:rPr>
            <w:rFonts w:cs="Times New Roman"/>
            <w:color w:val="000000"/>
          </w:rPr>
          <w:tag w:val="MENDELEY_CITATION_v3_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"/>
          <w:id w:val="1398019841"/>
          <w:placeholder>
            <w:docPart w:val="20BEAAFE486841B7A0FAE1AB9AD2768C"/>
          </w:placeholder>
        </w:sdtPr>
        <w:sdtContent>
          <w:r w:rsidR="001E7ECF" w:rsidRPr="001E7ECF">
            <w:rPr>
              <w:rFonts w:cs="Times New Roman"/>
              <w:color w:val="000000"/>
            </w:rPr>
            <w:t>[215]</w:t>
          </w:r>
        </w:sdtContent>
      </w:sdt>
      <w:r>
        <w:rPr>
          <w:rFonts w:cs="Times New Roman"/>
        </w:rPr>
        <w:t xml:space="preserve"> and same values were used for all climate zones for the sake of simplicity (shown in Table 2</w:t>
      </w:r>
      <w:r w:rsidR="00874508">
        <w:rPr>
          <w:rFonts w:cs="Times New Roman"/>
        </w:rPr>
        <w:t>1</w:t>
      </w:r>
      <w:r>
        <w:rPr>
          <w:rFonts w:cs="Times New Roman"/>
        </w:rPr>
        <w:t>).</w:t>
      </w:r>
      <w:r w:rsidR="00E01184">
        <w:rPr>
          <w:rFonts w:cs="Times New Roman"/>
        </w:rPr>
        <w:t xml:space="preserve"> </w:t>
      </w:r>
      <w:r w:rsidR="00BC0719">
        <w:rPr>
          <w:rFonts w:cs="Times New Roman"/>
        </w:rPr>
        <w:t>Table 22 shows the buildings selected for this analysis.</w:t>
      </w:r>
    </w:p>
    <w:p w14:paraId="7FF5416A" w14:textId="7EDB7943" w:rsidR="00F33878" w:rsidRDefault="00F33878">
      <w:pPr>
        <w:spacing w:before="0" w:line="240" w:lineRule="auto"/>
        <w:ind w:firstLine="0"/>
        <w:jc w:val="left"/>
        <w:rPr>
          <w:rFonts w:cs="Times New Roman"/>
        </w:rPr>
      </w:pPr>
      <w:r>
        <w:rPr>
          <w:rFonts w:cs="Times New Roman"/>
        </w:rPr>
        <w:br w:type="page"/>
      </w:r>
    </w:p>
    <w:bookmarkStart w:id="274" w:name="_Toc140399960"/>
    <w:p w14:paraId="6B28113E" w14:textId="1D62871B" w:rsidR="00874508" w:rsidRDefault="00D64D42" w:rsidP="00874508">
      <w:pPr>
        <w:pStyle w:val="Caption"/>
        <w:jc w:val="center"/>
      </w:pPr>
      <w:r>
        <w:rPr>
          <w:rFonts w:cs="Times New Roman"/>
          <w:noProof/>
        </w:rPr>
        <mc:AlternateContent>
          <mc:Choice Requires="wps">
            <w:drawing>
              <wp:anchor distT="0" distB="0" distL="114300" distR="114300" simplePos="0" relativeHeight="251660288" behindDoc="0" locked="0" layoutInCell="1" allowOverlap="1" wp14:anchorId="2D3B66F3" wp14:editId="232913AE">
                <wp:simplePos x="0" y="0"/>
                <wp:positionH relativeFrom="column">
                  <wp:posOffset>-466171</wp:posOffset>
                </wp:positionH>
                <wp:positionV relativeFrom="paragraph">
                  <wp:posOffset>2418799</wp:posOffset>
                </wp:positionV>
                <wp:extent cx="1576799" cy="398780"/>
                <wp:effectExtent l="4763" t="0" r="15557" b="15558"/>
                <wp:wrapNone/>
                <wp:docPr id="847164498" name="Text Box 4"/>
                <wp:cNvGraphicFramePr/>
                <a:graphic xmlns:a="http://schemas.openxmlformats.org/drawingml/2006/main">
                  <a:graphicData uri="http://schemas.microsoft.com/office/word/2010/wordprocessingShape">
                    <wps:wsp>
                      <wps:cNvSpPr txBox="1"/>
                      <wps:spPr>
                        <a:xfrm rot="16200000">
                          <a:off x="0" y="0"/>
                          <a:ext cx="1576799" cy="398780"/>
                        </a:xfrm>
                        <a:prstGeom prst="rect">
                          <a:avLst/>
                        </a:prstGeom>
                        <a:solidFill>
                          <a:schemeClr val="lt1"/>
                        </a:solidFill>
                        <a:ln w="6350">
                          <a:solidFill>
                            <a:prstClr val="black"/>
                          </a:solidFill>
                        </a:ln>
                      </wps:spPr>
                      <wps:txbx>
                        <w:txbxContent>
                          <w:p w14:paraId="41E3B2E2" w14:textId="673BCEE9" w:rsidR="001962A0" w:rsidRPr="001962A0" w:rsidRDefault="005565EA" w:rsidP="001962A0">
                            <w:pPr>
                              <w:ind w:firstLine="0"/>
                              <w:rPr>
                                <w:b/>
                                <w:bCs/>
                                <w:vertAlign w:val="subscript"/>
                              </w:rPr>
                            </w:pPr>
                            <w:r>
                              <w:rPr>
                                <w:b/>
                                <w:bCs/>
                              </w:rPr>
                              <w:t xml:space="preserve">Indoor </w:t>
                            </w:r>
                            <w:r w:rsidR="001962A0">
                              <w:rPr>
                                <w:b/>
                                <w:bCs/>
                              </w:rPr>
                              <w:t>Temperature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3B66F3" id="Text Box 4" o:spid="_x0000_s1028" type="#_x0000_t202" style="position:absolute;left:0;text-align:left;margin-left:-36.7pt;margin-top:190.45pt;width:124.15pt;height:31.4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" fillcolor="white [3201]" strokeweight=".5pt">
                <v:textbox>
                  <w:txbxContent>
                    <w:p w14:paraId="41E3B2E2" w14:textId="673BCEE9" w:rsidR="001962A0" w:rsidRPr="001962A0" w:rsidRDefault="005565EA" w:rsidP="001962A0">
                      <w:pPr>
                        <w:ind w:firstLine="0"/>
                        <w:rPr>
                          <w:b/>
                          <w:bCs/>
                          <w:vertAlign w:val="subscript"/>
                        </w:rPr>
                      </w:pPr>
                      <w:r>
                        <w:rPr>
                          <w:b/>
                          <w:bCs/>
                        </w:rPr>
                        <w:t xml:space="preserve">Indoor </w:t>
                      </w:r>
                      <w:r w:rsidR="001962A0">
                        <w:rPr>
                          <w:b/>
                          <w:bCs/>
                        </w:rPr>
                        <w:t>Temperature</w:t>
                      </w:r>
                    </w:p>
                  </w:txbxContent>
                </v:textbox>
              </v:shape>
            </w:pict>
          </mc:Fallback>
        </mc:AlternateContent>
      </w:r>
      <w:r>
        <w:rPr>
          <w:rFonts w:cs="Times New Roman"/>
          <w:noProof/>
        </w:rPr>
        <mc:AlternateContent>
          <mc:Choice Requires="wps">
            <w:drawing>
              <wp:anchor distT="0" distB="0" distL="114300" distR="114300" simplePos="0" relativeHeight="251659264" behindDoc="0" locked="0" layoutInCell="1" allowOverlap="1" wp14:anchorId="711AE6AD" wp14:editId="050AD071">
                <wp:simplePos x="0" y="0"/>
                <wp:positionH relativeFrom="column">
                  <wp:posOffset>597092</wp:posOffset>
                </wp:positionH>
                <wp:positionV relativeFrom="paragraph">
                  <wp:posOffset>1771044</wp:posOffset>
                </wp:positionV>
                <wp:extent cx="184826" cy="1653702"/>
                <wp:effectExtent l="38100" t="25400" r="31115" b="10160"/>
                <wp:wrapNone/>
                <wp:docPr id="399076779" name="Down Arrow 2"/>
                <wp:cNvGraphicFramePr/>
                <a:graphic xmlns:a="http://schemas.openxmlformats.org/drawingml/2006/main">
                  <a:graphicData uri="http://schemas.microsoft.com/office/word/2010/wordprocessingShape">
                    <wps:wsp>
                      <wps:cNvSpPr/>
                      <wps:spPr>
                        <a:xfrm rot="10800000">
                          <a:off x="0" y="0"/>
                          <a:ext cx="184826" cy="1653702"/>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776FA8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 o:spid="_x0000_s1026" type="#_x0000_t67" style="position:absolute;margin-left:47pt;margin-top:139.45pt;width:14.55pt;height:130.2pt;rotation:180;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" adj="20393" fillcolor="black [3200]" strokecolor="black [1600]" strokeweight="2pt"/>
            </w:pict>
          </mc:Fallback>
        </mc:AlternateContent>
      </w:r>
      <w:r w:rsidR="00874508">
        <w:t xml:space="preserve">Table </w:t>
      </w:r>
      <w:fldSimple w:instr=" SEQ Table \* ARABIC ">
        <w:r w:rsidR="00FC25C0">
          <w:rPr>
            <w:noProof/>
          </w:rPr>
          <w:t>20</w:t>
        </w:r>
      </w:fldSimple>
      <w:r w:rsidR="00874508">
        <w:t>: Thermostat logic to trigger actions at T</w:t>
      </w:r>
      <w:r w:rsidR="00874508" w:rsidRPr="00874508">
        <w:rPr>
          <w:vertAlign w:val="subscript"/>
        </w:rPr>
        <w:t>indoor</w:t>
      </w:r>
      <w:r w:rsidR="005565EA" w:rsidRPr="005565EA">
        <w:t>,</w:t>
      </w:r>
      <w:r w:rsidR="00874508">
        <w:t xml:space="preserve"> s</w:t>
      </w:r>
      <w:r w:rsidR="00874508" w:rsidRPr="009305C4">
        <w:t xml:space="preserve">etpoint, </w:t>
      </w:r>
      <w:r w:rsidR="00874508">
        <w:t xml:space="preserve">and </w:t>
      </w:r>
      <w:r w:rsidR="00874508" w:rsidRPr="009305C4">
        <w:t>deadband</w:t>
      </w:r>
      <w:r w:rsidR="00874508">
        <w:t>.</w:t>
      </w:r>
      <w:bookmarkEnd w:id="274"/>
    </w:p>
    <w:tbl>
      <w:tblPr>
        <w:tblStyle w:val="TableGrid"/>
        <w:tblW w:w="7198" w:type="dxa"/>
        <w:tblInd w:w="145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5"/>
        <w:gridCol w:w="4783"/>
      </w:tblGrid>
      <w:tr w:rsidR="004673AB" w:rsidRPr="001962A0" w14:paraId="5CC16A4B" w14:textId="77777777" w:rsidTr="00D64D42">
        <w:trPr>
          <w:trHeight w:val="74"/>
        </w:trPr>
        <w:tc>
          <w:tcPr>
            <w:tcW w:w="2415" w:type="dxa"/>
            <w:tcBorders>
              <w:top w:val="nil"/>
              <w:bottom w:val="single" w:sz="4" w:space="0" w:color="auto"/>
              <w:right w:val="single" w:sz="4" w:space="0" w:color="auto"/>
            </w:tcBorders>
          </w:tcPr>
          <w:p w14:paraId="7F006C33" w14:textId="524564B0" w:rsidR="00B01C61" w:rsidRPr="001962A0" w:rsidRDefault="001962A0" w:rsidP="004673AB">
            <w:pPr>
              <w:spacing w:before="0" w:line="240" w:lineRule="auto"/>
              <w:ind w:firstLine="0"/>
              <w:jc w:val="left"/>
              <w:rPr>
                <w:rFonts w:cs="Times New Roman"/>
                <w:b/>
                <w:bCs/>
              </w:rPr>
            </w:pPr>
            <w:r w:rsidRPr="001962A0">
              <w:rPr>
                <w:rFonts w:cs="Times New Roman"/>
                <w:b/>
                <w:bCs/>
              </w:rPr>
              <w:t>Thermostat</w:t>
            </w:r>
          </w:p>
          <w:p w14:paraId="366203FF" w14:textId="6A1C67DD" w:rsidR="004673AB" w:rsidRPr="001962A0" w:rsidRDefault="004673AB" w:rsidP="004673AB">
            <w:pPr>
              <w:spacing w:before="0" w:line="240" w:lineRule="auto"/>
              <w:ind w:firstLine="0"/>
              <w:jc w:val="left"/>
              <w:rPr>
                <w:rFonts w:cs="Times New Roman"/>
                <w:b/>
                <w:bCs/>
              </w:rPr>
            </w:pPr>
          </w:p>
        </w:tc>
        <w:tc>
          <w:tcPr>
            <w:tcW w:w="4783" w:type="dxa"/>
            <w:tcBorders>
              <w:top w:val="nil"/>
              <w:left w:val="single" w:sz="4" w:space="0" w:color="auto"/>
              <w:bottom w:val="single" w:sz="4" w:space="0" w:color="auto"/>
            </w:tcBorders>
            <w:vAlign w:val="center"/>
          </w:tcPr>
          <w:p w14:paraId="77A60B12" w14:textId="013F4DEA" w:rsidR="00B01C61" w:rsidRPr="001962A0" w:rsidRDefault="001962A0" w:rsidP="00A8340F">
            <w:pPr>
              <w:spacing w:before="0" w:line="240" w:lineRule="auto"/>
              <w:ind w:firstLine="0"/>
              <w:jc w:val="center"/>
              <w:rPr>
                <w:rFonts w:cs="Times New Roman"/>
                <w:b/>
                <w:bCs/>
              </w:rPr>
            </w:pPr>
            <w:r w:rsidRPr="001962A0">
              <w:rPr>
                <w:rFonts w:cs="Times New Roman"/>
                <w:b/>
                <w:bCs/>
              </w:rPr>
              <w:t>Action</w:t>
            </w:r>
          </w:p>
          <w:p w14:paraId="69402467" w14:textId="5EF13DD8" w:rsidR="004673AB" w:rsidRPr="001962A0" w:rsidRDefault="004673AB" w:rsidP="00A8340F">
            <w:pPr>
              <w:spacing w:before="0" w:line="240" w:lineRule="auto"/>
              <w:ind w:firstLine="0"/>
              <w:jc w:val="center"/>
              <w:rPr>
                <w:rFonts w:cs="Times New Roman"/>
                <w:b/>
                <w:bCs/>
              </w:rPr>
            </w:pPr>
          </w:p>
        </w:tc>
      </w:tr>
      <w:tr w:rsidR="00A8340F" w:rsidRPr="001962A0" w14:paraId="1B3B73D2" w14:textId="77777777" w:rsidTr="00D64D42">
        <w:trPr>
          <w:trHeight w:val="557"/>
        </w:trPr>
        <w:tc>
          <w:tcPr>
            <w:tcW w:w="2415" w:type="dxa"/>
            <w:tcBorders>
              <w:top w:val="single" w:sz="4" w:space="0" w:color="auto"/>
              <w:bottom w:val="single" w:sz="4" w:space="0" w:color="auto"/>
              <w:right w:val="single" w:sz="4" w:space="0" w:color="auto"/>
            </w:tcBorders>
          </w:tcPr>
          <w:p w14:paraId="23575CAD" w14:textId="18E11B14" w:rsidR="00A8340F" w:rsidRPr="001962A0" w:rsidRDefault="001962A0" w:rsidP="004673AB">
            <w:pPr>
              <w:spacing w:before="0" w:line="240" w:lineRule="auto"/>
              <w:ind w:firstLine="0"/>
              <w:jc w:val="left"/>
              <w:rPr>
                <w:rFonts w:cs="Times New Roman"/>
                <w:b/>
                <w:bCs/>
              </w:rPr>
            </w:pPr>
            <w:r w:rsidRPr="001962A0">
              <w:rPr>
                <w:rFonts w:cs="Times New Roman"/>
                <w:b/>
                <w:bCs/>
              </w:rPr>
              <w:t>+Cooling Deadband</w:t>
            </w:r>
          </w:p>
          <w:p w14:paraId="5CADBBBD" w14:textId="77777777" w:rsidR="00A8340F" w:rsidRPr="001962A0" w:rsidRDefault="00A8340F" w:rsidP="004673AB">
            <w:pPr>
              <w:spacing w:before="0" w:line="240" w:lineRule="auto"/>
              <w:ind w:firstLine="0"/>
              <w:jc w:val="left"/>
              <w:rPr>
                <w:rFonts w:cs="Times New Roman"/>
                <w:b/>
                <w:bCs/>
              </w:rPr>
            </w:pPr>
          </w:p>
          <w:p w14:paraId="1F2C4654" w14:textId="6EF7CCC6" w:rsidR="00A8340F" w:rsidRPr="001962A0" w:rsidRDefault="00A8340F" w:rsidP="004673AB">
            <w:pPr>
              <w:spacing w:before="0" w:line="240" w:lineRule="auto"/>
              <w:ind w:firstLine="0"/>
              <w:jc w:val="left"/>
              <w:rPr>
                <w:rFonts w:cs="Times New Roman"/>
                <w:b/>
                <w:bCs/>
              </w:rPr>
            </w:pPr>
            <w:r w:rsidRPr="001962A0">
              <w:rPr>
                <w:rFonts w:cs="Times New Roman"/>
                <w:b/>
                <w:bCs/>
              </w:rPr>
              <w:t>Cooling Setpoint</w:t>
            </w:r>
          </w:p>
        </w:tc>
        <w:tc>
          <w:tcPr>
            <w:tcW w:w="4783" w:type="dxa"/>
            <w:vMerge w:val="restart"/>
            <w:tcBorders>
              <w:top w:val="single" w:sz="4" w:space="0" w:color="auto"/>
              <w:left w:val="single" w:sz="4" w:space="0" w:color="auto"/>
            </w:tcBorders>
            <w:vAlign w:val="center"/>
          </w:tcPr>
          <w:p w14:paraId="0092CFD3" w14:textId="4A91002E" w:rsidR="00A8340F" w:rsidRPr="001962A0" w:rsidRDefault="001962A0" w:rsidP="00A8340F">
            <w:pPr>
              <w:spacing w:before="0" w:line="240" w:lineRule="auto"/>
              <w:ind w:firstLine="0"/>
              <w:jc w:val="center"/>
              <w:rPr>
                <w:rFonts w:cs="Times New Roman"/>
              </w:rPr>
            </w:pPr>
            <w:r w:rsidRPr="001962A0">
              <w:rPr>
                <w:rFonts w:cs="Times New Roman"/>
              </w:rPr>
              <w:t>Cool until indoor temperature reaches cooling Deadband</w:t>
            </w:r>
          </w:p>
        </w:tc>
      </w:tr>
      <w:tr w:rsidR="00A8340F" w:rsidRPr="001962A0" w14:paraId="2C687A85" w14:textId="77777777" w:rsidTr="00D64D42">
        <w:trPr>
          <w:trHeight w:val="536"/>
        </w:trPr>
        <w:tc>
          <w:tcPr>
            <w:tcW w:w="2415" w:type="dxa"/>
            <w:tcBorders>
              <w:top w:val="single" w:sz="4" w:space="0" w:color="auto"/>
              <w:bottom w:val="single" w:sz="4" w:space="0" w:color="auto"/>
              <w:right w:val="single" w:sz="4" w:space="0" w:color="auto"/>
            </w:tcBorders>
          </w:tcPr>
          <w:p w14:paraId="14A57887" w14:textId="46BEAC42" w:rsidR="00A8340F" w:rsidRPr="001962A0" w:rsidRDefault="00A8340F" w:rsidP="004673AB">
            <w:pPr>
              <w:spacing w:before="0" w:line="240" w:lineRule="auto"/>
              <w:ind w:firstLine="0"/>
              <w:jc w:val="left"/>
              <w:rPr>
                <w:rFonts w:cs="Times New Roman"/>
                <w:b/>
                <w:bCs/>
              </w:rPr>
            </w:pPr>
            <w:r w:rsidRPr="001962A0">
              <w:rPr>
                <w:rFonts w:cs="Times New Roman"/>
                <w:b/>
                <w:bCs/>
              </w:rPr>
              <w:t>23°C</w:t>
            </w:r>
          </w:p>
          <w:p w14:paraId="408132E7" w14:textId="77777777" w:rsidR="00A8340F" w:rsidRPr="001962A0" w:rsidRDefault="00A8340F" w:rsidP="004673AB">
            <w:pPr>
              <w:spacing w:before="0" w:line="240" w:lineRule="auto"/>
              <w:ind w:firstLine="0"/>
              <w:jc w:val="left"/>
              <w:rPr>
                <w:rFonts w:cs="Times New Roman"/>
                <w:b/>
                <w:bCs/>
              </w:rPr>
            </w:pPr>
          </w:p>
          <w:p w14:paraId="52D71289" w14:textId="79BB963C" w:rsidR="00A8340F" w:rsidRPr="001962A0" w:rsidRDefault="00A8340F" w:rsidP="004673AB">
            <w:pPr>
              <w:spacing w:before="0" w:line="240" w:lineRule="auto"/>
              <w:ind w:firstLine="0"/>
              <w:jc w:val="left"/>
              <w:rPr>
                <w:rFonts w:cs="Times New Roman"/>
                <w:b/>
                <w:bCs/>
              </w:rPr>
            </w:pPr>
            <w:r w:rsidRPr="001962A0">
              <w:rPr>
                <w:rFonts w:cs="Times New Roman"/>
                <w:b/>
                <w:bCs/>
              </w:rPr>
              <w:t>−Cooling Deadband</w:t>
            </w:r>
          </w:p>
        </w:tc>
        <w:tc>
          <w:tcPr>
            <w:tcW w:w="4783" w:type="dxa"/>
            <w:vMerge/>
            <w:tcBorders>
              <w:left w:val="single" w:sz="4" w:space="0" w:color="auto"/>
              <w:bottom w:val="single" w:sz="4" w:space="0" w:color="auto"/>
            </w:tcBorders>
            <w:vAlign w:val="center"/>
          </w:tcPr>
          <w:p w14:paraId="1FEEEF8B" w14:textId="2B42BF8E" w:rsidR="00A8340F" w:rsidRPr="001962A0" w:rsidRDefault="00A8340F" w:rsidP="00A8340F">
            <w:pPr>
              <w:spacing w:before="0" w:line="240" w:lineRule="auto"/>
              <w:ind w:firstLine="0"/>
              <w:jc w:val="center"/>
              <w:rPr>
                <w:rFonts w:cs="Times New Roman"/>
              </w:rPr>
            </w:pPr>
          </w:p>
        </w:tc>
      </w:tr>
      <w:tr w:rsidR="00F33878" w:rsidRPr="001962A0" w14:paraId="4F046FD4" w14:textId="77777777" w:rsidTr="00D64D42">
        <w:trPr>
          <w:trHeight w:val="557"/>
        </w:trPr>
        <w:tc>
          <w:tcPr>
            <w:tcW w:w="2415" w:type="dxa"/>
            <w:tcBorders>
              <w:top w:val="single" w:sz="4" w:space="0" w:color="auto"/>
              <w:bottom w:val="single" w:sz="4" w:space="0" w:color="auto"/>
              <w:right w:val="single" w:sz="4" w:space="0" w:color="auto"/>
            </w:tcBorders>
          </w:tcPr>
          <w:p w14:paraId="3174615E" w14:textId="11E346FF" w:rsidR="004673AB" w:rsidRPr="001962A0" w:rsidRDefault="004673AB" w:rsidP="004673AB">
            <w:pPr>
              <w:spacing w:before="0" w:line="240" w:lineRule="auto"/>
              <w:ind w:firstLine="0"/>
              <w:jc w:val="left"/>
              <w:rPr>
                <w:rFonts w:cs="Times New Roman"/>
                <w:b/>
                <w:bCs/>
              </w:rPr>
            </w:pPr>
            <w:r w:rsidRPr="001962A0">
              <w:rPr>
                <w:rFonts w:cs="Times New Roman"/>
                <w:b/>
                <w:bCs/>
              </w:rPr>
              <w:t>22.5°C</w:t>
            </w:r>
          </w:p>
          <w:p w14:paraId="13784BD1" w14:textId="77777777" w:rsidR="004673AB" w:rsidRPr="001962A0" w:rsidRDefault="004673AB" w:rsidP="004673AB">
            <w:pPr>
              <w:spacing w:before="0" w:line="240" w:lineRule="auto"/>
              <w:ind w:firstLine="0"/>
              <w:jc w:val="left"/>
              <w:rPr>
                <w:rFonts w:cs="Times New Roman"/>
                <w:b/>
                <w:bCs/>
              </w:rPr>
            </w:pPr>
          </w:p>
          <w:p w14:paraId="3F30FDAF" w14:textId="30BE1530" w:rsidR="00F33878" w:rsidRPr="001962A0" w:rsidRDefault="00F33878" w:rsidP="004673AB">
            <w:pPr>
              <w:spacing w:before="0" w:line="240" w:lineRule="auto"/>
              <w:ind w:firstLine="0"/>
              <w:jc w:val="left"/>
              <w:rPr>
                <w:rFonts w:cs="Times New Roman"/>
                <w:b/>
                <w:bCs/>
              </w:rPr>
            </w:pPr>
          </w:p>
        </w:tc>
        <w:tc>
          <w:tcPr>
            <w:tcW w:w="4783" w:type="dxa"/>
            <w:tcBorders>
              <w:top w:val="single" w:sz="4" w:space="0" w:color="auto"/>
              <w:left w:val="single" w:sz="4" w:space="0" w:color="auto"/>
              <w:bottom w:val="single" w:sz="4" w:space="0" w:color="auto"/>
            </w:tcBorders>
            <w:vAlign w:val="center"/>
          </w:tcPr>
          <w:p w14:paraId="5580F359" w14:textId="5C8ABB65" w:rsidR="00F33878" w:rsidRPr="001962A0" w:rsidRDefault="00A8340F" w:rsidP="00A8340F">
            <w:pPr>
              <w:spacing w:before="0" w:line="240" w:lineRule="auto"/>
              <w:ind w:firstLine="0"/>
              <w:jc w:val="center"/>
              <w:rPr>
                <w:rFonts w:cs="Times New Roman"/>
              </w:rPr>
            </w:pPr>
            <w:r w:rsidRPr="001962A0">
              <w:rPr>
                <w:rFonts w:cs="Times New Roman"/>
              </w:rPr>
              <w:t>Cooling not needed</w:t>
            </w:r>
          </w:p>
        </w:tc>
      </w:tr>
      <w:tr w:rsidR="00F33878" w:rsidRPr="001962A0" w14:paraId="646B3BA9" w14:textId="77777777" w:rsidTr="00D64D42">
        <w:trPr>
          <w:trHeight w:val="557"/>
        </w:trPr>
        <w:tc>
          <w:tcPr>
            <w:tcW w:w="2415" w:type="dxa"/>
            <w:tcBorders>
              <w:top w:val="single" w:sz="4" w:space="0" w:color="auto"/>
              <w:bottom w:val="single" w:sz="4" w:space="0" w:color="auto"/>
              <w:right w:val="single" w:sz="4" w:space="0" w:color="auto"/>
            </w:tcBorders>
          </w:tcPr>
          <w:p w14:paraId="459CF2CA" w14:textId="6650AD9B" w:rsidR="004673AB" w:rsidRPr="001962A0" w:rsidRDefault="004673AB" w:rsidP="004673AB">
            <w:pPr>
              <w:spacing w:before="0" w:line="240" w:lineRule="auto"/>
              <w:ind w:firstLine="0"/>
              <w:jc w:val="left"/>
              <w:rPr>
                <w:rFonts w:cs="Times New Roman"/>
                <w:b/>
                <w:bCs/>
              </w:rPr>
            </w:pPr>
            <w:r w:rsidRPr="001962A0">
              <w:rPr>
                <w:rFonts w:cs="Times New Roman"/>
                <w:b/>
                <w:bCs/>
              </w:rPr>
              <w:t>22°C</w:t>
            </w:r>
          </w:p>
          <w:p w14:paraId="746BCAD1" w14:textId="77777777" w:rsidR="004673AB" w:rsidRPr="001962A0" w:rsidRDefault="004673AB" w:rsidP="004673AB">
            <w:pPr>
              <w:spacing w:before="0" w:line="240" w:lineRule="auto"/>
              <w:ind w:firstLine="0"/>
              <w:jc w:val="left"/>
              <w:rPr>
                <w:rFonts w:cs="Times New Roman"/>
                <w:b/>
                <w:bCs/>
              </w:rPr>
            </w:pPr>
          </w:p>
          <w:p w14:paraId="7842F154" w14:textId="073F9B1F" w:rsidR="00F33878" w:rsidRPr="001962A0" w:rsidRDefault="00F33878" w:rsidP="004673AB">
            <w:pPr>
              <w:spacing w:before="0" w:line="240" w:lineRule="auto"/>
              <w:ind w:firstLine="0"/>
              <w:jc w:val="left"/>
              <w:rPr>
                <w:rFonts w:cs="Times New Roman"/>
                <w:b/>
                <w:bCs/>
              </w:rPr>
            </w:pPr>
          </w:p>
        </w:tc>
        <w:tc>
          <w:tcPr>
            <w:tcW w:w="4783" w:type="dxa"/>
            <w:tcBorders>
              <w:top w:val="single" w:sz="4" w:space="0" w:color="auto"/>
              <w:left w:val="single" w:sz="4" w:space="0" w:color="auto"/>
              <w:bottom w:val="single" w:sz="4" w:space="0" w:color="auto"/>
            </w:tcBorders>
            <w:vAlign w:val="center"/>
          </w:tcPr>
          <w:p w14:paraId="3B311123" w14:textId="1560D5AE" w:rsidR="00F33878" w:rsidRPr="001962A0" w:rsidRDefault="001962A0" w:rsidP="00A8340F">
            <w:pPr>
              <w:spacing w:before="0" w:line="240" w:lineRule="auto"/>
              <w:ind w:firstLine="0"/>
              <w:jc w:val="center"/>
              <w:rPr>
                <w:rFonts w:cs="Times New Roman"/>
              </w:rPr>
            </w:pPr>
            <w:r w:rsidRPr="001962A0">
              <w:rPr>
                <w:rFonts w:cs="Times New Roman"/>
              </w:rPr>
              <w:t>Repeat</w:t>
            </w:r>
            <w:r w:rsidR="00A8340F" w:rsidRPr="001962A0">
              <w:rPr>
                <w:rFonts w:cs="Times New Roman"/>
              </w:rPr>
              <w:t xml:space="preserve"> action</w:t>
            </w:r>
            <w:r w:rsidRPr="001962A0">
              <w:rPr>
                <w:rFonts w:cs="Times New Roman"/>
              </w:rPr>
              <w:t xml:space="preserve"> from previous time step </w:t>
            </w:r>
          </w:p>
        </w:tc>
      </w:tr>
      <w:tr w:rsidR="00F33878" w:rsidRPr="001962A0" w14:paraId="634D2C9C" w14:textId="77777777" w:rsidTr="00D64D42">
        <w:trPr>
          <w:trHeight w:val="536"/>
        </w:trPr>
        <w:tc>
          <w:tcPr>
            <w:tcW w:w="2415" w:type="dxa"/>
            <w:tcBorders>
              <w:top w:val="single" w:sz="4" w:space="0" w:color="auto"/>
              <w:bottom w:val="single" w:sz="4" w:space="0" w:color="auto"/>
              <w:right w:val="single" w:sz="4" w:space="0" w:color="auto"/>
            </w:tcBorders>
          </w:tcPr>
          <w:p w14:paraId="0F0836B3" w14:textId="77777777" w:rsidR="00F33878" w:rsidRPr="001962A0" w:rsidRDefault="00F33878" w:rsidP="004673AB">
            <w:pPr>
              <w:spacing w:before="0" w:line="240" w:lineRule="auto"/>
              <w:ind w:firstLine="0"/>
              <w:jc w:val="left"/>
              <w:rPr>
                <w:rFonts w:cs="Times New Roman"/>
                <w:b/>
                <w:bCs/>
              </w:rPr>
            </w:pPr>
            <w:r w:rsidRPr="001962A0">
              <w:rPr>
                <w:rFonts w:cs="Times New Roman"/>
                <w:b/>
                <w:bCs/>
              </w:rPr>
              <w:t>21°C</w:t>
            </w:r>
          </w:p>
          <w:p w14:paraId="7D515ECD" w14:textId="77777777" w:rsidR="004673AB" w:rsidRPr="001962A0" w:rsidRDefault="004673AB" w:rsidP="004673AB">
            <w:pPr>
              <w:spacing w:before="0" w:line="240" w:lineRule="auto"/>
              <w:ind w:firstLine="0"/>
              <w:jc w:val="left"/>
              <w:rPr>
                <w:rFonts w:cs="Times New Roman"/>
                <w:b/>
                <w:bCs/>
              </w:rPr>
            </w:pPr>
          </w:p>
          <w:p w14:paraId="00DCBB55" w14:textId="0DF2636F" w:rsidR="004673AB" w:rsidRPr="001962A0" w:rsidRDefault="004673AB" w:rsidP="004673AB">
            <w:pPr>
              <w:spacing w:before="0" w:line="240" w:lineRule="auto"/>
              <w:ind w:firstLine="0"/>
              <w:jc w:val="left"/>
              <w:rPr>
                <w:rFonts w:cs="Times New Roman"/>
                <w:b/>
                <w:bCs/>
              </w:rPr>
            </w:pPr>
            <w:r w:rsidRPr="001962A0">
              <w:rPr>
                <w:rFonts w:cs="Times New Roman"/>
                <w:b/>
                <w:bCs/>
              </w:rPr>
              <w:t>+Heating Deadband</w:t>
            </w:r>
          </w:p>
        </w:tc>
        <w:tc>
          <w:tcPr>
            <w:tcW w:w="4783" w:type="dxa"/>
            <w:tcBorders>
              <w:top w:val="single" w:sz="4" w:space="0" w:color="auto"/>
              <w:left w:val="single" w:sz="4" w:space="0" w:color="auto"/>
              <w:bottom w:val="single" w:sz="4" w:space="0" w:color="auto"/>
            </w:tcBorders>
            <w:vAlign w:val="center"/>
          </w:tcPr>
          <w:p w14:paraId="2F0B65CD" w14:textId="762B0E82" w:rsidR="00F33878" w:rsidRPr="001962A0" w:rsidRDefault="00A8340F" w:rsidP="00A8340F">
            <w:pPr>
              <w:spacing w:before="0" w:line="240" w:lineRule="auto"/>
              <w:ind w:firstLine="0"/>
              <w:jc w:val="center"/>
              <w:rPr>
                <w:rFonts w:cs="Times New Roman"/>
              </w:rPr>
            </w:pPr>
            <w:r w:rsidRPr="001962A0">
              <w:rPr>
                <w:rFonts w:cs="Times New Roman"/>
              </w:rPr>
              <w:t>Heating not needed</w:t>
            </w:r>
          </w:p>
        </w:tc>
      </w:tr>
      <w:tr w:rsidR="00B01C61" w:rsidRPr="001962A0" w14:paraId="161D0CE1" w14:textId="77777777" w:rsidTr="00D64D42">
        <w:trPr>
          <w:trHeight w:val="557"/>
        </w:trPr>
        <w:tc>
          <w:tcPr>
            <w:tcW w:w="2415" w:type="dxa"/>
            <w:tcBorders>
              <w:top w:val="single" w:sz="4" w:space="0" w:color="auto"/>
              <w:bottom w:val="single" w:sz="4" w:space="0" w:color="auto"/>
              <w:right w:val="single" w:sz="4" w:space="0" w:color="auto"/>
            </w:tcBorders>
          </w:tcPr>
          <w:p w14:paraId="5DCC5E87" w14:textId="77777777" w:rsidR="00B01C61" w:rsidRPr="001962A0" w:rsidRDefault="00B01C61" w:rsidP="004673AB">
            <w:pPr>
              <w:spacing w:before="0" w:line="240" w:lineRule="auto"/>
              <w:ind w:firstLine="0"/>
              <w:jc w:val="left"/>
              <w:rPr>
                <w:rFonts w:cs="Times New Roman"/>
                <w:b/>
                <w:bCs/>
              </w:rPr>
            </w:pPr>
            <w:r w:rsidRPr="001962A0">
              <w:rPr>
                <w:rFonts w:cs="Times New Roman"/>
                <w:b/>
                <w:bCs/>
              </w:rPr>
              <w:t>20.5°C</w:t>
            </w:r>
          </w:p>
          <w:p w14:paraId="082C2019" w14:textId="77777777" w:rsidR="00B01C61" w:rsidRPr="001962A0" w:rsidRDefault="00B01C61" w:rsidP="004673AB">
            <w:pPr>
              <w:spacing w:before="0" w:line="240" w:lineRule="auto"/>
              <w:ind w:firstLine="0"/>
              <w:jc w:val="left"/>
              <w:rPr>
                <w:rFonts w:cs="Times New Roman"/>
                <w:b/>
                <w:bCs/>
              </w:rPr>
            </w:pPr>
          </w:p>
          <w:p w14:paraId="22B5386C" w14:textId="3CF404A7" w:rsidR="00B01C61" w:rsidRPr="001962A0" w:rsidRDefault="00B01C61" w:rsidP="004673AB">
            <w:pPr>
              <w:spacing w:before="0" w:line="240" w:lineRule="auto"/>
              <w:ind w:firstLine="0"/>
              <w:jc w:val="left"/>
              <w:rPr>
                <w:rFonts w:cs="Times New Roman"/>
                <w:b/>
                <w:bCs/>
              </w:rPr>
            </w:pPr>
            <w:r w:rsidRPr="001962A0">
              <w:rPr>
                <w:rFonts w:cs="Times New Roman"/>
                <w:b/>
                <w:bCs/>
              </w:rPr>
              <w:t>Heating Setpoint</w:t>
            </w:r>
          </w:p>
        </w:tc>
        <w:tc>
          <w:tcPr>
            <w:tcW w:w="4783" w:type="dxa"/>
            <w:vMerge w:val="restart"/>
            <w:tcBorders>
              <w:top w:val="single" w:sz="4" w:space="0" w:color="auto"/>
              <w:left w:val="single" w:sz="4" w:space="0" w:color="auto"/>
            </w:tcBorders>
            <w:vAlign w:val="center"/>
          </w:tcPr>
          <w:p w14:paraId="1D425E01" w14:textId="4B69B127" w:rsidR="00B01C61" w:rsidRPr="001962A0" w:rsidRDefault="001962A0" w:rsidP="00A8340F">
            <w:pPr>
              <w:spacing w:before="0" w:line="240" w:lineRule="auto"/>
              <w:ind w:firstLine="0"/>
              <w:jc w:val="center"/>
              <w:rPr>
                <w:rFonts w:cs="Times New Roman"/>
              </w:rPr>
            </w:pPr>
            <w:r w:rsidRPr="001962A0">
              <w:rPr>
                <w:rFonts w:cs="Times New Roman"/>
              </w:rPr>
              <w:t>Heat until indoor temperature reaches heating Deadband</w:t>
            </w:r>
          </w:p>
        </w:tc>
      </w:tr>
      <w:tr w:rsidR="00B01C61" w:rsidRPr="001962A0" w14:paraId="1D2B6E9A" w14:textId="77777777" w:rsidTr="00D64D42">
        <w:trPr>
          <w:trHeight w:val="557"/>
        </w:trPr>
        <w:tc>
          <w:tcPr>
            <w:tcW w:w="2415" w:type="dxa"/>
            <w:tcBorders>
              <w:top w:val="single" w:sz="4" w:space="0" w:color="auto"/>
              <w:bottom w:val="single" w:sz="4" w:space="0" w:color="auto"/>
              <w:right w:val="single" w:sz="4" w:space="0" w:color="auto"/>
            </w:tcBorders>
          </w:tcPr>
          <w:p w14:paraId="03A6A3C0" w14:textId="77777777" w:rsidR="00B01C61" w:rsidRPr="001962A0" w:rsidRDefault="00B01C61" w:rsidP="004673AB">
            <w:pPr>
              <w:spacing w:before="0" w:line="240" w:lineRule="auto"/>
              <w:ind w:firstLine="0"/>
              <w:jc w:val="left"/>
              <w:rPr>
                <w:rFonts w:cs="Times New Roman"/>
                <w:b/>
                <w:bCs/>
              </w:rPr>
            </w:pPr>
            <w:r w:rsidRPr="001962A0">
              <w:rPr>
                <w:rFonts w:cs="Times New Roman"/>
                <w:b/>
                <w:bCs/>
              </w:rPr>
              <w:t>20°C</w:t>
            </w:r>
          </w:p>
          <w:p w14:paraId="2254F23A" w14:textId="77777777" w:rsidR="00B01C61" w:rsidRPr="001962A0" w:rsidRDefault="00B01C61" w:rsidP="004673AB">
            <w:pPr>
              <w:spacing w:before="0" w:line="240" w:lineRule="auto"/>
              <w:ind w:firstLine="0"/>
              <w:jc w:val="left"/>
              <w:rPr>
                <w:rFonts w:cs="Times New Roman"/>
                <w:b/>
                <w:bCs/>
              </w:rPr>
            </w:pPr>
          </w:p>
          <w:p w14:paraId="71A9CE14" w14:textId="5B513D8B" w:rsidR="00B01C61" w:rsidRPr="001962A0" w:rsidRDefault="00B01C61" w:rsidP="004673AB">
            <w:pPr>
              <w:spacing w:before="0" w:line="240" w:lineRule="auto"/>
              <w:ind w:firstLine="0"/>
              <w:jc w:val="left"/>
              <w:rPr>
                <w:rFonts w:cs="Times New Roman"/>
                <w:b/>
                <w:bCs/>
              </w:rPr>
            </w:pPr>
            <w:r w:rsidRPr="001962A0">
              <w:rPr>
                <w:rFonts w:cs="Times New Roman"/>
                <w:b/>
                <w:bCs/>
              </w:rPr>
              <w:t>−Heating Deadband</w:t>
            </w:r>
          </w:p>
        </w:tc>
        <w:tc>
          <w:tcPr>
            <w:tcW w:w="4783" w:type="dxa"/>
            <w:vMerge/>
            <w:tcBorders>
              <w:left w:val="single" w:sz="4" w:space="0" w:color="auto"/>
              <w:bottom w:val="single" w:sz="4" w:space="0" w:color="auto"/>
            </w:tcBorders>
            <w:vAlign w:val="center"/>
          </w:tcPr>
          <w:p w14:paraId="1A53D552" w14:textId="77777777" w:rsidR="00B01C61" w:rsidRPr="001962A0" w:rsidRDefault="00B01C61" w:rsidP="00A8340F">
            <w:pPr>
              <w:spacing w:before="0" w:line="240" w:lineRule="auto"/>
              <w:ind w:firstLine="0"/>
              <w:jc w:val="center"/>
              <w:rPr>
                <w:rFonts w:cs="Times New Roman"/>
                <w:b/>
                <w:bCs/>
              </w:rPr>
            </w:pPr>
          </w:p>
        </w:tc>
      </w:tr>
    </w:tbl>
    <w:p w14:paraId="44C805FC" w14:textId="6DCA2225" w:rsidR="00F33878" w:rsidRDefault="00F33878" w:rsidP="00600423">
      <w:pPr>
        <w:ind w:firstLine="540"/>
        <w:rPr>
          <w:rFonts w:cs="Times New Roman"/>
        </w:rPr>
      </w:pPr>
    </w:p>
    <w:p w14:paraId="69E5427A" w14:textId="77777777" w:rsidR="00F33878" w:rsidRDefault="00F33878" w:rsidP="00600423">
      <w:pPr>
        <w:ind w:firstLine="540"/>
        <w:rPr>
          <w:rFonts w:cs="Times New Roman"/>
        </w:rPr>
      </w:pPr>
    </w:p>
    <w:p w14:paraId="3BA1861E" w14:textId="77777777" w:rsidR="00F33878" w:rsidRDefault="00F33878" w:rsidP="00600423">
      <w:pPr>
        <w:ind w:firstLine="540"/>
        <w:rPr>
          <w:rFonts w:cs="Times New Roman"/>
        </w:rPr>
      </w:pPr>
    </w:p>
    <w:p w14:paraId="0B91BD03" w14:textId="77777777" w:rsidR="00F33878" w:rsidRDefault="00F33878" w:rsidP="00600423">
      <w:pPr>
        <w:ind w:firstLine="540"/>
        <w:rPr>
          <w:rFonts w:cs="Times New Roman"/>
        </w:rPr>
      </w:pPr>
    </w:p>
    <w:p w14:paraId="1607A262" w14:textId="77777777" w:rsidR="00F33878" w:rsidRDefault="00F33878" w:rsidP="00600423">
      <w:pPr>
        <w:ind w:firstLine="540"/>
        <w:rPr>
          <w:rFonts w:cs="Times New Roman"/>
        </w:rPr>
      </w:pPr>
    </w:p>
    <w:p w14:paraId="176FDCAA" w14:textId="561739A3" w:rsidR="00B17E5F" w:rsidRDefault="00F33878" w:rsidP="00F33878">
      <w:pPr>
        <w:spacing w:before="0" w:line="240" w:lineRule="auto"/>
        <w:ind w:firstLine="0"/>
        <w:jc w:val="left"/>
        <w:rPr>
          <w:rFonts w:cs="Times New Roman"/>
        </w:rPr>
      </w:pPr>
      <w:r>
        <w:rPr>
          <w:rFonts w:cs="Times New Roman"/>
        </w:rPr>
        <w:br w:type="page"/>
      </w:r>
    </w:p>
    <w:p w14:paraId="39712081" w14:textId="77777777" w:rsidR="00B17E5F" w:rsidRDefault="00B17E5F" w:rsidP="00AC586E">
      <w:pPr>
        <w:keepNext/>
        <w:jc w:val="center"/>
      </w:pPr>
      <w:r>
        <w:rPr>
          <w:rFonts w:cs="Times New Roman"/>
          <w:noProof/>
        </w:rPr>
        <w:drawing>
          <wp:inline distT="0" distB="0" distL="0" distR="0" wp14:anchorId="3A78B747" wp14:editId="441C0479">
            <wp:extent cx="2743200" cy="2767275"/>
            <wp:effectExtent l="0" t="0" r="0" b="0"/>
            <wp:docPr id="1049" name="Pictur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743200" cy="2767275"/>
                    </a:xfrm>
                    <a:prstGeom prst="rect">
                      <a:avLst/>
                    </a:prstGeom>
                    <a:noFill/>
                  </pic:spPr>
                </pic:pic>
              </a:graphicData>
            </a:graphic>
          </wp:inline>
        </w:drawing>
      </w:r>
    </w:p>
    <w:p w14:paraId="43F8B7ED" w14:textId="7338CF95" w:rsidR="00B17E5F" w:rsidRDefault="00B17E5F" w:rsidP="00AC586E">
      <w:pPr>
        <w:pStyle w:val="Caption"/>
        <w:jc w:val="center"/>
      </w:pPr>
      <w:bookmarkStart w:id="275" w:name="_Toc140403927"/>
      <w:r>
        <w:t xml:space="preserve">Figure </w:t>
      </w:r>
      <w:fldSimple w:instr=" SEQ Figure \* ARABIC ">
        <w:r w:rsidR="00A5526B">
          <w:rPr>
            <w:noProof/>
          </w:rPr>
          <w:t>61</w:t>
        </w:r>
      </w:fldSimple>
      <w:r>
        <w:t>: Indoor temperature setpoints.</w:t>
      </w:r>
      <w:bookmarkEnd w:id="275"/>
    </w:p>
    <w:p w14:paraId="37B4C861" w14:textId="77777777" w:rsidR="00B17E5F" w:rsidRPr="00835E84" w:rsidRDefault="00B17E5F" w:rsidP="00835E84"/>
    <w:p w14:paraId="2D77FD71" w14:textId="77777777" w:rsidR="00B17E5F" w:rsidRDefault="00B17E5F" w:rsidP="00835E84">
      <w:pPr>
        <w:keepNext/>
        <w:ind w:firstLine="0"/>
      </w:pPr>
      <w:r w:rsidRPr="00835E84">
        <w:rPr>
          <w:noProof/>
        </w:rPr>
        <w:drawing>
          <wp:inline distT="0" distB="0" distL="0" distR="0" wp14:anchorId="01E45C18" wp14:editId="30ADB8CC">
            <wp:extent cx="5486400" cy="2720975"/>
            <wp:effectExtent l="0" t="0" r="0" b="0"/>
            <wp:docPr id="1055" name="Picture 1055" descr="Graphical user interface&#10;&#10;Description automatically generated">
              <a:extLst xmlns:a="http://schemas.openxmlformats.org/drawingml/2006/main">
                <a:ext uri="{FF2B5EF4-FFF2-40B4-BE49-F238E27FC236}">
                  <a16:creationId xmlns:a16="http://schemas.microsoft.com/office/drawing/2014/main" id="{82264E43-629E-C14E-D461-0861ACF602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 name="Picture 1055" descr="Graphical user interface&#10;&#10;Description automatically generated">
                      <a:extLst>
                        <a:ext uri="{FF2B5EF4-FFF2-40B4-BE49-F238E27FC236}">
                          <a16:creationId xmlns:a16="http://schemas.microsoft.com/office/drawing/2014/main" id="{82264E43-629E-C14E-D461-0861ACF602C6}"/>
                        </a:ext>
                      </a:extLst>
                    </pic:cNvPr>
                    <pic:cNvPicPr>
                      <a:picLocks noChangeAspect="1"/>
                    </pic:cNvPicPr>
                  </pic:nvPicPr>
                  <pic:blipFill>
                    <a:blip r:embed="rId93"/>
                    <a:stretch>
                      <a:fillRect/>
                    </a:stretch>
                  </pic:blipFill>
                  <pic:spPr>
                    <a:xfrm>
                      <a:off x="0" y="0"/>
                      <a:ext cx="5486400" cy="2720975"/>
                    </a:xfrm>
                    <a:prstGeom prst="rect">
                      <a:avLst/>
                    </a:prstGeom>
                  </pic:spPr>
                </pic:pic>
              </a:graphicData>
            </a:graphic>
          </wp:inline>
        </w:drawing>
      </w:r>
    </w:p>
    <w:p w14:paraId="6F42A779" w14:textId="14F1880D" w:rsidR="00B17E5F" w:rsidRPr="00835E84" w:rsidRDefault="00B17E5F" w:rsidP="00835E84">
      <w:pPr>
        <w:pStyle w:val="Caption"/>
        <w:jc w:val="center"/>
      </w:pPr>
      <w:bookmarkStart w:id="276" w:name="_Toc140403928"/>
      <w:r>
        <w:t xml:space="preserve">Figure </w:t>
      </w:r>
      <w:fldSimple w:instr=" SEQ Figure \* ARABIC ">
        <w:r w:rsidR="00A5526B">
          <w:rPr>
            <w:noProof/>
          </w:rPr>
          <w:t>62</w:t>
        </w:r>
      </w:fldSimple>
      <w:r>
        <w:t>: Models integration for HP-TES in MATLAB.</w:t>
      </w:r>
      <w:bookmarkEnd w:id="276"/>
    </w:p>
    <w:p w14:paraId="0AFC799E" w14:textId="3A4D9F09" w:rsidR="00B17E5F" w:rsidRPr="00600423" w:rsidRDefault="00B17E5F" w:rsidP="00600423">
      <w:pPr>
        <w:spacing w:line="240" w:lineRule="auto"/>
        <w:jc w:val="left"/>
      </w:pPr>
      <w:r>
        <w:br w:type="page"/>
      </w:r>
    </w:p>
    <w:p w14:paraId="12D25713" w14:textId="67991637" w:rsidR="00B17E5F" w:rsidRDefault="00B17E5F" w:rsidP="00835E84">
      <w:pPr>
        <w:pStyle w:val="Caption"/>
        <w:ind w:firstLine="0"/>
        <w:jc w:val="center"/>
      </w:pPr>
      <w:bookmarkStart w:id="277" w:name="_Toc140399961"/>
      <w:r>
        <w:t xml:space="preserve">Table </w:t>
      </w:r>
      <w:fldSimple w:instr=" SEQ Table \* ARABIC ">
        <w:r w:rsidR="00FC25C0">
          <w:rPr>
            <w:noProof/>
          </w:rPr>
          <w:t>21</w:t>
        </w:r>
      </w:fldSimple>
      <w:r>
        <w:t xml:space="preserve">: Building </w:t>
      </w:r>
      <w:r>
        <w:rPr>
          <w:noProof/>
        </w:rPr>
        <w:t>Thermal Energy Simulation Model Parameters</w:t>
      </w:r>
      <w:bookmarkEnd w:id="27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3"/>
        <w:gridCol w:w="1597"/>
        <w:gridCol w:w="1193"/>
        <w:gridCol w:w="1415"/>
        <w:gridCol w:w="1404"/>
        <w:gridCol w:w="1378"/>
      </w:tblGrid>
      <w:tr w:rsidR="00B17E5F" w:rsidRPr="00835E84" w14:paraId="3CE6F800" w14:textId="77777777" w:rsidTr="00E56618">
        <w:tc>
          <w:tcPr>
            <w:tcW w:w="8630" w:type="dxa"/>
            <w:gridSpan w:val="6"/>
            <w:tcBorders>
              <w:top w:val="single" w:sz="4" w:space="0" w:color="auto"/>
            </w:tcBorders>
            <w:vAlign w:val="center"/>
          </w:tcPr>
          <w:p w14:paraId="2A6341FB" w14:textId="77777777" w:rsidR="00B17E5F" w:rsidRPr="00835E84" w:rsidRDefault="00B17E5F" w:rsidP="008944BC">
            <w:pPr>
              <w:ind w:firstLine="0"/>
              <w:jc w:val="center"/>
              <w:rPr>
                <w:rFonts w:cs="Times New Roman"/>
                <w:b/>
                <w:bCs/>
              </w:rPr>
            </w:pPr>
            <w:r w:rsidRPr="00835E84">
              <w:rPr>
                <w:rFonts w:cs="Times New Roman"/>
                <w:b/>
                <w:bCs/>
              </w:rPr>
              <w:t>Simulation RC Variables</w:t>
            </w:r>
          </w:p>
        </w:tc>
      </w:tr>
      <w:tr w:rsidR="00B17E5F" w:rsidRPr="00835E84" w14:paraId="782C0AA7" w14:textId="77777777" w:rsidTr="004D566A">
        <w:tc>
          <w:tcPr>
            <w:tcW w:w="1643" w:type="dxa"/>
            <w:tcBorders>
              <w:bottom w:val="single" w:sz="4" w:space="0" w:color="auto"/>
            </w:tcBorders>
            <w:vAlign w:val="center"/>
          </w:tcPr>
          <w:p w14:paraId="03C4EC39" w14:textId="77777777" w:rsidR="00B17E5F" w:rsidRPr="00835E84" w:rsidRDefault="00B17E5F" w:rsidP="008944BC">
            <w:pPr>
              <w:ind w:firstLine="0"/>
              <w:jc w:val="center"/>
              <w:rPr>
                <w:rFonts w:cs="Times New Roman"/>
                <w:b/>
                <w:bCs/>
              </w:rPr>
            </w:pPr>
            <w:r w:rsidRPr="00835E84">
              <w:rPr>
                <w:rFonts w:cs="Times New Roman"/>
                <w:b/>
                <w:bCs/>
              </w:rPr>
              <w:t>Variable</w:t>
            </w:r>
          </w:p>
        </w:tc>
        <w:tc>
          <w:tcPr>
            <w:tcW w:w="1597" w:type="dxa"/>
            <w:tcBorders>
              <w:bottom w:val="single" w:sz="4" w:space="0" w:color="auto"/>
            </w:tcBorders>
            <w:vAlign w:val="center"/>
          </w:tcPr>
          <w:p w14:paraId="34A7007A" w14:textId="77777777" w:rsidR="00B17E5F" w:rsidRPr="00835E84" w:rsidRDefault="00B17E5F" w:rsidP="008944BC">
            <w:pPr>
              <w:ind w:firstLine="0"/>
              <w:jc w:val="center"/>
              <w:rPr>
                <w:rFonts w:cs="Times New Roman"/>
                <w:b/>
                <w:bCs/>
              </w:rPr>
            </w:pPr>
            <w:r w:rsidRPr="00835E84">
              <w:rPr>
                <w:rFonts w:cs="Times New Roman"/>
                <w:b/>
                <w:bCs/>
              </w:rPr>
              <w:t>Value [K/W]</w:t>
            </w:r>
          </w:p>
        </w:tc>
        <w:tc>
          <w:tcPr>
            <w:tcW w:w="1193" w:type="dxa"/>
            <w:tcBorders>
              <w:bottom w:val="single" w:sz="4" w:space="0" w:color="auto"/>
            </w:tcBorders>
            <w:vAlign w:val="center"/>
          </w:tcPr>
          <w:p w14:paraId="05CA23E3" w14:textId="77777777" w:rsidR="00B17E5F" w:rsidRPr="00835E84" w:rsidRDefault="00B17E5F" w:rsidP="008944BC">
            <w:pPr>
              <w:ind w:firstLine="0"/>
              <w:jc w:val="center"/>
              <w:rPr>
                <w:rFonts w:cs="Times New Roman"/>
                <w:b/>
                <w:bCs/>
              </w:rPr>
            </w:pPr>
            <w:r w:rsidRPr="00835E84">
              <w:rPr>
                <w:rFonts w:cs="Times New Roman"/>
                <w:b/>
                <w:bCs/>
              </w:rPr>
              <w:t>Variable</w:t>
            </w:r>
          </w:p>
        </w:tc>
        <w:tc>
          <w:tcPr>
            <w:tcW w:w="1415" w:type="dxa"/>
            <w:tcBorders>
              <w:bottom w:val="single" w:sz="4" w:space="0" w:color="auto"/>
            </w:tcBorders>
            <w:vAlign w:val="center"/>
          </w:tcPr>
          <w:p w14:paraId="36CF6D98" w14:textId="77777777" w:rsidR="00B17E5F" w:rsidRPr="00835E84" w:rsidRDefault="00B17E5F" w:rsidP="008944BC">
            <w:pPr>
              <w:ind w:firstLine="0"/>
              <w:jc w:val="center"/>
              <w:rPr>
                <w:rFonts w:cs="Times New Roman"/>
                <w:b/>
                <w:bCs/>
              </w:rPr>
            </w:pPr>
            <w:r w:rsidRPr="00835E84">
              <w:rPr>
                <w:rFonts w:cs="Times New Roman"/>
                <w:b/>
                <w:bCs/>
              </w:rPr>
              <w:t>Value [J/K]</w:t>
            </w:r>
          </w:p>
        </w:tc>
        <w:tc>
          <w:tcPr>
            <w:tcW w:w="1404" w:type="dxa"/>
            <w:tcBorders>
              <w:bottom w:val="single" w:sz="4" w:space="0" w:color="auto"/>
            </w:tcBorders>
            <w:vAlign w:val="center"/>
          </w:tcPr>
          <w:p w14:paraId="4EAC278D" w14:textId="77777777" w:rsidR="00B17E5F" w:rsidRPr="00835E84" w:rsidRDefault="00B17E5F" w:rsidP="008944BC">
            <w:pPr>
              <w:ind w:firstLine="0"/>
              <w:jc w:val="center"/>
              <w:rPr>
                <w:rFonts w:cs="Times New Roman"/>
                <w:b/>
                <w:bCs/>
              </w:rPr>
            </w:pPr>
            <w:r w:rsidRPr="00835E84">
              <w:rPr>
                <w:rFonts w:cs="Times New Roman"/>
                <w:b/>
                <w:bCs/>
              </w:rPr>
              <w:t>Variable</w:t>
            </w:r>
          </w:p>
        </w:tc>
        <w:tc>
          <w:tcPr>
            <w:tcW w:w="1378" w:type="dxa"/>
            <w:tcBorders>
              <w:bottom w:val="single" w:sz="4" w:space="0" w:color="auto"/>
            </w:tcBorders>
            <w:vAlign w:val="center"/>
          </w:tcPr>
          <w:p w14:paraId="3D762311" w14:textId="77777777" w:rsidR="00B17E5F" w:rsidRPr="00835E84" w:rsidRDefault="00B17E5F" w:rsidP="008944BC">
            <w:pPr>
              <w:ind w:firstLine="0"/>
              <w:jc w:val="center"/>
              <w:rPr>
                <w:rFonts w:cs="Times New Roman"/>
                <w:b/>
                <w:bCs/>
              </w:rPr>
            </w:pPr>
            <w:r w:rsidRPr="00835E84">
              <w:rPr>
                <w:rFonts w:cs="Times New Roman"/>
                <w:b/>
                <w:bCs/>
              </w:rPr>
              <w:t>[J/K]</w:t>
            </w:r>
          </w:p>
        </w:tc>
      </w:tr>
      <w:tr w:rsidR="00B17E5F" w:rsidRPr="00835E84" w14:paraId="6AE88F8D" w14:textId="77777777" w:rsidTr="004D566A">
        <w:tc>
          <w:tcPr>
            <w:tcW w:w="1643" w:type="dxa"/>
            <w:tcBorders>
              <w:top w:val="single" w:sz="4" w:space="0" w:color="auto"/>
            </w:tcBorders>
            <w:vAlign w:val="center"/>
          </w:tcPr>
          <w:p w14:paraId="4CA1B3CF" w14:textId="77777777" w:rsidR="00B17E5F" w:rsidRPr="00835E84" w:rsidRDefault="00B17E5F" w:rsidP="008944BC">
            <w:pPr>
              <w:ind w:firstLine="0"/>
              <w:jc w:val="center"/>
              <w:rPr>
                <w:rFonts w:cs="Times New Roman"/>
              </w:rPr>
            </w:pPr>
            <w:r w:rsidRPr="00835E84">
              <w:rPr>
                <w:rFonts w:cs="Times New Roman"/>
              </w:rPr>
              <w:t>R</w:t>
            </w:r>
            <w:r w:rsidRPr="00835E84">
              <w:rPr>
                <w:rFonts w:cs="Times New Roman"/>
                <w:vertAlign w:val="subscript"/>
              </w:rPr>
              <w:t>wall</w:t>
            </w:r>
          </w:p>
        </w:tc>
        <w:tc>
          <w:tcPr>
            <w:tcW w:w="1597" w:type="dxa"/>
            <w:tcBorders>
              <w:top w:val="single" w:sz="4" w:space="0" w:color="auto"/>
            </w:tcBorders>
            <w:vAlign w:val="center"/>
          </w:tcPr>
          <w:p w14:paraId="727BF1E0" w14:textId="77777777" w:rsidR="00B17E5F" w:rsidRPr="00835E84" w:rsidRDefault="00B17E5F" w:rsidP="008944BC">
            <w:pPr>
              <w:ind w:firstLine="0"/>
              <w:jc w:val="center"/>
              <w:rPr>
                <w:rFonts w:cs="Times New Roman"/>
              </w:rPr>
            </w:pPr>
            <w:r w:rsidRPr="00835E84">
              <w:rPr>
                <w:rFonts w:cs="Times New Roman"/>
              </w:rPr>
              <w:t>0.0046</w:t>
            </w:r>
          </w:p>
        </w:tc>
        <w:tc>
          <w:tcPr>
            <w:tcW w:w="1193" w:type="dxa"/>
            <w:tcBorders>
              <w:top w:val="single" w:sz="4" w:space="0" w:color="auto"/>
            </w:tcBorders>
            <w:vAlign w:val="center"/>
          </w:tcPr>
          <w:p w14:paraId="17FB0AE0" w14:textId="77777777" w:rsidR="00B17E5F" w:rsidRPr="00835E84" w:rsidRDefault="00B17E5F" w:rsidP="008944BC">
            <w:pPr>
              <w:ind w:firstLine="0"/>
              <w:jc w:val="center"/>
              <w:rPr>
                <w:rFonts w:cs="Times New Roman"/>
              </w:rPr>
            </w:pPr>
            <w:r w:rsidRPr="00835E84">
              <w:rPr>
                <w:rFonts w:cs="Times New Roman"/>
              </w:rPr>
              <w:t>C</w:t>
            </w:r>
            <w:r w:rsidRPr="00835E84">
              <w:rPr>
                <w:rFonts w:cs="Times New Roman"/>
                <w:vertAlign w:val="subscript"/>
              </w:rPr>
              <w:t>wall</w:t>
            </w:r>
          </w:p>
        </w:tc>
        <w:tc>
          <w:tcPr>
            <w:tcW w:w="1415" w:type="dxa"/>
            <w:tcBorders>
              <w:top w:val="single" w:sz="4" w:space="0" w:color="auto"/>
            </w:tcBorders>
            <w:vAlign w:val="center"/>
          </w:tcPr>
          <w:p w14:paraId="14DCE774" w14:textId="77777777" w:rsidR="00B17E5F" w:rsidRPr="00835E84" w:rsidRDefault="00B17E5F" w:rsidP="008944BC">
            <w:pPr>
              <w:ind w:firstLine="0"/>
              <w:jc w:val="center"/>
              <w:rPr>
                <w:rFonts w:cs="Times New Roman"/>
              </w:rPr>
            </w:pPr>
            <w:r w:rsidRPr="00835E84">
              <w:rPr>
                <w:rFonts w:cs="Times New Roman"/>
              </w:rPr>
              <w:t>57142857</w:t>
            </w:r>
          </w:p>
        </w:tc>
        <w:tc>
          <w:tcPr>
            <w:tcW w:w="1404" w:type="dxa"/>
            <w:tcBorders>
              <w:top w:val="single" w:sz="4" w:space="0" w:color="auto"/>
            </w:tcBorders>
            <w:vAlign w:val="center"/>
          </w:tcPr>
          <w:p w14:paraId="79A809D4" w14:textId="77777777" w:rsidR="00B17E5F" w:rsidRPr="00835E84" w:rsidRDefault="00B17E5F" w:rsidP="008944BC">
            <w:pPr>
              <w:ind w:firstLine="0"/>
              <w:jc w:val="center"/>
              <w:rPr>
                <w:rFonts w:cs="Times New Roman"/>
              </w:rPr>
            </w:pPr>
            <w:r w:rsidRPr="00835E84">
              <w:rPr>
                <w:rFonts w:cs="Times New Roman"/>
              </w:rPr>
              <w:t>C</w:t>
            </w:r>
            <w:r w:rsidRPr="00835E84">
              <w:rPr>
                <w:rFonts w:cs="Times New Roman"/>
                <w:vertAlign w:val="subscript"/>
              </w:rPr>
              <w:t>1</w:t>
            </w:r>
          </w:p>
        </w:tc>
        <w:tc>
          <w:tcPr>
            <w:tcW w:w="1378" w:type="dxa"/>
            <w:tcBorders>
              <w:top w:val="single" w:sz="4" w:space="0" w:color="auto"/>
            </w:tcBorders>
            <w:vAlign w:val="center"/>
          </w:tcPr>
          <w:p w14:paraId="3E8E0F2A" w14:textId="77777777" w:rsidR="00B17E5F" w:rsidRPr="00835E84" w:rsidRDefault="00B17E5F" w:rsidP="008944BC">
            <w:pPr>
              <w:ind w:firstLine="0"/>
              <w:jc w:val="center"/>
              <w:rPr>
                <w:rFonts w:cs="Times New Roman"/>
              </w:rPr>
            </w:pPr>
            <w:r w:rsidRPr="00835E84">
              <w:rPr>
                <w:rFonts w:cs="Times New Roman"/>
              </w:rPr>
              <w:t>0.666</w:t>
            </w:r>
          </w:p>
        </w:tc>
      </w:tr>
      <w:tr w:rsidR="00B17E5F" w:rsidRPr="00835E84" w14:paraId="0D1D1477" w14:textId="77777777" w:rsidTr="004D566A">
        <w:tc>
          <w:tcPr>
            <w:tcW w:w="1643" w:type="dxa"/>
            <w:vAlign w:val="center"/>
          </w:tcPr>
          <w:p w14:paraId="76D8177E" w14:textId="77777777" w:rsidR="00B17E5F" w:rsidRPr="00835E84" w:rsidRDefault="00B17E5F" w:rsidP="008944BC">
            <w:pPr>
              <w:ind w:firstLine="0"/>
              <w:jc w:val="center"/>
              <w:rPr>
                <w:rFonts w:cs="Times New Roman"/>
              </w:rPr>
            </w:pPr>
            <w:r w:rsidRPr="00835E84">
              <w:rPr>
                <w:rFonts w:cs="Times New Roman"/>
              </w:rPr>
              <w:t>R</w:t>
            </w:r>
            <w:r w:rsidRPr="00835E84">
              <w:rPr>
                <w:rFonts w:cs="Times New Roman"/>
                <w:vertAlign w:val="subscript"/>
              </w:rPr>
              <w:t>attic</w:t>
            </w:r>
          </w:p>
        </w:tc>
        <w:tc>
          <w:tcPr>
            <w:tcW w:w="1597" w:type="dxa"/>
            <w:vAlign w:val="center"/>
          </w:tcPr>
          <w:p w14:paraId="5B0A45F7" w14:textId="77777777" w:rsidR="00B17E5F" w:rsidRPr="00835E84" w:rsidRDefault="00B17E5F" w:rsidP="008944BC">
            <w:pPr>
              <w:ind w:firstLine="0"/>
              <w:jc w:val="center"/>
              <w:rPr>
                <w:rFonts w:cs="Times New Roman"/>
              </w:rPr>
            </w:pPr>
            <w:r w:rsidRPr="00835E84">
              <w:rPr>
                <w:rFonts w:cs="Times New Roman"/>
              </w:rPr>
              <w:t>0.0114</w:t>
            </w:r>
          </w:p>
        </w:tc>
        <w:tc>
          <w:tcPr>
            <w:tcW w:w="1193" w:type="dxa"/>
            <w:vAlign w:val="center"/>
          </w:tcPr>
          <w:p w14:paraId="342B050D" w14:textId="77777777" w:rsidR="00B17E5F" w:rsidRPr="00835E84" w:rsidRDefault="00B17E5F" w:rsidP="008944BC">
            <w:pPr>
              <w:ind w:firstLine="0"/>
              <w:jc w:val="center"/>
              <w:rPr>
                <w:rFonts w:cs="Times New Roman"/>
              </w:rPr>
            </w:pPr>
            <w:r w:rsidRPr="00835E84">
              <w:rPr>
                <w:rFonts w:cs="Times New Roman"/>
              </w:rPr>
              <w:t>C</w:t>
            </w:r>
            <w:r w:rsidRPr="00835E84">
              <w:rPr>
                <w:rFonts w:cs="Times New Roman"/>
                <w:vertAlign w:val="subscript"/>
              </w:rPr>
              <w:t>attic</w:t>
            </w:r>
          </w:p>
        </w:tc>
        <w:tc>
          <w:tcPr>
            <w:tcW w:w="1415" w:type="dxa"/>
            <w:vAlign w:val="center"/>
          </w:tcPr>
          <w:p w14:paraId="716D81E9" w14:textId="77777777" w:rsidR="00B17E5F" w:rsidRPr="00835E84" w:rsidRDefault="00B17E5F" w:rsidP="008944BC">
            <w:pPr>
              <w:ind w:firstLine="0"/>
              <w:jc w:val="center"/>
              <w:rPr>
                <w:rFonts w:cs="Times New Roman"/>
              </w:rPr>
            </w:pPr>
            <w:r w:rsidRPr="00835E84">
              <w:rPr>
                <w:rFonts w:cs="Times New Roman"/>
              </w:rPr>
              <w:t>285714</w:t>
            </w:r>
          </w:p>
        </w:tc>
        <w:tc>
          <w:tcPr>
            <w:tcW w:w="1404" w:type="dxa"/>
            <w:vAlign w:val="center"/>
          </w:tcPr>
          <w:p w14:paraId="111DBEB5" w14:textId="77777777" w:rsidR="00B17E5F" w:rsidRPr="00835E84" w:rsidRDefault="00B17E5F" w:rsidP="008944BC">
            <w:pPr>
              <w:ind w:firstLine="0"/>
              <w:jc w:val="center"/>
              <w:rPr>
                <w:rFonts w:cs="Times New Roman"/>
              </w:rPr>
            </w:pPr>
            <w:r w:rsidRPr="00835E84">
              <w:rPr>
                <w:rFonts w:cs="Times New Roman"/>
              </w:rPr>
              <w:t>C</w:t>
            </w:r>
            <w:r w:rsidRPr="00835E84">
              <w:rPr>
                <w:rFonts w:cs="Times New Roman"/>
                <w:vertAlign w:val="subscript"/>
              </w:rPr>
              <w:t>2</w:t>
            </w:r>
          </w:p>
        </w:tc>
        <w:tc>
          <w:tcPr>
            <w:tcW w:w="1378" w:type="dxa"/>
            <w:vAlign w:val="center"/>
          </w:tcPr>
          <w:p w14:paraId="3D29F15B" w14:textId="77777777" w:rsidR="00B17E5F" w:rsidRPr="00835E84" w:rsidRDefault="00B17E5F" w:rsidP="008944BC">
            <w:pPr>
              <w:ind w:firstLine="0"/>
              <w:jc w:val="center"/>
              <w:rPr>
                <w:rFonts w:cs="Times New Roman"/>
              </w:rPr>
            </w:pPr>
            <w:r w:rsidRPr="00835E84">
              <w:rPr>
                <w:rFonts w:cs="Times New Roman"/>
              </w:rPr>
              <w:t>0.673</w:t>
            </w:r>
          </w:p>
        </w:tc>
      </w:tr>
      <w:tr w:rsidR="00B17E5F" w:rsidRPr="00835E84" w14:paraId="0402356F" w14:textId="77777777" w:rsidTr="004D566A">
        <w:tc>
          <w:tcPr>
            <w:tcW w:w="1643" w:type="dxa"/>
            <w:vAlign w:val="center"/>
          </w:tcPr>
          <w:p w14:paraId="2FA6DBFE" w14:textId="77777777" w:rsidR="00B17E5F" w:rsidRPr="00835E84" w:rsidRDefault="00B17E5F" w:rsidP="008944BC">
            <w:pPr>
              <w:ind w:firstLine="0"/>
              <w:jc w:val="center"/>
              <w:rPr>
                <w:rFonts w:cs="Times New Roman"/>
              </w:rPr>
            </w:pPr>
            <w:r w:rsidRPr="00835E84">
              <w:rPr>
                <w:rFonts w:cs="Times New Roman"/>
              </w:rPr>
              <w:t>R</w:t>
            </w:r>
            <w:r w:rsidRPr="00835E84">
              <w:rPr>
                <w:rFonts w:cs="Times New Roman"/>
                <w:vertAlign w:val="subscript"/>
              </w:rPr>
              <w:t>roof</w:t>
            </w:r>
          </w:p>
        </w:tc>
        <w:tc>
          <w:tcPr>
            <w:tcW w:w="1597" w:type="dxa"/>
            <w:vAlign w:val="center"/>
          </w:tcPr>
          <w:p w14:paraId="2F52730B" w14:textId="77777777" w:rsidR="00B17E5F" w:rsidRPr="00835E84" w:rsidRDefault="00B17E5F" w:rsidP="008944BC">
            <w:pPr>
              <w:ind w:firstLine="0"/>
              <w:jc w:val="center"/>
              <w:rPr>
                <w:rFonts w:cs="Times New Roman"/>
              </w:rPr>
            </w:pPr>
            <w:r w:rsidRPr="00835E84">
              <w:rPr>
                <w:rFonts w:cs="Times New Roman"/>
              </w:rPr>
              <w:t>0.0017</w:t>
            </w:r>
          </w:p>
        </w:tc>
        <w:tc>
          <w:tcPr>
            <w:tcW w:w="1193" w:type="dxa"/>
            <w:vAlign w:val="center"/>
          </w:tcPr>
          <w:p w14:paraId="091449B0" w14:textId="77777777" w:rsidR="00B17E5F" w:rsidRPr="00835E84" w:rsidRDefault="00B17E5F" w:rsidP="008944BC">
            <w:pPr>
              <w:ind w:firstLine="0"/>
              <w:jc w:val="center"/>
              <w:rPr>
                <w:rFonts w:cs="Times New Roman"/>
              </w:rPr>
            </w:pPr>
            <w:r w:rsidRPr="00835E84">
              <w:rPr>
                <w:rFonts w:cs="Times New Roman"/>
              </w:rPr>
              <w:t>C</w:t>
            </w:r>
            <w:r w:rsidRPr="00835E84">
              <w:rPr>
                <w:rFonts w:cs="Times New Roman"/>
                <w:vertAlign w:val="subscript"/>
              </w:rPr>
              <w:t>im</w:t>
            </w:r>
          </w:p>
        </w:tc>
        <w:tc>
          <w:tcPr>
            <w:tcW w:w="1415" w:type="dxa"/>
            <w:vAlign w:val="center"/>
          </w:tcPr>
          <w:p w14:paraId="6A5B8C7F" w14:textId="77777777" w:rsidR="00B17E5F" w:rsidRPr="00835E84" w:rsidRDefault="00B17E5F" w:rsidP="008944BC">
            <w:pPr>
              <w:ind w:firstLine="0"/>
              <w:jc w:val="center"/>
              <w:rPr>
                <w:rFonts w:cs="Times New Roman"/>
              </w:rPr>
            </w:pPr>
            <w:r w:rsidRPr="00835E84">
              <w:rPr>
                <w:rFonts w:cs="Times New Roman"/>
              </w:rPr>
              <w:t>11428571</w:t>
            </w:r>
          </w:p>
        </w:tc>
        <w:tc>
          <w:tcPr>
            <w:tcW w:w="1404" w:type="dxa"/>
            <w:vAlign w:val="center"/>
          </w:tcPr>
          <w:p w14:paraId="5529E0BE" w14:textId="77777777" w:rsidR="00B17E5F" w:rsidRPr="00835E84" w:rsidRDefault="00B17E5F" w:rsidP="008944BC">
            <w:pPr>
              <w:ind w:firstLine="0"/>
              <w:jc w:val="center"/>
              <w:rPr>
                <w:rFonts w:cs="Times New Roman"/>
              </w:rPr>
            </w:pPr>
            <w:r w:rsidRPr="00835E84">
              <w:rPr>
                <w:rFonts w:cs="Times New Roman"/>
              </w:rPr>
              <w:t>C</w:t>
            </w:r>
            <w:r w:rsidRPr="00835E84">
              <w:rPr>
                <w:rFonts w:cs="Times New Roman"/>
                <w:vertAlign w:val="subscript"/>
              </w:rPr>
              <w:t>3</w:t>
            </w:r>
          </w:p>
        </w:tc>
        <w:tc>
          <w:tcPr>
            <w:tcW w:w="1378" w:type="dxa"/>
            <w:vAlign w:val="center"/>
          </w:tcPr>
          <w:p w14:paraId="429FB57C" w14:textId="77777777" w:rsidR="00B17E5F" w:rsidRPr="00835E84" w:rsidRDefault="00B17E5F" w:rsidP="008944BC">
            <w:pPr>
              <w:ind w:firstLine="0"/>
              <w:jc w:val="center"/>
              <w:rPr>
                <w:rFonts w:cs="Times New Roman"/>
              </w:rPr>
            </w:pPr>
            <w:r w:rsidRPr="00835E84">
              <w:rPr>
                <w:rFonts w:cs="Times New Roman"/>
              </w:rPr>
              <w:t>0.1</w:t>
            </w:r>
          </w:p>
        </w:tc>
      </w:tr>
      <w:tr w:rsidR="00B17E5F" w:rsidRPr="00835E84" w14:paraId="59ED2456" w14:textId="77777777" w:rsidTr="004D566A">
        <w:tc>
          <w:tcPr>
            <w:tcW w:w="1643" w:type="dxa"/>
            <w:tcBorders>
              <w:bottom w:val="single" w:sz="4" w:space="0" w:color="auto"/>
            </w:tcBorders>
            <w:vAlign w:val="center"/>
          </w:tcPr>
          <w:p w14:paraId="63C89F91" w14:textId="77777777" w:rsidR="00B17E5F" w:rsidRPr="00835E84" w:rsidRDefault="00B17E5F" w:rsidP="008944BC">
            <w:pPr>
              <w:ind w:firstLine="0"/>
              <w:jc w:val="center"/>
              <w:rPr>
                <w:rFonts w:cs="Times New Roman"/>
              </w:rPr>
            </w:pPr>
            <w:r w:rsidRPr="00835E84">
              <w:rPr>
                <w:rFonts w:cs="Times New Roman"/>
              </w:rPr>
              <w:t>R</w:t>
            </w:r>
            <w:r w:rsidRPr="00835E84">
              <w:rPr>
                <w:rFonts w:cs="Times New Roman"/>
                <w:vertAlign w:val="subscript"/>
              </w:rPr>
              <w:t>im</w:t>
            </w:r>
          </w:p>
        </w:tc>
        <w:tc>
          <w:tcPr>
            <w:tcW w:w="1597" w:type="dxa"/>
            <w:tcBorders>
              <w:bottom w:val="single" w:sz="4" w:space="0" w:color="auto"/>
            </w:tcBorders>
            <w:vAlign w:val="center"/>
          </w:tcPr>
          <w:p w14:paraId="229E5904" w14:textId="77777777" w:rsidR="00B17E5F" w:rsidRPr="00835E84" w:rsidRDefault="00B17E5F" w:rsidP="008944BC">
            <w:pPr>
              <w:ind w:firstLine="0"/>
              <w:jc w:val="center"/>
              <w:rPr>
                <w:rFonts w:cs="Times New Roman"/>
              </w:rPr>
            </w:pPr>
            <w:r w:rsidRPr="00835E84">
              <w:rPr>
                <w:rFonts w:cs="Times New Roman"/>
              </w:rPr>
              <w:t>0.0034</w:t>
            </w:r>
          </w:p>
        </w:tc>
        <w:tc>
          <w:tcPr>
            <w:tcW w:w="1193" w:type="dxa"/>
            <w:tcBorders>
              <w:bottom w:val="single" w:sz="4" w:space="0" w:color="auto"/>
            </w:tcBorders>
            <w:vAlign w:val="center"/>
          </w:tcPr>
          <w:p w14:paraId="2FC9B20A" w14:textId="77777777" w:rsidR="00B17E5F" w:rsidRPr="00835E84" w:rsidRDefault="00B17E5F" w:rsidP="008944BC">
            <w:pPr>
              <w:ind w:firstLine="0"/>
              <w:jc w:val="center"/>
              <w:rPr>
                <w:rFonts w:cs="Times New Roman"/>
              </w:rPr>
            </w:pPr>
            <w:r w:rsidRPr="00835E84">
              <w:rPr>
                <w:rFonts w:cs="Times New Roman"/>
              </w:rPr>
              <w:t>C</w:t>
            </w:r>
            <w:r w:rsidRPr="00835E84">
              <w:rPr>
                <w:rFonts w:cs="Times New Roman"/>
                <w:vertAlign w:val="subscript"/>
              </w:rPr>
              <w:t>in</w:t>
            </w:r>
          </w:p>
        </w:tc>
        <w:tc>
          <w:tcPr>
            <w:tcW w:w="1415" w:type="dxa"/>
            <w:tcBorders>
              <w:bottom w:val="single" w:sz="4" w:space="0" w:color="auto"/>
            </w:tcBorders>
            <w:vAlign w:val="center"/>
          </w:tcPr>
          <w:p w14:paraId="67BFFD53" w14:textId="77777777" w:rsidR="00B17E5F" w:rsidRPr="00835E84" w:rsidRDefault="00B17E5F" w:rsidP="008944BC">
            <w:pPr>
              <w:ind w:firstLine="0"/>
              <w:jc w:val="center"/>
              <w:rPr>
                <w:rFonts w:cs="Times New Roman"/>
              </w:rPr>
            </w:pPr>
            <w:r w:rsidRPr="00835E84">
              <w:rPr>
                <w:rFonts w:cs="Times New Roman"/>
              </w:rPr>
              <w:t>4285714</w:t>
            </w:r>
          </w:p>
        </w:tc>
        <w:tc>
          <w:tcPr>
            <w:tcW w:w="1404" w:type="dxa"/>
            <w:tcBorders>
              <w:bottom w:val="single" w:sz="4" w:space="0" w:color="auto"/>
            </w:tcBorders>
            <w:vAlign w:val="center"/>
          </w:tcPr>
          <w:p w14:paraId="4B66553C" w14:textId="77777777" w:rsidR="00B17E5F" w:rsidRPr="00835E84" w:rsidRDefault="00B17E5F" w:rsidP="008944BC">
            <w:pPr>
              <w:ind w:firstLine="0"/>
              <w:jc w:val="center"/>
              <w:rPr>
                <w:rFonts w:cs="Times New Roman"/>
              </w:rPr>
            </w:pPr>
          </w:p>
        </w:tc>
        <w:tc>
          <w:tcPr>
            <w:tcW w:w="1378" w:type="dxa"/>
            <w:tcBorders>
              <w:bottom w:val="single" w:sz="4" w:space="0" w:color="auto"/>
            </w:tcBorders>
            <w:vAlign w:val="center"/>
          </w:tcPr>
          <w:p w14:paraId="2FE0B0D8" w14:textId="77777777" w:rsidR="00B17E5F" w:rsidRPr="00835E84" w:rsidRDefault="00B17E5F" w:rsidP="008944BC">
            <w:pPr>
              <w:ind w:firstLine="0"/>
              <w:jc w:val="center"/>
              <w:rPr>
                <w:rFonts w:cs="Times New Roman"/>
              </w:rPr>
            </w:pPr>
          </w:p>
        </w:tc>
      </w:tr>
      <w:tr w:rsidR="00B17E5F" w:rsidRPr="00835E84" w14:paraId="512899B2" w14:textId="77777777" w:rsidTr="00E56618">
        <w:tc>
          <w:tcPr>
            <w:tcW w:w="8630" w:type="dxa"/>
            <w:gridSpan w:val="6"/>
            <w:tcBorders>
              <w:top w:val="single" w:sz="4" w:space="0" w:color="auto"/>
            </w:tcBorders>
            <w:vAlign w:val="center"/>
          </w:tcPr>
          <w:p w14:paraId="7997D739" w14:textId="77777777" w:rsidR="00B17E5F" w:rsidRPr="00835E84" w:rsidRDefault="00B17E5F" w:rsidP="008944BC">
            <w:pPr>
              <w:ind w:firstLine="0"/>
              <w:jc w:val="center"/>
              <w:rPr>
                <w:rFonts w:cs="Times New Roman"/>
                <w:b/>
                <w:bCs/>
              </w:rPr>
            </w:pPr>
            <w:r w:rsidRPr="00835E84">
              <w:rPr>
                <w:rFonts w:cs="Times New Roman"/>
                <w:b/>
                <w:bCs/>
              </w:rPr>
              <w:t>Physical Building Characteristics</w:t>
            </w:r>
          </w:p>
        </w:tc>
      </w:tr>
      <w:tr w:rsidR="00B17E5F" w:rsidRPr="00835E84" w14:paraId="07FD960F" w14:textId="77777777" w:rsidTr="004D566A">
        <w:tc>
          <w:tcPr>
            <w:tcW w:w="1643" w:type="dxa"/>
            <w:tcBorders>
              <w:bottom w:val="single" w:sz="4" w:space="0" w:color="auto"/>
            </w:tcBorders>
            <w:vAlign w:val="center"/>
          </w:tcPr>
          <w:p w14:paraId="1D9D2266" w14:textId="77777777" w:rsidR="00B17E5F" w:rsidRPr="00835E84" w:rsidRDefault="00B17E5F" w:rsidP="008944BC">
            <w:pPr>
              <w:ind w:firstLine="0"/>
              <w:jc w:val="center"/>
              <w:rPr>
                <w:rFonts w:cs="Times New Roman"/>
                <w:b/>
                <w:bCs/>
              </w:rPr>
            </w:pPr>
            <w:r w:rsidRPr="00835E84">
              <w:rPr>
                <w:rFonts w:cs="Times New Roman"/>
                <w:b/>
                <w:bCs/>
              </w:rPr>
              <w:t>Variable</w:t>
            </w:r>
          </w:p>
        </w:tc>
        <w:tc>
          <w:tcPr>
            <w:tcW w:w="1597" w:type="dxa"/>
            <w:tcBorders>
              <w:bottom w:val="single" w:sz="4" w:space="0" w:color="auto"/>
            </w:tcBorders>
            <w:vAlign w:val="center"/>
          </w:tcPr>
          <w:p w14:paraId="303D69A3" w14:textId="77777777" w:rsidR="00B17E5F" w:rsidRPr="00835E84" w:rsidRDefault="00B17E5F" w:rsidP="008944BC">
            <w:pPr>
              <w:ind w:firstLine="0"/>
              <w:jc w:val="center"/>
              <w:rPr>
                <w:rFonts w:cs="Times New Roman"/>
                <w:b/>
                <w:bCs/>
              </w:rPr>
            </w:pPr>
            <w:r w:rsidRPr="00835E84">
              <w:rPr>
                <w:rFonts w:cs="Times New Roman"/>
                <w:b/>
                <w:bCs/>
              </w:rPr>
              <w:t>Value</w:t>
            </w:r>
          </w:p>
        </w:tc>
        <w:tc>
          <w:tcPr>
            <w:tcW w:w="1193" w:type="dxa"/>
            <w:tcBorders>
              <w:bottom w:val="single" w:sz="4" w:space="0" w:color="auto"/>
            </w:tcBorders>
            <w:vAlign w:val="center"/>
          </w:tcPr>
          <w:p w14:paraId="3F0A701A" w14:textId="77777777" w:rsidR="00B17E5F" w:rsidRPr="00835E84" w:rsidRDefault="00B17E5F" w:rsidP="008944BC">
            <w:pPr>
              <w:ind w:firstLine="0"/>
              <w:jc w:val="center"/>
              <w:rPr>
                <w:rFonts w:cs="Times New Roman"/>
                <w:b/>
                <w:bCs/>
              </w:rPr>
            </w:pPr>
            <w:r w:rsidRPr="00835E84">
              <w:rPr>
                <w:rFonts w:cs="Times New Roman"/>
                <w:b/>
                <w:bCs/>
              </w:rPr>
              <w:t>Variable</w:t>
            </w:r>
          </w:p>
        </w:tc>
        <w:tc>
          <w:tcPr>
            <w:tcW w:w="1415" w:type="dxa"/>
            <w:tcBorders>
              <w:bottom w:val="single" w:sz="4" w:space="0" w:color="auto"/>
            </w:tcBorders>
            <w:vAlign w:val="center"/>
          </w:tcPr>
          <w:p w14:paraId="0E7B5FC7" w14:textId="77777777" w:rsidR="00B17E5F" w:rsidRPr="00835E84" w:rsidRDefault="00B17E5F" w:rsidP="008944BC">
            <w:pPr>
              <w:ind w:firstLine="0"/>
              <w:jc w:val="center"/>
              <w:rPr>
                <w:rFonts w:cs="Times New Roman"/>
                <w:b/>
                <w:bCs/>
              </w:rPr>
            </w:pPr>
            <w:r w:rsidRPr="00835E84">
              <w:rPr>
                <w:rFonts w:cs="Times New Roman"/>
                <w:b/>
                <w:bCs/>
              </w:rPr>
              <w:t>Value</w:t>
            </w:r>
          </w:p>
        </w:tc>
        <w:tc>
          <w:tcPr>
            <w:tcW w:w="1404" w:type="dxa"/>
            <w:tcBorders>
              <w:bottom w:val="single" w:sz="4" w:space="0" w:color="auto"/>
            </w:tcBorders>
            <w:vAlign w:val="center"/>
          </w:tcPr>
          <w:p w14:paraId="2E160FF7" w14:textId="77777777" w:rsidR="00B17E5F" w:rsidRPr="00835E84" w:rsidRDefault="00B17E5F" w:rsidP="008944BC">
            <w:pPr>
              <w:ind w:firstLine="0"/>
              <w:jc w:val="center"/>
              <w:rPr>
                <w:rFonts w:cs="Times New Roman"/>
                <w:b/>
                <w:bCs/>
              </w:rPr>
            </w:pPr>
            <w:r w:rsidRPr="00835E84">
              <w:rPr>
                <w:rFonts w:cs="Times New Roman"/>
                <w:b/>
                <w:bCs/>
              </w:rPr>
              <w:t>Variable</w:t>
            </w:r>
          </w:p>
        </w:tc>
        <w:tc>
          <w:tcPr>
            <w:tcW w:w="1378" w:type="dxa"/>
            <w:tcBorders>
              <w:bottom w:val="single" w:sz="4" w:space="0" w:color="auto"/>
            </w:tcBorders>
            <w:vAlign w:val="center"/>
          </w:tcPr>
          <w:p w14:paraId="1F6F32D3" w14:textId="77777777" w:rsidR="00B17E5F" w:rsidRPr="00835E84" w:rsidRDefault="00B17E5F" w:rsidP="008944BC">
            <w:pPr>
              <w:ind w:firstLine="0"/>
              <w:jc w:val="center"/>
              <w:rPr>
                <w:rFonts w:cs="Times New Roman"/>
                <w:b/>
                <w:bCs/>
              </w:rPr>
            </w:pPr>
            <w:r w:rsidRPr="00835E84">
              <w:rPr>
                <w:rFonts w:cs="Times New Roman"/>
                <w:b/>
                <w:bCs/>
              </w:rPr>
              <w:t>Value</w:t>
            </w:r>
          </w:p>
        </w:tc>
      </w:tr>
      <w:tr w:rsidR="00B17E5F" w:rsidRPr="00835E84" w14:paraId="07B94283" w14:textId="77777777" w:rsidTr="004D566A">
        <w:tc>
          <w:tcPr>
            <w:tcW w:w="1643" w:type="dxa"/>
            <w:tcBorders>
              <w:top w:val="single" w:sz="4" w:space="0" w:color="auto"/>
            </w:tcBorders>
            <w:vAlign w:val="center"/>
          </w:tcPr>
          <w:p w14:paraId="267262EA" w14:textId="77777777" w:rsidR="00B17E5F" w:rsidRPr="00835E84" w:rsidRDefault="00B17E5F" w:rsidP="008944BC">
            <w:pPr>
              <w:ind w:firstLine="0"/>
              <w:jc w:val="center"/>
              <w:rPr>
                <w:rFonts w:cs="Times New Roman"/>
              </w:rPr>
            </w:pPr>
            <w:r w:rsidRPr="00835E84">
              <w:rPr>
                <w:rFonts w:cs="Times New Roman"/>
              </w:rPr>
              <w:t>F</w:t>
            </w:r>
            <w:r w:rsidRPr="00835E84">
              <w:rPr>
                <w:rFonts w:cs="Times New Roman"/>
                <w:vertAlign w:val="subscript"/>
              </w:rPr>
              <w:t>window</w:t>
            </w:r>
          </w:p>
        </w:tc>
        <w:tc>
          <w:tcPr>
            <w:tcW w:w="1597" w:type="dxa"/>
            <w:tcBorders>
              <w:top w:val="single" w:sz="4" w:space="0" w:color="auto"/>
            </w:tcBorders>
            <w:vAlign w:val="center"/>
          </w:tcPr>
          <w:p w14:paraId="0D497DF5" w14:textId="77777777" w:rsidR="00B17E5F" w:rsidRPr="00835E84" w:rsidRDefault="00B17E5F" w:rsidP="008944BC">
            <w:pPr>
              <w:ind w:firstLine="0"/>
              <w:jc w:val="center"/>
              <w:rPr>
                <w:rFonts w:cs="Times New Roman"/>
              </w:rPr>
            </w:pPr>
            <w:r w:rsidRPr="00835E84">
              <w:rPr>
                <w:rFonts w:cs="Times New Roman"/>
              </w:rPr>
              <w:t>0.25 [-]</w:t>
            </w:r>
          </w:p>
        </w:tc>
        <w:tc>
          <w:tcPr>
            <w:tcW w:w="1193" w:type="dxa"/>
            <w:tcBorders>
              <w:top w:val="single" w:sz="4" w:space="0" w:color="auto"/>
            </w:tcBorders>
            <w:vAlign w:val="center"/>
          </w:tcPr>
          <w:p w14:paraId="5771D667" w14:textId="77777777" w:rsidR="00B17E5F" w:rsidRPr="00835E84" w:rsidRDefault="00B17E5F" w:rsidP="008944BC">
            <w:pPr>
              <w:ind w:firstLine="0"/>
              <w:jc w:val="center"/>
              <w:rPr>
                <w:rFonts w:cs="Times New Roman"/>
              </w:rPr>
            </w:pPr>
            <w:r w:rsidRPr="00835E84">
              <w:rPr>
                <w:rFonts w:cs="Times New Roman"/>
              </w:rPr>
              <w:t>A</w:t>
            </w:r>
            <w:r w:rsidRPr="00835E84">
              <w:rPr>
                <w:rFonts w:cs="Times New Roman"/>
                <w:vertAlign w:val="subscript"/>
              </w:rPr>
              <w:t>window</w:t>
            </w:r>
          </w:p>
        </w:tc>
        <w:tc>
          <w:tcPr>
            <w:tcW w:w="1415" w:type="dxa"/>
            <w:tcBorders>
              <w:top w:val="single" w:sz="4" w:space="0" w:color="auto"/>
            </w:tcBorders>
            <w:vAlign w:val="center"/>
          </w:tcPr>
          <w:p w14:paraId="453B0250" w14:textId="77777777" w:rsidR="00B17E5F" w:rsidRPr="00835E84" w:rsidRDefault="00B17E5F" w:rsidP="008944BC">
            <w:pPr>
              <w:ind w:firstLine="0"/>
              <w:jc w:val="center"/>
              <w:rPr>
                <w:rFonts w:cs="Times New Roman"/>
              </w:rPr>
            </w:pPr>
            <w:r w:rsidRPr="00835E84">
              <w:rPr>
                <w:rFonts w:cs="Times New Roman"/>
              </w:rPr>
              <w:t>10 [m</w:t>
            </w:r>
            <w:r w:rsidRPr="00835E84">
              <w:rPr>
                <w:rFonts w:cs="Times New Roman"/>
                <w:vertAlign w:val="superscript"/>
              </w:rPr>
              <w:t>2</w:t>
            </w:r>
            <w:r w:rsidRPr="00835E84">
              <w:rPr>
                <w:rFonts w:cs="Times New Roman"/>
              </w:rPr>
              <w:t>]</w:t>
            </w:r>
          </w:p>
        </w:tc>
        <w:tc>
          <w:tcPr>
            <w:tcW w:w="1404" w:type="dxa"/>
            <w:tcBorders>
              <w:top w:val="single" w:sz="4" w:space="0" w:color="auto"/>
            </w:tcBorders>
            <w:vAlign w:val="center"/>
          </w:tcPr>
          <w:p w14:paraId="03D48930" w14:textId="77777777" w:rsidR="00B17E5F" w:rsidRPr="00835E84" w:rsidRDefault="00B17E5F" w:rsidP="008944BC">
            <w:pPr>
              <w:ind w:firstLine="0"/>
              <w:jc w:val="center"/>
              <w:rPr>
                <w:rFonts w:cs="Times New Roman"/>
              </w:rPr>
            </w:pPr>
            <w:r w:rsidRPr="00835E84">
              <w:rPr>
                <w:rFonts w:cs="Times New Roman"/>
              </w:rPr>
              <w:t>SHGC</w:t>
            </w:r>
          </w:p>
        </w:tc>
        <w:tc>
          <w:tcPr>
            <w:tcW w:w="1378" w:type="dxa"/>
            <w:tcBorders>
              <w:top w:val="single" w:sz="4" w:space="0" w:color="auto"/>
            </w:tcBorders>
            <w:vAlign w:val="center"/>
          </w:tcPr>
          <w:p w14:paraId="0B9FACEA" w14:textId="77777777" w:rsidR="00B17E5F" w:rsidRPr="00835E84" w:rsidRDefault="00B17E5F" w:rsidP="008944BC">
            <w:pPr>
              <w:ind w:firstLine="0"/>
              <w:jc w:val="center"/>
              <w:rPr>
                <w:rFonts w:cs="Times New Roman"/>
              </w:rPr>
            </w:pPr>
            <w:r w:rsidRPr="00835E84">
              <w:rPr>
                <w:rFonts w:cs="Times New Roman"/>
              </w:rPr>
              <w:t>0.25 [-]</w:t>
            </w:r>
          </w:p>
        </w:tc>
      </w:tr>
      <w:tr w:rsidR="00B17E5F" w:rsidRPr="00835E84" w14:paraId="2BAFF881" w14:textId="77777777" w:rsidTr="004D566A">
        <w:tc>
          <w:tcPr>
            <w:tcW w:w="1643" w:type="dxa"/>
            <w:vAlign w:val="center"/>
          </w:tcPr>
          <w:p w14:paraId="6939433A" w14:textId="77777777" w:rsidR="00B17E5F" w:rsidRPr="00835E84" w:rsidRDefault="00B17E5F" w:rsidP="008944BC">
            <w:pPr>
              <w:ind w:firstLine="0"/>
              <w:jc w:val="center"/>
              <w:rPr>
                <w:rFonts w:cs="Times New Roman"/>
              </w:rPr>
            </w:pPr>
            <w:r w:rsidRPr="00835E84">
              <w:rPr>
                <w:rFonts w:cs="Times New Roman"/>
              </w:rPr>
              <w:t>F</w:t>
            </w:r>
            <w:r w:rsidRPr="00835E84">
              <w:rPr>
                <w:rFonts w:cs="Times New Roman"/>
                <w:vertAlign w:val="subscript"/>
              </w:rPr>
              <w:t>wall</w:t>
            </w:r>
          </w:p>
        </w:tc>
        <w:tc>
          <w:tcPr>
            <w:tcW w:w="1597" w:type="dxa"/>
            <w:vAlign w:val="center"/>
          </w:tcPr>
          <w:p w14:paraId="54D4E548" w14:textId="77777777" w:rsidR="00B17E5F" w:rsidRPr="00835E84" w:rsidRDefault="00B17E5F" w:rsidP="008944BC">
            <w:pPr>
              <w:ind w:firstLine="0"/>
              <w:jc w:val="center"/>
              <w:rPr>
                <w:rFonts w:cs="Times New Roman"/>
              </w:rPr>
            </w:pPr>
            <w:r w:rsidRPr="00835E84">
              <w:rPr>
                <w:rFonts w:cs="Times New Roman"/>
              </w:rPr>
              <w:t>0.25 [-]</w:t>
            </w:r>
          </w:p>
        </w:tc>
        <w:tc>
          <w:tcPr>
            <w:tcW w:w="1193" w:type="dxa"/>
            <w:vAlign w:val="center"/>
          </w:tcPr>
          <w:p w14:paraId="066CD380" w14:textId="77777777" w:rsidR="00B17E5F" w:rsidRPr="00835E84" w:rsidRDefault="00B17E5F" w:rsidP="008944BC">
            <w:pPr>
              <w:ind w:firstLine="0"/>
              <w:jc w:val="center"/>
              <w:rPr>
                <w:rFonts w:cs="Times New Roman"/>
              </w:rPr>
            </w:pPr>
            <w:r w:rsidRPr="00835E84">
              <w:rPr>
                <w:rFonts w:cs="Times New Roman"/>
              </w:rPr>
              <w:t>α</w:t>
            </w:r>
            <w:r w:rsidRPr="00835E84">
              <w:rPr>
                <w:rFonts w:cs="Times New Roman"/>
                <w:vertAlign w:val="subscript"/>
              </w:rPr>
              <w:t>wall</w:t>
            </w:r>
          </w:p>
        </w:tc>
        <w:tc>
          <w:tcPr>
            <w:tcW w:w="1415" w:type="dxa"/>
            <w:vAlign w:val="center"/>
          </w:tcPr>
          <w:p w14:paraId="17FA8EE6" w14:textId="77777777" w:rsidR="00B17E5F" w:rsidRPr="00835E84" w:rsidRDefault="00B17E5F" w:rsidP="008944BC">
            <w:pPr>
              <w:ind w:firstLine="0"/>
              <w:jc w:val="center"/>
              <w:rPr>
                <w:rFonts w:cs="Times New Roman"/>
              </w:rPr>
            </w:pPr>
            <w:r w:rsidRPr="00835E84">
              <w:rPr>
                <w:rFonts w:cs="Times New Roman"/>
              </w:rPr>
              <w:t>0.5 [-]</w:t>
            </w:r>
          </w:p>
        </w:tc>
        <w:tc>
          <w:tcPr>
            <w:tcW w:w="1404" w:type="dxa"/>
            <w:vAlign w:val="center"/>
          </w:tcPr>
          <w:p w14:paraId="0248C648" w14:textId="77777777" w:rsidR="00B17E5F" w:rsidRPr="00835E84" w:rsidRDefault="00B17E5F" w:rsidP="008944BC">
            <w:pPr>
              <w:ind w:firstLine="0"/>
              <w:jc w:val="center"/>
              <w:rPr>
                <w:rFonts w:cs="Times New Roman"/>
              </w:rPr>
            </w:pPr>
            <w:r w:rsidRPr="00835E84">
              <w:rPr>
                <w:rFonts w:cs="Times New Roman"/>
              </w:rPr>
              <w:t>Q</w:t>
            </w:r>
            <w:r w:rsidRPr="00835E84">
              <w:rPr>
                <w:rFonts w:cs="Times New Roman"/>
                <w:vertAlign w:val="subscript"/>
              </w:rPr>
              <w:t>IHL</w:t>
            </w:r>
          </w:p>
        </w:tc>
        <w:tc>
          <w:tcPr>
            <w:tcW w:w="1378" w:type="dxa"/>
            <w:vAlign w:val="center"/>
          </w:tcPr>
          <w:p w14:paraId="3CEB5887" w14:textId="77777777" w:rsidR="00B17E5F" w:rsidRPr="00835E84" w:rsidRDefault="00B17E5F" w:rsidP="008944BC">
            <w:pPr>
              <w:ind w:firstLine="0"/>
              <w:jc w:val="center"/>
              <w:rPr>
                <w:rFonts w:cs="Times New Roman"/>
              </w:rPr>
            </w:pPr>
            <w:r w:rsidRPr="00835E84">
              <w:rPr>
                <w:rFonts w:cs="Times New Roman"/>
              </w:rPr>
              <w:t>2000 [W]</w:t>
            </w:r>
          </w:p>
        </w:tc>
      </w:tr>
      <w:tr w:rsidR="00B17E5F" w:rsidRPr="00835E84" w14:paraId="42E1FE7B" w14:textId="77777777" w:rsidTr="004D566A">
        <w:tc>
          <w:tcPr>
            <w:tcW w:w="1643" w:type="dxa"/>
            <w:tcBorders>
              <w:bottom w:val="single" w:sz="4" w:space="0" w:color="auto"/>
            </w:tcBorders>
            <w:vAlign w:val="center"/>
          </w:tcPr>
          <w:p w14:paraId="18DD45F5" w14:textId="77777777" w:rsidR="00B17E5F" w:rsidRPr="00835E84" w:rsidRDefault="00B17E5F" w:rsidP="008944BC">
            <w:pPr>
              <w:ind w:firstLine="0"/>
              <w:jc w:val="center"/>
              <w:rPr>
                <w:rFonts w:cs="Times New Roman"/>
              </w:rPr>
            </w:pPr>
            <w:r w:rsidRPr="00835E84">
              <w:rPr>
                <w:rFonts w:cs="Times New Roman"/>
              </w:rPr>
              <w:t>F</w:t>
            </w:r>
            <w:r w:rsidRPr="00835E84">
              <w:rPr>
                <w:rFonts w:cs="Times New Roman"/>
                <w:vertAlign w:val="subscript"/>
              </w:rPr>
              <w:t>roof</w:t>
            </w:r>
          </w:p>
        </w:tc>
        <w:tc>
          <w:tcPr>
            <w:tcW w:w="1597" w:type="dxa"/>
            <w:tcBorders>
              <w:bottom w:val="single" w:sz="4" w:space="0" w:color="auto"/>
            </w:tcBorders>
            <w:vAlign w:val="center"/>
          </w:tcPr>
          <w:p w14:paraId="7BD17A5A" w14:textId="77777777" w:rsidR="00B17E5F" w:rsidRPr="00835E84" w:rsidRDefault="00B17E5F" w:rsidP="008944BC">
            <w:pPr>
              <w:ind w:firstLine="0"/>
              <w:jc w:val="center"/>
              <w:rPr>
                <w:rFonts w:cs="Times New Roman"/>
              </w:rPr>
            </w:pPr>
            <w:r w:rsidRPr="00835E84">
              <w:rPr>
                <w:rFonts w:cs="Times New Roman"/>
              </w:rPr>
              <w:t>0.5 [-]</w:t>
            </w:r>
          </w:p>
        </w:tc>
        <w:tc>
          <w:tcPr>
            <w:tcW w:w="1193" w:type="dxa"/>
            <w:tcBorders>
              <w:bottom w:val="single" w:sz="4" w:space="0" w:color="auto"/>
            </w:tcBorders>
            <w:vAlign w:val="center"/>
          </w:tcPr>
          <w:p w14:paraId="2E4FD14C" w14:textId="77777777" w:rsidR="00B17E5F" w:rsidRPr="00835E84" w:rsidRDefault="00B17E5F" w:rsidP="008944BC">
            <w:pPr>
              <w:ind w:firstLine="0"/>
              <w:jc w:val="center"/>
              <w:rPr>
                <w:rFonts w:cs="Times New Roman"/>
              </w:rPr>
            </w:pPr>
            <w:r w:rsidRPr="00835E84">
              <w:rPr>
                <w:rFonts w:cs="Times New Roman"/>
              </w:rPr>
              <w:t>α</w:t>
            </w:r>
            <w:r w:rsidRPr="00835E84">
              <w:rPr>
                <w:rFonts w:cs="Times New Roman"/>
                <w:vertAlign w:val="subscript"/>
              </w:rPr>
              <w:t>roof</w:t>
            </w:r>
          </w:p>
        </w:tc>
        <w:tc>
          <w:tcPr>
            <w:tcW w:w="1415" w:type="dxa"/>
            <w:tcBorders>
              <w:bottom w:val="single" w:sz="4" w:space="0" w:color="auto"/>
            </w:tcBorders>
            <w:vAlign w:val="center"/>
          </w:tcPr>
          <w:p w14:paraId="471D1B2A" w14:textId="77777777" w:rsidR="00B17E5F" w:rsidRPr="00835E84" w:rsidRDefault="00B17E5F" w:rsidP="008944BC">
            <w:pPr>
              <w:ind w:firstLine="0"/>
              <w:jc w:val="center"/>
              <w:rPr>
                <w:rFonts w:cs="Times New Roman"/>
              </w:rPr>
            </w:pPr>
            <w:r w:rsidRPr="00835E84">
              <w:rPr>
                <w:rFonts w:cs="Times New Roman"/>
              </w:rPr>
              <w:t>0.65 [-]</w:t>
            </w:r>
          </w:p>
        </w:tc>
        <w:tc>
          <w:tcPr>
            <w:tcW w:w="1404" w:type="dxa"/>
            <w:tcBorders>
              <w:bottom w:val="single" w:sz="4" w:space="0" w:color="auto"/>
            </w:tcBorders>
            <w:vAlign w:val="center"/>
          </w:tcPr>
          <w:p w14:paraId="42A7E9D5" w14:textId="77777777" w:rsidR="00B17E5F" w:rsidRPr="00835E84" w:rsidRDefault="00B17E5F" w:rsidP="008944BC">
            <w:pPr>
              <w:ind w:firstLine="0"/>
              <w:jc w:val="center"/>
              <w:rPr>
                <w:rFonts w:cs="Times New Roman"/>
              </w:rPr>
            </w:pPr>
          </w:p>
        </w:tc>
        <w:tc>
          <w:tcPr>
            <w:tcW w:w="1378" w:type="dxa"/>
            <w:tcBorders>
              <w:bottom w:val="single" w:sz="4" w:space="0" w:color="auto"/>
            </w:tcBorders>
            <w:vAlign w:val="center"/>
          </w:tcPr>
          <w:p w14:paraId="3EC26679" w14:textId="77777777" w:rsidR="00B17E5F" w:rsidRPr="00835E84" w:rsidRDefault="00B17E5F" w:rsidP="008944BC">
            <w:pPr>
              <w:ind w:firstLine="0"/>
              <w:jc w:val="center"/>
              <w:rPr>
                <w:rFonts w:cs="Times New Roman"/>
              </w:rPr>
            </w:pPr>
          </w:p>
        </w:tc>
      </w:tr>
    </w:tbl>
    <w:p w14:paraId="72EC9C4E" w14:textId="77777777" w:rsidR="00B17E5F" w:rsidRDefault="00B17E5F" w:rsidP="00D57200">
      <w:pPr>
        <w:ind w:firstLine="540"/>
        <w:rPr>
          <w:rFonts w:cs="Times New Roman"/>
        </w:rPr>
      </w:pPr>
    </w:p>
    <w:p w14:paraId="2901B103" w14:textId="4F8E8012" w:rsidR="003E5757" w:rsidRDefault="003E5757" w:rsidP="003E5757">
      <w:pPr>
        <w:pStyle w:val="Caption"/>
        <w:jc w:val="center"/>
      </w:pPr>
      <w:bookmarkStart w:id="278" w:name="_Toc140399962"/>
      <w:r>
        <w:t xml:space="preserve">Table </w:t>
      </w:r>
      <w:fldSimple w:instr=" SEQ Table \* ARABIC ">
        <w:r w:rsidR="00FC25C0">
          <w:rPr>
            <w:noProof/>
          </w:rPr>
          <w:t>22</w:t>
        </w:r>
      </w:fldSimple>
      <w:r>
        <w:t>: Buildings selected for analysis.</w:t>
      </w:r>
      <w:bookmarkEnd w:id="278"/>
    </w:p>
    <w:tbl>
      <w:tblPr>
        <w:tblStyle w:val="PlainTable2"/>
        <w:tblW w:w="0" w:type="auto"/>
        <w:tblLook w:val="04A0" w:firstRow="1" w:lastRow="0" w:firstColumn="1" w:lastColumn="0" w:noHBand="0" w:noVBand="1"/>
      </w:tblPr>
      <w:tblGrid>
        <w:gridCol w:w="3150"/>
        <w:gridCol w:w="2603"/>
        <w:gridCol w:w="2877"/>
      </w:tblGrid>
      <w:tr w:rsidR="00010758" w14:paraId="0EEFC99E" w14:textId="77777777" w:rsidTr="00FB7F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auto"/>
              <w:bottom w:val="single" w:sz="4" w:space="0" w:color="auto"/>
            </w:tcBorders>
          </w:tcPr>
          <w:p w14:paraId="09F8DFBB" w14:textId="01CC5605" w:rsidR="00010758" w:rsidRPr="00010758" w:rsidRDefault="00010758" w:rsidP="00010758">
            <w:pPr>
              <w:ind w:firstLine="0"/>
              <w:jc w:val="center"/>
              <w:rPr>
                <w:rFonts w:cs="Times New Roman"/>
              </w:rPr>
            </w:pPr>
            <w:r w:rsidRPr="00010758">
              <w:rPr>
                <w:rFonts w:cs="Times New Roman"/>
              </w:rPr>
              <w:t>Building Details</w:t>
            </w:r>
          </w:p>
        </w:tc>
        <w:tc>
          <w:tcPr>
            <w:tcW w:w="2603" w:type="dxa"/>
            <w:tcBorders>
              <w:top w:val="single" w:sz="4" w:space="0" w:color="auto"/>
              <w:bottom w:val="single" w:sz="4" w:space="0" w:color="auto"/>
            </w:tcBorders>
          </w:tcPr>
          <w:p w14:paraId="2BABBFA2" w14:textId="294417B4" w:rsidR="00010758" w:rsidRPr="00010758" w:rsidRDefault="00010758" w:rsidP="00010758">
            <w:pPr>
              <w:ind w:firstLine="0"/>
              <w:jc w:val="center"/>
              <w:cnfStyle w:val="100000000000" w:firstRow="1" w:lastRow="0" w:firstColumn="0" w:lastColumn="0" w:oddVBand="0" w:evenVBand="0" w:oddHBand="0" w:evenHBand="0" w:firstRowFirstColumn="0" w:firstRowLastColumn="0" w:lastRowFirstColumn="0" w:lastRowLastColumn="0"/>
              <w:rPr>
                <w:rFonts w:cs="Times New Roman"/>
              </w:rPr>
            </w:pPr>
            <w:r w:rsidRPr="00010758">
              <w:rPr>
                <w:rFonts w:cs="Times New Roman"/>
              </w:rPr>
              <w:t>Location</w:t>
            </w:r>
            <w:r w:rsidR="00FB7FA5">
              <w:rPr>
                <w:rFonts w:cs="Times New Roman"/>
              </w:rPr>
              <w:t xml:space="preserve"> (IECC Zone)</w:t>
            </w:r>
          </w:p>
        </w:tc>
        <w:tc>
          <w:tcPr>
            <w:tcW w:w="2877" w:type="dxa"/>
            <w:tcBorders>
              <w:top w:val="single" w:sz="4" w:space="0" w:color="auto"/>
              <w:bottom w:val="single" w:sz="4" w:space="0" w:color="auto"/>
            </w:tcBorders>
          </w:tcPr>
          <w:p w14:paraId="76E37441" w14:textId="3C49E6FB" w:rsidR="00010758" w:rsidRPr="00010758" w:rsidRDefault="003E5757" w:rsidP="00010758">
            <w:pPr>
              <w:ind w:firstLine="0"/>
              <w:jc w:val="center"/>
              <w:cnfStyle w:val="100000000000" w:firstRow="1" w:lastRow="0" w:firstColumn="0" w:lastColumn="0" w:oddVBand="0" w:evenVBand="0" w:oddHBand="0" w:evenHBand="0" w:firstRowFirstColumn="0" w:firstRowLastColumn="0" w:lastRowFirstColumn="0" w:lastRowLastColumn="0"/>
              <w:rPr>
                <w:rFonts w:cs="Times New Roman"/>
              </w:rPr>
            </w:pPr>
            <w:r>
              <w:rPr>
                <w:rFonts w:cs="Times New Roman"/>
              </w:rPr>
              <w:t>Characteristics</w:t>
            </w:r>
          </w:p>
        </w:tc>
      </w:tr>
      <w:tr w:rsidR="00010758" w14:paraId="33B70524" w14:textId="77777777" w:rsidTr="00FB7F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auto"/>
              <w:bottom w:val="nil"/>
            </w:tcBorders>
          </w:tcPr>
          <w:p w14:paraId="20166A5F" w14:textId="7FD1BB82" w:rsidR="00010758" w:rsidRPr="00010758" w:rsidRDefault="00010758" w:rsidP="00010758">
            <w:pPr>
              <w:ind w:firstLine="0"/>
              <w:jc w:val="center"/>
              <w:rPr>
                <w:rFonts w:cs="Times New Roman"/>
                <w:b w:val="0"/>
                <w:bCs w:val="0"/>
              </w:rPr>
            </w:pPr>
            <w:r w:rsidRPr="00010758">
              <w:rPr>
                <w:rFonts w:cs="Times New Roman"/>
                <w:b w:val="0"/>
                <w:bCs w:val="0"/>
                <w:lang w:val="en-GB"/>
              </w:rPr>
              <w:t>Honda Smart Home</w:t>
            </w:r>
          </w:p>
        </w:tc>
        <w:tc>
          <w:tcPr>
            <w:tcW w:w="2603" w:type="dxa"/>
            <w:tcBorders>
              <w:top w:val="single" w:sz="4" w:space="0" w:color="auto"/>
              <w:bottom w:val="nil"/>
            </w:tcBorders>
          </w:tcPr>
          <w:p w14:paraId="16FB8C4A" w14:textId="7A43DCB9" w:rsidR="00010758" w:rsidRPr="00010758" w:rsidRDefault="00010758" w:rsidP="00010758">
            <w:pPr>
              <w:ind w:firstLine="0"/>
              <w:jc w:val="center"/>
              <w:cnfStyle w:val="000000100000" w:firstRow="0" w:lastRow="0" w:firstColumn="0" w:lastColumn="0" w:oddVBand="0" w:evenVBand="0" w:oddHBand="1" w:evenHBand="0" w:firstRowFirstColumn="0" w:firstRowLastColumn="0" w:lastRowFirstColumn="0" w:lastRowLastColumn="0"/>
              <w:rPr>
                <w:rFonts w:cs="Times New Roman"/>
              </w:rPr>
            </w:pPr>
            <w:r w:rsidRPr="00010758">
              <w:rPr>
                <w:rFonts w:cs="Times New Roman"/>
                <w:lang w:val="en-GB"/>
              </w:rPr>
              <w:t>Davis, CA</w:t>
            </w:r>
            <w:r w:rsidR="003E5757">
              <w:rPr>
                <w:rFonts w:cs="Times New Roman"/>
                <w:lang w:val="en-GB"/>
              </w:rPr>
              <w:t xml:space="preserve"> (3B)</w:t>
            </w:r>
          </w:p>
        </w:tc>
        <w:tc>
          <w:tcPr>
            <w:tcW w:w="2877" w:type="dxa"/>
            <w:tcBorders>
              <w:top w:val="single" w:sz="4" w:space="0" w:color="auto"/>
              <w:bottom w:val="nil"/>
            </w:tcBorders>
          </w:tcPr>
          <w:p w14:paraId="4AE8ED69" w14:textId="77777777" w:rsidR="00010758" w:rsidRDefault="003E5757" w:rsidP="003E5757">
            <w:pPr>
              <w:spacing w:before="0"/>
              <w:ind w:firstLine="0"/>
              <w:jc w:val="center"/>
              <w:cnfStyle w:val="000000100000" w:firstRow="0" w:lastRow="0" w:firstColumn="0" w:lastColumn="0" w:oddVBand="0" w:evenVBand="0" w:oddHBand="1" w:evenHBand="0" w:firstRowFirstColumn="0" w:firstRowLastColumn="0" w:lastRowFirstColumn="0" w:lastRowLastColumn="0"/>
              <w:rPr>
                <w:rFonts w:cs="Times New Roman"/>
              </w:rPr>
            </w:pPr>
            <w:r w:rsidRPr="003E5757">
              <w:rPr>
                <w:rFonts w:cs="Times New Roman"/>
              </w:rPr>
              <w:t>Two story SF</w:t>
            </w:r>
          </w:p>
          <w:p w14:paraId="4B41BB30" w14:textId="4B93E1FB" w:rsidR="00FB7FA5" w:rsidRPr="003E5757" w:rsidRDefault="00FB7FA5" w:rsidP="00FB7FA5">
            <w:pPr>
              <w:ind w:firstLine="0"/>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 xml:space="preserve">1944 </w:t>
            </w:r>
            <w:r w:rsidRPr="003E5757">
              <w:rPr>
                <w:rFonts w:cs="Times New Roman"/>
              </w:rPr>
              <w:t>ft</w:t>
            </w:r>
            <w:r w:rsidRPr="003E5757">
              <w:rPr>
                <w:rFonts w:cs="Times New Roman"/>
                <w:vertAlign w:val="superscript"/>
              </w:rPr>
              <w:t>2</w:t>
            </w:r>
          </w:p>
        </w:tc>
      </w:tr>
      <w:tr w:rsidR="00010758" w14:paraId="4CE3302B" w14:textId="77777777" w:rsidTr="00FB7FA5">
        <w:tc>
          <w:tcPr>
            <w:cnfStyle w:val="001000000000" w:firstRow="0" w:lastRow="0" w:firstColumn="1" w:lastColumn="0" w:oddVBand="0" w:evenVBand="0" w:oddHBand="0" w:evenHBand="0" w:firstRowFirstColumn="0" w:firstRowLastColumn="0" w:lastRowFirstColumn="0" w:lastRowLastColumn="0"/>
            <w:tcW w:w="3150" w:type="dxa"/>
            <w:tcBorders>
              <w:top w:val="nil"/>
              <w:bottom w:val="nil"/>
            </w:tcBorders>
          </w:tcPr>
          <w:p w14:paraId="0F4D14B7" w14:textId="01765DCF" w:rsidR="00010758" w:rsidRPr="00010758" w:rsidRDefault="00010758" w:rsidP="00010758">
            <w:pPr>
              <w:ind w:firstLine="0"/>
              <w:jc w:val="center"/>
              <w:rPr>
                <w:rFonts w:cs="Times New Roman"/>
                <w:b w:val="0"/>
                <w:bCs w:val="0"/>
              </w:rPr>
            </w:pPr>
            <w:r w:rsidRPr="00010758">
              <w:rPr>
                <w:rFonts w:cs="Times New Roman"/>
                <w:b w:val="0"/>
                <w:bCs w:val="0"/>
                <w:lang w:val="en-GB"/>
              </w:rPr>
              <w:t>NREL Habitat for Humanity</w:t>
            </w:r>
          </w:p>
        </w:tc>
        <w:tc>
          <w:tcPr>
            <w:tcW w:w="2603" w:type="dxa"/>
            <w:tcBorders>
              <w:top w:val="nil"/>
              <w:bottom w:val="nil"/>
            </w:tcBorders>
          </w:tcPr>
          <w:p w14:paraId="1B2073C5" w14:textId="20B556A9" w:rsidR="00010758" w:rsidRPr="00010758" w:rsidRDefault="00010758" w:rsidP="00010758">
            <w:pPr>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010758">
              <w:rPr>
                <w:rFonts w:cs="Times New Roman"/>
                <w:lang w:val="en-GB"/>
              </w:rPr>
              <w:t>Wheat Ridge, CO</w:t>
            </w:r>
            <w:r w:rsidR="000979BA">
              <w:rPr>
                <w:rFonts w:cs="Times New Roman"/>
                <w:lang w:val="en-GB"/>
              </w:rPr>
              <w:t xml:space="preserve"> (5B)</w:t>
            </w:r>
          </w:p>
        </w:tc>
        <w:tc>
          <w:tcPr>
            <w:tcW w:w="2877" w:type="dxa"/>
            <w:tcBorders>
              <w:top w:val="nil"/>
              <w:bottom w:val="nil"/>
            </w:tcBorders>
          </w:tcPr>
          <w:p w14:paraId="18BCB4F7" w14:textId="2023C48F" w:rsidR="003E5757" w:rsidRDefault="003E5757" w:rsidP="00010758">
            <w:pPr>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SF</w:t>
            </w:r>
            <w:r w:rsidR="000979BA">
              <w:rPr>
                <w:rFonts w:cs="Times New Roman"/>
              </w:rPr>
              <w:t xml:space="preserve"> residential</w:t>
            </w:r>
          </w:p>
          <w:p w14:paraId="47060463" w14:textId="6D6D64B0" w:rsidR="00010758" w:rsidRPr="003E5757" w:rsidRDefault="003E5757" w:rsidP="003E5757">
            <w:pPr>
              <w:spacing w:before="0"/>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3E5757">
              <w:rPr>
                <w:rFonts w:cs="Times New Roman"/>
              </w:rPr>
              <w:t>1280 ft</w:t>
            </w:r>
            <w:r w:rsidRPr="003E5757">
              <w:rPr>
                <w:rFonts w:cs="Times New Roman"/>
                <w:vertAlign w:val="superscript"/>
              </w:rPr>
              <w:t>2</w:t>
            </w:r>
          </w:p>
        </w:tc>
      </w:tr>
      <w:tr w:rsidR="00010758" w14:paraId="079835A0" w14:textId="77777777" w:rsidTr="00FB7F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0" w:type="dxa"/>
            <w:tcBorders>
              <w:top w:val="nil"/>
              <w:bottom w:val="single" w:sz="4" w:space="0" w:color="auto"/>
            </w:tcBorders>
          </w:tcPr>
          <w:p w14:paraId="27DC8248" w14:textId="344E3007" w:rsidR="00010758" w:rsidRPr="00010758" w:rsidRDefault="00010758" w:rsidP="00010758">
            <w:pPr>
              <w:ind w:firstLine="0"/>
              <w:jc w:val="center"/>
              <w:rPr>
                <w:rFonts w:cs="Times New Roman"/>
                <w:b w:val="0"/>
                <w:bCs w:val="0"/>
              </w:rPr>
            </w:pPr>
            <w:r w:rsidRPr="00010758">
              <w:rPr>
                <w:rFonts w:cs="Times New Roman"/>
                <w:b w:val="0"/>
                <w:bCs w:val="0"/>
                <w:lang w:val="en-GB"/>
              </w:rPr>
              <w:t>NIST (Net-Zero Energy Residential Test Facility</w:t>
            </w:r>
            <w:r>
              <w:rPr>
                <w:rFonts w:cs="Times New Roman"/>
                <w:b w:val="0"/>
                <w:bCs w:val="0"/>
                <w:lang w:val="en-GB"/>
              </w:rPr>
              <w:t>)</w:t>
            </w:r>
          </w:p>
        </w:tc>
        <w:tc>
          <w:tcPr>
            <w:tcW w:w="2603" w:type="dxa"/>
            <w:tcBorders>
              <w:top w:val="nil"/>
              <w:bottom w:val="single" w:sz="4" w:space="0" w:color="auto"/>
            </w:tcBorders>
          </w:tcPr>
          <w:p w14:paraId="517EC0D9" w14:textId="786CB24C" w:rsidR="00010758" w:rsidRPr="00010758" w:rsidRDefault="00010758" w:rsidP="00010758">
            <w:pPr>
              <w:ind w:firstLine="0"/>
              <w:jc w:val="center"/>
              <w:cnfStyle w:val="000000100000" w:firstRow="0" w:lastRow="0" w:firstColumn="0" w:lastColumn="0" w:oddVBand="0" w:evenVBand="0" w:oddHBand="1" w:evenHBand="0" w:firstRowFirstColumn="0" w:firstRowLastColumn="0" w:lastRowFirstColumn="0" w:lastRowLastColumn="0"/>
              <w:rPr>
                <w:rFonts w:cs="Times New Roman"/>
              </w:rPr>
            </w:pPr>
            <w:r w:rsidRPr="00010758">
              <w:rPr>
                <w:rFonts w:cs="Times New Roman"/>
                <w:lang w:val="en-GB"/>
              </w:rPr>
              <w:t>Gaithersburg, MD</w:t>
            </w:r>
            <w:r w:rsidR="000979BA">
              <w:rPr>
                <w:rFonts w:cs="Times New Roman"/>
                <w:lang w:val="en-GB"/>
              </w:rPr>
              <w:t xml:space="preserve"> (4A)</w:t>
            </w:r>
          </w:p>
        </w:tc>
        <w:tc>
          <w:tcPr>
            <w:tcW w:w="2877" w:type="dxa"/>
            <w:tcBorders>
              <w:top w:val="nil"/>
              <w:bottom w:val="single" w:sz="4" w:space="0" w:color="auto"/>
            </w:tcBorders>
          </w:tcPr>
          <w:p w14:paraId="56354477" w14:textId="2EF9BE3A" w:rsidR="000979BA" w:rsidRDefault="000979BA" w:rsidP="00010758">
            <w:pPr>
              <w:ind w:firstLine="0"/>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SF residential</w:t>
            </w:r>
          </w:p>
          <w:p w14:paraId="06B9239F" w14:textId="5A2846E9" w:rsidR="00010758" w:rsidRPr="000979BA" w:rsidRDefault="000979BA" w:rsidP="000979BA">
            <w:pPr>
              <w:spacing w:before="0"/>
              <w:ind w:firstLine="0"/>
              <w:jc w:val="center"/>
              <w:cnfStyle w:val="000000100000" w:firstRow="0" w:lastRow="0" w:firstColumn="0" w:lastColumn="0" w:oddVBand="0" w:evenVBand="0" w:oddHBand="1" w:evenHBand="0" w:firstRowFirstColumn="0" w:firstRowLastColumn="0" w:lastRowFirstColumn="0" w:lastRowLastColumn="0"/>
              <w:rPr>
                <w:rFonts w:cs="Times New Roman"/>
              </w:rPr>
            </w:pPr>
            <w:r w:rsidRPr="000979BA">
              <w:rPr>
                <w:rFonts w:cs="Times New Roman"/>
              </w:rPr>
              <w:t>4165 ft</w:t>
            </w:r>
            <w:r w:rsidRPr="000979BA">
              <w:rPr>
                <w:rFonts w:cs="Times New Roman"/>
                <w:vertAlign w:val="superscript"/>
              </w:rPr>
              <w:t>2</w:t>
            </w:r>
          </w:p>
        </w:tc>
      </w:tr>
    </w:tbl>
    <w:p w14:paraId="07EE7C83" w14:textId="77777777" w:rsidR="00010758" w:rsidRDefault="00010758" w:rsidP="00D57200">
      <w:pPr>
        <w:ind w:firstLine="540"/>
        <w:rPr>
          <w:rFonts w:cs="Times New Roman"/>
        </w:rPr>
      </w:pPr>
    </w:p>
    <w:p w14:paraId="7A35648D" w14:textId="77777777" w:rsidR="00B17E5F" w:rsidRDefault="00B17E5F">
      <w:pPr>
        <w:spacing w:before="0" w:line="240" w:lineRule="auto"/>
        <w:ind w:firstLine="0"/>
        <w:jc w:val="left"/>
        <w:rPr>
          <w:rFonts w:cs="Times New Roman"/>
        </w:rPr>
      </w:pPr>
      <w:r>
        <w:rPr>
          <w:rFonts w:cs="Times New Roman"/>
        </w:rPr>
        <w:br w:type="page"/>
      </w:r>
    </w:p>
    <w:p w14:paraId="6D5F7E1D" w14:textId="77777777" w:rsidR="00B17E5F" w:rsidRPr="00322E56" w:rsidRDefault="00B17E5F" w:rsidP="004D566A">
      <w:pPr>
        <w:pStyle w:val="Heading3"/>
        <w:ind w:firstLine="540"/>
        <w:rPr>
          <w:rFonts w:cs="Times New Roman"/>
        </w:rPr>
      </w:pPr>
      <w:bookmarkStart w:id="279" w:name="_Toc140399907"/>
      <w:r w:rsidRPr="00322E56">
        <w:rPr>
          <w:rFonts w:cs="Times New Roman"/>
        </w:rPr>
        <w:t>HP Model</w:t>
      </w:r>
      <w:bookmarkEnd w:id="279"/>
    </w:p>
    <w:p w14:paraId="03761959" w14:textId="670A2D98" w:rsidR="00B17E5F" w:rsidRPr="00322E56" w:rsidRDefault="00B17E5F" w:rsidP="00636683">
      <w:pPr>
        <w:ind w:firstLine="540"/>
        <w:rPr>
          <w:rFonts w:cs="Times New Roman"/>
        </w:rPr>
      </w:pPr>
      <w:r w:rsidRPr="00322E56">
        <w:rPr>
          <w:rFonts w:cs="Times New Roman"/>
        </w:rPr>
        <w:t xml:space="preserve">A 2-ton HP is simulated in MATLAB using Coolprop. The basic vapor compression model calculates the COP for cooling and heating from the evaporator and condenser outputs and electric consumption by compressor. Equation </w:t>
      </w:r>
      <w:r w:rsidR="006A6B3E">
        <w:rPr>
          <w:rFonts w:cs="Times New Roman"/>
        </w:rPr>
        <w:t>1</w:t>
      </w:r>
      <w:r w:rsidRPr="00322E56">
        <w:rPr>
          <w:rFonts w:cs="Times New Roman"/>
        </w:rPr>
        <w:t xml:space="preserve">4 and </w:t>
      </w:r>
      <w:r w:rsidR="006A6B3E">
        <w:rPr>
          <w:rFonts w:cs="Times New Roman"/>
        </w:rPr>
        <w:t>1</w:t>
      </w:r>
      <w:r w:rsidRPr="00322E56">
        <w:rPr>
          <w:rFonts w:cs="Times New Roman"/>
        </w:rPr>
        <w:t>5 define cooling and heating COP, respectively.</w:t>
      </w:r>
    </w:p>
    <w:p w14:paraId="64B713B7" w14:textId="07276E4A" w:rsidR="00B17E5F" w:rsidRPr="00322E56" w:rsidRDefault="00000000" w:rsidP="00636683">
      <w:pPr>
        <w:ind w:left="2160" w:firstLine="720"/>
        <w:jc w:val="center"/>
        <w:rPr>
          <w:rFonts w:cs="Times New Roman"/>
        </w:rPr>
      </w:pPr>
      <m:oMath>
        <m:sSub>
          <m:sSubPr>
            <m:ctrlPr>
              <w:rPr>
                <w:rFonts w:ascii="Cambria Math" w:hAnsi="Cambria Math" w:cs="Times New Roman"/>
                <w:i/>
              </w:rPr>
            </m:ctrlPr>
          </m:sSubPr>
          <m:e>
            <m:r>
              <w:rPr>
                <w:rFonts w:ascii="Cambria Math" w:hAnsi="Cambria Math" w:cs="Times New Roman"/>
              </w:rPr>
              <m:t>COP</m:t>
            </m:r>
          </m:e>
          <m:sub>
            <m:r>
              <w:rPr>
                <w:rFonts w:ascii="Cambria Math" w:hAnsi="Cambria Math" w:cs="Times New Roman"/>
              </w:rPr>
              <m:t>c</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evap</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comp</m:t>
            </m:r>
          </m:sub>
        </m:sSub>
      </m:oMath>
      <w:r w:rsidR="00B17E5F" w:rsidRPr="00322E56">
        <w:rPr>
          <w:rFonts w:cs="Times New Roman"/>
        </w:rPr>
        <w:tab/>
      </w:r>
      <w:r w:rsidR="00B17E5F" w:rsidRPr="00322E56">
        <w:rPr>
          <w:rFonts w:cs="Times New Roman"/>
        </w:rPr>
        <w:tab/>
      </w:r>
      <w:r w:rsidR="00B17E5F" w:rsidRPr="00322E56">
        <w:rPr>
          <w:rFonts w:cs="Times New Roman"/>
        </w:rPr>
        <w:tab/>
      </w:r>
      <w:r w:rsidR="00B17E5F" w:rsidRPr="00322E56">
        <w:rPr>
          <w:rFonts w:cs="Times New Roman"/>
        </w:rPr>
        <w:tab/>
      </w:r>
      <w:r w:rsidR="00B17E5F" w:rsidRPr="00322E56">
        <w:rPr>
          <w:rFonts w:cs="Times New Roman"/>
        </w:rPr>
        <w:tab/>
        <w:t>(</w:t>
      </w:r>
      <w:r w:rsidR="006A6B3E">
        <w:rPr>
          <w:rFonts w:cs="Times New Roman"/>
        </w:rPr>
        <w:t>14</w:t>
      </w:r>
      <w:r w:rsidR="00B17E5F" w:rsidRPr="00322E56">
        <w:rPr>
          <w:rFonts w:cs="Times New Roman"/>
        </w:rPr>
        <w:t>)</w:t>
      </w:r>
    </w:p>
    <w:p w14:paraId="5E7C5002" w14:textId="7E4FB1F4" w:rsidR="00B17E5F" w:rsidRPr="00322E56" w:rsidRDefault="00000000" w:rsidP="00636683">
      <w:pPr>
        <w:ind w:left="2160" w:firstLine="720"/>
        <w:jc w:val="center"/>
        <w:rPr>
          <w:rFonts w:cs="Times New Roman"/>
        </w:rPr>
      </w:pPr>
      <m:oMath>
        <m:sSub>
          <m:sSubPr>
            <m:ctrlPr>
              <w:rPr>
                <w:rFonts w:ascii="Cambria Math" w:hAnsi="Cambria Math" w:cs="Times New Roman"/>
                <w:i/>
              </w:rPr>
            </m:ctrlPr>
          </m:sSubPr>
          <m:e>
            <m:r>
              <w:rPr>
                <w:rFonts w:ascii="Cambria Math" w:hAnsi="Cambria Math" w:cs="Times New Roman"/>
              </w:rPr>
              <m:t>COP</m:t>
            </m:r>
          </m:e>
          <m:sub>
            <m:r>
              <w:rPr>
                <w:rFonts w:ascii="Cambria Math" w:hAnsi="Cambria Math" w:cs="Times New Roman"/>
              </w:rPr>
              <m:t>h</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cond</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comp</m:t>
            </m:r>
          </m:sub>
        </m:sSub>
      </m:oMath>
      <w:r w:rsidR="00B17E5F" w:rsidRPr="00322E56">
        <w:rPr>
          <w:rFonts w:cs="Times New Roman"/>
        </w:rPr>
        <w:tab/>
      </w:r>
      <w:r w:rsidR="00B17E5F" w:rsidRPr="00322E56">
        <w:rPr>
          <w:rFonts w:cs="Times New Roman"/>
        </w:rPr>
        <w:tab/>
      </w:r>
      <w:r w:rsidR="00B17E5F" w:rsidRPr="00322E56">
        <w:rPr>
          <w:rFonts w:cs="Times New Roman"/>
        </w:rPr>
        <w:tab/>
      </w:r>
      <w:r w:rsidR="00B17E5F" w:rsidRPr="00322E56">
        <w:rPr>
          <w:rFonts w:cs="Times New Roman"/>
        </w:rPr>
        <w:tab/>
        <w:t>(</w:t>
      </w:r>
      <w:r w:rsidR="006A6B3E">
        <w:rPr>
          <w:rFonts w:cs="Times New Roman"/>
        </w:rPr>
        <w:t>15</w:t>
      </w:r>
      <w:r w:rsidR="00B17E5F" w:rsidRPr="00322E56">
        <w:rPr>
          <w:rFonts w:cs="Times New Roman"/>
        </w:rPr>
        <w:t>)</w:t>
      </w:r>
    </w:p>
    <w:p w14:paraId="1491CADA" w14:textId="77777777" w:rsidR="002B2AD4" w:rsidRDefault="00B17E5F" w:rsidP="004E1A99">
      <w:pPr>
        <w:ind w:firstLine="540"/>
        <w:rPr>
          <w:rFonts w:cs="Times New Roman"/>
        </w:rPr>
      </w:pPr>
      <w:r w:rsidRPr="00322E56">
        <w:rPr>
          <w:rFonts w:cs="Times New Roman"/>
        </w:rPr>
        <w:t xml:space="preserve">The outputs of </w:t>
      </w:r>
      <w:r>
        <w:rPr>
          <w:rFonts w:cs="Times New Roman"/>
        </w:rPr>
        <w:t>HP</w:t>
      </w:r>
      <w:r w:rsidRPr="00322E56">
        <w:rPr>
          <w:rFonts w:cs="Times New Roman"/>
        </w:rPr>
        <w:t xml:space="preserve"> model, Q</w:t>
      </w:r>
      <w:r w:rsidRPr="00322E56">
        <w:rPr>
          <w:rFonts w:cs="Times New Roman"/>
          <w:vertAlign w:val="subscript"/>
        </w:rPr>
        <w:t>evap</w:t>
      </w:r>
      <w:r w:rsidRPr="00322E56">
        <w:rPr>
          <w:rFonts w:cs="Times New Roman"/>
        </w:rPr>
        <w:t xml:space="preserve"> from the evaporator and Q</w:t>
      </w:r>
      <w:r w:rsidRPr="00322E56">
        <w:rPr>
          <w:rFonts w:cs="Times New Roman"/>
          <w:vertAlign w:val="subscript"/>
        </w:rPr>
        <w:t>cond</w:t>
      </w:r>
      <w:r w:rsidRPr="00322E56">
        <w:rPr>
          <w:rFonts w:cs="Times New Roman"/>
        </w:rPr>
        <w:t xml:space="preserve"> from the condenser are called into the cooling and heating functions in MATLAB, where they are coupled to PCM-TES depending on the operating mode. The thermostat model is used to control the VCS and PCM state of use.</w:t>
      </w:r>
    </w:p>
    <w:p w14:paraId="381FBE46" w14:textId="77777777" w:rsidR="002B2AD4" w:rsidRDefault="002B2AD4" w:rsidP="002B2AD4">
      <w:pPr>
        <w:pStyle w:val="Heading3"/>
      </w:pPr>
      <w:bookmarkStart w:id="280" w:name="_Toc140399908"/>
      <w:r w:rsidRPr="00322E56">
        <w:t>Operating modes</w:t>
      </w:r>
      <w:bookmarkEnd w:id="280"/>
    </w:p>
    <w:p w14:paraId="34D35C4C" w14:textId="77777777" w:rsidR="002B2AD4" w:rsidRDefault="002B2AD4" w:rsidP="002B2AD4">
      <w:r>
        <w:t>TES is integrated with HP in such a way that heat transfer is only mediated by HP and TES does not have a direct interaction with building. In other words, TES aids HP operation and is used as heat source or sink instead of directly conditioning the building. This configuration can be referred as indirect HP-TES configuration.</w:t>
      </w:r>
    </w:p>
    <w:p w14:paraId="2B88936C" w14:textId="77777777" w:rsidR="002B2AD4" w:rsidRDefault="002B2AD4" w:rsidP="002B2AD4">
      <w:r>
        <w:t>Operating modes are illustrated with examples in Figure 63 and 64. There are total eight operating modes (four in heating and cooling each) for our HP-TES system; Normal operation, Standby operation, HP-TES Charging, and HP-TES Discharging. For comparison, direct charging and discharging operations are shown as well.</w:t>
      </w:r>
    </w:p>
    <w:p w14:paraId="283F53F0" w14:textId="67986340" w:rsidR="002B2AD4" w:rsidRPr="002B2AD4" w:rsidRDefault="002B2AD4" w:rsidP="002B2AD4">
      <w:pPr>
        <w:rPr>
          <w:rFonts w:cs="Times New Roman"/>
        </w:rPr>
      </w:pPr>
      <w:r>
        <w:t>Figure 63 shows HP-TES cooling operating modes. In the normal operation, HP extracts the heat from building and rejects it to the ambient via VCC. In the HP-TES discharging operation, HP rejects the building heat into TES instead of ambient. It improves the HP’s coefficient of performance since TES is at lower temperature than the ambient.</w:t>
      </w:r>
      <w:r>
        <w:br w:type="page"/>
      </w:r>
      <w:r>
        <w:rPr>
          <w:noProof/>
        </w:rPr>
        <w:drawing>
          <wp:inline distT="0" distB="0" distL="0" distR="0" wp14:anchorId="43D1F617" wp14:editId="68DAA639">
            <wp:extent cx="5486400" cy="2820670"/>
            <wp:effectExtent l="0" t="0" r="0" b="0"/>
            <wp:docPr id="1025" name="Picture 1025" descr="A diagram of different types of houses&#10;&#10;Description automatically generated">
              <a:extLst xmlns:a="http://schemas.openxmlformats.org/drawingml/2006/main">
                <a:ext uri="{FF2B5EF4-FFF2-40B4-BE49-F238E27FC236}">
                  <a16:creationId xmlns:a16="http://schemas.microsoft.com/office/drawing/2014/main" id="{DFCED7FD-D7D8-B7AF-7017-0840D820D0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Picture 1025" descr="A diagram of different types of houses&#10;&#10;Description automatically generated">
                      <a:extLst>
                        <a:ext uri="{FF2B5EF4-FFF2-40B4-BE49-F238E27FC236}">
                          <a16:creationId xmlns:a16="http://schemas.microsoft.com/office/drawing/2014/main" id="{DFCED7FD-D7D8-B7AF-7017-0840D820D0E6}"/>
                        </a:ext>
                      </a:extLst>
                    </pic:cNvPr>
                    <pic:cNvPicPr>
                      <a:picLocks noChangeAspect="1"/>
                    </pic:cNvPicPr>
                  </pic:nvPicPr>
                  <pic:blipFill>
                    <a:blip r:embed="rId94"/>
                    <a:stretch>
                      <a:fillRect/>
                    </a:stretch>
                  </pic:blipFill>
                  <pic:spPr>
                    <a:xfrm>
                      <a:off x="0" y="0"/>
                      <a:ext cx="5486400" cy="2820670"/>
                    </a:xfrm>
                    <a:prstGeom prst="rect">
                      <a:avLst/>
                    </a:prstGeom>
                  </pic:spPr>
                </pic:pic>
              </a:graphicData>
            </a:graphic>
          </wp:inline>
        </w:drawing>
      </w:r>
    </w:p>
    <w:p w14:paraId="2083EA8B" w14:textId="4470363A" w:rsidR="002B2AD4" w:rsidRDefault="002B2AD4" w:rsidP="002B2AD4">
      <w:pPr>
        <w:pStyle w:val="Caption"/>
        <w:jc w:val="center"/>
      </w:pPr>
      <w:bookmarkStart w:id="281" w:name="_Toc140403929"/>
      <w:r>
        <w:t xml:space="preserve">Figure </w:t>
      </w:r>
      <w:fldSimple w:instr=" SEQ Figure \* ARABIC ">
        <w:r w:rsidR="00A5526B">
          <w:rPr>
            <w:noProof/>
          </w:rPr>
          <w:t>63</w:t>
        </w:r>
      </w:fldSimple>
      <w:r>
        <w:t>: HP-TES cooling operating modes.</w:t>
      </w:r>
      <w:bookmarkEnd w:id="281"/>
    </w:p>
    <w:p w14:paraId="7FC98D7D" w14:textId="77777777" w:rsidR="002B2AD4" w:rsidRPr="00E97F89" w:rsidRDefault="002B2AD4" w:rsidP="002B2AD4"/>
    <w:p w14:paraId="7246010C" w14:textId="77777777" w:rsidR="002B2AD4" w:rsidRDefault="002B2AD4" w:rsidP="002B2AD4">
      <w:pPr>
        <w:keepNext/>
        <w:jc w:val="center"/>
      </w:pPr>
      <w:r>
        <w:rPr>
          <w:noProof/>
        </w:rPr>
        <w:drawing>
          <wp:inline distT="0" distB="0" distL="0" distR="0" wp14:anchorId="2727B8B1" wp14:editId="39E52BED">
            <wp:extent cx="5486400" cy="2872105"/>
            <wp:effectExtent l="0" t="0" r="0" b="0"/>
            <wp:docPr id="1027" name="Picture 1027" descr="A diagram of different types of houses&#10;&#10;Description automatically generated">
              <a:extLst xmlns:a="http://schemas.openxmlformats.org/drawingml/2006/main">
                <a:ext uri="{FF2B5EF4-FFF2-40B4-BE49-F238E27FC236}">
                  <a16:creationId xmlns:a16="http://schemas.microsoft.com/office/drawing/2014/main" id="{5CDB2021-DC41-02C4-F6B6-FB8B31078A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1027" descr="A diagram of different types of houses&#10;&#10;Description automatically generated">
                      <a:extLst>
                        <a:ext uri="{FF2B5EF4-FFF2-40B4-BE49-F238E27FC236}">
                          <a16:creationId xmlns:a16="http://schemas.microsoft.com/office/drawing/2014/main" id="{5CDB2021-DC41-02C4-F6B6-FB8B31078AF3}"/>
                        </a:ext>
                      </a:extLst>
                    </pic:cNvPr>
                    <pic:cNvPicPr>
                      <a:picLocks noChangeAspect="1"/>
                    </pic:cNvPicPr>
                  </pic:nvPicPr>
                  <pic:blipFill>
                    <a:blip r:embed="rId95"/>
                    <a:stretch>
                      <a:fillRect/>
                    </a:stretch>
                  </pic:blipFill>
                  <pic:spPr>
                    <a:xfrm>
                      <a:off x="0" y="0"/>
                      <a:ext cx="5486400" cy="2872105"/>
                    </a:xfrm>
                    <a:prstGeom prst="rect">
                      <a:avLst/>
                    </a:prstGeom>
                  </pic:spPr>
                </pic:pic>
              </a:graphicData>
            </a:graphic>
          </wp:inline>
        </w:drawing>
      </w:r>
    </w:p>
    <w:p w14:paraId="02A32751" w14:textId="786B08E7" w:rsidR="002B2AD4" w:rsidRDefault="002B2AD4" w:rsidP="002B2AD4">
      <w:pPr>
        <w:pStyle w:val="Caption"/>
        <w:jc w:val="center"/>
      </w:pPr>
      <w:bookmarkStart w:id="282" w:name="_Toc140403930"/>
      <w:r>
        <w:t xml:space="preserve">Figure </w:t>
      </w:r>
      <w:fldSimple w:instr=" SEQ Figure \* ARABIC ">
        <w:r w:rsidR="00A5526B">
          <w:rPr>
            <w:noProof/>
          </w:rPr>
          <w:t>64</w:t>
        </w:r>
      </w:fldSimple>
      <w:r>
        <w:t>: HP-TES heating operating modes.</w:t>
      </w:r>
      <w:bookmarkEnd w:id="282"/>
    </w:p>
    <w:p w14:paraId="007447B8" w14:textId="48280EF0" w:rsidR="002B2AD4" w:rsidRDefault="002B2AD4">
      <w:pPr>
        <w:spacing w:before="0" w:line="240" w:lineRule="auto"/>
        <w:ind w:firstLine="0"/>
        <w:jc w:val="left"/>
      </w:pPr>
    </w:p>
    <w:p w14:paraId="7875F287" w14:textId="69F894E0" w:rsidR="00B17E5F" w:rsidRDefault="00B17E5F" w:rsidP="002B2AD4">
      <w:pPr>
        <w:ind w:firstLine="0"/>
      </w:pPr>
      <w:r>
        <w:t>The charging mode is activated when the cooling is not needed, often when the ambient temperature is lower, the heat is removed from TES and rejected to the ambient. Figure 6</w:t>
      </w:r>
      <w:r w:rsidR="006A6B3E">
        <w:t>4</w:t>
      </w:r>
      <w:r>
        <w:t xml:space="preserve"> shows HP-TES heating operating modes. The operating mode vapor compression cycle is reversed to heat the building. Now the TES assists HP for adding heat to the building from ambient.</w:t>
      </w:r>
    </w:p>
    <w:p w14:paraId="36BF2C43" w14:textId="1BF4E1C3" w:rsidR="00B17E5F" w:rsidRPr="002B2AD4" w:rsidRDefault="00B17E5F" w:rsidP="002B2AD4">
      <w:r>
        <w:t xml:space="preserve">The energy flow is different in direct TES modes where TES is used to heat or cool the building. Additional equipment is required to use TES. Indirectly coupling HP with TES (as in this work), avoids the cost and complexity of adding new equipment for heat transfer between the building and TES. </w:t>
      </w:r>
    </w:p>
    <w:p w14:paraId="5F11D277" w14:textId="77777777" w:rsidR="00B17E5F" w:rsidRDefault="00B17E5F" w:rsidP="00112F3F">
      <w:pPr>
        <w:pStyle w:val="Heading3"/>
        <w:rPr>
          <w:rFonts w:cs="Times New Roman"/>
        </w:rPr>
      </w:pPr>
      <w:bookmarkStart w:id="283" w:name="_Toc140399909"/>
      <w:r>
        <w:rPr>
          <w:rFonts w:cs="Times New Roman"/>
        </w:rPr>
        <w:t>Configurations</w:t>
      </w:r>
      <w:bookmarkEnd w:id="283"/>
    </w:p>
    <w:p w14:paraId="49C40E0D" w14:textId="7C3DB538" w:rsidR="00B17E5F" w:rsidRDefault="00B17E5F" w:rsidP="00112F3F">
      <w:r>
        <w:t>Detailed configurations with vapor compression cycle (VCC) are shown for operating modes with and without TES. In the normal cooling mode, building is the heat source and ambient is heat sink (Figure 6</w:t>
      </w:r>
      <w:r w:rsidR="006A6B3E">
        <w:t>5</w:t>
      </w:r>
      <w:r>
        <w:t>). The building heat is removed through evaporator as Q</w:t>
      </w:r>
      <w:r w:rsidRPr="00923F26">
        <w:rPr>
          <w:vertAlign w:val="subscript"/>
        </w:rPr>
        <w:t>evap</w:t>
      </w:r>
      <w:r>
        <w:t xml:space="preserve"> and rejected to ambient as Q</w:t>
      </w:r>
      <w:r w:rsidRPr="00923F26">
        <w:rPr>
          <w:vertAlign w:val="subscript"/>
        </w:rPr>
        <w:t>cond</w:t>
      </w:r>
      <w:r>
        <w:t xml:space="preserve"> via condenser.  The cycle is reversed in normal heating mode, as shown in Figure 6</w:t>
      </w:r>
      <w:r w:rsidR="006A6B3E">
        <w:t>6</w:t>
      </w:r>
      <w:r>
        <w:t>.</w:t>
      </w:r>
    </w:p>
    <w:p w14:paraId="015BD501" w14:textId="62380FB6" w:rsidR="00B17E5F" w:rsidRDefault="00B17E5F" w:rsidP="00112F3F">
      <w:r>
        <w:t>The vapor compression cycle is modified to integrate TES. PCM-TES behaves as evaporator or condenser. For charging cooling mode (Figure 6</w:t>
      </w:r>
      <w:r w:rsidR="006A6B3E">
        <w:t>7</w:t>
      </w:r>
      <w:r>
        <w:t>), evaporator is coupled to PCM. Building is not involved in this mode, ambient is heat sink while PCM is the heat source. For discharging mode (Figure 6</w:t>
      </w:r>
      <w:r w:rsidR="006A6B3E">
        <w:t>8</w:t>
      </w:r>
      <w:r>
        <w:t>), ambient is not involved, and PCM is the heat sink.</w:t>
      </w:r>
    </w:p>
    <w:p w14:paraId="21F7ED38" w14:textId="77777777" w:rsidR="002B2AD4" w:rsidRPr="00322E56" w:rsidRDefault="002B2AD4" w:rsidP="002B2AD4">
      <w:pPr>
        <w:pStyle w:val="Heading3"/>
        <w:rPr>
          <w:rFonts w:cs="Times New Roman"/>
        </w:rPr>
      </w:pPr>
      <w:bookmarkStart w:id="284" w:name="_Toc140399910"/>
      <w:r w:rsidRPr="00322E56">
        <w:rPr>
          <w:rFonts w:cs="Times New Roman"/>
        </w:rPr>
        <w:t>TES Model</w:t>
      </w:r>
      <w:bookmarkEnd w:id="284"/>
    </w:p>
    <w:p w14:paraId="1EE4E1BB" w14:textId="304EB4AE" w:rsidR="00B17E5F" w:rsidRDefault="002B2AD4" w:rsidP="002B2AD4">
      <w:pPr>
        <w:ind w:firstLine="540"/>
        <w:rPr>
          <w:rFonts w:cs="Times New Roman"/>
        </w:rPr>
      </w:pPr>
      <w:r w:rsidRPr="00322E56">
        <w:rPr>
          <w:rFonts w:cs="Times New Roman"/>
        </w:rPr>
        <w:t xml:space="preserve">The </w:t>
      </w:r>
      <w:r>
        <w:rPr>
          <w:rFonts w:cs="Times New Roman"/>
        </w:rPr>
        <w:t>HP</w:t>
      </w:r>
      <w:r w:rsidRPr="00322E56">
        <w:rPr>
          <w:rFonts w:cs="Times New Roman"/>
        </w:rPr>
        <w:t xml:space="preserve"> vapor compression system is coupled to PCM via </w:t>
      </w:r>
      <w:r>
        <w:rPr>
          <w:rFonts w:cs="Times New Roman"/>
        </w:rPr>
        <w:t>HX</w:t>
      </w:r>
      <w:r w:rsidRPr="00322E56">
        <w:rPr>
          <w:rFonts w:cs="Times New Roman"/>
        </w:rPr>
        <w:t xml:space="preserve">. An arbitrary salt hydrate with melting temperature of 20°C is used as the PCM. The operating modes are controlled by the PCM state of charge </w:t>
      </w:r>
      <w:r>
        <w:rPr>
          <w:rFonts w:cs="Times New Roman"/>
        </w:rPr>
        <w:t xml:space="preserve">(SOC) </w:t>
      </w:r>
      <w:r w:rsidRPr="00322E56">
        <w:rPr>
          <w:rFonts w:cs="Times New Roman"/>
        </w:rPr>
        <w:t>which is a function of peak time, and indoor temperature. The PCM operating modes are charging, discharging, and standby</w:t>
      </w:r>
      <w:r>
        <w:rPr>
          <w:rFonts w:cs="Times New Roman"/>
        </w:rPr>
        <w:t>, and are selected by control logic (upcoming section).</w:t>
      </w:r>
    </w:p>
    <w:p w14:paraId="4DB47F2D" w14:textId="77777777" w:rsidR="00B17E5F" w:rsidRDefault="00B17E5F" w:rsidP="00912D5C">
      <w:pPr>
        <w:keepNext/>
        <w:ind w:firstLine="0"/>
        <w:jc w:val="center"/>
      </w:pPr>
      <w:r>
        <w:rPr>
          <w:rFonts w:cs="Times New Roman"/>
          <w:noProof/>
        </w:rPr>
        <w:drawing>
          <wp:inline distT="0" distB="0" distL="0" distR="0" wp14:anchorId="1D2678CC" wp14:editId="67F4ECA5">
            <wp:extent cx="5486400" cy="2631656"/>
            <wp:effectExtent l="0" t="0" r="0" b="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486400" cy="2631656"/>
                    </a:xfrm>
                    <a:prstGeom prst="rect">
                      <a:avLst/>
                    </a:prstGeom>
                    <a:noFill/>
                  </pic:spPr>
                </pic:pic>
              </a:graphicData>
            </a:graphic>
          </wp:inline>
        </w:drawing>
      </w:r>
    </w:p>
    <w:p w14:paraId="207FBCB0" w14:textId="6B833510" w:rsidR="00B17E5F" w:rsidRDefault="00B17E5F" w:rsidP="00912D5C">
      <w:pPr>
        <w:pStyle w:val="Caption"/>
        <w:jc w:val="center"/>
      </w:pPr>
      <w:bookmarkStart w:id="285" w:name="_Toc140403931"/>
      <w:r>
        <w:t xml:space="preserve">Figure </w:t>
      </w:r>
      <w:fldSimple w:instr=" SEQ Figure \* ARABIC ">
        <w:r w:rsidR="00A5526B">
          <w:rPr>
            <w:noProof/>
          </w:rPr>
          <w:t>65</w:t>
        </w:r>
      </w:fldSimple>
      <w:r>
        <w:t>: Vapor Compression Cycle for Normal Cooling.</w:t>
      </w:r>
      <w:bookmarkEnd w:id="285"/>
    </w:p>
    <w:p w14:paraId="5F766F85" w14:textId="77777777" w:rsidR="00B17E5F" w:rsidRPr="00121408" w:rsidRDefault="00B17E5F" w:rsidP="00121408"/>
    <w:p w14:paraId="5DA13B60" w14:textId="77777777" w:rsidR="00B17E5F" w:rsidRDefault="00B17E5F" w:rsidP="00131979">
      <w:pPr>
        <w:keepNext/>
        <w:ind w:firstLine="0"/>
        <w:jc w:val="center"/>
      </w:pPr>
      <w:r>
        <w:rPr>
          <w:noProof/>
        </w:rPr>
        <w:drawing>
          <wp:inline distT="0" distB="0" distL="0" distR="0" wp14:anchorId="3A275B2C" wp14:editId="12E169AC">
            <wp:extent cx="5486400" cy="2570784"/>
            <wp:effectExtent l="0" t="0" r="0" b="1270"/>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486400" cy="2570784"/>
                    </a:xfrm>
                    <a:prstGeom prst="rect">
                      <a:avLst/>
                    </a:prstGeom>
                    <a:noFill/>
                  </pic:spPr>
                </pic:pic>
              </a:graphicData>
            </a:graphic>
          </wp:inline>
        </w:drawing>
      </w:r>
    </w:p>
    <w:p w14:paraId="0D6FA799" w14:textId="63E590CC" w:rsidR="00B17E5F" w:rsidRDefault="00B17E5F" w:rsidP="00131979">
      <w:pPr>
        <w:pStyle w:val="Caption"/>
        <w:jc w:val="center"/>
      </w:pPr>
      <w:bookmarkStart w:id="286" w:name="_Toc140403932"/>
      <w:r>
        <w:t xml:space="preserve">Figure </w:t>
      </w:r>
      <w:fldSimple w:instr=" SEQ Figure \* ARABIC ">
        <w:r w:rsidR="00A5526B">
          <w:rPr>
            <w:noProof/>
          </w:rPr>
          <w:t>66</w:t>
        </w:r>
      </w:fldSimple>
      <w:r>
        <w:t xml:space="preserve">: </w:t>
      </w:r>
      <w:r w:rsidRPr="00CD1F38">
        <w:t xml:space="preserve">Vapor Compression Cycle for Normal </w:t>
      </w:r>
      <w:r>
        <w:t>Heating</w:t>
      </w:r>
      <w:r w:rsidRPr="00CD1F38">
        <w:t>.</w:t>
      </w:r>
      <w:bookmarkEnd w:id="286"/>
    </w:p>
    <w:p w14:paraId="0F7D4445" w14:textId="77777777" w:rsidR="00B17E5F" w:rsidRPr="00121408" w:rsidRDefault="00B17E5F" w:rsidP="00121408"/>
    <w:p w14:paraId="53B0BA92" w14:textId="77777777" w:rsidR="00B17E5F" w:rsidRDefault="00B17E5F" w:rsidP="00121408">
      <w:pPr>
        <w:keepNext/>
        <w:ind w:firstLine="0"/>
        <w:jc w:val="center"/>
      </w:pPr>
      <w:r>
        <w:rPr>
          <w:noProof/>
        </w:rPr>
        <w:drawing>
          <wp:inline distT="0" distB="0" distL="0" distR="0" wp14:anchorId="6C9FB849" wp14:editId="466DA954">
            <wp:extent cx="5486400" cy="2770151"/>
            <wp:effectExtent l="0" t="0" r="0" b="0"/>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486400" cy="2770151"/>
                    </a:xfrm>
                    <a:prstGeom prst="rect">
                      <a:avLst/>
                    </a:prstGeom>
                    <a:noFill/>
                  </pic:spPr>
                </pic:pic>
              </a:graphicData>
            </a:graphic>
          </wp:inline>
        </w:drawing>
      </w:r>
    </w:p>
    <w:p w14:paraId="3DF25306" w14:textId="79DDAD89" w:rsidR="00B17E5F" w:rsidRDefault="00B17E5F" w:rsidP="00121408">
      <w:pPr>
        <w:pStyle w:val="Caption"/>
        <w:jc w:val="center"/>
      </w:pPr>
      <w:bookmarkStart w:id="287" w:name="_Toc140403933"/>
      <w:r>
        <w:t xml:space="preserve">Figure </w:t>
      </w:r>
      <w:fldSimple w:instr=" SEQ Figure \* ARABIC ">
        <w:r w:rsidR="00A5526B">
          <w:rPr>
            <w:noProof/>
          </w:rPr>
          <w:t>67</w:t>
        </w:r>
      </w:fldSimple>
      <w:r>
        <w:t>: Vapor Compression Cycle for Charging Cooling</w:t>
      </w:r>
      <w:bookmarkEnd w:id="287"/>
    </w:p>
    <w:p w14:paraId="1467DACF" w14:textId="77777777" w:rsidR="00B17E5F" w:rsidRDefault="00B17E5F" w:rsidP="00121408">
      <w:pPr>
        <w:ind w:firstLine="0"/>
      </w:pPr>
    </w:p>
    <w:p w14:paraId="6F41F191" w14:textId="77777777" w:rsidR="00B17E5F" w:rsidRDefault="00B17E5F" w:rsidP="00121408">
      <w:pPr>
        <w:keepNext/>
        <w:ind w:firstLine="0"/>
        <w:jc w:val="center"/>
      </w:pPr>
      <w:r>
        <w:rPr>
          <w:noProof/>
        </w:rPr>
        <w:drawing>
          <wp:inline distT="0" distB="0" distL="0" distR="0" wp14:anchorId="7805C910" wp14:editId="10FF6AF1">
            <wp:extent cx="5486400" cy="2770151"/>
            <wp:effectExtent l="0" t="0" r="0" b="0"/>
            <wp:docPr id="1051" name="Pictur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486400" cy="2770151"/>
                    </a:xfrm>
                    <a:prstGeom prst="rect">
                      <a:avLst/>
                    </a:prstGeom>
                    <a:noFill/>
                  </pic:spPr>
                </pic:pic>
              </a:graphicData>
            </a:graphic>
          </wp:inline>
        </w:drawing>
      </w:r>
    </w:p>
    <w:p w14:paraId="4FDD349F" w14:textId="68BF47D8" w:rsidR="00B17E5F" w:rsidRPr="00121408" w:rsidRDefault="00B17E5F" w:rsidP="00121408">
      <w:pPr>
        <w:pStyle w:val="Caption"/>
        <w:jc w:val="center"/>
      </w:pPr>
      <w:bookmarkStart w:id="288" w:name="_Toc140403934"/>
      <w:r>
        <w:t xml:space="preserve">Figure </w:t>
      </w:r>
      <w:fldSimple w:instr=" SEQ Figure \* ARABIC ">
        <w:r w:rsidR="00A5526B">
          <w:rPr>
            <w:noProof/>
          </w:rPr>
          <w:t>68</w:t>
        </w:r>
      </w:fldSimple>
      <w:r>
        <w:t xml:space="preserve">: </w:t>
      </w:r>
      <w:r w:rsidRPr="00AB6B6A">
        <w:t xml:space="preserve">Vapor Compression Cycle for </w:t>
      </w:r>
      <w:r>
        <w:t>Disc</w:t>
      </w:r>
      <w:r w:rsidRPr="00AB6B6A">
        <w:t>harging Cooling</w:t>
      </w:r>
      <w:bookmarkEnd w:id="288"/>
    </w:p>
    <w:p w14:paraId="743895CB" w14:textId="77777777" w:rsidR="00B17E5F" w:rsidRPr="00322E56" w:rsidRDefault="00B17E5F" w:rsidP="00F21BE6">
      <w:pPr>
        <w:rPr>
          <w:rFonts w:cs="Times New Roman"/>
        </w:rPr>
      </w:pPr>
    </w:p>
    <w:p w14:paraId="39D78B60" w14:textId="77777777" w:rsidR="00B17E5F" w:rsidRDefault="00B17E5F">
      <w:pPr>
        <w:spacing w:line="240" w:lineRule="auto"/>
        <w:jc w:val="left"/>
        <w:rPr>
          <w:b/>
          <w:bCs/>
        </w:rPr>
      </w:pPr>
      <w:r>
        <w:br w:type="page"/>
      </w:r>
    </w:p>
    <w:p w14:paraId="051413E0" w14:textId="0790A69C" w:rsidR="00B17E5F" w:rsidRDefault="00B17E5F" w:rsidP="0055422F">
      <w:pPr>
        <w:rPr>
          <w:rFonts w:cs="Times New Roman"/>
        </w:rPr>
      </w:pPr>
      <w:r w:rsidRPr="00322E56">
        <w:rPr>
          <w:rFonts w:cs="Times New Roman"/>
        </w:rPr>
        <w:t>The definitions of S</w:t>
      </w:r>
      <w:r>
        <w:rPr>
          <w:rFonts w:cs="Times New Roman"/>
        </w:rPr>
        <w:t>O</w:t>
      </w:r>
      <w:r w:rsidRPr="00322E56">
        <w:rPr>
          <w:rFonts w:cs="Times New Roman"/>
        </w:rPr>
        <w:t>C for both heating and cooling modes are consistent with utility perspective on electrochemical batteries behind the meter</w:t>
      </w:r>
      <w:r>
        <w:rPr>
          <w:rFonts w:cs="Times New Roman"/>
        </w:rPr>
        <w:t xml:space="preserve"> and are shown in Table 2</w:t>
      </w:r>
      <w:r w:rsidR="00874508">
        <w:rPr>
          <w:rFonts w:cs="Times New Roman"/>
        </w:rPr>
        <w:t>3</w:t>
      </w:r>
      <w:r>
        <w:rPr>
          <w:rFonts w:cs="Times New Roman"/>
        </w:rPr>
        <w:t>.</w:t>
      </w:r>
    </w:p>
    <w:p w14:paraId="6E4B1BBD" w14:textId="6CA44454" w:rsidR="00B17E5F" w:rsidRDefault="00B17E5F" w:rsidP="0055422F">
      <w:pPr>
        <w:rPr>
          <w:rFonts w:cs="Times New Roman"/>
        </w:rPr>
      </w:pPr>
      <w:r>
        <w:rPr>
          <w:rFonts w:cs="Times New Roman"/>
        </w:rPr>
        <w:t>Figure 6</w:t>
      </w:r>
      <w:r w:rsidR="006A6B3E">
        <w:rPr>
          <w:rFonts w:cs="Times New Roman"/>
        </w:rPr>
        <w:t>9</w:t>
      </w:r>
      <w:r>
        <w:rPr>
          <w:rFonts w:cs="Times New Roman"/>
        </w:rPr>
        <w:t xml:space="preserve"> shows the energy flow for each operating mode. The equations were driven from this schematic for each mode and integrated into MATLAB functions.</w:t>
      </w:r>
    </w:p>
    <w:p w14:paraId="527417AC" w14:textId="6948A653" w:rsidR="00B17E5F" w:rsidRDefault="00B17E5F" w:rsidP="00A14DEC">
      <w:r>
        <w:t>A comparative analysis is performed for three cases as shown in Table 2</w:t>
      </w:r>
      <w:r w:rsidR="00874508">
        <w:t>4</w:t>
      </w:r>
      <w:r>
        <w:t>. Base case does not use any controls. Rule based control strategies for peak time are defined for the other two cases.</w:t>
      </w:r>
    </w:p>
    <w:p w14:paraId="4ABCFE9F" w14:textId="77777777" w:rsidR="00B17E5F" w:rsidRDefault="00B17E5F" w:rsidP="00A14DEC">
      <w:r>
        <w:t xml:space="preserve">For case 1, time-of-use utility data is obtained for each climate zone evaluated. </w:t>
      </w:r>
    </w:p>
    <w:p w14:paraId="4F80EB22" w14:textId="147A1DD4" w:rsidR="00B17E5F" w:rsidRDefault="00B17E5F" w:rsidP="00A14DEC">
      <w:r>
        <w:t xml:space="preserve">For case 2, in addition to time-of-use utility data, marginal grid emissions data is also </w:t>
      </w:r>
      <w:r w:rsidR="00E01184">
        <w:t>obtained,</w:t>
      </w:r>
      <w:r>
        <w:t xml:space="preserve"> and both are implemented in the control strategy.</w:t>
      </w:r>
    </w:p>
    <w:p w14:paraId="1FC95B3C" w14:textId="77777777" w:rsidR="00B17E5F" w:rsidRDefault="00B17E5F" w:rsidP="0055422F">
      <w:pPr>
        <w:rPr>
          <w:rFonts w:cs="Times New Roman"/>
        </w:rPr>
      </w:pPr>
      <w:r>
        <w:rPr>
          <w:rFonts w:cs="Times New Roman"/>
        </w:rPr>
        <w:t>The utility data and grid emissions data corresponding to each climate zones will be described in analysis section.</w:t>
      </w:r>
    </w:p>
    <w:p w14:paraId="00042B5A" w14:textId="77777777" w:rsidR="002B2AD4" w:rsidRDefault="002B2AD4" w:rsidP="002B2AD4">
      <w:pPr>
        <w:rPr>
          <w:rFonts w:cs="Times New Roman"/>
        </w:rPr>
      </w:pPr>
      <w:r>
        <w:rPr>
          <w:rFonts w:cs="Times New Roman"/>
        </w:rPr>
        <w:t>Electric consumption is calculated from each operating mode using equation 16,</w:t>
      </w:r>
    </w:p>
    <w:p w14:paraId="3AFFD218" w14:textId="77777777" w:rsidR="002B2AD4" w:rsidRPr="006A6B3E" w:rsidRDefault="00000000" w:rsidP="002B2AD4">
      <w:pPr>
        <w:jc w:val="center"/>
        <w:rPr>
          <w:rFonts w:cs="Times New Roman"/>
          <w:iCs/>
        </w:rPr>
      </w:pPr>
      <m:oMath>
        <m:sSub>
          <m:sSubPr>
            <m:ctrlPr>
              <w:rPr>
                <w:rFonts w:ascii="Cambria Math" w:hAnsi="Cambria Math" w:cs="Times New Roman"/>
                <w:i/>
                <w:iCs/>
              </w:rPr>
            </m:ctrlPr>
          </m:sSubPr>
          <m:e>
            <m:r>
              <w:rPr>
                <w:rFonts w:ascii="Cambria Math" w:hAnsi="Cambria Math" w:cs="Times New Roman"/>
              </w:rPr>
              <m:t>P</m:t>
            </m:r>
          </m:e>
          <m:sub>
            <m:r>
              <w:rPr>
                <w:rFonts w:ascii="Cambria Math" w:hAnsi="Cambria Math" w:cs="Times New Roman"/>
              </w:rPr>
              <m:t>electric</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Q</m:t>
            </m:r>
          </m:e>
          <m:sub>
            <m:r>
              <w:rPr>
                <w:rFonts w:ascii="Cambria Math" w:hAnsi="Cambria Math" w:cs="Times New Roman"/>
              </w:rPr>
              <m:t>ahu</m:t>
            </m:r>
          </m:sub>
        </m:sSub>
        <m:r>
          <w:rPr>
            <w:rFonts w:ascii="Cambria Math" w:hAnsi="Cambria Math" w:cs="Times New Roman"/>
          </w:rPr>
          <m:t>/COP</m:t>
        </m:r>
      </m:oMath>
      <w:r w:rsidR="002B2AD4">
        <w:rPr>
          <w:rFonts w:cs="Times New Roman"/>
        </w:rPr>
        <w:tab/>
      </w:r>
      <w:r w:rsidR="002B2AD4">
        <w:rPr>
          <w:rFonts w:cs="Times New Roman"/>
        </w:rPr>
        <w:tab/>
      </w:r>
      <w:r w:rsidR="002B2AD4">
        <w:rPr>
          <w:rFonts w:cs="Times New Roman"/>
        </w:rPr>
        <w:tab/>
      </w:r>
      <w:r w:rsidR="002B2AD4">
        <w:rPr>
          <w:rFonts w:cs="Times New Roman"/>
        </w:rPr>
        <w:tab/>
        <w:t>(16)</w:t>
      </w:r>
    </w:p>
    <w:p w14:paraId="032BB79E" w14:textId="77777777" w:rsidR="002B2AD4" w:rsidRDefault="002B2AD4" w:rsidP="002B2AD4">
      <w:pPr>
        <w:rPr>
          <w:rFonts w:cs="Times New Roman"/>
        </w:rPr>
      </w:pPr>
      <w:r>
        <w:rPr>
          <w:rFonts w:cs="Times New Roman"/>
        </w:rPr>
        <w:t>Where, Q</w:t>
      </w:r>
      <w:r>
        <w:rPr>
          <w:rFonts w:cs="Times New Roman"/>
          <w:vertAlign w:val="subscript"/>
        </w:rPr>
        <w:t>ahu</w:t>
      </w:r>
      <w:r>
        <w:rPr>
          <w:rFonts w:cs="Times New Roman"/>
        </w:rPr>
        <w:t xml:space="preserve"> is the HP capacity, and COP of HP for all modes is defined as,</w:t>
      </w:r>
    </w:p>
    <w:p w14:paraId="3F2FE205" w14:textId="77777777" w:rsidR="002B2AD4" w:rsidRPr="006A6B3E" w:rsidRDefault="002B2AD4" w:rsidP="002B2AD4">
      <w:pPr>
        <w:jc w:val="center"/>
        <w:rPr>
          <w:rFonts w:cs="Times New Roman"/>
          <w:iCs/>
        </w:rPr>
      </w:pPr>
      <m:oMath>
        <m:r>
          <w:rPr>
            <w:rFonts w:ascii="Cambria Math" w:hAnsi="Cambria Math" w:cs="Times New Roman"/>
          </w:rPr>
          <m:t>COP=</m:t>
        </m:r>
        <m:sSub>
          <m:sSubPr>
            <m:ctrlPr>
              <w:rPr>
                <w:rFonts w:ascii="Cambria Math" w:hAnsi="Cambria Math" w:cs="Times New Roman"/>
                <w:i/>
                <w:iCs/>
              </w:rPr>
            </m:ctrlPr>
          </m:sSubPr>
          <m:e>
            <m:r>
              <w:rPr>
                <w:rFonts w:ascii="Cambria Math" w:hAnsi="Cambria Math" w:cs="Times New Roman"/>
              </w:rPr>
              <m:t>Q</m:t>
            </m:r>
          </m:e>
          <m:sub>
            <m:r>
              <w:rPr>
                <w:rFonts w:ascii="Cambria Math" w:hAnsi="Cambria Math" w:cs="Times New Roman"/>
              </w:rPr>
              <m:t>ahu</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W</m:t>
            </m:r>
          </m:e>
          <m:sub>
            <m:r>
              <w:rPr>
                <w:rFonts w:ascii="Cambria Math" w:hAnsi="Cambria Math" w:cs="Times New Roman"/>
              </w:rPr>
              <m:t>comp</m:t>
            </m:r>
          </m:sub>
        </m:sSub>
      </m:oMath>
      <w:r>
        <w:rPr>
          <w:rFonts w:cs="Times New Roman"/>
          <w:iCs/>
        </w:rPr>
        <w:tab/>
      </w:r>
      <w:r>
        <w:rPr>
          <w:rFonts w:cs="Times New Roman"/>
          <w:iCs/>
        </w:rPr>
        <w:tab/>
      </w:r>
      <w:r>
        <w:rPr>
          <w:rFonts w:cs="Times New Roman"/>
          <w:iCs/>
        </w:rPr>
        <w:tab/>
      </w:r>
      <w:r>
        <w:rPr>
          <w:rFonts w:cs="Times New Roman"/>
          <w:iCs/>
        </w:rPr>
        <w:tab/>
        <w:t>(17)</w:t>
      </w:r>
    </w:p>
    <w:p w14:paraId="2AFEA772" w14:textId="77777777" w:rsidR="002B2AD4" w:rsidRDefault="002B2AD4" w:rsidP="002B2AD4">
      <w:pPr>
        <w:rPr>
          <w:rFonts w:cs="Times New Roman"/>
        </w:rPr>
      </w:pPr>
      <w:r>
        <w:rPr>
          <w:rFonts w:cs="Times New Roman"/>
        </w:rPr>
        <w:t>In normal cooling mode, evaporator is coupled to building and the condenser is coupled to ambient. Since TES is not used in this case, Q</w:t>
      </w:r>
      <w:r w:rsidRPr="00113B14">
        <w:rPr>
          <w:rFonts w:cs="Times New Roman"/>
          <w:vertAlign w:val="subscript"/>
        </w:rPr>
        <w:t>pcm</w:t>
      </w:r>
      <w:r>
        <w:rPr>
          <w:rFonts w:cs="Times New Roman"/>
        </w:rPr>
        <w:t xml:space="preserve"> is 0.</w:t>
      </w:r>
    </w:p>
    <w:p w14:paraId="0532D6E3" w14:textId="77777777" w:rsidR="002B2AD4" w:rsidRPr="006A6B3E" w:rsidRDefault="00000000" w:rsidP="002B2AD4">
      <w:pPr>
        <w:jc w:val="center"/>
        <w:rPr>
          <w:rFonts w:cs="Times New Roman"/>
        </w:rPr>
      </w:pP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evap</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indoor</m:t>
            </m:r>
          </m:sub>
        </m:sSub>
        <m:r>
          <w:rPr>
            <w:rFonts w:ascii="Cambria Math" w:hAnsi="Cambria Math" w:cs="Times New Roman"/>
          </w:rPr>
          <m:t>-AT</m:t>
        </m:r>
      </m:oMath>
      <w:r w:rsidR="002B2AD4">
        <w:rPr>
          <w:rFonts w:cs="Times New Roman"/>
        </w:rPr>
        <w:tab/>
      </w:r>
      <w:r w:rsidR="002B2AD4">
        <w:rPr>
          <w:rFonts w:cs="Times New Roman"/>
        </w:rPr>
        <w:tab/>
      </w:r>
      <w:r w:rsidR="002B2AD4">
        <w:rPr>
          <w:rFonts w:cs="Times New Roman"/>
        </w:rPr>
        <w:tab/>
      </w:r>
      <w:r w:rsidR="002B2AD4">
        <w:rPr>
          <w:rFonts w:cs="Times New Roman"/>
        </w:rPr>
        <w:tab/>
      </w:r>
      <w:r w:rsidR="002B2AD4">
        <w:rPr>
          <w:rFonts w:cs="Times New Roman"/>
          <w:iCs/>
        </w:rPr>
        <w:t>(18)</w:t>
      </w:r>
    </w:p>
    <w:p w14:paraId="0A6A635D" w14:textId="77777777" w:rsidR="002B2AD4" w:rsidRPr="006A6B3E" w:rsidRDefault="00000000" w:rsidP="002B2AD4">
      <w:pPr>
        <w:jc w:val="center"/>
        <w:rPr>
          <w:rFonts w:cs="Times New Roman"/>
        </w:rPr>
      </w:pP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cond</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amb</m:t>
            </m:r>
          </m:sub>
        </m:sSub>
        <m:r>
          <w:rPr>
            <w:rFonts w:ascii="Cambria Math" w:hAnsi="Cambria Math" w:cs="Times New Roman"/>
          </w:rPr>
          <m:t>+AT</m:t>
        </m:r>
      </m:oMath>
      <w:r w:rsidR="002B2AD4">
        <w:rPr>
          <w:rFonts w:cs="Times New Roman"/>
        </w:rPr>
        <w:tab/>
      </w:r>
      <w:r w:rsidR="002B2AD4">
        <w:rPr>
          <w:rFonts w:cs="Times New Roman"/>
        </w:rPr>
        <w:tab/>
      </w:r>
      <w:r w:rsidR="002B2AD4">
        <w:rPr>
          <w:rFonts w:cs="Times New Roman"/>
        </w:rPr>
        <w:tab/>
      </w:r>
      <w:r w:rsidR="002B2AD4">
        <w:rPr>
          <w:rFonts w:cs="Times New Roman"/>
        </w:rPr>
        <w:tab/>
        <w:t>(19)</w:t>
      </w:r>
    </w:p>
    <w:p w14:paraId="2E72904C" w14:textId="77777777" w:rsidR="002B2AD4" w:rsidRPr="006A6B3E" w:rsidRDefault="00000000" w:rsidP="002B2AD4">
      <w:pPr>
        <w:jc w:val="center"/>
        <w:rPr>
          <w:rFonts w:cs="Times New Roman"/>
        </w:rPr>
      </w:pP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ahu</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evap</m:t>
            </m:r>
          </m:sub>
        </m:sSub>
      </m:oMath>
      <w:r w:rsidR="002B2AD4">
        <w:rPr>
          <w:rFonts w:cs="Times New Roman"/>
        </w:rPr>
        <w:tab/>
      </w:r>
      <w:r w:rsidR="002B2AD4">
        <w:rPr>
          <w:rFonts w:cs="Times New Roman"/>
        </w:rPr>
        <w:tab/>
      </w:r>
      <w:r w:rsidR="002B2AD4">
        <w:rPr>
          <w:rFonts w:cs="Times New Roman"/>
        </w:rPr>
        <w:tab/>
      </w:r>
      <w:r w:rsidR="002B2AD4">
        <w:rPr>
          <w:rFonts w:cs="Times New Roman"/>
        </w:rPr>
        <w:tab/>
      </w:r>
      <w:r w:rsidR="002B2AD4">
        <w:rPr>
          <w:rFonts w:cs="Times New Roman"/>
        </w:rPr>
        <w:tab/>
        <w:t>(20)</w:t>
      </w:r>
    </w:p>
    <w:p w14:paraId="7C167F35" w14:textId="77777777" w:rsidR="002B2AD4" w:rsidRPr="006A6B3E" w:rsidRDefault="00000000" w:rsidP="002B2AD4">
      <w:pPr>
        <w:jc w:val="center"/>
        <w:rPr>
          <w:rFonts w:cs="Times New Roman"/>
        </w:rPr>
      </w:pP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pcm</m:t>
            </m:r>
          </m:sub>
        </m:sSub>
        <m:r>
          <w:rPr>
            <w:rFonts w:ascii="Cambria Math" w:hAnsi="Cambria Math" w:cs="Times New Roman"/>
          </w:rPr>
          <m:t>= 0</m:t>
        </m:r>
      </m:oMath>
      <w:r w:rsidR="002B2AD4">
        <w:rPr>
          <w:rFonts w:cs="Times New Roman"/>
        </w:rPr>
        <w:tab/>
      </w:r>
      <w:r w:rsidR="002B2AD4">
        <w:rPr>
          <w:rFonts w:cs="Times New Roman"/>
        </w:rPr>
        <w:tab/>
      </w:r>
      <w:r w:rsidR="002B2AD4">
        <w:rPr>
          <w:rFonts w:cs="Times New Roman"/>
        </w:rPr>
        <w:tab/>
      </w:r>
      <w:r w:rsidR="002B2AD4">
        <w:rPr>
          <w:rFonts w:cs="Times New Roman"/>
        </w:rPr>
        <w:tab/>
      </w:r>
      <w:r w:rsidR="002B2AD4">
        <w:rPr>
          <w:rFonts w:cs="Times New Roman"/>
        </w:rPr>
        <w:tab/>
        <w:t>(21)</w:t>
      </w:r>
    </w:p>
    <w:p w14:paraId="7B5EF6E6" w14:textId="77777777" w:rsidR="002B2AD4" w:rsidRDefault="002B2AD4" w:rsidP="002B2AD4">
      <w:pPr>
        <w:rPr>
          <w:rFonts w:cs="Times New Roman"/>
        </w:rPr>
      </w:pPr>
    </w:p>
    <w:p w14:paraId="2D40E6B2" w14:textId="68455052" w:rsidR="00B17E5F" w:rsidRDefault="00B17E5F">
      <w:pPr>
        <w:spacing w:before="0" w:line="240" w:lineRule="auto"/>
        <w:ind w:firstLine="0"/>
        <w:jc w:val="left"/>
        <w:rPr>
          <w:b/>
          <w:bCs/>
        </w:rPr>
      </w:pPr>
    </w:p>
    <w:p w14:paraId="2DDF14BB" w14:textId="074B823C" w:rsidR="00B17E5F" w:rsidRDefault="00B17E5F" w:rsidP="0055422F">
      <w:pPr>
        <w:pStyle w:val="Caption"/>
        <w:jc w:val="center"/>
      </w:pPr>
      <w:bookmarkStart w:id="289" w:name="_Toc140399963"/>
      <w:r>
        <w:t xml:space="preserve">Table </w:t>
      </w:r>
      <w:fldSimple w:instr=" SEQ Table \* ARABIC ">
        <w:r w:rsidR="00FC25C0">
          <w:rPr>
            <w:noProof/>
          </w:rPr>
          <w:t>23</w:t>
        </w:r>
      </w:fldSimple>
      <w:r>
        <w:t>: Definitions of SOC</w:t>
      </w:r>
      <w:bookmarkEnd w:id="289"/>
    </w:p>
    <w:tbl>
      <w:tblPr>
        <w:tblStyle w:val="TableGrid"/>
        <w:tblW w:w="0" w:type="auto"/>
        <w:tblLook w:val="04A0" w:firstRow="1" w:lastRow="0" w:firstColumn="1" w:lastColumn="0" w:noHBand="0" w:noVBand="1"/>
      </w:tblPr>
      <w:tblGrid>
        <w:gridCol w:w="1795"/>
        <w:gridCol w:w="1350"/>
        <w:gridCol w:w="5485"/>
      </w:tblGrid>
      <w:tr w:rsidR="00B17E5F" w:rsidRPr="0055422F" w14:paraId="5136791F" w14:textId="77777777" w:rsidTr="0055422F">
        <w:tc>
          <w:tcPr>
            <w:tcW w:w="1795" w:type="dxa"/>
          </w:tcPr>
          <w:p w14:paraId="622B0A25" w14:textId="77777777" w:rsidR="00B17E5F" w:rsidRPr="0055422F" w:rsidRDefault="00B17E5F" w:rsidP="0055422F">
            <w:pPr>
              <w:pStyle w:val="NoSpacing"/>
              <w:rPr>
                <w:b/>
                <w:bCs/>
                <w:sz w:val="22"/>
                <w:szCs w:val="22"/>
              </w:rPr>
            </w:pPr>
            <w:r w:rsidRPr="0055422F">
              <w:rPr>
                <w:b/>
                <w:bCs/>
                <w:sz w:val="22"/>
                <w:szCs w:val="22"/>
              </w:rPr>
              <w:t>Mode</w:t>
            </w:r>
          </w:p>
        </w:tc>
        <w:tc>
          <w:tcPr>
            <w:tcW w:w="1350" w:type="dxa"/>
          </w:tcPr>
          <w:p w14:paraId="283120D5" w14:textId="77777777" w:rsidR="00B17E5F" w:rsidRPr="0055422F" w:rsidRDefault="00B17E5F" w:rsidP="0055422F">
            <w:pPr>
              <w:pStyle w:val="NoSpacing"/>
              <w:rPr>
                <w:b/>
                <w:bCs/>
                <w:sz w:val="22"/>
                <w:szCs w:val="22"/>
              </w:rPr>
            </w:pPr>
            <w:r w:rsidRPr="0055422F">
              <w:rPr>
                <w:b/>
                <w:bCs/>
                <w:sz w:val="22"/>
                <w:szCs w:val="22"/>
              </w:rPr>
              <w:t>SOC</w:t>
            </w:r>
          </w:p>
        </w:tc>
        <w:tc>
          <w:tcPr>
            <w:tcW w:w="5485" w:type="dxa"/>
          </w:tcPr>
          <w:p w14:paraId="7FC55AB9" w14:textId="77777777" w:rsidR="00B17E5F" w:rsidRPr="0055422F" w:rsidRDefault="00B17E5F" w:rsidP="0055422F">
            <w:pPr>
              <w:pStyle w:val="NoSpacing"/>
              <w:rPr>
                <w:b/>
                <w:bCs/>
                <w:sz w:val="22"/>
                <w:szCs w:val="22"/>
              </w:rPr>
            </w:pPr>
            <w:r w:rsidRPr="0055422F">
              <w:rPr>
                <w:b/>
                <w:bCs/>
                <w:sz w:val="22"/>
                <w:szCs w:val="22"/>
              </w:rPr>
              <w:t>Meaning</w:t>
            </w:r>
          </w:p>
        </w:tc>
      </w:tr>
      <w:tr w:rsidR="00B17E5F" w:rsidRPr="0055422F" w14:paraId="102BD35B" w14:textId="77777777" w:rsidTr="0055422F">
        <w:tc>
          <w:tcPr>
            <w:tcW w:w="1795" w:type="dxa"/>
          </w:tcPr>
          <w:p w14:paraId="31D1754D" w14:textId="77777777" w:rsidR="00B17E5F" w:rsidRPr="0055422F" w:rsidRDefault="00B17E5F" w:rsidP="0055422F">
            <w:pPr>
              <w:pStyle w:val="NoSpacing"/>
              <w:rPr>
                <w:sz w:val="22"/>
                <w:szCs w:val="22"/>
              </w:rPr>
            </w:pPr>
            <w:r w:rsidRPr="0055422F">
              <w:rPr>
                <w:sz w:val="22"/>
                <w:szCs w:val="22"/>
              </w:rPr>
              <w:t>Cooling</w:t>
            </w:r>
          </w:p>
        </w:tc>
        <w:tc>
          <w:tcPr>
            <w:tcW w:w="1350" w:type="dxa"/>
          </w:tcPr>
          <w:p w14:paraId="4B8DD90C" w14:textId="77777777" w:rsidR="00B17E5F" w:rsidRPr="0055422F" w:rsidRDefault="00B17E5F" w:rsidP="0055422F">
            <w:pPr>
              <w:pStyle w:val="NoSpacing"/>
              <w:rPr>
                <w:sz w:val="22"/>
                <w:szCs w:val="22"/>
              </w:rPr>
            </w:pPr>
            <w:r w:rsidRPr="0055422F">
              <w:rPr>
                <w:sz w:val="22"/>
                <w:szCs w:val="22"/>
              </w:rPr>
              <w:t>0</w:t>
            </w:r>
          </w:p>
        </w:tc>
        <w:tc>
          <w:tcPr>
            <w:tcW w:w="5485" w:type="dxa"/>
          </w:tcPr>
          <w:p w14:paraId="1BCC858B" w14:textId="77777777" w:rsidR="00B17E5F" w:rsidRPr="0055422F" w:rsidRDefault="00B17E5F" w:rsidP="0055422F">
            <w:pPr>
              <w:pStyle w:val="NoSpacing"/>
              <w:rPr>
                <w:sz w:val="22"/>
                <w:szCs w:val="22"/>
              </w:rPr>
            </w:pPr>
            <w:r w:rsidRPr="0055422F">
              <w:rPr>
                <w:sz w:val="22"/>
                <w:szCs w:val="22"/>
              </w:rPr>
              <w:t>Fully discharged, i.e., full of energy (PCM liquified)</w:t>
            </w:r>
          </w:p>
        </w:tc>
      </w:tr>
      <w:tr w:rsidR="00B17E5F" w:rsidRPr="0055422F" w14:paraId="7AF3480C" w14:textId="77777777" w:rsidTr="0055422F">
        <w:tc>
          <w:tcPr>
            <w:tcW w:w="1795" w:type="dxa"/>
          </w:tcPr>
          <w:p w14:paraId="7C5803D3" w14:textId="77777777" w:rsidR="00B17E5F" w:rsidRPr="0055422F" w:rsidRDefault="00B17E5F" w:rsidP="0055422F">
            <w:pPr>
              <w:pStyle w:val="NoSpacing"/>
              <w:rPr>
                <w:sz w:val="22"/>
                <w:szCs w:val="22"/>
              </w:rPr>
            </w:pPr>
            <w:r w:rsidRPr="0055422F">
              <w:rPr>
                <w:sz w:val="22"/>
                <w:szCs w:val="22"/>
              </w:rPr>
              <w:t>Cooling</w:t>
            </w:r>
          </w:p>
        </w:tc>
        <w:tc>
          <w:tcPr>
            <w:tcW w:w="1350" w:type="dxa"/>
          </w:tcPr>
          <w:p w14:paraId="5797B794" w14:textId="77777777" w:rsidR="00B17E5F" w:rsidRPr="0055422F" w:rsidRDefault="00B17E5F" w:rsidP="0055422F">
            <w:pPr>
              <w:pStyle w:val="NoSpacing"/>
              <w:rPr>
                <w:sz w:val="22"/>
                <w:szCs w:val="22"/>
              </w:rPr>
            </w:pPr>
            <w:r w:rsidRPr="0055422F">
              <w:rPr>
                <w:sz w:val="22"/>
                <w:szCs w:val="22"/>
              </w:rPr>
              <w:t>1</w:t>
            </w:r>
          </w:p>
        </w:tc>
        <w:tc>
          <w:tcPr>
            <w:tcW w:w="5485" w:type="dxa"/>
          </w:tcPr>
          <w:p w14:paraId="726A8167" w14:textId="77777777" w:rsidR="00B17E5F" w:rsidRPr="0055422F" w:rsidRDefault="00B17E5F" w:rsidP="0055422F">
            <w:pPr>
              <w:pStyle w:val="NoSpacing"/>
              <w:rPr>
                <w:sz w:val="22"/>
                <w:szCs w:val="22"/>
              </w:rPr>
            </w:pPr>
            <w:r w:rsidRPr="0055422F">
              <w:rPr>
                <w:rFonts w:cs="Times New Roman"/>
                <w:sz w:val="22"/>
                <w:szCs w:val="22"/>
              </w:rPr>
              <w:t>Fully charged, i.e., empty of energy (PCM solidified)</w:t>
            </w:r>
          </w:p>
        </w:tc>
      </w:tr>
      <w:tr w:rsidR="00B17E5F" w:rsidRPr="0055422F" w14:paraId="10B58E72" w14:textId="77777777" w:rsidTr="0055422F">
        <w:tc>
          <w:tcPr>
            <w:tcW w:w="1795" w:type="dxa"/>
          </w:tcPr>
          <w:p w14:paraId="621FE978" w14:textId="77777777" w:rsidR="00B17E5F" w:rsidRPr="0055422F" w:rsidRDefault="00B17E5F" w:rsidP="0055422F">
            <w:pPr>
              <w:pStyle w:val="NoSpacing"/>
              <w:rPr>
                <w:sz w:val="22"/>
                <w:szCs w:val="22"/>
              </w:rPr>
            </w:pPr>
            <w:r w:rsidRPr="0055422F">
              <w:rPr>
                <w:sz w:val="22"/>
                <w:szCs w:val="22"/>
              </w:rPr>
              <w:t>Cooling</w:t>
            </w:r>
          </w:p>
        </w:tc>
        <w:tc>
          <w:tcPr>
            <w:tcW w:w="1350" w:type="dxa"/>
          </w:tcPr>
          <w:p w14:paraId="7D4C9D32" w14:textId="77777777" w:rsidR="00B17E5F" w:rsidRPr="0055422F" w:rsidRDefault="00B17E5F" w:rsidP="0055422F">
            <w:pPr>
              <w:pStyle w:val="NoSpacing"/>
              <w:rPr>
                <w:sz w:val="22"/>
                <w:szCs w:val="22"/>
              </w:rPr>
            </w:pPr>
            <w:r w:rsidRPr="0055422F">
              <w:rPr>
                <w:sz w:val="22"/>
                <w:szCs w:val="22"/>
              </w:rPr>
              <w:t>&lt;1</w:t>
            </w:r>
          </w:p>
        </w:tc>
        <w:tc>
          <w:tcPr>
            <w:tcW w:w="5485" w:type="dxa"/>
          </w:tcPr>
          <w:p w14:paraId="7F3789FC" w14:textId="77777777" w:rsidR="00B17E5F" w:rsidRPr="0055422F" w:rsidRDefault="00B17E5F" w:rsidP="0055422F">
            <w:pPr>
              <w:pStyle w:val="NoSpacing"/>
              <w:rPr>
                <w:sz w:val="22"/>
                <w:szCs w:val="22"/>
              </w:rPr>
            </w:pPr>
            <w:r>
              <w:rPr>
                <w:sz w:val="22"/>
                <w:szCs w:val="22"/>
              </w:rPr>
              <w:t>Charging</w:t>
            </w:r>
          </w:p>
        </w:tc>
      </w:tr>
      <w:tr w:rsidR="00B17E5F" w:rsidRPr="0055422F" w14:paraId="419A73C5" w14:textId="77777777" w:rsidTr="0055422F">
        <w:tc>
          <w:tcPr>
            <w:tcW w:w="1795" w:type="dxa"/>
          </w:tcPr>
          <w:p w14:paraId="202675AC" w14:textId="77777777" w:rsidR="00B17E5F" w:rsidRPr="0055422F" w:rsidRDefault="00B17E5F" w:rsidP="0055422F">
            <w:pPr>
              <w:pStyle w:val="NoSpacing"/>
              <w:rPr>
                <w:sz w:val="22"/>
                <w:szCs w:val="22"/>
              </w:rPr>
            </w:pPr>
            <w:r w:rsidRPr="0055422F">
              <w:rPr>
                <w:sz w:val="22"/>
                <w:szCs w:val="22"/>
              </w:rPr>
              <w:t>Cooling</w:t>
            </w:r>
          </w:p>
        </w:tc>
        <w:tc>
          <w:tcPr>
            <w:tcW w:w="1350" w:type="dxa"/>
          </w:tcPr>
          <w:p w14:paraId="7E7CFB2E" w14:textId="77777777" w:rsidR="00B17E5F" w:rsidRPr="0055422F" w:rsidRDefault="00B17E5F" w:rsidP="0055422F">
            <w:pPr>
              <w:pStyle w:val="NoSpacing"/>
              <w:rPr>
                <w:sz w:val="22"/>
                <w:szCs w:val="22"/>
              </w:rPr>
            </w:pPr>
            <w:r w:rsidRPr="0055422F">
              <w:rPr>
                <w:sz w:val="22"/>
                <w:szCs w:val="22"/>
              </w:rPr>
              <w:t>&gt;0</w:t>
            </w:r>
          </w:p>
        </w:tc>
        <w:tc>
          <w:tcPr>
            <w:tcW w:w="5485" w:type="dxa"/>
          </w:tcPr>
          <w:p w14:paraId="1BBD20A7" w14:textId="77777777" w:rsidR="00B17E5F" w:rsidRPr="0055422F" w:rsidRDefault="00B17E5F" w:rsidP="0055422F">
            <w:pPr>
              <w:pStyle w:val="NoSpacing"/>
              <w:rPr>
                <w:sz w:val="22"/>
                <w:szCs w:val="22"/>
              </w:rPr>
            </w:pPr>
            <w:r>
              <w:rPr>
                <w:sz w:val="22"/>
                <w:szCs w:val="22"/>
              </w:rPr>
              <w:t>Discharging</w:t>
            </w:r>
          </w:p>
        </w:tc>
      </w:tr>
      <w:tr w:rsidR="00B17E5F" w:rsidRPr="0055422F" w14:paraId="739C8219" w14:textId="77777777" w:rsidTr="0055422F">
        <w:tc>
          <w:tcPr>
            <w:tcW w:w="1795" w:type="dxa"/>
          </w:tcPr>
          <w:p w14:paraId="5D5822E2" w14:textId="77777777" w:rsidR="00B17E5F" w:rsidRPr="0055422F" w:rsidRDefault="00B17E5F" w:rsidP="0055422F">
            <w:pPr>
              <w:pStyle w:val="NoSpacing"/>
              <w:rPr>
                <w:sz w:val="22"/>
                <w:szCs w:val="22"/>
              </w:rPr>
            </w:pPr>
            <w:r w:rsidRPr="0055422F">
              <w:rPr>
                <w:sz w:val="22"/>
                <w:szCs w:val="22"/>
              </w:rPr>
              <w:t>Heating</w:t>
            </w:r>
          </w:p>
        </w:tc>
        <w:tc>
          <w:tcPr>
            <w:tcW w:w="1350" w:type="dxa"/>
          </w:tcPr>
          <w:p w14:paraId="193F1B89" w14:textId="77777777" w:rsidR="00B17E5F" w:rsidRPr="0055422F" w:rsidRDefault="00B17E5F" w:rsidP="0055422F">
            <w:pPr>
              <w:pStyle w:val="NoSpacing"/>
              <w:rPr>
                <w:sz w:val="22"/>
                <w:szCs w:val="22"/>
              </w:rPr>
            </w:pPr>
            <w:r w:rsidRPr="0055422F">
              <w:rPr>
                <w:sz w:val="22"/>
                <w:szCs w:val="22"/>
              </w:rPr>
              <w:t>1</w:t>
            </w:r>
          </w:p>
        </w:tc>
        <w:tc>
          <w:tcPr>
            <w:tcW w:w="5485" w:type="dxa"/>
          </w:tcPr>
          <w:p w14:paraId="25100BAC" w14:textId="77777777" w:rsidR="00B17E5F" w:rsidRPr="0055422F" w:rsidRDefault="00B17E5F" w:rsidP="0055422F">
            <w:pPr>
              <w:pStyle w:val="NoSpacing"/>
              <w:rPr>
                <w:sz w:val="22"/>
                <w:szCs w:val="22"/>
              </w:rPr>
            </w:pPr>
            <w:r w:rsidRPr="0055422F">
              <w:rPr>
                <w:rFonts w:cs="Times New Roman"/>
                <w:sz w:val="22"/>
                <w:szCs w:val="22"/>
              </w:rPr>
              <w:t xml:space="preserve">Fully </w:t>
            </w:r>
            <w:r>
              <w:rPr>
                <w:rFonts w:cs="Times New Roman"/>
                <w:sz w:val="22"/>
                <w:szCs w:val="22"/>
              </w:rPr>
              <w:t>dis</w:t>
            </w:r>
            <w:r w:rsidRPr="0055422F">
              <w:rPr>
                <w:rFonts w:cs="Times New Roman"/>
                <w:sz w:val="22"/>
                <w:szCs w:val="22"/>
              </w:rPr>
              <w:t>charged, i.e., empty of energy (PCM solidified)</w:t>
            </w:r>
          </w:p>
        </w:tc>
      </w:tr>
      <w:tr w:rsidR="00B17E5F" w:rsidRPr="0055422F" w14:paraId="4A24AC8D" w14:textId="77777777" w:rsidTr="0055422F">
        <w:tc>
          <w:tcPr>
            <w:tcW w:w="1795" w:type="dxa"/>
          </w:tcPr>
          <w:p w14:paraId="5637F743" w14:textId="77777777" w:rsidR="00B17E5F" w:rsidRPr="0055422F" w:rsidRDefault="00B17E5F" w:rsidP="0055422F">
            <w:pPr>
              <w:pStyle w:val="NoSpacing"/>
              <w:rPr>
                <w:sz w:val="22"/>
                <w:szCs w:val="22"/>
              </w:rPr>
            </w:pPr>
            <w:r w:rsidRPr="0055422F">
              <w:rPr>
                <w:sz w:val="22"/>
                <w:szCs w:val="22"/>
              </w:rPr>
              <w:t>Heating</w:t>
            </w:r>
          </w:p>
        </w:tc>
        <w:tc>
          <w:tcPr>
            <w:tcW w:w="1350" w:type="dxa"/>
          </w:tcPr>
          <w:p w14:paraId="3C159AAF" w14:textId="77777777" w:rsidR="00B17E5F" w:rsidRPr="0055422F" w:rsidRDefault="00B17E5F" w:rsidP="0055422F">
            <w:pPr>
              <w:pStyle w:val="NoSpacing"/>
              <w:rPr>
                <w:sz w:val="22"/>
                <w:szCs w:val="22"/>
              </w:rPr>
            </w:pPr>
            <w:r w:rsidRPr="0055422F">
              <w:rPr>
                <w:sz w:val="22"/>
                <w:szCs w:val="22"/>
              </w:rPr>
              <w:t>0</w:t>
            </w:r>
          </w:p>
        </w:tc>
        <w:tc>
          <w:tcPr>
            <w:tcW w:w="5485" w:type="dxa"/>
          </w:tcPr>
          <w:p w14:paraId="23DC0125" w14:textId="77777777" w:rsidR="00B17E5F" w:rsidRPr="0055422F" w:rsidRDefault="00B17E5F" w:rsidP="0055422F">
            <w:pPr>
              <w:pStyle w:val="NoSpacing"/>
              <w:rPr>
                <w:sz w:val="22"/>
                <w:szCs w:val="22"/>
              </w:rPr>
            </w:pPr>
            <w:r w:rsidRPr="0055422F">
              <w:rPr>
                <w:sz w:val="22"/>
                <w:szCs w:val="22"/>
              </w:rPr>
              <w:t>Fully charged, i.e., full of energy (PCM liquified)</w:t>
            </w:r>
          </w:p>
        </w:tc>
      </w:tr>
      <w:tr w:rsidR="00B17E5F" w:rsidRPr="0055422F" w14:paraId="1D50CA58" w14:textId="77777777" w:rsidTr="0055422F">
        <w:tc>
          <w:tcPr>
            <w:tcW w:w="1795" w:type="dxa"/>
          </w:tcPr>
          <w:p w14:paraId="7BFC7B54" w14:textId="77777777" w:rsidR="00B17E5F" w:rsidRPr="0055422F" w:rsidRDefault="00B17E5F" w:rsidP="0055422F">
            <w:pPr>
              <w:pStyle w:val="NoSpacing"/>
              <w:rPr>
                <w:sz w:val="22"/>
                <w:szCs w:val="22"/>
              </w:rPr>
            </w:pPr>
            <w:r w:rsidRPr="0055422F">
              <w:rPr>
                <w:sz w:val="22"/>
                <w:szCs w:val="22"/>
              </w:rPr>
              <w:t>Heating</w:t>
            </w:r>
          </w:p>
        </w:tc>
        <w:tc>
          <w:tcPr>
            <w:tcW w:w="1350" w:type="dxa"/>
          </w:tcPr>
          <w:p w14:paraId="20144B1D" w14:textId="77777777" w:rsidR="00B17E5F" w:rsidRPr="0055422F" w:rsidRDefault="00B17E5F" w:rsidP="0055422F">
            <w:pPr>
              <w:pStyle w:val="NoSpacing"/>
              <w:rPr>
                <w:sz w:val="22"/>
                <w:szCs w:val="22"/>
              </w:rPr>
            </w:pPr>
            <w:r w:rsidRPr="0055422F">
              <w:rPr>
                <w:sz w:val="22"/>
                <w:szCs w:val="22"/>
              </w:rPr>
              <w:t>&lt;1</w:t>
            </w:r>
          </w:p>
        </w:tc>
        <w:tc>
          <w:tcPr>
            <w:tcW w:w="5485" w:type="dxa"/>
          </w:tcPr>
          <w:p w14:paraId="45926C47" w14:textId="77777777" w:rsidR="00B17E5F" w:rsidRPr="0055422F" w:rsidRDefault="00B17E5F" w:rsidP="0055422F">
            <w:pPr>
              <w:pStyle w:val="NoSpacing"/>
              <w:rPr>
                <w:sz w:val="22"/>
                <w:szCs w:val="22"/>
              </w:rPr>
            </w:pPr>
            <w:r>
              <w:rPr>
                <w:sz w:val="22"/>
                <w:szCs w:val="22"/>
              </w:rPr>
              <w:t>Discharging</w:t>
            </w:r>
          </w:p>
        </w:tc>
      </w:tr>
      <w:tr w:rsidR="00B17E5F" w:rsidRPr="0055422F" w14:paraId="0547A53F" w14:textId="77777777" w:rsidTr="0055422F">
        <w:tc>
          <w:tcPr>
            <w:tcW w:w="1795" w:type="dxa"/>
          </w:tcPr>
          <w:p w14:paraId="3F6F50AF" w14:textId="77777777" w:rsidR="00B17E5F" w:rsidRPr="0055422F" w:rsidRDefault="00B17E5F" w:rsidP="0055422F">
            <w:pPr>
              <w:pStyle w:val="NoSpacing"/>
              <w:rPr>
                <w:sz w:val="22"/>
                <w:szCs w:val="22"/>
              </w:rPr>
            </w:pPr>
            <w:r w:rsidRPr="0055422F">
              <w:rPr>
                <w:sz w:val="22"/>
                <w:szCs w:val="22"/>
              </w:rPr>
              <w:t>Heating</w:t>
            </w:r>
          </w:p>
        </w:tc>
        <w:tc>
          <w:tcPr>
            <w:tcW w:w="1350" w:type="dxa"/>
          </w:tcPr>
          <w:p w14:paraId="2C7724B0" w14:textId="77777777" w:rsidR="00B17E5F" w:rsidRPr="0055422F" w:rsidRDefault="00B17E5F" w:rsidP="0055422F">
            <w:pPr>
              <w:pStyle w:val="NoSpacing"/>
              <w:rPr>
                <w:sz w:val="22"/>
                <w:szCs w:val="22"/>
              </w:rPr>
            </w:pPr>
            <w:r w:rsidRPr="0055422F">
              <w:rPr>
                <w:sz w:val="22"/>
                <w:szCs w:val="22"/>
              </w:rPr>
              <w:t>&gt;0</w:t>
            </w:r>
          </w:p>
        </w:tc>
        <w:tc>
          <w:tcPr>
            <w:tcW w:w="5485" w:type="dxa"/>
          </w:tcPr>
          <w:p w14:paraId="71C748FA" w14:textId="77777777" w:rsidR="00B17E5F" w:rsidRPr="0055422F" w:rsidRDefault="00B17E5F" w:rsidP="0055422F">
            <w:pPr>
              <w:pStyle w:val="NoSpacing"/>
              <w:rPr>
                <w:sz w:val="22"/>
                <w:szCs w:val="22"/>
              </w:rPr>
            </w:pPr>
            <w:r>
              <w:rPr>
                <w:sz w:val="22"/>
                <w:szCs w:val="22"/>
              </w:rPr>
              <w:t>Charging</w:t>
            </w:r>
          </w:p>
        </w:tc>
      </w:tr>
    </w:tbl>
    <w:p w14:paraId="289B1045" w14:textId="3E9FAFEF" w:rsidR="002B2AD4" w:rsidRDefault="002B2AD4" w:rsidP="000D55B1">
      <w:pPr>
        <w:pStyle w:val="Caption"/>
        <w:ind w:firstLine="0"/>
      </w:pPr>
    </w:p>
    <w:p w14:paraId="0F2D2CF5" w14:textId="77777777" w:rsidR="002B2AD4" w:rsidRDefault="002B2AD4">
      <w:pPr>
        <w:spacing w:before="0" w:line="240" w:lineRule="auto"/>
        <w:ind w:firstLine="0"/>
        <w:jc w:val="left"/>
        <w:rPr>
          <w:b/>
          <w:bCs/>
        </w:rPr>
      </w:pPr>
      <w:r>
        <w:br w:type="page"/>
      </w:r>
    </w:p>
    <w:p w14:paraId="18C4528D" w14:textId="77777777" w:rsidR="00B17E5F" w:rsidRDefault="00B17E5F" w:rsidP="000D55B1">
      <w:pPr>
        <w:pStyle w:val="Caption"/>
        <w:ind w:firstLine="0"/>
      </w:pPr>
    </w:p>
    <w:p w14:paraId="7DC0ED07" w14:textId="77777777" w:rsidR="00B17E5F" w:rsidRDefault="00B17E5F" w:rsidP="00A14DEC">
      <w:pPr>
        <w:keepNext/>
        <w:ind w:firstLine="0"/>
        <w:jc w:val="center"/>
      </w:pPr>
      <w:r>
        <w:rPr>
          <w:noProof/>
        </w:rPr>
        <w:drawing>
          <wp:inline distT="0" distB="0" distL="0" distR="0" wp14:anchorId="31B66A68" wp14:editId="3E1CDCDE">
            <wp:extent cx="5029200" cy="3503560"/>
            <wp:effectExtent l="0" t="0" r="0" b="1905"/>
            <wp:docPr id="1040" name="Picture 1040">
              <a:extLst xmlns:a="http://schemas.openxmlformats.org/drawingml/2006/main">
                <a:ext uri="{FF2B5EF4-FFF2-40B4-BE49-F238E27FC236}">
                  <a16:creationId xmlns:a16="http://schemas.microsoft.com/office/drawing/2014/main" id="{7544C42D-8931-0661-C45E-2D074A5180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7544C42D-8931-0661-C45E-2D074A5180D1}"/>
                        </a:ext>
                      </a:extLst>
                    </pic:cNvPr>
                    <pic:cNvPicPr>
                      <a:picLocks noChangeAspect="1"/>
                    </pic:cNvPicPr>
                  </pic:nvPicPr>
                  <pic:blipFill>
                    <a:blip r:embed="rId100"/>
                    <a:stretch>
                      <a:fillRect/>
                    </a:stretch>
                  </pic:blipFill>
                  <pic:spPr>
                    <a:xfrm>
                      <a:off x="0" y="0"/>
                      <a:ext cx="5029200" cy="3503560"/>
                    </a:xfrm>
                    <a:prstGeom prst="rect">
                      <a:avLst/>
                    </a:prstGeom>
                  </pic:spPr>
                </pic:pic>
              </a:graphicData>
            </a:graphic>
          </wp:inline>
        </w:drawing>
      </w:r>
    </w:p>
    <w:p w14:paraId="6D52207F" w14:textId="2D1A52D6" w:rsidR="00B17E5F" w:rsidRDefault="00B17E5F" w:rsidP="0055422F">
      <w:pPr>
        <w:pStyle w:val="Caption"/>
        <w:jc w:val="center"/>
      </w:pPr>
      <w:bookmarkStart w:id="290" w:name="_Toc140403935"/>
      <w:r>
        <w:t xml:space="preserve">Figure </w:t>
      </w:r>
      <w:fldSimple w:instr=" SEQ Figure \* ARABIC ">
        <w:r w:rsidR="00A5526B">
          <w:rPr>
            <w:noProof/>
          </w:rPr>
          <w:t>69</w:t>
        </w:r>
      </w:fldSimple>
      <w:r>
        <w:t>: HP-TES integration and energy flow</w:t>
      </w:r>
      <w:bookmarkEnd w:id="290"/>
    </w:p>
    <w:p w14:paraId="6B603BBB" w14:textId="77777777" w:rsidR="002B2AD4" w:rsidRDefault="002B2AD4">
      <w:pPr>
        <w:spacing w:before="0" w:line="240" w:lineRule="auto"/>
        <w:ind w:firstLine="0"/>
        <w:jc w:val="left"/>
        <w:rPr>
          <w:b/>
          <w:bCs/>
        </w:rPr>
      </w:pPr>
      <w:r>
        <w:br w:type="page"/>
      </w:r>
    </w:p>
    <w:p w14:paraId="3C23EC1F" w14:textId="53227145" w:rsidR="002B2AD4" w:rsidRDefault="002B2AD4" w:rsidP="002B2AD4">
      <w:pPr>
        <w:pStyle w:val="Caption"/>
        <w:jc w:val="center"/>
      </w:pPr>
      <w:bookmarkStart w:id="291" w:name="_Toc140399964"/>
      <w:r>
        <w:t xml:space="preserve">Table </w:t>
      </w:r>
      <w:fldSimple w:instr=" SEQ Table \* ARABIC ">
        <w:r>
          <w:rPr>
            <w:noProof/>
          </w:rPr>
          <w:t>24</w:t>
        </w:r>
      </w:fldSimple>
      <w:r>
        <w:t xml:space="preserve">: </w:t>
      </w:r>
      <w:r w:rsidRPr="00AE09A4">
        <w:t>Cases for comparative analysis</w:t>
      </w:r>
      <w:bookmarkEnd w:id="291"/>
    </w:p>
    <w:tbl>
      <w:tblPr>
        <w:tblStyle w:val="TableGrid"/>
        <w:tblW w:w="0" w:type="auto"/>
        <w:tblLook w:val="04A0" w:firstRow="1" w:lastRow="0" w:firstColumn="1" w:lastColumn="0" w:noHBand="0" w:noVBand="1"/>
      </w:tblPr>
      <w:tblGrid>
        <w:gridCol w:w="2876"/>
        <w:gridCol w:w="2877"/>
        <w:gridCol w:w="2877"/>
      </w:tblGrid>
      <w:tr w:rsidR="002B2AD4" w:rsidRPr="00A14DEC" w14:paraId="115223AF" w14:textId="77777777" w:rsidTr="00273064">
        <w:tc>
          <w:tcPr>
            <w:tcW w:w="2876" w:type="dxa"/>
          </w:tcPr>
          <w:p w14:paraId="49262F7D" w14:textId="77777777" w:rsidR="002B2AD4" w:rsidRPr="00A14DEC" w:rsidRDefault="002B2AD4" w:rsidP="00273064">
            <w:pPr>
              <w:pStyle w:val="NoSpacing"/>
              <w:rPr>
                <w:b/>
                <w:bCs/>
                <w:sz w:val="22"/>
                <w:szCs w:val="22"/>
              </w:rPr>
            </w:pPr>
            <w:r w:rsidRPr="00A14DEC">
              <w:rPr>
                <w:b/>
                <w:bCs/>
                <w:sz w:val="22"/>
                <w:szCs w:val="22"/>
              </w:rPr>
              <w:t>Base case</w:t>
            </w:r>
          </w:p>
        </w:tc>
        <w:tc>
          <w:tcPr>
            <w:tcW w:w="2877" w:type="dxa"/>
          </w:tcPr>
          <w:p w14:paraId="58F89A29" w14:textId="77777777" w:rsidR="002B2AD4" w:rsidRPr="00A14DEC" w:rsidRDefault="002B2AD4" w:rsidP="00273064">
            <w:pPr>
              <w:pStyle w:val="NoSpacing"/>
              <w:rPr>
                <w:b/>
                <w:bCs/>
                <w:sz w:val="22"/>
                <w:szCs w:val="22"/>
              </w:rPr>
            </w:pPr>
            <w:r w:rsidRPr="00A14DEC">
              <w:rPr>
                <w:b/>
                <w:bCs/>
                <w:sz w:val="22"/>
                <w:szCs w:val="22"/>
              </w:rPr>
              <w:t>Case 1</w:t>
            </w:r>
          </w:p>
        </w:tc>
        <w:tc>
          <w:tcPr>
            <w:tcW w:w="2877" w:type="dxa"/>
          </w:tcPr>
          <w:p w14:paraId="543F093C" w14:textId="77777777" w:rsidR="002B2AD4" w:rsidRPr="00A14DEC" w:rsidRDefault="002B2AD4" w:rsidP="00273064">
            <w:pPr>
              <w:pStyle w:val="NoSpacing"/>
              <w:rPr>
                <w:b/>
                <w:bCs/>
                <w:sz w:val="22"/>
                <w:szCs w:val="22"/>
              </w:rPr>
            </w:pPr>
            <w:r w:rsidRPr="00A14DEC">
              <w:rPr>
                <w:b/>
                <w:bCs/>
                <w:sz w:val="22"/>
                <w:szCs w:val="22"/>
              </w:rPr>
              <w:t>Case 2</w:t>
            </w:r>
          </w:p>
        </w:tc>
      </w:tr>
      <w:tr w:rsidR="002B2AD4" w:rsidRPr="00A14DEC" w14:paraId="6AD25975" w14:textId="77777777" w:rsidTr="00273064">
        <w:tc>
          <w:tcPr>
            <w:tcW w:w="2876" w:type="dxa"/>
          </w:tcPr>
          <w:p w14:paraId="172F9EBC" w14:textId="77777777" w:rsidR="002B2AD4" w:rsidRPr="00A14DEC" w:rsidRDefault="002B2AD4" w:rsidP="00273064">
            <w:pPr>
              <w:pStyle w:val="NoSpacing"/>
              <w:rPr>
                <w:sz w:val="22"/>
                <w:szCs w:val="22"/>
              </w:rPr>
            </w:pPr>
            <w:r w:rsidRPr="00A14DEC">
              <w:rPr>
                <w:sz w:val="22"/>
                <w:szCs w:val="22"/>
              </w:rPr>
              <w:t>Without any controls</w:t>
            </w:r>
          </w:p>
        </w:tc>
        <w:tc>
          <w:tcPr>
            <w:tcW w:w="2877" w:type="dxa"/>
          </w:tcPr>
          <w:p w14:paraId="18E94194" w14:textId="77777777" w:rsidR="002B2AD4" w:rsidRPr="00A14DEC" w:rsidRDefault="002B2AD4" w:rsidP="00273064">
            <w:pPr>
              <w:pStyle w:val="NoSpacing"/>
              <w:rPr>
                <w:sz w:val="22"/>
                <w:szCs w:val="22"/>
              </w:rPr>
            </w:pPr>
            <w:r w:rsidRPr="00A14DEC">
              <w:rPr>
                <w:sz w:val="22"/>
                <w:szCs w:val="22"/>
              </w:rPr>
              <w:t>Utility peak time controls</w:t>
            </w:r>
          </w:p>
        </w:tc>
        <w:tc>
          <w:tcPr>
            <w:tcW w:w="2877" w:type="dxa"/>
          </w:tcPr>
          <w:p w14:paraId="478595D8" w14:textId="77777777" w:rsidR="002B2AD4" w:rsidRPr="00A14DEC" w:rsidRDefault="002B2AD4" w:rsidP="00273064">
            <w:pPr>
              <w:pStyle w:val="NoSpacing"/>
              <w:rPr>
                <w:sz w:val="22"/>
                <w:szCs w:val="22"/>
              </w:rPr>
            </w:pPr>
            <w:r w:rsidRPr="00A14DEC">
              <w:rPr>
                <w:sz w:val="22"/>
                <w:szCs w:val="22"/>
              </w:rPr>
              <w:t>Both utility peak time and Emissions peak time controls</w:t>
            </w:r>
          </w:p>
        </w:tc>
      </w:tr>
    </w:tbl>
    <w:p w14:paraId="22BEBD1D" w14:textId="77777777" w:rsidR="002B2AD4" w:rsidRPr="00A14DEC" w:rsidRDefault="002B2AD4" w:rsidP="002B2AD4">
      <w:pPr>
        <w:spacing w:before="0" w:line="240" w:lineRule="auto"/>
        <w:ind w:firstLine="0"/>
        <w:jc w:val="left"/>
        <w:rPr>
          <w:b/>
          <w:bCs/>
        </w:rPr>
      </w:pPr>
    </w:p>
    <w:p w14:paraId="2D9B5BF7" w14:textId="77777777" w:rsidR="002B2AD4" w:rsidRPr="002B2AD4" w:rsidRDefault="002B2AD4" w:rsidP="002B2AD4"/>
    <w:p w14:paraId="02B5AB31" w14:textId="77777777" w:rsidR="00B17E5F" w:rsidRDefault="00B17E5F">
      <w:pPr>
        <w:spacing w:before="0" w:line="240" w:lineRule="auto"/>
        <w:ind w:firstLine="0"/>
        <w:jc w:val="left"/>
        <w:rPr>
          <w:rFonts w:cs="Times New Roman"/>
        </w:rPr>
      </w:pPr>
      <w:r>
        <w:rPr>
          <w:rFonts w:cs="Times New Roman"/>
        </w:rPr>
        <w:br w:type="page"/>
      </w:r>
    </w:p>
    <w:p w14:paraId="05DF4DA0" w14:textId="77777777" w:rsidR="00B17E5F" w:rsidRDefault="00B17E5F" w:rsidP="0055422F">
      <w:pPr>
        <w:rPr>
          <w:rFonts w:cs="Times New Roman"/>
        </w:rPr>
      </w:pPr>
      <w:r>
        <w:rPr>
          <w:rFonts w:cs="Times New Roman"/>
        </w:rPr>
        <w:t>The HP is off for cooling standby mode.</w:t>
      </w:r>
    </w:p>
    <w:p w14:paraId="62B1ABEB" w14:textId="0B7F2905" w:rsidR="00B17E5F" w:rsidRPr="006A6B3E" w:rsidRDefault="00000000" w:rsidP="00AE52F1">
      <w:pPr>
        <w:jc w:val="center"/>
        <w:rPr>
          <w:rFonts w:cs="Times New Roman"/>
        </w:rPr>
      </w:pP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ahu</m:t>
            </m:r>
          </m:sub>
        </m:sSub>
        <m:r>
          <w:rPr>
            <w:rFonts w:ascii="Cambria Math" w:hAnsi="Cambria Math" w:cs="Times New Roman"/>
          </w:rPr>
          <m:t>=0</m:t>
        </m:r>
      </m:oMath>
      <w:r w:rsidR="00AE52F1">
        <w:rPr>
          <w:rFonts w:cs="Times New Roman"/>
        </w:rPr>
        <w:tab/>
      </w:r>
      <w:r w:rsidR="00AE52F1">
        <w:rPr>
          <w:rFonts w:cs="Times New Roman"/>
        </w:rPr>
        <w:tab/>
      </w:r>
      <w:r w:rsidR="00AE52F1">
        <w:rPr>
          <w:rFonts w:cs="Times New Roman"/>
        </w:rPr>
        <w:tab/>
      </w:r>
      <w:r w:rsidR="00AE52F1">
        <w:rPr>
          <w:rFonts w:cs="Times New Roman"/>
        </w:rPr>
        <w:tab/>
      </w:r>
      <w:r w:rsidR="00AE52F1">
        <w:rPr>
          <w:rFonts w:cs="Times New Roman"/>
        </w:rPr>
        <w:tab/>
      </w:r>
      <w:r w:rsidR="00AE52F1">
        <w:rPr>
          <w:rFonts w:cs="Times New Roman"/>
        </w:rPr>
        <w:tab/>
        <w:t>(22)</w:t>
      </w:r>
    </w:p>
    <w:p w14:paraId="551D4A6F" w14:textId="5059437E" w:rsidR="00B17E5F" w:rsidRPr="006A6B3E" w:rsidRDefault="00000000" w:rsidP="00AE52F1">
      <w:pPr>
        <w:jc w:val="center"/>
        <w:rPr>
          <w:rFonts w:cs="Times New Roman"/>
        </w:rPr>
      </w:pP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pcm</m:t>
            </m:r>
          </m:sub>
        </m:sSub>
        <m:r>
          <w:rPr>
            <w:rFonts w:ascii="Cambria Math" w:hAnsi="Cambria Math" w:cs="Times New Roman"/>
          </w:rPr>
          <m:t>= 0</m:t>
        </m:r>
      </m:oMath>
      <w:r w:rsidR="00AE52F1">
        <w:rPr>
          <w:rFonts w:cs="Times New Roman"/>
        </w:rPr>
        <w:tab/>
      </w:r>
      <w:r w:rsidR="00AE52F1">
        <w:rPr>
          <w:rFonts w:cs="Times New Roman"/>
        </w:rPr>
        <w:tab/>
      </w:r>
      <w:r w:rsidR="00AE52F1">
        <w:rPr>
          <w:rFonts w:cs="Times New Roman"/>
        </w:rPr>
        <w:tab/>
      </w:r>
      <w:r w:rsidR="00AE52F1">
        <w:rPr>
          <w:rFonts w:cs="Times New Roman"/>
        </w:rPr>
        <w:tab/>
      </w:r>
      <w:r w:rsidR="00AE52F1">
        <w:rPr>
          <w:rFonts w:cs="Times New Roman"/>
        </w:rPr>
        <w:tab/>
        <w:t>(23)</w:t>
      </w:r>
    </w:p>
    <w:p w14:paraId="5FBD6C06" w14:textId="77777777" w:rsidR="00B17E5F" w:rsidRDefault="00B17E5F" w:rsidP="0055422F">
      <w:pPr>
        <w:rPr>
          <w:rFonts w:cs="Times New Roman"/>
        </w:rPr>
      </w:pPr>
      <w:r>
        <w:rPr>
          <w:rFonts w:cs="Times New Roman"/>
        </w:rPr>
        <w:t>In the cooling charging mode, TES is recharged and evaporator heat is removed from TES. Condenser is coupled to ambient and evaporator is coupled to PCM-TES. State of charge and PCM storage capacity are defined and rewritten at each time step.</w:t>
      </w:r>
    </w:p>
    <w:p w14:paraId="00E60B02" w14:textId="1FD4C3E5" w:rsidR="00B17E5F" w:rsidRPr="006A6B3E" w:rsidRDefault="00000000" w:rsidP="00AE52F1">
      <w:pPr>
        <w:jc w:val="center"/>
        <w:rPr>
          <w:rFonts w:cs="Times New Roman"/>
        </w:rPr>
      </w:pP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evap</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pcm</m:t>
            </m:r>
          </m:sub>
        </m:sSub>
        <m:r>
          <w:rPr>
            <w:rFonts w:ascii="Cambria Math" w:hAnsi="Cambria Math" w:cs="Times New Roman"/>
          </w:rPr>
          <m:t>-AT</m:t>
        </m:r>
      </m:oMath>
      <w:r w:rsidR="00AE52F1">
        <w:rPr>
          <w:rFonts w:cs="Times New Roman"/>
        </w:rPr>
        <w:tab/>
      </w:r>
      <w:r w:rsidR="00AE52F1">
        <w:rPr>
          <w:rFonts w:cs="Times New Roman"/>
        </w:rPr>
        <w:tab/>
      </w:r>
      <w:r w:rsidR="00AE52F1">
        <w:rPr>
          <w:rFonts w:cs="Times New Roman"/>
        </w:rPr>
        <w:tab/>
      </w:r>
      <w:r w:rsidR="00AE52F1">
        <w:rPr>
          <w:rFonts w:cs="Times New Roman"/>
        </w:rPr>
        <w:tab/>
      </w:r>
      <w:r w:rsidR="00AE52F1">
        <w:rPr>
          <w:rFonts w:cs="Times New Roman"/>
        </w:rPr>
        <w:tab/>
        <w:t>(24)</w:t>
      </w:r>
    </w:p>
    <w:p w14:paraId="144103A0" w14:textId="4D80BEA1" w:rsidR="00B17E5F" w:rsidRPr="006A6B3E" w:rsidRDefault="00000000" w:rsidP="00AE52F1">
      <w:pPr>
        <w:jc w:val="center"/>
        <w:rPr>
          <w:rFonts w:cs="Times New Roman"/>
        </w:rPr>
      </w:pP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cond</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amb</m:t>
            </m:r>
          </m:sub>
        </m:sSub>
        <m:r>
          <w:rPr>
            <w:rFonts w:ascii="Cambria Math" w:hAnsi="Cambria Math" w:cs="Times New Roman"/>
          </w:rPr>
          <m:t>+AT</m:t>
        </m:r>
      </m:oMath>
      <w:r w:rsidR="00AE52F1">
        <w:rPr>
          <w:rFonts w:cs="Times New Roman"/>
        </w:rPr>
        <w:tab/>
      </w:r>
      <w:r w:rsidR="00AE52F1">
        <w:rPr>
          <w:rFonts w:cs="Times New Roman"/>
        </w:rPr>
        <w:tab/>
      </w:r>
      <w:r w:rsidR="00AE52F1">
        <w:rPr>
          <w:rFonts w:cs="Times New Roman"/>
        </w:rPr>
        <w:tab/>
      </w:r>
      <w:r w:rsidR="00AE52F1">
        <w:rPr>
          <w:rFonts w:cs="Times New Roman"/>
        </w:rPr>
        <w:tab/>
      </w:r>
      <w:r w:rsidR="00AE52F1">
        <w:rPr>
          <w:rFonts w:cs="Times New Roman"/>
        </w:rPr>
        <w:tab/>
        <w:t>(25)</w:t>
      </w:r>
    </w:p>
    <w:p w14:paraId="1D34D7F0" w14:textId="5607914C" w:rsidR="00B17E5F" w:rsidRPr="006A6B3E" w:rsidRDefault="00000000" w:rsidP="00AE52F1">
      <w:pPr>
        <w:jc w:val="center"/>
        <w:rPr>
          <w:rFonts w:cs="Times New Roman"/>
        </w:rPr>
      </w:pP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ahu</m:t>
            </m:r>
          </m:sub>
        </m:sSub>
        <m:r>
          <w:rPr>
            <w:rFonts w:ascii="Cambria Math" w:hAnsi="Cambria Math" w:cs="Times New Roman"/>
          </w:rPr>
          <m:t>=0</m:t>
        </m:r>
      </m:oMath>
      <w:r w:rsidR="00AE52F1">
        <w:rPr>
          <w:rFonts w:cs="Times New Roman"/>
        </w:rPr>
        <w:tab/>
      </w:r>
      <w:r w:rsidR="00AE52F1">
        <w:rPr>
          <w:rFonts w:cs="Times New Roman"/>
        </w:rPr>
        <w:tab/>
      </w:r>
      <w:r w:rsidR="00AE52F1">
        <w:rPr>
          <w:rFonts w:cs="Times New Roman"/>
        </w:rPr>
        <w:tab/>
      </w:r>
      <w:r w:rsidR="00AE52F1">
        <w:rPr>
          <w:rFonts w:cs="Times New Roman"/>
        </w:rPr>
        <w:tab/>
      </w:r>
      <w:r w:rsidR="00AE52F1">
        <w:rPr>
          <w:rFonts w:cs="Times New Roman"/>
        </w:rPr>
        <w:tab/>
      </w:r>
      <w:r w:rsidR="00AE52F1">
        <w:rPr>
          <w:rFonts w:cs="Times New Roman"/>
        </w:rPr>
        <w:tab/>
      </w:r>
      <w:r w:rsidR="00AE52F1">
        <w:rPr>
          <w:rFonts w:cs="Times New Roman"/>
        </w:rPr>
        <w:tab/>
        <w:t>(26)</w:t>
      </w:r>
    </w:p>
    <w:p w14:paraId="0F4CC3C2" w14:textId="560A968A" w:rsidR="00B17E5F" w:rsidRPr="006A6B3E" w:rsidRDefault="00000000" w:rsidP="00AE52F1">
      <w:pPr>
        <w:jc w:val="center"/>
        <w:rPr>
          <w:rFonts w:cs="Times New Roman"/>
        </w:rPr>
      </w:pP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pcm</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evap</m:t>
            </m:r>
          </m:sub>
        </m:sSub>
      </m:oMath>
      <w:r w:rsidR="00AE52F1">
        <w:rPr>
          <w:rFonts w:cs="Times New Roman"/>
        </w:rPr>
        <w:tab/>
      </w:r>
      <w:r w:rsidR="00AE52F1">
        <w:rPr>
          <w:rFonts w:cs="Times New Roman"/>
        </w:rPr>
        <w:tab/>
      </w:r>
      <w:r w:rsidR="00AE52F1">
        <w:rPr>
          <w:rFonts w:cs="Times New Roman"/>
        </w:rPr>
        <w:tab/>
      </w:r>
      <w:r w:rsidR="00AE52F1">
        <w:rPr>
          <w:rFonts w:cs="Times New Roman"/>
        </w:rPr>
        <w:tab/>
      </w:r>
      <w:r w:rsidR="00AE52F1">
        <w:rPr>
          <w:rFonts w:cs="Times New Roman"/>
        </w:rPr>
        <w:tab/>
      </w:r>
      <w:r w:rsidR="00AE52F1">
        <w:rPr>
          <w:rFonts w:cs="Times New Roman"/>
        </w:rPr>
        <w:tab/>
        <w:t>(27)</w:t>
      </w:r>
    </w:p>
    <w:p w14:paraId="0EFE8FBB" w14:textId="2B7E256A" w:rsidR="00B17E5F" w:rsidRPr="006A6B3E" w:rsidRDefault="00000000" w:rsidP="00AE52F1">
      <w:pPr>
        <w:jc w:val="center"/>
        <w:rPr>
          <w:rFonts w:cs="Times New Roman"/>
        </w:rPr>
      </w:pPr>
      <m:oMath>
        <m:sSub>
          <m:sSubPr>
            <m:ctrlPr>
              <w:rPr>
                <w:rFonts w:ascii="Cambria Math" w:hAnsi="Cambria Math" w:cs="Times New Roman"/>
                <w:i/>
              </w:rPr>
            </m:ctrlPr>
          </m:sSubPr>
          <m:e>
            <m:r>
              <w:rPr>
                <w:rFonts w:ascii="Cambria Math" w:hAnsi="Cambria Math" w:cs="Times New Roman"/>
              </w:rPr>
              <m:t>SOC</m:t>
            </m:r>
          </m:e>
          <m:sub>
            <m:r>
              <w:rPr>
                <w:rFonts w:ascii="Cambria Math" w:hAnsi="Cambria Math" w:cs="Times New Roman"/>
              </w:rPr>
              <m:t>@t=i+1</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SOC</m:t>
            </m:r>
          </m:e>
          <m:sub>
            <m:r>
              <w:rPr>
                <w:rFonts w:ascii="Cambria Math" w:hAnsi="Cambria Math" w:cs="Times New Roman"/>
              </w:rPr>
              <m:t>@t=i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Q</m:t>
            </m:r>
          </m:e>
          <m:sub>
            <m:sSub>
              <m:sSubPr>
                <m:ctrlPr>
                  <w:rPr>
                    <w:rFonts w:ascii="Cambria Math" w:hAnsi="Cambria Math" w:cs="Times New Roman"/>
                    <w:i/>
                  </w:rPr>
                </m:ctrlPr>
              </m:sSubPr>
              <m:e>
                <m:r>
                  <w:rPr>
                    <w:rFonts w:ascii="Cambria Math" w:hAnsi="Cambria Math" w:cs="Times New Roman"/>
                  </w:rPr>
                  <m:t>evap</m:t>
                </m:r>
              </m:e>
              <m:sub>
                <m:r>
                  <w:rPr>
                    <w:rFonts w:ascii="Cambria Math" w:hAnsi="Cambria Math" w:cs="Times New Roman"/>
                  </w:rPr>
                  <m:t>@t=i</m:t>
                </m:r>
              </m:sub>
            </m:sSub>
          </m:sub>
        </m:sSub>
        <m:r>
          <w:rPr>
            <w:rFonts w:ascii="Cambria Math" w:hAnsi="Cambria Math" w:cs="Times New Roman"/>
          </w:rPr>
          <m:t>*(∆T)</m:t>
        </m:r>
      </m:oMath>
      <w:r w:rsidR="00AE52F1">
        <w:rPr>
          <w:rFonts w:cs="Times New Roman"/>
        </w:rPr>
        <w:tab/>
      </w:r>
      <w:r w:rsidR="00AE52F1">
        <w:rPr>
          <w:rFonts w:cs="Times New Roman"/>
        </w:rPr>
        <w:tab/>
        <w:t>(28)</w:t>
      </w:r>
    </w:p>
    <w:p w14:paraId="56DCB523" w14:textId="3DF0FAEC" w:rsidR="00B17E5F" w:rsidRPr="006A6B3E" w:rsidRDefault="00000000" w:rsidP="00AE52F1">
      <w:pPr>
        <w:ind w:firstLine="0"/>
        <w:jc w:val="center"/>
        <w:rPr>
          <w:rFonts w:cs="Times New Roman"/>
        </w:rPr>
      </w:pPr>
      <m:oMath>
        <m:sSub>
          <m:sSubPr>
            <m:ctrlPr>
              <w:rPr>
                <w:rFonts w:ascii="Cambria Math" w:hAnsi="Cambria Math" w:cs="Times New Roman"/>
                <w:i/>
                <w:iCs/>
              </w:rPr>
            </m:ctrlPr>
          </m:sSubPr>
          <m:e>
            <m:r>
              <w:rPr>
                <w:rFonts w:ascii="Cambria Math" w:hAnsi="Cambria Math" w:cs="Times New Roman"/>
              </w:rPr>
              <m:t>E</m:t>
            </m:r>
          </m:e>
          <m:sub>
            <m:r>
              <w:rPr>
                <w:rFonts w:ascii="Cambria Math" w:hAnsi="Cambria Math" w:cs="Times New Roman"/>
              </w:rPr>
              <m:t>pcm</m:t>
            </m:r>
          </m:sub>
        </m:sSub>
        <m:r>
          <w:rPr>
            <w:rFonts w:ascii="Cambria Math" w:hAnsi="Cambria Math" w:cs="Times New Roman"/>
          </w:rPr>
          <m:t>= </m:t>
        </m:r>
        <m:sSub>
          <m:sSubPr>
            <m:ctrlPr>
              <w:rPr>
                <w:rFonts w:ascii="Cambria Math" w:hAnsi="Cambria Math" w:cs="Times New Roman"/>
                <w:i/>
                <w:iCs/>
              </w:rPr>
            </m:ctrlPr>
          </m:sSubPr>
          <m:e>
            <m:r>
              <w:rPr>
                <w:rFonts w:ascii="Cambria Math" w:hAnsi="Cambria Math" w:cs="Times New Roman"/>
              </w:rPr>
              <m:t>E</m:t>
            </m:r>
          </m:e>
          <m:sub>
            <m:r>
              <w:rPr>
                <w:rFonts w:ascii="Cambria Math" w:hAnsi="Cambria Math" w:cs="Times New Roman"/>
              </w:rPr>
              <m:t>pcm(i-1)</m:t>
            </m:r>
          </m:sub>
        </m:sSub>
        <m:r>
          <w:rPr>
            <w:rFonts w:ascii="Cambria Math" w:hAnsi="Cambria Math" w:cs="Times New Roman"/>
          </w:rPr>
          <m:t>+ </m:t>
        </m:r>
        <m:sSub>
          <m:sSubPr>
            <m:ctrlPr>
              <w:rPr>
                <w:rFonts w:ascii="Cambria Math" w:hAnsi="Cambria Math" w:cs="Times New Roman"/>
                <w:i/>
                <w:iCs/>
              </w:rPr>
            </m:ctrlPr>
          </m:sSubPr>
          <m:e>
            <m:r>
              <w:rPr>
                <w:rFonts w:ascii="Cambria Math" w:hAnsi="Cambria Math" w:cs="Times New Roman"/>
              </w:rPr>
              <m:t>Q</m:t>
            </m:r>
          </m:e>
          <m:sub>
            <m:r>
              <w:rPr>
                <w:rFonts w:ascii="Cambria Math" w:hAnsi="Cambria Math" w:cs="Times New Roman"/>
              </w:rPr>
              <m:t>pcm</m:t>
            </m:r>
          </m:sub>
        </m:sSub>
      </m:oMath>
      <w:r w:rsidR="00AE52F1">
        <w:rPr>
          <w:rFonts w:cs="Times New Roman"/>
          <w:iCs/>
        </w:rPr>
        <w:tab/>
      </w:r>
      <w:r w:rsidR="00AE52F1">
        <w:rPr>
          <w:rFonts w:cs="Times New Roman"/>
          <w:iCs/>
        </w:rPr>
        <w:tab/>
      </w:r>
      <w:r w:rsidR="00AE52F1">
        <w:rPr>
          <w:rFonts w:cs="Times New Roman"/>
          <w:iCs/>
        </w:rPr>
        <w:tab/>
      </w:r>
      <w:r w:rsidR="00AE52F1">
        <w:rPr>
          <w:rFonts w:cs="Times New Roman"/>
          <w:iCs/>
        </w:rPr>
        <w:tab/>
      </w:r>
      <w:r w:rsidR="00D910A9">
        <w:rPr>
          <w:rFonts w:cs="Times New Roman"/>
          <w:iCs/>
        </w:rPr>
        <w:tab/>
      </w:r>
      <w:r w:rsidR="00AE52F1">
        <w:rPr>
          <w:rFonts w:cs="Times New Roman"/>
          <w:iCs/>
        </w:rPr>
        <w:t>(29)</w:t>
      </w:r>
    </w:p>
    <w:p w14:paraId="6C1DEABF" w14:textId="77777777" w:rsidR="00B17E5F" w:rsidRDefault="00B17E5F" w:rsidP="0055422F">
      <w:pPr>
        <w:rPr>
          <w:rFonts w:cs="Times New Roman"/>
        </w:rPr>
      </w:pPr>
      <w:r>
        <w:rPr>
          <w:rFonts w:cs="Times New Roman"/>
        </w:rPr>
        <w:t xml:space="preserve">In the cooling discharging mode, TES is used to cool the building via HP and condenser heat is added to TES. Evaporator is coupled to building and condenser is coupled to PCM-TES in this case. </w:t>
      </w:r>
    </w:p>
    <w:p w14:paraId="52C3A09D" w14:textId="547290BC" w:rsidR="00B17E5F" w:rsidRPr="006A6B3E" w:rsidRDefault="00000000" w:rsidP="00385A01">
      <w:pPr>
        <w:jc w:val="center"/>
        <w:rPr>
          <w:rFonts w:cs="Times New Roman"/>
        </w:rPr>
      </w:pP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evap</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indoor</m:t>
            </m:r>
          </m:sub>
        </m:sSub>
        <m:r>
          <w:rPr>
            <w:rFonts w:ascii="Cambria Math" w:hAnsi="Cambria Math" w:cs="Times New Roman"/>
          </w:rPr>
          <m:t>-AT</m:t>
        </m:r>
      </m:oMath>
      <w:r w:rsidR="00385A01">
        <w:rPr>
          <w:rFonts w:cs="Times New Roman"/>
        </w:rPr>
        <w:tab/>
      </w:r>
      <w:r w:rsidR="00385A01">
        <w:rPr>
          <w:rFonts w:cs="Times New Roman"/>
        </w:rPr>
        <w:tab/>
      </w:r>
      <w:r w:rsidR="00385A01">
        <w:rPr>
          <w:rFonts w:cs="Times New Roman"/>
        </w:rPr>
        <w:tab/>
      </w:r>
      <w:r w:rsidR="00385A01">
        <w:rPr>
          <w:rFonts w:cs="Times New Roman"/>
        </w:rPr>
        <w:tab/>
      </w:r>
      <w:r w:rsidR="00385A01">
        <w:rPr>
          <w:rFonts w:cs="Times New Roman"/>
        </w:rPr>
        <w:tab/>
        <w:t>(30)</w:t>
      </w:r>
    </w:p>
    <w:p w14:paraId="35F5915C" w14:textId="6F04EED6" w:rsidR="00B17E5F" w:rsidRPr="006A6B3E" w:rsidRDefault="00000000" w:rsidP="00385A01">
      <w:pPr>
        <w:jc w:val="center"/>
        <w:rPr>
          <w:rFonts w:cs="Times New Roman"/>
        </w:rPr>
      </w:pP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cond</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pcm</m:t>
            </m:r>
          </m:sub>
        </m:sSub>
        <m:r>
          <w:rPr>
            <w:rFonts w:ascii="Cambria Math" w:hAnsi="Cambria Math" w:cs="Times New Roman"/>
          </w:rPr>
          <m:t>+AT</m:t>
        </m:r>
      </m:oMath>
      <w:r w:rsidR="00385A01">
        <w:rPr>
          <w:rFonts w:cs="Times New Roman"/>
        </w:rPr>
        <w:tab/>
      </w:r>
      <w:r w:rsidR="00385A01">
        <w:rPr>
          <w:rFonts w:cs="Times New Roman"/>
        </w:rPr>
        <w:tab/>
      </w:r>
      <w:r w:rsidR="00385A01">
        <w:rPr>
          <w:rFonts w:cs="Times New Roman"/>
        </w:rPr>
        <w:tab/>
      </w:r>
      <w:r w:rsidR="00385A01">
        <w:rPr>
          <w:rFonts w:cs="Times New Roman"/>
        </w:rPr>
        <w:tab/>
      </w:r>
      <w:r w:rsidR="00385A01">
        <w:rPr>
          <w:rFonts w:cs="Times New Roman"/>
        </w:rPr>
        <w:tab/>
        <w:t>(31)</w:t>
      </w:r>
    </w:p>
    <w:p w14:paraId="28D64699" w14:textId="590DD647" w:rsidR="00B17E5F" w:rsidRPr="006A6B3E" w:rsidRDefault="00000000" w:rsidP="00385A01">
      <w:pPr>
        <w:jc w:val="center"/>
        <w:rPr>
          <w:rFonts w:cs="Times New Roman"/>
        </w:rPr>
      </w:pP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ahu</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evap</m:t>
            </m:r>
          </m:sub>
        </m:sSub>
      </m:oMath>
      <w:r w:rsidR="00385A01">
        <w:rPr>
          <w:rFonts w:cs="Times New Roman"/>
        </w:rPr>
        <w:tab/>
      </w:r>
      <w:r w:rsidR="00385A01">
        <w:rPr>
          <w:rFonts w:cs="Times New Roman"/>
        </w:rPr>
        <w:tab/>
      </w:r>
      <w:r w:rsidR="00385A01">
        <w:rPr>
          <w:rFonts w:cs="Times New Roman"/>
        </w:rPr>
        <w:tab/>
      </w:r>
      <w:r w:rsidR="00385A01">
        <w:rPr>
          <w:rFonts w:cs="Times New Roman"/>
        </w:rPr>
        <w:tab/>
      </w:r>
      <w:r w:rsidR="00385A01">
        <w:rPr>
          <w:rFonts w:cs="Times New Roman"/>
        </w:rPr>
        <w:tab/>
      </w:r>
      <w:r w:rsidR="00385A01">
        <w:rPr>
          <w:rFonts w:cs="Times New Roman"/>
        </w:rPr>
        <w:tab/>
        <w:t>(32)</w:t>
      </w:r>
    </w:p>
    <w:p w14:paraId="3F5F1CB2" w14:textId="3430C964" w:rsidR="00B17E5F" w:rsidRPr="006A6B3E" w:rsidRDefault="00000000" w:rsidP="00385A01">
      <w:pPr>
        <w:jc w:val="center"/>
        <w:rPr>
          <w:rFonts w:cs="Times New Roman"/>
        </w:rPr>
      </w:pP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pcm</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cond</m:t>
            </m:r>
          </m:sub>
        </m:sSub>
      </m:oMath>
      <w:r w:rsidR="00385A01">
        <w:rPr>
          <w:rFonts w:cs="Times New Roman"/>
        </w:rPr>
        <w:tab/>
      </w:r>
      <w:r w:rsidR="00385A01">
        <w:rPr>
          <w:rFonts w:cs="Times New Roman"/>
        </w:rPr>
        <w:tab/>
      </w:r>
      <w:r w:rsidR="00385A01">
        <w:rPr>
          <w:rFonts w:cs="Times New Roman"/>
        </w:rPr>
        <w:tab/>
      </w:r>
      <w:r w:rsidR="00385A01">
        <w:rPr>
          <w:rFonts w:cs="Times New Roman"/>
        </w:rPr>
        <w:tab/>
      </w:r>
      <w:r w:rsidR="00385A01">
        <w:rPr>
          <w:rFonts w:cs="Times New Roman"/>
        </w:rPr>
        <w:tab/>
      </w:r>
      <w:r w:rsidR="00385A01">
        <w:rPr>
          <w:rFonts w:cs="Times New Roman"/>
        </w:rPr>
        <w:tab/>
        <w:t>(33)</w:t>
      </w:r>
    </w:p>
    <w:p w14:paraId="3EDCAC96" w14:textId="1195760A" w:rsidR="00B17E5F" w:rsidRPr="006A6B3E" w:rsidRDefault="00000000" w:rsidP="00385A01">
      <w:pPr>
        <w:jc w:val="center"/>
        <w:rPr>
          <w:rFonts w:cs="Times New Roman"/>
        </w:rPr>
      </w:pPr>
      <m:oMath>
        <m:sSub>
          <m:sSubPr>
            <m:ctrlPr>
              <w:rPr>
                <w:rFonts w:ascii="Cambria Math" w:hAnsi="Cambria Math" w:cs="Times New Roman"/>
                <w:i/>
              </w:rPr>
            </m:ctrlPr>
          </m:sSubPr>
          <m:e>
            <m:r>
              <w:rPr>
                <w:rFonts w:ascii="Cambria Math" w:hAnsi="Cambria Math" w:cs="Times New Roman"/>
              </w:rPr>
              <m:t>SOC</m:t>
            </m:r>
          </m:e>
          <m:sub>
            <m:r>
              <w:rPr>
                <w:rFonts w:ascii="Cambria Math" w:hAnsi="Cambria Math" w:cs="Times New Roman"/>
              </w:rPr>
              <m:t>@t=i+1</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SOC</m:t>
            </m:r>
          </m:e>
          <m:sub>
            <m:r>
              <w:rPr>
                <w:rFonts w:ascii="Cambria Math" w:hAnsi="Cambria Math" w:cs="Times New Roman"/>
              </w:rPr>
              <m:t>@t=i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Q</m:t>
            </m:r>
          </m:e>
          <m:sub>
            <m:sSub>
              <m:sSubPr>
                <m:ctrlPr>
                  <w:rPr>
                    <w:rFonts w:ascii="Cambria Math" w:hAnsi="Cambria Math" w:cs="Times New Roman"/>
                    <w:i/>
                  </w:rPr>
                </m:ctrlPr>
              </m:sSubPr>
              <m:e>
                <m:r>
                  <w:rPr>
                    <w:rFonts w:ascii="Cambria Math" w:hAnsi="Cambria Math" w:cs="Times New Roman"/>
                  </w:rPr>
                  <m:t>cond</m:t>
                </m:r>
              </m:e>
              <m:sub>
                <m:r>
                  <w:rPr>
                    <w:rFonts w:ascii="Cambria Math" w:hAnsi="Cambria Math" w:cs="Times New Roman"/>
                  </w:rPr>
                  <m:t>@t=i</m:t>
                </m:r>
              </m:sub>
            </m:sSub>
          </m:sub>
        </m:sSub>
        <m:r>
          <w:rPr>
            <w:rFonts w:ascii="Cambria Math" w:hAnsi="Cambria Math" w:cs="Times New Roman"/>
          </w:rPr>
          <m:t>*(∆T)</m:t>
        </m:r>
      </m:oMath>
      <w:r w:rsidR="00385A01">
        <w:rPr>
          <w:rFonts w:cs="Times New Roman"/>
        </w:rPr>
        <w:tab/>
      </w:r>
      <w:r w:rsidR="00385A01">
        <w:rPr>
          <w:rFonts w:cs="Times New Roman"/>
        </w:rPr>
        <w:tab/>
        <w:t>(34)</w:t>
      </w:r>
    </w:p>
    <w:p w14:paraId="32D5BAC1" w14:textId="07B8BF90" w:rsidR="00B17E5F" w:rsidRPr="006A6B3E" w:rsidRDefault="00000000" w:rsidP="00385A01">
      <w:pPr>
        <w:ind w:firstLine="0"/>
        <w:jc w:val="center"/>
        <w:rPr>
          <w:rFonts w:cs="Times New Roman"/>
          <w:iCs/>
        </w:rPr>
      </w:pPr>
      <m:oMath>
        <m:sSub>
          <m:sSubPr>
            <m:ctrlPr>
              <w:rPr>
                <w:rFonts w:ascii="Cambria Math" w:hAnsi="Cambria Math" w:cs="Times New Roman"/>
                <w:i/>
                <w:iCs/>
              </w:rPr>
            </m:ctrlPr>
          </m:sSubPr>
          <m:e>
            <m:r>
              <w:rPr>
                <w:rFonts w:ascii="Cambria Math" w:hAnsi="Cambria Math" w:cs="Times New Roman"/>
              </w:rPr>
              <m:t>E</m:t>
            </m:r>
          </m:e>
          <m:sub>
            <m:r>
              <w:rPr>
                <w:rFonts w:ascii="Cambria Math" w:hAnsi="Cambria Math" w:cs="Times New Roman"/>
              </w:rPr>
              <m:t>pcm</m:t>
            </m:r>
          </m:sub>
        </m:sSub>
        <m:r>
          <w:rPr>
            <w:rFonts w:ascii="Cambria Math" w:hAnsi="Cambria Math" w:cs="Times New Roman"/>
          </w:rPr>
          <m:t>(t)= </m:t>
        </m:r>
        <m:sSub>
          <m:sSubPr>
            <m:ctrlPr>
              <w:rPr>
                <w:rFonts w:ascii="Cambria Math" w:hAnsi="Cambria Math" w:cs="Times New Roman"/>
                <w:i/>
                <w:iCs/>
              </w:rPr>
            </m:ctrlPr>
          </m:sSubPr>
          <m:e>
            <m:r>
              <w:rPr>
                <w:rFonts w:ascii="Cambria Math" w:hAnsi="Cambria Math" w:cs="Times New Roman"/>
              </w:rPr>
              <m:t>E</m:t>
            </m:r>
          </m:e>
          <m:sub>
            <m:r>
              <w:rPr>
                <w:rFonts w:ascii="Cambria Math" w:hAnsi="Cambria Math" w:cs="Times New Roman"/>
              </w:rPr>
              <m:t>pcm(t-1)</m:t>
            </m:r>
          </m:sub>
        </m:sSub>
        <m:r>
          <w:rPr>
            <w:rFonts w:ascii="Cambria Math" w:hAnsi="Cambria Math" w:cs="Times New Roman"/>
          </w:rPr>
          <m:t> - </m:t>
        </m:r>
        <m:sSub>
          <m:sSubPr>
            <m:ctrlPr>
              <w:rPr>
                <w:rFonts w:ascii="Cambria Math" w:hAnsi="Cambria Math" w:cs="Times New Roman"/>
                <w:i/>
                <w:iCs/>
              </w:rPr>
            </m:ctrlPr>
          </m:sSubPr>
          <m:e>
            <m:r>
              <w:rPr>
                <w:rFonts w:ascii="Cambria Math" w:hAnsi="Cambria Math" w:cs="Times New Roman"/>
              </w:rPr>
              <m:t>Q</m:t>
            </m:r>
          </m:e>
          <m:sub>
            <m:r>
              <w:rPr>
                <w:rFonts w:ascii="Cambria Math" w:hAnsi="Cambria Math" w:cs="Times New Roman"/>
              </w:rPr>
              <m:t>pcm</m:t>
            </m:r>
          </m:sub>
        </m:sSub>
      </m:oMath>
      <w:r w:rsidR="00385A01">
        <w:rPr>
          <w:rFonts w:cs="Times New Roman"/>
          <w:iCs/>
        </w:rPr>
        <w:tab/>
      </w:r>
      <w:r w:rsidR="00385A01">
        <w:rPr>
          <w:rFonts w:cs="Times New Roman"/>
          <w:iCs/>
        </w:rPr>
        <w:tab/>
      </w:r>
      <w:r w:rsidR="00385A01">
        <w:rPr>
          <w:rFonts w:cs="Times New Roman"/>
          <w:iCs/>
        </w:rPr>
        <w:tab/>
      </w:r>
      <w:r w:rsidR="00385A01">
        <w:rPr>
          <w:rFonts w:cs="Times New Roman"/>
          <w:iCs/>
        </w:rPr>
        <w:tab/>
        <w:t>(35)</w:t>
      </w:r>
    </w:p>
    <w:p w14:paraId="4C6A43CC" w14:textId="77777777" w:rsidR="00B17E5F" w:rsidRDefault="00B17E5F" w:rsidP="00113B14">
      <w:pPr>
        <w:rPr>
          <w:rFonts w:cs="Times New Roman"/>
        </w:rPr>
      </w:pPr>
      <w:r>
        <w:rPr>
          <w:rFonts w:cs="Times New Roman"/>
        </w:rPr>
        <w:t>In normal heating mode, evaporator is coupled to ambient and the condenser is coupled to building. Since TES is not used in this case, Q</w:t>
      </w:r>
      <w:r w:rsidRPr="00113B14">
        <w:rPr>
          <w:rFonts w:cs="Times New Roman"/>
          <w:vertAlign w:val="subscript"/>
        </w:rPr>
        <w:t>pcm</w:t>
      </w:r>
      <w:r>
        <w:rPr>
          <w:rFonts w:cs="Times New Roman"/>
        </w:rPr>
        <w:t xml:space="preserve"> is 0.</w:t>
      </w:r>
    </w:p>
    <w:p w14:paraId="23B7C01A" w14:textId="6DB76854" w:rsidR="00B17E5F" w:rsidRPr="006A6B3E" w:rsidRDefault="00000000" w:rsidP="00C06C34">
      <w:pPr>
        <w:jc w:val="center"/>
        <w:rPr>
          <w:rFonts w:cs="Times New Roman"/>
        </w:rPr>
      </w:pP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evap</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amb</m:t>
            </m:r>
          </m:sub>
        </m:sSub>
        <m:r>
          <w:rPr>
            <w:rFonts w:ascii="Cambria Math" w:hAnsi="Cambria Math" w:cs="Times New Roman"/>
          </w:rPr>
          <m:t>-AT</m:t>
        </m:r>
      </m:oMath>
      <w:r w:rsidR="00385A01">
        <w:rPr>
          <w:rFonts w:cs="Times New Roman"/>
        </w:rPr>
        <w:tab/>
      </w:r>
      <w:r w:rsidR="00385A01">
        <w:rPr>
          <w:rFonts w:cs="Times New Roman"/>
        </w:rPr>
        <w:tab/>
      </w:r>
      <w:r w:rsidR="00C06C34">
        <w:rPr>
          <w:rFonts w:cs="Times New Roman"/>
        </w:rPr>
        <w:tab/>
      </w:r>
      <w:r w:rsidR="00C06C34">
        <w:rPr>
          <w:rFonts w:cs="Times New Roman"/>
        </w:rPr>
        <w:tab/>
      </w:r>
      <w:r w:rsidR="00385A01">
        <w:rPr>
          <w:rFonts w:cs="Times New Roman"/>
        </w:rPr>
        <w:tab/>
        <w:t>(36)</w:t>
      </w:r>
    </w:p>
    <w:p w14:paraId="5B517ADD" w14:textId="60F153A9" w:rsidR="00B17E5F" w:rsidRPr="006A6B3E" w:rsidRDefault="00000000" w:rsidP="00C06C34">
      <w:pPr>
        <w:jc w:val="center"/>
        <w:rPr>
          <w:rFonts w:cs="Times New Roman"/>
        </w:rPr>
      </w:pP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cond</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indoor</m:t>
            </m:r>
          </m:sub>
        </m:sSub>
        <m:r>
          <w:rPr>
            <w:rFonts w:ascii="Cambria Math" w:hAnsi="Cambria Math" w:cs="Times New Roman"/>
          </w:rPr>
          <m:t>+AT</m:t>
        </m:r>
      </m:oMath>
      <w:r w:rsidR="00C06C34">
        <w:rPr>
          <w:rFonts w:cs="Times New Roman"/>
        </w:rPr>
        <w:tab/>
      </w:r>
      <w:r w:rsidR="00C06C34">
        <w:rPr>
          <w:rFonts w:cs="Times New Roman"/>
        </w:rPr>
        <w:tab/>
      </w:r>
      <w:r w:rsidR="00C06C34">
        <w:rPr>
          <w:rFonts w:cs="Times New Roman"/>
        </w:rPr>
        <w:tab/>
      </w:r>
      <w:r w:rsidR="00C06C34">
        <w:rPr>
          <w:rFonts w:cs="Times New Roman"/>
        </w:rPr>
        <w:tab/>
      </w:r>
      <w:r w:rsidR="00C06C34">
        <w:rPr>
          <w:rFonts w:cs="Times New Roman"/>
        </w:rPr>
        <w:tab/>
        <w:t>(37)</w:t>
      </w:r>
    </w:p>
    <w:p w14:paraId="5FE34CD2" w14:textId="43759B5A" w:rsidR="00B17E5F" w:rsidRPr="006A6B3E" w:rsidRDefault="00000000" w:rsidP="00C06C34">
      <w:pPr>
        <w:jc w:val="center"/>
        <w:rPr>
          <w:rFonts w:cs="Times New Roman"/>
        </w:rPr>
      </w:pP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ahu</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cond</m:t>
            </m:r>
          </m:sub>
        </m:sSub>
      </m:oMath>
      <w:r w:rsidR="00C06C34">
        <w:rPr>
          <w:rFonts w:cs="Times New Roman"/>
        </w:rPr>
        <w:tab/>
      </w:r>
      <w:r w:rsidR="00C06C34">
        <w:rPr>
          <w:rFonts w:cs="Times New Roman"/>
        </w:rPr>
        <w:tab/>
      </w:r>
      <w:r w:rsidR="00C06C34">
        <w:rPr>
          <w:rFonts w:cs="Times New Roman"/>
        </w:rPr>
        <w:tab/>
      </w:r>
      <w:r w:rsidR="00C06C34">
        <w:rPr>
          <w:rFonts w:cs="Times New Roman"/>
        </w:rPr>
        <w:tab/>
      </w:r>
      <w:r w:rsidR="00C06C34">
        <w:rPr>
          <w:rFonts w:cs="Times New Roman"/>
        </w:rPr>
        <w:tab/>
      </w:r>
      <w:r w:rsidR="00C06C34">
        <w:rPr>
          <w:rFonts w:cs="Times New Roman"/>
        </w:rPr>
        <w:tab/>
        <w:t>(38)</w:t>
      </w:r>
    </w:p>
    <w:p w14:paraId="2E06FAA4" w14:textId="38651A2F" w:rsidR="00B17E5F" w:rsidRPr="006A6B3E" w:rsidRDefault="00000000" w:rsidP="00C06C34">
      <w:pPr>
        <w:jc w:val="center"/>
        <w:rPr>
          <w:rFonts w:cs="Times New Roman"/>
        </w:rPr>
      </w:pP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pcm</m:t>
            </m:r>
          </m:sub>
        </m:sSub>
        <m:r>
          <w:rPr>
            <w:rFonts w:ascii="Cambria Math" w:hAnsi="Cambria Math" w:cs="Times New Roman"/>
          </w:rPr>
          <m:t>= 0</m:t>
        </m:r>
      </m:oMath>
      <w:r w:rsidR="00C06C34">
        <w:rPr>
          <w:rFonts w:cs="Times New Roman"/>
        </w:rPr>
        <w:tab/>
      </w:r>
      <w:r w:rsidR="00C06C34">
        <w:rPr>
          <w:rFonts w:cs="Times New Roman"/>
        </w:rPr>
        <w:tab/>
      </w:r>
      <w:r w:rsidR="00C06C34">
        <w:rPr>
          <w:rFonts w:cs="Times New Roman"/>
        </w:rPr>
        <w:tab/>
      </w:r>
      <w:r w:rsidR="00C06C34">
        <w:rPr>
          <w:rFonts w:cs="Times New Roman"/>
        </w:rPr>
        <w:tab/>
      </w:r>
      <w:r w:rsidR="00C06C34">
        <w:rPr>
          <w:rFonts w:cs="Times New Roman"/>
        </w:rPr>
        <w:tab/>
      </w:r>
      <w:r w:rsidR="00C06C34">
        <w:rPr>
          <w:rFonts w:cs="Times New Roman"/>
        </w:rPr>
        <w:tab/>
        <w:t>(39)</w:t>
      </w:r>
    </w:p>
    <w:p w14:paraId="5CCA4410" w14:textId="77777777" w:rsidR="00B17E5F" w:rsidRDefault="00B17E5F" w:rsidP="0055422F">
      <w:pPr>
        <w:rPr>
          <w:rFonts w:cs="Times New Roman"/>
        </w:rPr>
      </w:pPr>
      <w:r>
        <w:rPr>
          <w:rFonts w:cs="Times New Roman"/>
        </w:rPr>
        <w:t>The HP is off for heating standby mode.</w:t>
      </w:r>
    </w:p>
    <w:p w14:paraId="56A1F586" w14:textId="442CD435" w:rsidR="00B17E5F" w:rsidRPr="006A6B3E" w:rsidRDefault="00000000" w:rsidP="00C06C34">
      <w:pPr>
        <w:jc w:val="center"/>
        <w:rPr>
          <w:rFonts w:cs="Times New Roman"/>
        </w:rPr>
      </w:pP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ahu</m:t>
            </m:r>
          </m:sub>
        </m:sSub>
        <m:r>
          <w:rPr>
            <w:rFonts w:ascii="Cambria Math" w:hAnsi="Cambria Math" w:cs="Times New Roman"/>
          </w:rPr>
          <m:t>=0</m:t>
        </m:r>
      </m:oMath>
      <w:r w:rsidR="00C06C34">
        <w:rPr>
          <w:rFonts w:cs="Times New Roman"/>
        </w:rPr>
        <w:tab/>
      </w:r>
      <w:r w:rsidR="00C06C34">
        <w:rPr>
          <w:rFonts w:cs="Times New Roman"/>
        </w:rPr>
        <w:tab/>
      </w:r>
      <w:r w:rsidR="00C06C34">
        <w:rPr>
          <w:rFonts w:cs="Times New Roman"/>
        </w:rPr>
        <w:tab/>
      </w:r>
      <w:r w:rsidR="00C06C34">
        <w:rPr>
          <w:rFonts w:cs="Times New Roman"/>
        </w:rPr>
        <w:tab/>
      </w:r>
      <w:r w:rsidR="00C06C34">
        <w:rPr>
          <w:rFonts w:cs="Times New Roman"/>
        </w:rPr>
        <w:tab/>
      </w:r>
      <w:r w:rsidR="00C06C34">
        <w:rPr>
          <w:rFonts w:cs="Times New Roman"/>
        </w:rPr>
        <w:tab/>
      </w:r>
      <w:r w:rsidR="00C06C34">
        <w:rPr>
          <w:rFonts w:cs="Times New Roman"/>
        </w:rPr>
        <w:tab/>
        <w:t>(40)</w:t>
      </w:r>
    </w:p>
    <w:p w14:paraId="1E54FC1C" w14:textId="753DBBDD" w:rsidR="00B17E5F" w:rsidRPr="006A6B3E" w:rsidRDefault="00000000" w:rsidP="00C06C34">
      <w:pPr>
        <w:jc w:val="center"/>
        <w:rPr>
          <w:rFonts w:cs="Times New Roman"/>
        </w:rPr>
      </w:pP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pcm</m:t>
            </m:r>
          </m:sub>
        </m:sSub>
        <m:r>
          <w:rPr>
            <w:rFonts w:ascii="Cambria Math" w:hAnsi="Cambria Math" w:cs="Times New Roman"/>
          </w:rPr>
          <m:t>= 0</m:t>
        </m:r>
      </m:oMath>
      <w:r w:rsidR="00C06C34">
        <w:rPr>
          <w:rFonts w:cs="Times New Roman"/>
        </w:rPr>
        <w:tab/>
      </w:r>
      <w:r w:rsidR="00C06C34">
        <w:rPr>
          <w:rFonts w:cs="Times New Roman"/>
        </w:rPr>
        <w:tab/>
      </w:r>
      <w:r w:rsidR="00C06C34">
        <w:rPr>
          <w:rFonts w:cs="Times New Roman"/>
        </w:rPr>
        <w:tab/>
      </w:r>
      <w:r w:rsidR="00C06C34">
        <w:rPr>
          <w:rFonts w:cs="Times New Roman"/>
        </w:rPr>
        <w:tab/>
      </w:r>
      <w:r w:rsidR="00C06C34">
        <w:rPr>
          <w:rFonts w:cs="Times New Roman"/>
        </w:rPr>
        <w:tab/>
      </w:r>
      <w:r w:rsidR="00C06C34">
        <w:rPr>
          <w:rFonts w:cs="Times New Roman"/>
        </w:rPr>
        <w:tab/>
        <w:t>(41)</w:t>
      </w:r>
    </w:p>
    <w:p w14:paraId="3D587D43" w14:textId="77777777" w:rsidR="00B17E5F" w:rsidRDefault="00B17E5F" w:rsidP="00113B14">
      <w:pPr>
        <w:rPr>
          <w:rFonts w:cs="Times New Roman"/>
        </w:rPr>
      </w:pPr>
      <w:r>
        <w:rPr>
          <w:rFonts w:cs="Times New Roman"/>
        </w:rPr>
        <w:t>In the heating charging mode, TES is recharged and condenser heat is added to TES. Evaporator is coupled to ambient and condenser is coupled to PCM-TES. State of charge and PCM storage capacity are defined and rewritten at each time step.</w:t>
      </w:r>
    </w:p>
    <w:p w14:paraId="06CA4AEF" w14:textId="07E57D1C" w:rsidR="00B17E5F" w:rsidRPr="006A6B3E" w:rsidRDefault="00000000" w:rsidP="00C06C34">
      <w:pPr>
        <w:jc w:val="center"/>
        <w:rPr>
          <w:rFonts w:cs="Times New Roman"/>
        </w:rPr>
      </w:pP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evap</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amb</m:t>
            </m:r>
          </m:sub>
        </m:sSub>
        <m:r>
          <w:rPr>
            <w:rFonts w:ascii="Cambria Math" w:hAnsi="Cambria Math" w:cs="Times New Roman"/>
          </w:rPr>
          <m:t>-AT</m:t>
        </m:r>
      </m:oMath>
      <w:r w:rsidR="00C06C34">
        <w:rPr>
          <w:rFonts w:cs="Times New Roman"/>
        </w:rPr>
        <w:tab/>
      </w:r>
      <w:r w:rsidR="00C06C34">
        <w:rPr>
          <w:rFonts w:cs="Times New Roman"/>
        </w:rPr>
        <w:tab/>
      </w:r>
      <w:r w:rsidR="00C06C34">
        <w:rPr>
          <w:rFonts w:cs="Times New Roman"/>
        </w:rPr>
        <w:tab/>
      </w:r>
      <w:r w:rsidR="00C06C34">
        <w:rPr>
          <w:rFonts w:cs="Times New Roman"/>
        </w:rPr>
        <w:tab/>
      </w:r>
      <w:r w:rsidR="00C06C34">
        <w:rPr>
          <w:rFonts w:cs="Times New Roman"/>
        </w:rPr>
        <w:tab/>
        <w:t>(42)</w:t>
      </w:r>
    </w:p>
    <w:p w14:paraId="19A97344" w14:textId="09FD4536" w:rsidR="00B17E5F" w:rsidRPr="006A6B3E" w:rsidRDefault="00000000" w:rsidP="00C06C34">
      <w:pPr>
        <w:jc w:val="center"/>
        <w:rPr>
          <w:rFonts w:cs="Times New Roman"/>
        </w:rPr>
      </w:pP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cond</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pcm</m:t>
            </m:r>
          </m:sub>
        </m:sSub>
        <m:r>
          <w:rPr>
            <w:rFonts w:ascii="Cambria Math" w:hAnsi="Cambria Math" w:cs="Times New Roman"/>
          </w:rPr>
          <m:t>+AT</m:t>
        </m:r>
      </m:oMath>
      <w:r w:rsidR="00C06C34">
        <w:rPr>
          <w:rFonts w:cs="Times New Roman"/>
        </w:rPr>
        <w:tab/>
      </w:r>
      <w:r w:rsidR="00C06C34">
        <w:rPr>
          <w:rFonts w:cs="Times New Roman"/>
        </w:rPr>
        <w:tab/>
      </w:r>
      <w:r w:rsidR="00C06C34">
        <w:rPr>
          <w:rFonts w:cs="Times New Roman"/>
        </w:rPr>
        <w:tab/>
      </w:r>
      <w:r w:rsidR="00C06C34">
        <w:rPr>
          <w:rFonts w:cs="Times New Roman"/>
        </w:rPr>
        <w:tab/>
      </w:r>
      <w:r w:rsidR="00C06C34">
        <w:rPr>
          <w:rFonts w:cs="Times New Roman"/>
        </w:rPr>
        <w:tab/>
        <w:t>(43)</w:t>
      </w:r>
    </w:p>
    <w:p w14:paraId="14B7B346" w14:textId="7E0BD7AA" w:rsidR="00B17E5F" w:rsidRPr="006A6B3E" w:rsidRDefault="00000000" w:rsidP="00C06C34">
      <w:pPr>
        <w:jc w:val="center"/>
        <w:rPr>
          <w:rFonts w:cs="Times New Roman"/>
        </w:rPr>
      </w:pP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ahu</m:t>
            </m:r>
          </m:sub>
        </m:sSub>
        <m:r>
          <w:rPr>
            <w:rFonts w:ascii="Cambria Math" w:hAnsi="Cambria Math" w:cs="Times New Roman"/>
          </w:rPr>
          <m:t>=0</m:t>
        </m:r>
      </m:oMath>
      <w:r w:rsidR="00C06C34">
        <w:rPr>
          <w:rFonts w:cs="Times New Roman"/>
        </w:rPr>
        <w:tab/>
      </w:r>
      <w:r w:rsidR="00C06C34">
        <w:rPr>
          <w:rFonts w:cs="Times New Roman"/>
        </w:rPr>
        <w:tab/>
      </w:r>
      <w:r w:rsidR="00C06C34">
        <w:rPr>
          <w:rFonts w:cs="Times New Roman"/>
        </w:rPr>
        <w:tab/>
      </w:r>
      <w:r w:rsidR="00C06C34">
        <w:rPr>
          <w:rFonts w:cs="Times New Roman"/>
        </w:rPr>
        <w:tab/>
      </w:r>
      <w:r w:rsidR="00C06C34">
        <w:rPr>
          <w:rFonts w:cs="Times New Roman"/>
        </w:rPr>
        <w:tab/>
      </w:r>
      <w:r w:rsidR="00C06C34">
        <w:rPr>
          <w:rFonts w:cs="Times New Roman"/>
        </w:rPr>
        <w:tab/>
      </w:r>
      <w:r w:rsidR="00C06C34">
        <w:rPr>
          <w:rFonts w:cs="Times New Roman"/>
        </w:rPr>
        <w:tab/>
        <w:t>(44)</w:t>
      </w:r>
    </w:p>
    <w:p w14:paraId="6665476A" w14:textId="6E952786" w:rsidR="00B17E5F" w:rsidRPr="006A6B3E" w:rsidRDefault="00000000" w:rsidP="00C06C34">
      <w:pPr>
        <w:jc w:val="center"/>
        <w:rPr>
          <w:rFonts w:cs="Times New Roman"/>
        </w:rPr>
      </w:pP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pcm</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cond</m:t>
            </m:r>
          </m:sub>
        </m:sSub>
      </m:oMath>
      <w:r w:rsidR="00C06C34">
        <w:rPr>
          <w:rFonts w:cs="Times New Roman"/>
        </w:rPr>
        <w:tab/>
      </w:r>
      <w:r w:rsidR="00C06C34">
        <w:rPr>
          <w:rFonts w:cs="Times New Roman"/>
        </w:rPr>
        <w:tab/>
      </w:r>
      <w:r w:rsidR="00D20396">
        <w:rPr>
          <w:rFonts w:cs="Times New Roman"/>
        </w:rPr>
        <w:tab/>
      </w:r>
      <w:r w:rsidR="00D20396">
        <w:rPr>
          <w:rFonts w:cs="Times New Roman"/>
        </w:rPr>
        <w:tab/>
      </w:r>
      <w:r w:rsidR="00D20396">
        <w:rPr>
          <w:rFonts w:cs="Times New Roman"/>
        </w:rPr>
        <w:tab/>
      </w:r>
      <w:r w:rsidR="00D20396">
        <w:rPr>
          <w:rFonts w:cs="Times New Roman"/>
        </w:rPr>
        <w:tab/>
      </w:r>
      <w:r w:rsidR="00C06C34">
        <w:rPr>
          <w:rFonts w:cs="Times New Roman"/>
        </w:rPr>
        <w:t>(45)</w:t>
      </w:r>
    </w:p>
    <w:p w14:paraId="5671962E" w14:textId="0B5836B0" w:rsidR="00B17E5F" w:rsidRPr="006A6B3E" w:rsidRDefault="00000000" w:rsidP="00C06C34">
      <w:pPr>
        <w:jc w:val="center"/>
        <w:rPr>
          <w:rFonts w:cs="Times New Roman"/>
        </w:rPr>
      </w:pPr>
      <m:oMath>
        <m:sSub>
          <m:sSubPr>
            <m:ctrlPr>
              <w:rPr>
                <w:rFonts w:ascii="Cambria Math" w:hAnsi="Cambria Math" w:cs="Times New Roman"/>
                <w:i/>
              </w:rPr>
            </m:ctrlPr>
          </m:sSubPr>
          <m:e>
            <m:r>
              <w:rPr>
                <w:rFonts w:ascii="Cambria Math" w:hAnsi="Cambria Math" w:cs="Times New Roman"/>
              </w:rPr>
              <m:t>SOC</m:t>
            </m:r>
          </m:e>
          <m:sub>
            <m:r>
              <w:rPr>
                <w:rFonts w:ascii="Cambria Math" w:hAnsi="Cambria Math" w:cs="Times New Roman"/>
              </w:rPr>
              <m:t>@t=i+1</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SOC</m:t>
            </m:r>
          </m:e>
          <m:sub>
            <m:r>
              <w:rPr>
                <w:rFonts w:ascii="Cambria Math" w:hAnsi="Cambria Math" w:cs="Times New Roman"/>
              </w:rPr>
              <m:t>@t=i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Q</m:t>
            </m:r>
          </m:e>
          <m:sub>
            <m:sSub>
              <m:sSubPr>
                <m:ctrlPr>
                  <w:rPr>
                    <w:rFonts w:ascii="Cambria Math" w:hAnsi="Cambria Math" w:cs="Times New Roman"/>
                    <w:i/>
                  </w:rPr>
                </m:ctrlPr>
              </m:sSubPr>
              <m:e>
                <m:r>
                  <w:rPr>
                    <w:rFonts w:ascii="Cambria Math" w:hAnsi="Cambria Math" w:cs="Times New Roman"/>
                  </w:rPr>
                  <m:t>cond</m:t>
                </m:r>
              </m:e>
              <m:sub>
                <m:r>
                  <w:rPr>
                    <w:rFonts w:ascii="Cambria Math" w:hAnsi="Cambria Math" w:cs="Times New Roman"/>
                  </w:rPr>
                  <m:t>@t=i</m:t>
                </m:r>
              </m:sub>
            </m:sSub>
          </m:sub>
        </m:sSub>
        <m:r>
          <w:rPr>
            <w:rFonts w:ascii="Cambria Math" w:hAnsi="Cambria Math" w:cs="Times New Roman"/>
          </w:rPr>
          <m:t>*(∆T)</m:t>
        </m:r>
      </m:oMath>
      <w:r w:rsidR="00C06C34">
        <w:rPr>
          <w:rFonts w:cs="Times New Roman"/>
        </w:rPr>
        <w:tab/>
      </w:r>
      <w:r w:rsidR="00C06C34">
        <w:rPr>
          <w:rFonts w:cs="Times New Roman"/>
        </w:rPr>
        <w:tab/>
        <w:t>(46)</w:t>
      </w:r>
    </w:p>
    <w:p w14:paraId="5E9B5965" w14:textId="677C4528" w:rsidR="00B17E5F" w:rsidRPr="006A6B3E" w:rsidRDefault="00000000" w:rsidP="00C06C34">
      <w:pPr>
        <w:ind w:firstLine="0"/>
        <w:jc w:val="center"/>
        <w:rPr>
          <w:rFonts w:cs="Times New Roman"/>
          <w:iCs/>
        </w:rPr>
      </w:pPr>
      <m:oMath>
        <m:sSub>
          <m:sSubPr>
            <m:ctrlPr>
              <w:rPr>
                <w:rFonts w:ascii="Cambria Math" w:hAnsi="Cambria Math" w:cs="Times New Roman"/>
                <w:i/>
                <w:iCs/>
              </w:rPr>
            </m:ctrlPr>
          </m:sSubPr>
          <m:e>
            <m:r>
              <w:rPr>
                <w:rFonts w:ascii="Cambria Math" w:hAnsi="Cambria Math" w:cs="Times New Roman"/>
              </w:rPr>
              <m:t>E</m:t>
            </m:r>
          </m:e>
          <m:sub>
            <m:r>
              <w:rPr>
                <w:rFonts w:ascii="Cambria Math" w:hAnsi="Cambria Math" w:cs="Times New Roman"/>
              </w:rPr>
              <m:t>pcm</m:t>
            </m:r>
          </m:sub>
        </m:sSub>
        <m:d>
          <m:dPr>
            <m:ctrlPr>
              <w:rPr>
                <w:rFonts w:ascii="Cambria Math" w:hAnsi="Cambria Math" w:cs="Times New Roman"/>
                <w:i/>
                <w:iCs/>
              </w:rPr>
            </m:ctrlPr>
          </m:dPr>
          <m:e>
            <m:r>
              <w:rPr>
                <w:rFonts w:ascii="Cambria Math" w:hAnsi="Cambria Math" w:cs="Times New Roman"/>
              </w:rPr>
              <m:t>t</m:t>
            </m:r>
          </m:e>
        </m:d>
        <m:r>
          <w:rPr>
            <w:rFonts w:ascii="Cambria Math" w:hAnsi="Cambria Math" w:cs="Times New Roman"/>
          </w:rPr>
          <m:t>= </m:t>
        </m:r>
        <m:sSub>
          <m:sSubPr>
            <m:ctrlPr>
              <w:rPr>
                <w:rFonts w:ascii="Cambria Math" w:hAnsi="Cambria Math" w:cs="Times New Roman"/>
                <w:i/>
                <w:iCs/>
              </w:rPr>
            </m:ctrlPr>
          </m:sSubPr>
          <m:e>
            <m:r>
              <w:rPr>
                <w:rFonts w:ascii="Cambria Math" w:hAnsi="Cambria Math" w:cs="Times New Roman"/>
              </w:rPr>
              <m:t>E</m:t>
            </m:r>
          </m:e>
          <m:sub>
            <m:r>
              <w:rPr>
                <w:rFonts w:ascii="Cambria Math" w:hAnsi="Cambria Math" w:cs="Times New Roman"/>
              </w:rPr>
              <m:t>pcm</m:t>
            </m:r>
            <m:d>
              <m:dPr>
                <m:ctrlPr>
                  <w:rPr>
                    <w:rFonts w:ascii="Cambria Math" w:hAnsi="Cambria Math" w:cs="Times New Roman"/>
                    <w:i/>
                    <w:iCs/>
                  </w:rPr>
                </m:ctrlPr>
              </m:dPr>
              <m:e>
                <m:r>
                  <w:rPr>
                    <w:rFonts w:ascii="Cambria Math" w:hAnsi="Cambria Math" w:cs="Times New Roman"/>
                  </w:rPr>
                  <m:t>t-1</m:t>
                </m:r>
              </m:e>
            </m:d>
          </m:sub>
        </m:sSub>
        <m:r>
          <w:rPr>
            <w:rFonts w:ascii="Cambria Math" w:hAnsi="Cambria Math" w:cs="Times New Roman"/>
          </w:rPr>
          <m:t>+ </m:t>
        </m:r>
        <m:sSub>
          <m:sSubPr>
            <m:ctrlPr>
              <w:rPr>
                <w:rFonts w:ascii="Cambria Math" w:hAnsi="Cambria Math" w:cs="Times New Roman"/>
                <w:i/>
                <w:iCs/>
              </w:rPr>
            </m:ctrlPr>
          </m:sSubPr>
          <m:e>
            <m:r>
              <w:rPr>
                <w:rFonts w:ascii="Cambria Math" w:hAnsi="Cambria Math" w:cs="Times New Roman"/>
              </w:rPr>
              <m:t>Q</m:t>
            </m:r>
          </m:e>
          <m:sub>
            <m:r>
              <w:rPr>
                <w:rFonts w:ascii="Cambria Math" w:hAnsi="Cambria Math" w:cs="Times New Roman"/>
              </w:rPr>
              <m:t>pcm</m:t>
            </m:r>
          </m:sub>
        </m:sSub>
      </m:oMath>
      <w:r w:rsidR="00C06C34">
        <w:rPr>
          <w:rFonts w:cs="Times New Roman"/>
          <w:iCs/>
        </w:rPr>
        <w:tab/>
      </w:r>
      <w:r w:rsidR="00C06C34">
        <w:rPr>
          <w:rFonts w:cs="Times New Roman"/>
          <w:iCs/>
        </w:rPr>
        <w:tab/>
      </w:r>
      <w:r w:rsidR="00D20396">
        <w:rPr>
          <w:rFonts w:cs="Times New Roman"/>
          <w:iCs/>
        </w:rPr>
        <w:tab/>
      </w:r>
      <w:r w:rsidR="00D20396">
        <w:rPr>
          <w:rFonts w:cs="Times New Roman"/>
          <w:iCs/>
        </w:rPr>
        <w:tab/>
      </w:r>
      <w:r w:rsidR="00C06C34">
        <w:rPr>
          <w:rFonts w:cs="Times New Roman"/>
          <w:iCs/>
        </w:rPr>
        <w:t>(47)</w:t>
      </w:r>
    </w:p>
    <w:p w14:paraId="08C16D1C" w14:textId="77777777" w:rsidR="00B17E5F" w:rsidRDefault="00B17E5F" w:rsidP="00113B14">
      <w:pPr>
        <w:rPr>
          <w:rFonts w:cs="Times New Roman"/>
        </w:rPr>
      </w:pPr>
      <w:r>
        <w:rPr>
          <w:rFonts w:cs="Times New Roman"/>
        </w:rPr>
        <w:t xml:space="preserve">In the heating discharging mode, TES is used to heat the building via HP and evaporator heat is removed from TES. Evaporator is coupled to PCM-TES and condenser is coupled to building in this case. </w:t>
      </w:r>
    </w:p>
    <w:p w14:paraId="7F83707C" w14:textId="785F54B2" w:rsidR="00B17E5F" w:rsidRPr="006A6B3E" w:rsidRDefault="00000000" w:rsidP="00D20396">
      <w:pPr>
        <w:jc w:val="center"/>
        <w:rPr>
          <w:rFonts w:cs="Times New Roman"/>
        </w:rPr>
      </w:pP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evap</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pcm</m:t>
            </m:r>
          </m:sub>
        </m:sSub>
        <m:r>
          <w:rPr>
            <w:rFonts w:ascii="Cambria Math" w:hAnsi="Cambria Math" w:cs="Times New Roman"/>
          </w:rPr>
          <m:t>-AT</m:t>
        </m:r>
      </m:oMath>
      <w:r w:rsidR="00D20396">
        <w:rPr>
          <w:rFonts w:cs="Times New Roman"/>
        </w:rPr>
        <w:tab/>
      </w:r>
      <w:r w:rsidR="00D20396">
        <w:rPr>
          <w:rFonts w:cs="Times New Roman"/>
        </w:rPr>
        <w:tab/>
      </w:r>
      <w:r w:rsidR="00D20396">
        <w:rPr>
          <w:rFonts w:cs="Times New Roman"/>
        </w:rPr>
        <w:tab/>
      </w:r>
      <w:r w:rsidR="00D20396">
        <w:rPr>
          <w:rFonts w:cs="Times New Roman"/>
        </w:rPr>
        <w:tab/>
      </w:r>
      <w:r w:rsidR="00D20396">
        <w:rPr>
          <w:rFonts w:cs="Times New Roman"/>
        </w:rPr>
        <w:tab/>
        <w:t>(48)</w:t>
      </w:r>
    </w:p>
    <w:p w14:paraId="707F306B" w14:textId="4FB3D015" w:rsidR="00B17E5F" w:rsidRPr="006A6B3E" w:rsidRDefault="00000000" w:rsidP="00D20396">
      <w:pPr>
        <w:jc w:val="center"/>
        <w:rPr>
          <w:rFonts w:cs="Times New Roman"/>
        </w:rPr>
      </w:pP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cond</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indoor</m:t>
            </m:r>
          </m:sub>
        </m:sSub>
        <m:r>
          <w:rPr>
            <w:rFonts w:ascii="Cambria Math" w:hAnsi="Cambria Math" w:cs="Times New Roman"/>
          </w:rPr>
          <m:t>+AT</m:t>
        </m:r>
      </m:oMath>
      <w:r w:rsidR="00D20396">
        <w:rPr>
          <w:rFonts w:cs="Times New Roman"/>
        </w:rPr>
        <w:tab/>
      </w:r>
      <w:r w:rsidR="00D20396">
        <w:rPr>
          <w:rFonts w:cs="Times New Roman"/>
        </w:rPr>
        <w:tab/>
      </w:r>
      <w:r w:rsidR="00D20396">
        <w:rPr>
          <w:rFonts w:cs="Times New Roman"/>
        </w:rPr>
        <w:tab/>
      </w:r>
      <w:r w:rsidR="00D20396">
        <w:rPr>
          <w:rFonts w:cs="Times New Roman"/>
        </w:rPr>
        <w:tab/>
      </w:r>
      <w:r w:rsidR="00D20396">
        <w:rPr>
          <w:rFonts w:cs="Times New Roman"/>
        </w:rPr>
        <w:tab/>
        <w:t>(49)</w:t>
      </w:r>
    </w:p>
    <w:p w14:paraId="5A715DF3" w14:textId="0C8219FB" w:rsidR="00B17E5F" w:rsidRPr="006A6B3E" w:rsidRDefault="00000000" w:rsidP="00D20396">
      <w:pPr>
        <w:jc w:val="center"/>
        <w:rPr>
          <w:rFonts w:cs="Times New Roman"/>
        </w:rPr>
      </w:pP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ahu</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cond</m:t>
            </m:r>
          </m:sub>
        </m:sSub>
      </m:oMath>
      <w:r w:rsidR="00D20396">
        <w:rPr>
          <w:rFonts w:cs="Times New Roman"/>
        </w:rPr>
        <w:tab/>
      </w:r>
      <w:r w:rsidR="00D20396">
        <w:rPr>
          <w:rFonts w:cs="Times New Roman"/>
        </w:rPr>
        <w:tab/>
      </w:r>
      <w:r w:rsidR="00D20396">
        <w:rPr>
          <w:rFonts w:cs="Times New Roman"/>
        </w:rPr>
        <w:tab/>
      </w:r>
      <w:r w:rsidR="00D20396">
        <w:rPr>
          <w:rFonts w:cs="Times New Roman"/>
        </w:rPr>
        <w:tab/>
      </w:r>
      <w:r w:rsidR="00D20396">
        <w:rPr>
          <w:rFonts w:cs="Times New Roman"/>
        </w:rPr>
        <w:tab/>
      </w:r>
      <w:r w:rsidR="00D20396">
        <w:rPr>
          <w:rFonts w:cs="Times New Roman"/>
        </w:rPr>
        <w:tab/>
        <w:t>(50)</w:t>
      </w:r>
    </w:p>
    <w:p w14:paraId="4A2E0E77" w14:textId="3ED6779B" w:rsidR="00B17E5F" w:rsidRPr="006A6B3E" w:rsidRDefault="00000000" w:rsidP="00D20396">
      <w:pPr>
        <w:jc w:val="center"/>
        <w:rPr>
          <w:rFonts w:cs="Times New Roman"/>
        </w:rPr>
      </w:pP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pcm</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evap</m:t>
            </m:r>
          </m:sub>
        </m:sSub>
      </m:oMath>
      <w:r w:rsidR="00D20396">
        <w:rPr>
          <w:rFonts w:cs="Times New Roman"/>
        </w:rPr>
        <w:tab/>
      </w:r>
      <w:r w:rsidR="00D20396">
        <w:rPr>
          <w:rFonts w:cs="Times New Roman"/>
        </w:rPr>
        <w:tab/>
      </w:r>
      <w:r w:rsidR="00D20396">
        <w:rPr>
          <w:rFonts w:cs="Times New Roman"/>
        </w:rPr>
        <w:tab/>
      </w:r>
      <w:r w:rsidR="00D20396">
        <w:rPr>
          <w:rFonts w:cs="Times New Roman"/>
        </w:rPr>
        <w:tab/>
      </w:r>
      <w:r w:rsidR="00D20396">
        <w:rPr>
          <w:rFonts w:cs="Times New Roman"/>
        </w:rPr>
        <w:tab/>
      </w:r>
      <w:r w:rsidR="00D20396">
        <w:rPr>
          <w:rFonts w:cs="Times New Roman"/>
        </w:rPr>
        <w:tab/>
        <w:t>(51)</w:t>
      </w:r>
    </w:p>
    <w:p w14:paraId="63EDC73E" w14:textId="40D97779" w:rsidR="00B17E5F" w:rsidRPr="006A6B3E" w:rsidRDefault="00000000" w:rsidP="00D20396">
      <w:pPr>
        <w:jc w:val="center"/>
        <w:rPr>
          <w:rFonts w:cs="Times New Roman"/>
        </w:rPr>
      </w:pPr>
      <m:oMath>
        <m:sSub>
          <m:sSubPr>
            <m:ctrlPr>
              <w:rPr>
                <w:rFonts w:ascii="Cambria Math" w:hAnsi="Cambria Math" w:cs="Times New Roman"/>
                <w:i/>
              </w:rPr>
            </m:ctrlPr>
          </m:sSubPr>
          <m:e>
            <m:r>
              <w:rPr>
                <w:rFonts w:ascii="Cambria Math" w:hAnsi="Cambria Math" w:cs="Times New Roman"/>
              </w:rPr>
              <m:t>SOC</m:t>
            </m:r>
          </m:e>
          <m:sub>
            <m:r>
              <w:rPr>
                <w:rFonts w:ascii="Cambria Math" w:hAnsi="Cambria Math" w:cs="Times New Roman"/>
              </w:rPr>
              <m:t>@t=i+1</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SOC</m:t>
            </m:r>
          </m:e>
          <m:sub>
            <m:r>
              <w:rPr>
                <w:rFonts w:ascii="Cambria Math" w:hAnsi="Cambria Math" w:cs="Times New Roman"/>
              </w:rPr>
              <m:t>@t=i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Q</m:t>
            </m:r>
          </m:e>
          <m:sub>
            <m:sSub>
              <m:sSubPr>
                <m:ctrlPr>
                  <w:rPr>
                    <w:rFonts w:ascii="Cambria Math" w:hAnsi="Cambria Math" w:cs="Times New Roman"/>
                    <w:i/>
                  </w:rPr>
                </m:ctrlPr>
              </m:sSubPr>
              <m:e>
                <m:r>
                  <w:rPr>
                    <w:rFonts w:ascii="Cambria Math" w:hAnsi="Cambria Math" w:cs="Times New Roman"/>
                  </w:rPr>
                  <m:t>evap</m:t>
                </m:r>
              </m:e>
              <m:sub>
                <m:r>
                  <w:rPr>
                    <w:rFonts w:ascii="Cambria Math" w:hAnsi="Cambria Math" w:cs="Times New Roman"/>
                  </w:rPr>
                  <m:t>@t=i</m:t>
                </m:r>
              </m:sub>
            </m:sSub>
          </m:sub>
        </m:sSub>
        <m:r>
          <w:rPr>
            <w:rFonts w:ascii="Cambria Math" w:hAnsi="Cambria Math" w:cs="Times New Roman"/>
          </w:rPr>
          <m:t>*(∆T)</m:t>
        </m:r>
      </m:oMath>
      <w:r w:rsidR="00D20396">
        <w:rPr>
          <w:rFonts w:cs="Times New Roman"/>
        </w:rPr>
        <w:tab/>
      </w:r>
      <w:r w:rsidR="00D20396">
        <w:rPr>
          <w:rFonts w:cs="Times New Roman"/>
        </w:rPr>
        <w:tab/>
        <w:t>(52)</w:t>
      </w:r>
    </w:p>
    <w:p w14:paraId="34017176" w14:textId="4AC63E83" w:rsidR="00B17E5F" w:rsidRPr="006A6B3E" w:rsidRDefault="00000000" w:rsidP="00D20396">
      <w:pPr>
        <w:ind w:firstLine="0"/>
        <w:jc w:val="center"/>
        <w:rPr>
          <w:rFonts w:cs="Times New Roman"/>
          <w:iCs/>
        </w:rPr>
      </w:pPr>
      <m:oMath>
        <m:sSub>
          <m:sSubPr>
            <m:ctrlPr>
              <w:rPr>
                <w:rFonts w:ascii="Cambria Math" w:hAnsi="Cambria Math" w:cs="Times New Roman"/>
                <w:i/>
                <w:iCs/>
              </w:rPr>
            </m:ctrlPr>
          </m:sSubPr>
          <m:e>
            <m:r>
              <w:rPr>
                <w:rFonts w:ascii="Cambria Math" w:hAnsi="Cambria Math" w:cs="Times New Roman"/>
              </w:rPr>
              <m:t>E</m:t>
            </m:r>
          </m:e>
          <m:sub>
            <m:r>
              <w:rPr>
                <w:rFonts w:ascii="Cambria Math" w:hAnsi="Cambria Math" w:cs="Times New Roman"/>
              </w:rPr>
              <m:t>pcm</m:t>
            </m:r>
          </m:sub>
        </m:sSub>
        <m:r>
          <w:rPr>
            <w:rFonts w:ascii="Cambria Math" w:hAnsi="Cambria Math" w:cs="Times New Roman"/>
          </w:rPr>
          <m:t>= </m:t>
        </m:r>
        <m:sSub>
          <m:sSubPr>
            <m:ctrlPr>
              <w:rPr>
                <w:rFonts w:ascii="Cambria Math" w:hAnsi="Cambria Math" w:cs="Times New Roman"/>
                <w:i/>
                <w:iCs/>
              </w:rPr>
            </m:ctrlPr>
          </m:sSubPr>
          <m:e>
            <m:r>
              <w:rPr>
                <w:rFonts w:ascii="Cambria Math" w:hAnsi="Cambria Math" w:cs="Times New Roman"/>
              </w:rPr>
              <m:t>E</m:t>
            </m:r>
          </m:e>
          <m:sub>
            <m:r>
              <w:rPr>
                <w:rFonts w:ascii="Cambria Math" w:hAnsi="Cambria Math" w:cs="Times New Roman"/>
              </w:rPr>
              <m:t>pcm(i-1)</m:t>
            </m:r>
          </m:sub>
        </m:sSub>
        <m:r>
          <w:rPr>
            <w:rFonts w:ascii="Cambria Math" w:hAnsi="Cambria Math" w:cs="Times New Roman"/>
          </w:rPr>
          <m:t>- </m:t>
        </m:r>
        <m:sSub>
          <m:sSubPr>
            <m:ctrlPr>
              <w:rPr>
                <w:rFonts w:ascii="Cambria Math" w:hAnsi="Cambria Math" w:cs="Times New Roman"/>
                <w:i/>
                <w:iCs/>
              </w:rPr>
            </m:ctrlPr>
          </m:sSubPr>
          <m:e>
            <m:r>
              <w:rPr>
                <w:rFonts w:ascii="Cambria Math" w:hAnsi="Cambria Math" w:cs="Times New Roman"/>
              </w:rPr>
              <m:t>Q</m:t>
            </m:r>
          </m:e>
          <m:sub>
            <m:r>
              <w:rPr>
                <w:rFonts w:ascii="Cambria Math" w:hAnsi="Cambria Math" w:cs="Times New Roman"/>
              </w:rPr>
              <m:t>pcm</m:t>
            </m:r>
          </m:sub>
        </m:sSub>
      </m:oMath>
      <w:r w:rsidR="00D20396">
        <w:rPr>
          <w:rFonts w:cs="Times New Roman"/>
          <w:iCs/>
        </w:rPr>
        <w:tab/>
      </w:r>
      <w:r w:rsidR="00D20396">
        <w:rPr>
          <w:rFonts w:cs="Times New Roman"/>
          <w:iCs/>
        </w:rPr>
        <w:tab/>
      </w:r>
      <w:r w:rsidR="00D20396">
        <w:rPr>
          <w:rFonts w:cs="Times New Roman"/>
          <w:iCs/>
        </w:rPr>
        <w:tab/>
      </w:r>
      <w:r w:rsidR="00D20396">
        <w:rPr>
          <w:rFonts w:cs="Times New Roman"/>
          <w:iCs/>
        </w:rPr>
        <w:tab/>
      </w:r>
      <w:r w:rsidR="00D20396">
        <w:rPr>
          <w:rFonts w:cs="Times New Roman"/>
          <w:iCs/>
        </w:rPr>
        <w:tab/>
        <w:t>(53)</w:t>
      </w:r>
    </w:p>
    <w:p w14:paraId="366A90D6" w14:textId="77777777" w:rsidR="00B17E5F" w:rsidRPr="0055422F" w:rsidRDefault="00B17E5F" w:rsidP="0055422F">
      <w:pPr>
        <w:pStyle w:val="Heading3"/>
        <w:rPr>
          <w:rFonts w:cs="Times New Roman"/>
          <w:iCs/>
        </w:rPr>
      </w:pPr>
      <w:bookmarkStart w:id="292" w:name="_Toc140399911"/>
      <w:r>
        <w:t>Controls logic</w:t>
      </w:r>
      <w:bookmarkEnd w:id="292"/>
    </w:p>
    <w:p w14:paraId="31433AD5" w14:textId="3B6F8C9C" w:rsidR="00B17E5F" w:rsidRDefault="00B17E5F" w:rsidP="00A14DEC">
      <w:r>
        <w:t xml:space="preserve">For simplicity, controls logic is implemented in two steps. First, thermostat call is determined for each mode in all three cases (Figure </w:t>
      </w:r>
      <w:r w:rsidR="006A6B3E">
        <w:t>70</w:t>
      </w:r>
      <w:r>
        <w:t xml:space="preserve"> and 7</w:t>
      </w:r>
      <w:r w:rsidR="006A6B3E">
        <w:t>1</w:t>
      </w:r>
      <w:r>
        <w:t>). Then State of Use of PCM (SOU) is defined and operating modes are determined based on SOU. Base case controls are simple since no PCM is involved. For the other two cases, utility and emissions peak time are used to determined SOU (Figure 7</w:t>
      </w:r>
      <w:r w:rsidR="006A6B3E">
        <w:t>2</w:t>
      </w:r>
      <w:r>
        <w:t xml:space="preserve"> and 7</w:t>
      </w:r>
      <w:r w:rsidR="006A6B3E">
        <w:t>3</w:t>
      </w:r>
      <w:r>
        <w:t xml:space="preserve">). </w:t>
      </w:r>
    </w:p>
    <w:p w14:paraId="7B34D617" w14:textId="77777777" w:rsidR="00B17E5F" w:rsidRDefault="00B17E5F" w:rsidP="00913C3E">
      <w:r>
        <w:t xml:space="preserve">Utility peak times are pre-defined in TOU rate schedule for both winter and summer in each climate zone. Emissions peak is defined at each time step based on marginal grid emissions (MGE) data. If the MGE value at a given time step exceeds the average of emissions in past 24 hours, it is defined as peak. </w:t>
      </w:r>
    </w:p>
    <w:p w14:paraId="623F446A" w14:textId="77777777" w:rsidR="002B2AD4" w:rsidRPr="00322E56" w:rsidRDefault="002B2AD4" w:rsidP="002B2AD4">
      <w:pPr>
        <w:pStyle w:val="Heading2"/>
        <w:rPr>
          <w:rFonts w:cs="Times New Roman"/>
        </w:rPr>
      </w:pPr>
      <w:bookmarkStart w:id="293" w:name="_Toc140399912"/>
      <w:r w:rsidRPr="00322E56">
        <w:rPr>
          <w:rFonts w:cs="Times New Roman"/>
        </w:rPr>
        <w:t>Experimental Validation</w:t>
      </w:r>
      <w:bookmarkEnd w:id="293"/>
    </w:p>
    <w:p w14:paraId="66331013" w14:textId="4E136F57" w:rsidR="002B2AD4" w:rsidRPr="002B2AD4" w:rsidRDefault="002B2AD4" w:rsidP="002B2AD4">
      <w:pPr>
        <w:ind w:firstLine="720"/>
        <w:rPr>
          <w:rFonts w:cs="Times New Roman"/>
          <w:color w:val="000000" w:themeColor="text1"/>
        </w:rPr>
      </w:pPr>
      <w:r w:rsidRPr="00322E56">
        <w:rPr>
          <w:rFonts w:cs="Times New Roman"/>
          <w:color w:val="000000" w:themeColor="text1"/>
        </w:rPr>
        <w:t xml:space="preserve">We developed an experimental setup for HP-TES using the low-cost salt hydrate PCM prepared at ORNL. The technology integrates phase change material with heat pump (PCM-HP) to reduce demand in peak hours. </w:t>
      </w:r>
      <w:r w:rsidRPr="00322E56">
        <w:rPr>
          <w:rFonts w:cs="Times New Roman"/>
        </w:rPr>
        <w:t>It enables year-round demand flexibility, energy savings and shortens payback period.</w:t>
      </w:r>
      <w:r w:rsidRPr="00322E56">
        <w:rPr>
          <w:rFonts w:cs="Times New Roman"/>
          <w:color w:val="000000" w:themeColor="text1"/>
        </w:rPr>
        <w:t xml:space="preserve"> A single PCM storage tank is used for both heating and cooling modes in dual-mode heat pumps. TES is directly coupled with heat pump and does not interact with building. PCM tank is used as either condenser or evaporator depending on operating modes, and heat transfer is mediated by heat pump</w:t>
      </w:r>
      <w:r>
        <w:rPr>
          <w:rFonts w:cs="Times New Roman"/>
          <w:color w:val="000000" w:themeColor="text1"/>
        </w:rPr>
        <w:t>, as shown in Figure 74</w:t>
      </w:r>
      <w:r w:rsidRPr="00322E56">
        <w:rPr>
          <w:rFonts w:cs="Times New Roman"/>
          <w:color w:val="000000" w:themeColor="text1"/>
        </w:rPr>
        <w:t>. PCM is charged during off-peak hours, and it is discharged during peak hours. The charge and discharge operations are automatically achieved by system control.</w:t>
      </w:r>
    </w:p>
    <w:p w14:paraId="350632F5" w14:textId="77777777" w:rsidR="00B17E5F" w:rsidRDefault="00B17E5F" w:rsidP="00260FBB">
      <w:pPr>
        <w:keepNext/>
      </w:pPr>
      <w:r>
        <w:rPr>
          <w:noProof/>
        </w:rPr>
        <w:drawing>
          <wp:inline distT="0" distB="0" distL="0" distR="0" wp14:anchorId="7451F641" wp14:editId="07611201">
            <wp:extent cx="5486400" cy="1132374"/>
            <wp:effectExtent l="0" t="0" r="0" b="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486400" cy="1132374"/>
                    </a:xfrm>
                    <a:prstGeom prst="rect">
                      <a:avLst/>
                    </a:prstGeom>
                    <a:noFill/>
                  </pic:spPr>
                </pic:pic>
              </a:graphicData>
            </a:graphic>
          </wp:inline>
        </w:drawing>
      </w:r>
    </w:p>
    <w:p w14:paraId="49DDAB8F" w14:textId="385246FA" w:rsidR="00B17E5F" w:rsidRDefault="00B17E5F" w:rsidP="00260FBB">
      <w:pPr>
        <w:pStyle w:val="Caption"/>
        <w:jc w:val="center"/>
      </w:pPr>
      <w:bookmarkStart w:id="294" w:name="_Toc140403936"/>
      <w:r>
        <w:t xml:space="preserve">Figure </w:t>
      </w:r>
      <w:fldSimple w:instr=" SEQ Figure \* ARABIC ">
        <w:r w:rsidR="00A5526B">
          <w:rPr>
            <w:noProof/>
          </w:rPr>
          <w:t>70</w:t>
        </w:r>
      </w:fldSimple>
      <w:r>
        <w:t>: Operating mode controls for base case</w:t>
      </w:r>
      <w:bookmarkEnd w:id="294"/>
    </w:p>
    <w:p w14:paraId="580B5C86" w14:textId="77777777" w:rsidR="00B17E5F" w:rsidRDefault="00B17E5F" w:rsidP="00260FBB">
      <w:pPr>
        <w:keepNext/>
      </w:pPr>
      <w:r>
        <w:rPr>
          <w:noProof/>
        </w:rPr>
        <w:drawing>
          <wp:inline distT="0" distB="0" distL="0" distR="0" wp14:anchorId="31FC638A" wp14:editId="3A83814C">
            <wp:extent cx="5486400" cy="1412729"/>
            <wp:effectExtent l="0" t="0" r="0" b="0"/>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486400" cy="1412729"/>
                    </a:xfrm>
                    <a:prstGeom prst="rect">
                      <a:avLst/>
                    </a:prstGeom>
                    <a:noFill/>
                  </pic:spPr>
                </pic:pic>
              </a:graphicData>
            </a:graphic>
          </wp:inline>
        </w:drawing>
      </w:r>
    </w:p>
    <w:p w14:paraId="46E956C6" w14:textId="3673A223" w:rsidR="00B17E5F" w:rsidRDefault="00B17E5F" w:rsidP="00260FBB">
      <w:pPr>
        <w:pStyle w:val="Caption"/>
        <w:jc w:val="center"/>
      </w:pPr>
      <w:bookmarkStart w:id="295" w:name="_Toc140403937"/>
      <w:r>
        <w:t xml:space="preserve">Figure </w:t>
      </w:r>
      <w:fldSimple w:instr=" SEQ Figure \* ARABIC ">
        <w:r w:rsidR="00A5526B">
          <w:rPr>
            <w:noProof/>
          </w:rPr>
          <w:t>71</w:t>
        </w:r>
      </w:fldSimple>
      <w:r>
        <w:t xml:space="preserve">: </w:t>
      </w:r>
      <w:r w:rsidRPr="00DA5422">
        <w:t>Operating mode controls for case</w:t>
      </w:r>
      <w:r>
        <w:t xml:space="preserve"> 1 and 2</w:t>
      </w:r>
      <w:bookmarkEnd w:id="295"/>
    </w:p>
    <w:p w14:paraId="00B2B875" w14:textId="77777777" w:rsidR="00B17E5F" w:rsidRDefault="00B17E5F" w:rsidP="00260FBB">
      <w:pPr>
        <w:keepNext/>
        <w:jc w:val="center"/>
      </w:pPr>
      <w:r>
        <w:rPr>
          <w:noProof/>
        </w:rPr>
        <w:drawing>
          <wp:inline distT="0" distB="0" distL="0" distR="0" wp14:anchorId="6204041E" wp14:editId="4F1EE5FD">
            <wp:extent cx="5486400" cy="1169128"/>
            <wp:effectExtent l="0" t="0" r="0" b="0"/>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486400" cy="1169128"/>
                    </a:xfrm>
                    <a:prstGeom prst="rect">
                      <a:avLst/>
                    </a:prstGeom>
                    <a:noFill/>
                  </pic:spPr>
                </pic:pic>
              </a:graphicData>
            </a:graphic>
          </wp:inline>
        </w:drawing>
      </w:r>
    </w:p>
    <w:p w14:paraId="635B21C4" w14:textId="7A2DCE6B" w:rsidR="00B17E5F" w:rsidRDefault="00B17E5F" w:rsidP="00260FBB">
      <w:pPr>
        <w:pStyle w:val="Caption"/>
        <w:jc w:val="center"/>
      </w:pPr>
      <w:bookmarkStart w:id="296" w:name="_Toc140403938"/>
      <w:r>
        <w:t xml:space="preserve">Figure </w:t>
      </w:r>
      <w:fldSimple w:instr=" SEQ Figure \* ARABIC ">
        <w:r w:rsidR="00A5526B">
          <w:rPr>
            <w:noProof/>
          </w:rPr>
          <w:t>72</w:t>
        </w:r>
      </w:fldSimple>
      <w:r>
        <w:t>: SOU controls for case 1</w:t>
      </w:r>
      <w:bookmarkEnd w:id="296"/>
    </w:p>
    <w:p w14:paraId="3A2B3E10" w14:textId="77777777" w:rsidR="00B17E5F" w:rsidRDefault="00B17E5F" w:rsidP="00260FBB">
      <w:pPr>
        <w:keepNext/>
        <w:jc w:val="center"/>
      </w:pPr>
      <w:r>
        <w:rPr>
          <w:noProof/>
        </w:rPr>
        <w:drawing>
          <wp:inline distT="0" distB="0" distL="0" distR="0" wp14:anchorId="6F69F4BF" wp14:editId="4EDF3B6C">
            <wp:extent cx="5486400" cy="1574072"/>
            <wp:effectExtent l="0" t="0" r="0" b="7620"/>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486400" cy="1574072"/>
                    </a:xfrm>
                    <a:prstGeom prst="rect">
                      <a:avLst/>
                    </a:prstGeom>
                    <a:noFill/>
                  </pic:spPr>
                </pic:pic>
              </a:graphicData>
            </a:graphic>
          </wp:inline>
        </w:drawing>
      </w:r>
    </w:p>
    <w:p w14:paraId="27F8B34C" w14:textId="34D8D8CA" w:rsidR="00B17E5F" w:rsidRPr="009E4BBD" w:rsidRDefault="00B17E5F" w:rsidP="00260FBB">
      <w:pPr>
        <w:pStyle w:val="Caption"/>
        <w:jc w:val="center"/>
      </w:pPr>
      <w:bookmarkStart w:id="297" w:name="_Toc140403939"/>
      <w:r>
        <w:t xml:space="preserve">Figure </w:t>
      </w:r>
      <w:fldSimple w:instr=" SEQ Figure \* ARABIC ">
        <w:r w:rsidR="00A5526B">
          <w:rPr>
            <w:noProof/>
          </w:rPr>
          <w:t>73</w:t>
        </w:r>
      </w:fldSimple>
      <w:r>
        <w:t xml:space="preserve">: </w:t>
      </w:r>
      <w:r w:rsidRPr="00AB54AD">
        <w:t xml:space="preserve">SOU controls for case </w:t>
      </w:r>
      <w:r>
        <w:t>2</w:t>
      </w:r>
      <w:bookmarkEnd w:id="297"/>
    </w:p>
    <w:p w14:paraId="22D66EF2" w14:textId="532F1D8E" w:rsidR="00B17E5F" w:rsidRPr="00322E56" w:rsidRDefault="00B17E5F" w:rsidP="002B2AD4">
      <w:pPr>
        <w:spacing w:line="240" w:lineRule="auto"/>
        <w:ind w:firstLine="0"/>
        <w:rPr>
          <w:rFonts w:cs="Times New Roman"/>
          <w:noProof/>
          <w:color w:val="000000" w:themeColor="text1"/>
        </w:rPr>
      </w:pPr>
      <w:bookmarkStart w:id="298" w:name="_Hlk134007640"/>
    </w:p>
    <w:p w14:paraId="176B0DFD" w14:textId="77777777" w:rsidR="00B17E5F" w:rsidRPr="00322E56" w:rsidRDefault="00B17E5F" w:rsidP="00115D9E">
      <w:pPr>
        <w:keepNext/>
        <w:jc w:val="center"/>
        <w:rPr>
          <w:rFonts w:cs="Times New Roman"/>
        </w:rPr>
      </w:pPr>
      <w:r w:rsidRPr="00322E56">
        <w:rPr>
          <w:rFonts w:cs="Times New Roman"/>
          <w:noProof/>
          <w:color w:val="000000" w:themeColor="text1"/>
        </w:rPr>
        <w:drawing>
          <wp:inline distT="0" distB="0" distL="0" distR="0" wp14:anchorId="64F777C6" wp14:editId="04BAC318">
            <wp:extent cx="3657600" cy="3160175"/>
            <wp:effectExtent l="0" t="0" r="0" b="0"/>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657600" cy="3160175"/>
                    </a:xfrm>
                    <a:prstGeom prst="rect">
                      <a:avLst/>
                    </a:prstGeom>
                    <a:noFill/>
                  </pic:spPr>
                </pic:pic>
              </a:graphicData>
            </a:graphic>
          </wp:inline>
        </w:drawing>
      </w:r>
    </w:p>
    <w:p w14:paraId="01044EBF" w14:textId="0BFB834B" w:rsidR="00B17E5F" w:rsidRPr="00322E56" w:rsidRDefault="00B17E5F" w:rsidP="00186D5E">
      <w:pPr>
        <w:pStyle w:val="Caption"/>
        <w:jc w:val="center"/>
        <w:rPr>
          <w:rFonts w:cs="Times New Roman"/>
        </w:rPr>
      </w:pPr>
      <w:bookmarkStart w:id="299" w:name="_Toc140403940"/>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74</w:t>
      </w:r>
      <w:r w:rsidRPr="00322E56">
        <w:rPr>
          <w:rFonts w:cs="Times New Roman"/>
        </w:rPr>
        <w:fldChar w:fldCharType="end"/>
      </w:r>
      <w:r w:rsidRPr="00322E56">
        <w:rPr>
          <w:rFonts w:cs="Times New Roman"/>
        </w:rPr>
        <w:t>: Conceptual figure of HP-TES with building</w:t>
      </w:r>
      <w:bookmarkEnd w:id="299"/>
    </w:p>
    <w:p w14:paraId="1D4DB2D5" w14:textId="77777777" w:rsidR="00B17E5F" w:rsidRDefault="00B17E5F">
      <w:pPr>
        <w:spacing w:line="240" w:lineRule="auto"/>
        <w:jc w:val="left"/>
        <w:rPr>
          <w:rFonts w:cs="Times New Roman"/>
          <w:b/>
          <w:bCs/>
          <w:i/>
          <w:szCs w:val="26"/>
        </w:rPr>
      </w:pPr>
      <w:r>
        <w:rPr>
          <w:rFonts w:cs="Times New Roman"/>
        </w:rPr>
        <w:br w:type="page"/>
      </w:r>
    </w:p>
    <w:p w14:paraId="40CC3415" w14:textId="3C819B49" w:rsidR="002B2AD4" w:rsidRPr="002B2AD4" w:rsidRDefault="002B2AD4" w:rsidP="002B2AD4">
      <w:pPr>
        <w:ind w:firstLine="720"/>
        <w:rPr>
          <w:rFonts w:cs="Times New Roman"/>
          <w:color w:val="000000" w:themeColor="text1"/>
        </w:rPr>
      </w:pPr>
      <w:r w:rsidRPr="00322E56">
        <w:rPr>
          <w:rFonts w:cs="Times New Roman"/>
          <w:color w:val="000000" w:themeColor="text1"/>
        </w:rPr>
        <w:t>The proposed HP-TES can provide load shifting and improve system efficiency in both cooling (summer) and heating (winter) modes. It is expected to achieve 50% demand reduction for up to 4 hours in heating mode, a 35% demand reduction for 2 hours in cooling mode and a 10% year-round efficiency improvement by favorably exploiting diurnal ambient temperature swings.</w:t>
      </w:r>
    </w:p>
    <w:p w14:paraId="48D246C2" w14:textId="4138F2ED" w:rsidR="00B17E5F" w:rsidRDefault="00B17E5F" w:rsidP="006E3716">
      <w:pPr>
        <w:pStyle w:val="Heading3"/>
        <w:rPr>
          <w:rFonts w:cs="Times New Roman"/>
        </w:rPr>
      </w:pPr>
      <w:bookmarkStart w:id="300" w:name="_Toc140399913"/>
      <w:r>
        <w:rPr>
          <w:rFonts w:cs="Times New Roman"/>
        </w:rPr>
        <w:t>Building RC Model</w:t>
      </w:r>
      <w:bookmarkEnd w:id="300"/>
    </w:p>
    <w:p w14:paraId="45F15A5A" w14:textId="03B8458E" w:rsidR="00B17E5F" w:rsidRPr="0026707E" w:rsidRDefault="00B17E5F" w:rsidP="00616C6A">
      <w:pPr>
        <w:rPr>
          <w:rFonts w:cs="Times New Roman"/>
          <w:color w:val="222222"/>
          <w:shd w:val="clear" w:color="auto" w:fill="FFFFFF"/>
        </w:rPr>
      </w:pPr>
      <w:r w:rsidRPr="0026707E">
        <w:rPr>
          <w:rFonts w:cs="Times New Roman"/>
          <w:color w:val="222222"/>
          <w:shd w:val="clear" w:color="auto" w:fill="FFFFFF"/>
        </w:rPr>
        <w:t xml:space="preserve">Multiple different structures exist for modeling the thermal dynamics of a building zone. Among them, the resistance and capacitance (RC) network is a common and popular subclass </w:t>
      </w:r>
      <w:sdt>
        <w:sdtPr>
          <w:rPr>
            <w:rFonts w:cs="Times New Roman"/>
            <w:color w:val="000000"/>
            <w:shd w:val="clear" w:color="auto" w:fill="FFFFFF"/>
          </w:rPr>
          <w:tag w:val="MENDELEY_CITATION_v3_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"/>
          <w:id w:val="-558553480"/>
          <w:placeholder>
            <w:docPart w:val="521A02E0E81D4D2C96FFB9B31BA85261"/>
          </w:placeholder>
        </w:sdtPr>
        <w:sdtContent>
          <w:r w:rsidR="001E7ECF" w:rsidRPr="001E7ECF">
            <w:rPr>
              <w:rFonts w:cs="Times New Roman"/>
              <w:color w:val="000000"/>
              <w:shd w:val="clear" w:color="auto" w:fill="FFFFFF"/>
            </w:rPr>
            <w:t>[216]</w:t>
          </w:r>
        </w:sdtContent>
      </w:sdt>
      <w:r w:rsidRPr="0026707E">
        <w:rPr>
          <w:rFonts w:cs="Times New Roman"/>
          <w:color w:val="222222"/>
          <w:shd w:val="clear" w:color="auto" w:fill="FFFFFF"/>
        </w:rPr>
        <w:t xml:space="preserve">. A RC model is a typical control-oriented grey-box model that can capture adequate thermal behaviors of the system to keep its robustness under different operation conditions </w:t>
      </w:r>
      <w:sdt>
        <w:sdtPr>
          <w:rPr>
            <w:rFonts w:cs="Times New Roman"/>
            <w:color w:val="000000"/>
            <w:shd w:val="clear" w:color="auto" w:fill="FFFFFF"/>
          </w:rPr>
          <w:tag w:val="MENDELEY_CITATION_v3_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"/>
          <w:id w:val="-852033850"/>
          <w:placeholder>
            <w:docPart w:val="521A02E0E81D4D2C96FFB9B31BA85261"/>
          </w:placeholder>
        </w:sdtPr>
        <w:sdtContent>
          <w:r w:rsidR="001E7ECF" w:rsidRPr="001E7ECF">
            <w:rPr>
              <w:rFonts w:cs="Times New Roman"/>
              <w:color w:val="000000"/>
            </w:rPr>
            <w:t>[217]</w:t>
          </w:r>
        </w:sdtContent>
      </w:sdt>
      <w:r w:rsidRPr="0026707E">
        <w:rPr>
          <w:rFonts w:cs="Times New Roman"/>
          <w:color w:val="222222"/>
          <w:shd w:val="clear" w:color="auto" w:fill="FFFFFF"/>
        </w:rPr>
        <w:t xml:space="preserve">, and it has been proven to be quite effective in predicting the thermal response of buildings </w:t>
      </w:r>
      <w:sdt>
        <w:sdtPr>
          <w:rPr>
            <w:rFonts w:cs="Times New Roman"/>
            <w:color w:val="000000"/>
            <w:shd w:val="clear" w:color="auto" w:fill="FFFFFF"/>
          </w:rPr>
          <w:tag w:val="MENDELEY_CITATION_v3_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"/>
          <w:id w:val="-1058169197"/>
          <w:placeholder>
            <w:docPart w:val="521A02E0E81D4D2C96FFB9B31BA85261"/>
          </w:placeholder>
        </w:sdtPr>
        <w:sdtContent>
          <w:r w:rsidR="001E7ECF" w:rsidRPr="001E7ECF">
            <w:rPr>
              <w:rFonts w:cs="Times New Roman"/>
              <w:color w:val="000000"/>
            </w:rPr>
            <w:t>[218]</w:t>
          </w:r>
        </w:sdtContent>
      </w:sdt>
      <w:r w:rsidRPr="0026707E">
        <w:rPr>
          <w:rFonts w:cs="Times New Roman"/>
          <w:color w:val="222222"/>
          <w:shd w:val="clear" w:color="auto" w:fill="FFFFFF"/>
        </w:rPr>
        <w:t xml:space="preserve">. Many studies have identified the thermal parameters of an RC network model for commercial </w:t>
      </w:r>
      <w:sdt>
        <w:sdtPr>
          <w:rPr>
            <w:rFonts w:cs="Times New Roman"/>
            <w:color w:val="000000"/>
            <w:shd w:val="clear" w:color="auto" w:fill="FFFFFF"/>
          </w:rPr>
          <w:tag w:val="MENDELEY_CITATION_v3_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"/>
          <w:id w:val="-569730526"/>
          <w:placeholder>
            <w:docPart w:val="521A02E0E81D4D2C96FFB9B31BA85261"/>
          </w:placeholder>
        </w:sdtPr>
        <w:sdtContent>
          <w:r w:rsidR="001E7ECF" w:rsidRPr="001E7ECF">
            <w:rPr>
              <w:rFonts w:cs="Times New Roman"/>
              <w:color w:val="000000"/>
              <w:shd w:val="clear" w:color="auto" w:fill="FFFFFF"/>
            </w:rPr>
            <w:t>[219]</w:t>
          </w:r>
        </w:sdtContent>
      </w:sdt>
      <w:r w:rsidRPr="0026707E">
        <w:rPr>
          <w:rFonts w:cs="Times New Roman"/>
          <w:color w:val="222222"/>
          <w:shd w:val="clear" w:color="auto" w:fill="FFFFFF"/>
        </w:rPr>
        <w:t xml:space="preserve"> and residential buildings </w:t>
      </w:r>
      <w:sdt>
        <w:sdtPr>
          <w:rPr>
            <w:rFonts w:cs="Times New Roman"/>
            <w:color w:val="000000"/>
            <w:shd w:val="clear" w:color="auto" w:fill="FFFFFF"/>
          </w:rPr>
          <w:tag w:val="MENDELEY_CITATION_v3_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"/>
          <w:id w:val="-1949302113"/>
          <w:placeholder>
            <w:docPart w:val="521A02E0E81D4D2C96FFB9B31BA85261"/>
          </w:placeholder>
        </w:sdtPr>
        <w:sdtContent>
          <w:r w:rsidR="001E7ECF" w:rsidRPr="001E7ECF">
            <w:rPr>
              <w:rFonts w:cs="Times New Roman"/>
              <w:color w:val="000000"/>
              <w:shd w:val="clear" w:color="auto" w:fill="FFFFFF"/>
            </w:rPr>
            <w:t>[220]</w:t>
          </w:r>
        </w:sdtContent>
      </w:sdt>
      <w:r w:rsidRPr="0026707E">
        <w:rPr>
          <w:rFonts w:cs="Times New Roman"/>
          <w:color w:val="222222"/>
          <w:shd w:val="clear" w:color="auto" w:fill="FFFFFF"/>
        </w:rPr>
        <w:t xml:space="preserve">. RC models have been widely used for MPCs </w:t>
      </w:r>
      <w:sdt>
        <w:sdtPr>
          <w:rPr>
            <w:rFonts w:cs="Times New Roman"/>
            <w:color w:val="000000"/>
            <w:shd w:val="clear" w:color="auto" w:fill="FFFFFF"/>
          </w:rPr>
          <w:tag w:val="MENDELEY_CITATION_v3_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"/>
          <w:id w:val="-1167702515"/>
          <w:placeholder>
            <w:docPart w:val="521A02E0E81D4D2C96FFB9B31BA85261"/>
          </w:placeholder>
        </w:sdtPr>
        <w:sdtContent>
          <w:r w:rsidR="001E7ECF" w:rsidRPr="001E7ECF">
            <w:rPr>
              <w:rFonts w:cs="Times New Roman"/>
              <w:color w:val="000000"/>
              <w:shd w:val="clear" w:color="auto" w:fill="FFFFFF"/>
            </w:rPr>
            <w:t>[219]</w:t>
          </w:r>
        </w:sdtContent>
      </w:sdt>
      <w:r w:rsidRPr="0026707E">
        <w:rPr>
          <w:rFonts w:cs="Times New Roman"/>
          <w:color w:val="222222"/>
          <w:shd w:val="clear" w:color="auto" w:fill="FFFFFF"/>
        </w:rPr>
        <w:t xml:space="preserve"> since they can be developed in first-order differential equations containing undetermined parameters and that can be easily transformed to a discretized </w:t>
      </w:r>
      <w:r w:rsidRPr="0026707E">
        <w:rPr>
          <w:rFonts w:cs="Times New Roman"/>
          <w:iCs/>
          <w:color w:val="222222"/>
          <w:shd w:val="clear" w:color="auto" w:fill="FFFFFF"/>
        </w:rPr>
        <w:t>state-space model (SSM)</w:t>
      </w:r>
      <w:r w:rsidRPr="0026707E">
        <w:rPr>
          <w:rFonts w:cs="Times New Roman"/>
          <w:color w:val="222222"/>
          <w:shd w:val="clear" w:color="auto" w:fill="FFFFFF"/>
        </w:rPr>
        <w:t>.</w:t>
      </w:r>
    </w:p>
    <w:p w14:paraId="572416FF" w14:textId="77777777" w:rsidR="00B17E5F" w:rsidRPr="0026707E" w:rsidRDefault="00B17E5F" w:rsidP="00616C6A">
      <w:pPr>
        <w:rPr>
          <w:rFonts w:cs="Times New Roman"/>
        </w:rPr>
      </w:pPr>
      <w:r w:rsidRPr="0026707E">
        <w:rPr>
          <w:rFonts w:cs="Times New Roman"/>
          <w:color w:val="222222"/>
          <w:shd w:val="clear" w:color="auto" w:fill="FFFFFF"/>
        </w:rPr>
        <w:t>In this study, a control-oriented RC model was developed for room 104 in FRP building. The schematic of the model is shown in Fig</w:t>
      </w:r>
      <w:r>
        <w:rPr>
          <w:rFonts w:cs="Times New Roman"/>
          <w:color w:val="222222"/>
          <w:shd w:val="clear" w:color="auto" w:fill="FFFFFF"/>
        </w:rPr>
        <w:t>ure 75.</w:t>
      </w:r>
      <w:r w:rsidRPr="0026707E">
        <w:rPr>
          <w:rFonts w:cs="Times New Roman"/>
          <w:color w:val="222222"/>
          <w:shd w:val="clear" w:color="auto" w:fill="FFFFFF"/>
        </w:rPr>
        <w:t xml:space="preserve"> </w:t>
      </w:r>
      <w:r w:rsidRPr="0026707E">
        <w:rPr>
          <w:rFonts w:cs="Times New Roman"/>
        </w:rPr>
        <w:t>This gray-box model is used to predict the mean indoor air temperature (</w:t>
      </w:r>
      <w:r w:rsidRPr="0026707E">
        <w:rPr>
          <w:rFonts w:cs="Times New Roman"/>
          <w:i/>
          <w:iCs/>
        </w:rPr>
        <w:t>T</w:t>
      </w:r>
      <w:r w:rsidRPr="0026707E">
        <w:rPr>
          <w:rFonts w:cs="Times New Roman"/>
          <w:i/>
          <w:iCs/>
          <w:vertAlign w:val="subscript"/>
        </w:rPr>
        <w:t>in</w:t>
      </w:r>
      <w:r w:rsidRPr="0026707E">
        <w:rPr>
          <w:rFonts w:cs="Times New Roman"/>
        </w:rPr>
        <w:t>).</w:t>
      </w:r>
      <w:r w:rsidRPr="0026707E">
        <w:rPr>
          <w:rFonts w:cs="Times New Roman"/>
          <w:color w:val="222222"/>
          <w:shd w:val="clear" w:color="auto" w:fill="FFFFFF"/>
        </w:rPr>
        <w:t xml:space="preserve"> The model consists of four states: </w:t>
      </w:r>
      <w:r w:rsidRPr="0026707E">
        <w:rPr>
          <w:rFonts w:cs="Times New Roman"/>
        </w:rPr>
        <w:t>mean indoor air temperature (</w:t>
      </w:r>
      <w:r w:rsidRPr="0026707E">
        <w:rPr>
          <w:rFonts w:cs="Times New Roman"/>
          <w:i/>
          <w:iCs/>
        </w:rPr>
        <w:t>T</w:t>
      </w:r>
      <w:r w:rsidRPr="0026707E">
        <w:rPr>
          <w:rFonts w:cs="Times New Roman"/>
          <w:i/>
          <w:iCs/>
          <w:vertAlign w:val="subscript"/>
        </w:rPr>
        <w:t>in</w:t>
      </w:r>
      <w:r w:rsidRPr="0026707E">
        <w:rPr>
          <w:rFonts w:cs="Times New Roman"/>
        </w:rPr>
        <w:t xml:space="preserve">), mean north </w:t>
      </w:r>
      <w:r w:rsidRPr="0026707E">
        <w:rPr>
          <w:rFonts w:cs="Times New Roman"/>
          <w:lang w:val="en-GB"/>
        </w:rPr>
        <w:t>exterior wall</w:t>
      </w:r>
      <w:r w:rsidRPr="0026707E">
        <w:rPr>
          <w:rFonts w:cs="Times New Roman"/>
        </w:rPr>
        <w:t xml:space="preserve"> temperature (</w:t>
      </w:r>
      <w:r w:rsidRPr="0026707E">
        <w:rPr>
          <w:rFonts w:cs="Times New Roman"/>
          <w:i/>
          <w:iCs/>
        </w:rPr>
        <w:t>T</w:t>
      </w:r>
      <w:r w:rsidRPr="0026707E">
        <w:rPr>
          <w:rFonts w:cs="Times New Roman"/>
          <w:i/>
          <w:iCs/>
          <w:vertAlign w:val="subscript"/>
        </w:rPr>
        <w:t>wall_N</w:t>
      </w:r>
      <w:r w:rsidRPr="0026707E">
        <w:rPr>
          <w:rFonts w:cs="Times New Roman"/>
        </w:rPr>
        <w:t xml:space="preserve">), mean west </w:t>
      </w:r>
      <w:r w:rsidRPr="0026707E">
        <w:rPr>
          <w:rFonts w:cs="Times New Roman"/>
          <w:lang w:val="en-GB"/>
        </w:rPr>
        <w:t>exterior wall</w:t>
      </w:r>
      <w:r w:rsidRPr="0026707E">
        <w:rPr>
          <w:rFonts w:cs="Times New Roman"/>
        </w:rPr>
        <w:t xml:space="preserve"> temperature (</w:t>
      </w:r>
      <w:r w:rsidRPr="0026707E">
        <w:rPr>
          <w:rFonts w:cs="Times New Roman"/>
          <w:i/>
          <w:iCs/>
        </w:rPr>
        <w:t>T</w:t>
      </w:r>
      <w:r w:rsidRPr="0026707E">
        <w:rPr>
          <w:rFonts w:cs="Times New Roman"/>
          <w:i/>
          <w:iCs/>
          <w:vertAlign w:val="subscript"/>
        </w:rPr>
        <w:t>wall_W</w:t>
      </w:r>
      <w:r w:rsidRPr="0026707E">
        <w:rPr>
          <w:rFonts w:cs="Times New Roman"/>
        </w:rPr>
        <w:t>) and mean internal thermal mass temperature (</w:t>
      </w:r>
      <w:r w:rsidRPr="0026707E">
        <w:rPr>
          <w:rFonts w:cs="Times New Roman"/>
          <w:i/>
          <w:iCs/>
        </w:rPr>
        <w:t>T</w:t>
      </w:r>
      <w:r w:rsidRPr="0026707E">
        <w:rPr>
          <w:rFonts w:cs="Times New Roman"/>
          <w:i/>
          <w:iCs/>
          <w:vertAlign w:val="subscript"/>
        </w:rPr>
        <w:t>mass</w:t>
      </w:r>
      <w:r w:rsidRPr="0026707E">
        <w:rPr>
          <w:rFonts w:cs="Times New Roman"/>
        </w:rPr>
        <w:t>).</w:t>
      </w:r>
    </w:p>
    <w:p w14:paraId="689CB981" w14:textId="70A009EF" w:rsidR="00B25167" w:rsidRDefault="00B17E5F" w:rsidP="00B25167">
      <w:pPr>
        <w:rPr>
          <w:rFonts w:cs="Times New Roman"/>
        </w:rPr>
      </w:pPr>
      <w:r w:rsidRPr="0026707E">
        <w:rPr>
          <w:rFonts w:cs="Times New Roman"/>
        </w:rPr>
        <w:t xml:space="preserve">Exterior walls should be considered respectively according to their orientations because the dynamic models of exterior walls at different orientations have different forcing functions (differential equations) due to the changing position of the sun </w:t>
      </w:r>
      <w:sdt>
        <w:sdtPr>
          <w:rPr>
            <w:rFonts w:cs="Times New Roman"/>
            <w:color w:val="000000"/>
          </w:rPr>
          <w:tag w:val="MENDELEY_CITATION_v3_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"/>
          <w:id w:val="1606380734"/>
          <w:placeholder>
            <w:docPart w:val="521A02E0E81D4D2C96FFB9B31BA85261"/>
          </w:placeholder>
        </w:sdtPr>
        <w:sdtContent>
          <w:r w:rsidR="001E7ECF" w:rsidRPr="001E7ECF">
            <w:rPr>
              <w:rFonts w:cs="Times New Roman"/>
              <w:color w:val="000000"/>
            </w:rPr>
            <w:t>[221]</w:t>
          </w:r>
        </w:sdtContent>
      </w:sdt>
      <w:r w:rsidRPr="0026707E">
        <w:rPr>
          <w:rFonts w:cs="Times New Roman"/>
        </w:rPr>
        <w:t>. Therefore, the exterior building envelope was split into two parts based on their orientations.</w:t>
      </w:r>
    </w:p>
    <w:p w14:paraId="3CCF175D" w14:textId="77777777" w:rsidR="00B25167" w:rsidRDefault="00B25167" w:rsidP="00B25167">
      <w:pPr>
        <w:keepNext/>
        <w:ind w:firstLine="0"/>
        <w:jc w:val="center"/>
      </w:pPr>
      <w:r>
        <w:rPr>
          <w:rFonts w:cs="Times New Roman"/>
        </w:rPr>
        <w:br w:type="page"/>
      </w:r>
      <w:r w:rsidRPr="00DC1E53">
        <w:rPr>
          <w:noProof/>
        </w:rPr>
        <w:drawing>
          <wp:inline distT="0" distB="0" distL="0" distR="0" wp14:anchorId="6297E313" wp14:editId="77EF3DBE">
            <wp:extent cx="5486400" cy="3603625"/>
            <wp:effectExtent l="0" t="0" r="0" b="0"/>
            <wp:docPr id="1053" name="Picture 1053" descr="A black screen with blue text&#10;&#10;Description automatically generated">
              <a:extLst xmlns:a="http://schemas.openxmlformats.org/drawingml/2006/main">
                <a:ext uri="{FF2B5EF4-FFF2-40B4-BE49-F238E27FC236}">
                  <a16:creationId xmlns:a16="http://schemas.microsoft.com/office/drawing/2014/main" id="{7475A908-C4CF-969E-486A-5A597EAD0E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 name="Picture 1053" descr="A black screen with blue text&#10;&#10;Description automatically generated">
                      <a:extLst>
                        <a:ext uri="{FF2B5EF4-FFF2-40B4-BE49-F238E27FC236}">
                          <a16:creationId xmlns:a16="http://schemas.microsoft.com/office/drawing/2014/main" id="{7475A908-C4CF-969E-486A-5A597EAD0E71}"/>
                        </a:ext>
                      </a:extLst>
                    </pic:cNvPr>
                    <pic:cNvPicPr>
                      <a:picLocks noChangeAspect="1"/>
                    </pic:cNvPicPr>
                  </pic:nvPicPr>
                  <pic:blipFill>
                    <a:blip r:embed="rId106"/>
                    <a:stretch>
                      <a:fillRect/>
                    </a:stretch>
                  </pic:blipFill>
                  <pic:spPr>
                    <a:xfrm>
                      <a:off x="0" y="0"/>
                      <a:ext cx="5486400" cy="3603625"/>
                    </a:xfrm>
                    <a:prstGeom prst="rect">
                      <a:avLst/>
                    </a:prstGeom>
                  </pic:spPr>
                </pic:pic>
              </a:graphicData>
            </a:graphic>
          </wp:inline>
        </w:drawing>
      </w:r>
    </w:p>
    <w:p w14:paraId="6FC01124" w14:textId="37AC85C1" w:rsidR="00B25167" w:rsidRDefault="00B25167" w:rsidP="00B25167">
      <w:pPr>
        <w:pStyle w:val="Caption"/>
        <w:ind w:firstLine="0"/>
        <w:jc w:val="center"/>
      </w:pPr>
      <w:bookmarkStart w:id="301" w:name="_Toc140403941"/>
      <w:r>
        <w:t xml:space="preserve">Figure </w:t>
      </w:r>
      <w:fldSimple w:instr=" SEQ Figure \* ARABIC ">
        <w:r w:rsidR="00A5526B">
          <w:rPr>
            <w:noProof/>
          </w:rPr>
          <w:t>75</w:t>
        </w:r>
      </w:fldSimple>
      <w:r>
        <w:t xml:space="preserve">: </w:t>
      </w:r>
      <w:r w:rsidRPr="0077684B">
        <w:t>Schematic of the simplified building thermal network model</w:t>
      </w:r>
      <w:bookmarkEnd w:id="301"/>
    </w:p>
    <w:p w14:paraId="5A66A1AC" w14:textId="2B853A21" w:rsidR="00B17E5F" w:rsidRPr="0026707E" w:rsidRDefault="00B25167" w:rsidP="00B25167">
      <w:pPr>
        <w:spacing w:before="0" w:line="240" w:lineRule="auto"/>
        <w:ind w:firstLine="0"/>
        <w:jc w:val="left"/>
        <w:rPr>
          <w:rFonts w:cs="Times New Roman"/>
        </w:rPr>
      </w:pPr>
      <w:r>
        <w:rPr>
          <w:rFonts w:cs="Times New Roman"/>
        </w:rPr>
        <w:br w:type="page"/>
      </w:r>
    </w:p>
    <w:p w14:paraId="09B93A58" w14:textId="77777777" w:rsidR="00B17E5F" w:rsidRPr="0026707E" w:rsidRDefault="00B17E5F" w:rsidP="00616C6A">
      <w:pPr>
        <w:rPr>
          <w:rFonts w:cs="Times New Roman"/>
          <w:color w:val="222222"/>
          <w:shd w:val="clear" w:color="auto" w:fill="FFFFFF"/>
        </w:rPr>
      </w:pPr>
      <w:r w:rsidRPr="0026707E">
        <w:rPr>
          <w:rFonts w:cs="Times New Roman"/>
        </w:rPr>
        <w:t>The heat transfer in the building model is described using the following set of first-order differential equations:</w:t>
      </w:r>
    </w:p>
    <w:p w14:paraId="21FFE569" w14:textId="6C3E6976" w:rsidR="00B17E5F" w:rsidRDefault="00000000" w:rsidP="00616C6A">
      <w:pPr>
        <w:rPr>
          <w:rFonts w:cs="Times New Roman"/>
          <w:iCs/>
        </w:rPr>
      </w:pPr>
      <m:oMath>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in</m:t>
            </m:r>
          </m:sub>
        </m:sSub>
        <m:f>
          <m:fPr>
            <m:ctrlPr>
              <w:rPr>
                <w:rFonts w:ascii="Cambria Math" w:hAnsi="Cambria Math" w:cs="Times New Roman"/>
                <w:i/>
                <w:iCs/>
              </w:rPr>
            </m:ctrlPr>
          </m:fPr>
          <m:num>
            <m:r>
              <w:rPr>
                <w:rFonts w:ascii="Cambria Math" w:hAnsi="Cambria Math" w:cs="Times New Roman"/>
              </w:rPr>
              <m:t>d</m:t>
            </m:r>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in</m:t>
                </m:r>
              </m:sub>
            </m:sSub>
            <m:r>
              <w:rPr>
                <w:rFonts w:ascii="Cambria Math" w:hAnsi="Cambria Math" w:cs="Times New Roman"/>
              </w:rPr>
              <m:t>(t)</m:t>
            </m:r>
          </m:num>
          <m:den>
            <m:r>
              <w:rPr>
                <w:rFonts w:ascii="Cambria Math" w:hAnsi="Cambria Math" w:cs="Times New Roman"/>
              </w:rPr>
              <m:t>dt</m:t>
            </m:r>
          </m:den>
        </m:f>
        <m:r>
          <w:rPr>
            <w:rFonts w:ascii="Cambria Math" w:hAnsi="Cambria Math" w:cs="Times New Roman"/>
          </w:rPr>
          <m:t>=</m:t>
        </m:r>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wall_N</m:t>
                </m:r>
              </m:sub>
            </m:sSub>
            <m:d>
              <m:dPr>
                <m:ctrlPr>
                  <w:rPr>
                    <w:rFonts w:ascii="Cambria Math" w:hAnsi="Cambria Math" w:cs="Times New Roman"/>
                    <w:i/>
                    <w:iCs/>
                  </w:rPr>
                </m:ctrlPr>
              </m:dPr>
              <m:e>
                <m:r>
                  <w:rPr>
                    <w:rFonts w:ascii="Cambria Math" w:hAnsi="Cambria Math" w:cs="Times New Roman"/>
                  </w:rPr>
                  <m:t>t</m:t>
                </m:r>
              </m:e>
            </m:d>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in</m:t>
                </m:r>
              </m:sub>
            </m:sSub>
            <m:d>
              <m:dPr>
                <m:ctrlPr>
                  <w:rPr>
                    <w:rFonts w:ascii="Cambria Math" w:hAnsi="Cambria Math" w:cs="Times New Roman"/>
                    <w:i/>
                    <w:iCs/>
                  </w:rPr>
                </m:ctrlPr>
              </m:dPr>
              <m:e>
                <m:r>
                  <w:rPr>
                    <w:rFonts w:ascii="Cambria Math" w:hAnsi="Cambria Math" w:cs="Times New Roman"/>
                  </w:rPr>
                  <m:t>t</m:t>
                </m:r>
              </m:e>
            </m:d>
          </m:num>
          <m:den>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wall_N</m:t>
                </m:r>
              </m:sub>
            </m:sSub>
          </m:den>
        </m:f>
        <m:r>
          <w:rPr>
            <w:rFonts w:ascii="Cambria Math" w:hAnsi="Cambria Math" w:cs="Times New Roman"/>
          </w:rPr>
          <m:t>+</m:t>
        </m:r>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wall_W</m:t>
                </m:r>
              </m:sub>
            </m:sSub>
            <m:d>
              <m:dPr>
                <m:ctrlPr>
                  <w:rPr>
                    <w:rFonts w:ascii="Cambria Math" w:hAnsi="Cambria Math" w:cs="Times New Roman"/>
                    <w:i/>
                    <w:iCs/>
                  </w:rPr>
                </m:ctrlPr>
              </m:dPr>
              <m:e>
                <m:r>
                  <w:rPr>
                    <w:rFonts w:ascii="Cambria Math" w:hAnsi="Cambria Math" w:cs="Times New Roman"/>
                  </w:rPr>
                  <m:t>t</m:t>
                </m:r>
              </m:e>
            </m:d>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in</m:t>
                </m:r>
              </m:sub>
            </m:sSub>
            <m:d>
              <m:dPr>
                <m:ctrlPr>
                  <w:rPr>
                    <w:rFonts w:ascii="Cambria Math" w:hAnsi="Cambria Math" w:cs="Times New Roman"/>
                    <w:i/>
                    <w:iCs/>
                  </w:rPr>
                </m:ctrlPr>
              </m:dPr>
              <m:e>
                <m:r>
                  <w:rPr>
                    <w:rFonts w:ascii="Cambria Math" w:hAnsi="Cambria Math" w:cs="Times New Roman"/>
                  </w:rPr>
                  <m:t>t</m:t>
                </m:r>
              </m:e>
            </m:d>
          </m:num>
          <m:den>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wall_W</m:t>
                </m:r>
              </m:sub>
            </m:sSub>
          </m:den>
        </m:f>
        <m:r>
          <w:rPr>
            <w:rFonts w:ascii="Cambria Math" w:hAnsi="Cambria Math" w:cs="Times New Roman"/>
          </w:rPr>
          <m:t>+</m:t>
        </m:r>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mass</m:t>
                </m:r>
              </m:sub>
            </m:sSub>
            <m:d>
              <m:dPr>
                <m:ctrlPr>
                  <w:rPr>
                    <w:rFonts w:ascii="Cambria Math" w:hAnsi="Cambria Math" w:cs="Times New Roman"/>
                    <w:i/>
                    <w:iCs/>
                  </w:rPr>
                </m:ctrlPr>
              </m:dPr>
              <m:e>
                <m:r>
                  <w:rPr>
                    <w:rFonts w:ascii="Cambria Math" w:hAnsi="Cambria Math" w:cs="Times New Roman"/>
                  </w:rPr>
                  <m:t>t</m:t>
                </m:r>
              </m:e>
            </m:d>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in</m:t>
                </m:r>
              </m:sub>
            </m:sSub>
            <m:d>
              <m:dPr>
                <m:ctrlPr>
                  <w:rPr>
                    <w:rFonts w:ascii="Cambria Math" w:hAnsi="Cambria Math" w:cs="Times New Roman"/>
                    <w:i/>
                    <w:iCs/>
                  </w:rPr>
                </m:ctrlPr>
              </m:dPr>
              <m:e>
                <m:r>
                  <w:rPr>
                    <w:rFonts w:ascii="Cambria Math" w:hAnsi="Cambria Math" w:cs="Times New Roman"/>
                  </w:rPr>
                  <m:t>t</m:t>
                </m:r>
              </m:e>
            </m:d>
          </m:num>
          <m:den>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mass</m:t>
                </m:r>
              </m:sub>
            </m:sSub>
          </m:den>
        </m:f>
        <m:r>
          <w:rPr>
            <w:rFonts w:ascii="Cambria Math" w:hAnsi="Cambria Math" w:cs="Times New Roman"/>
          </w:rPr>
          <m:t>+</m:t>
        </m:r>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amb</m:t>
                </m:r>
              </m:sub>
            </m:sSub>
            <m:d>
              <m:dPr>
                <m:ctrlPr>
                  <w:rPr>
                    <w:rFonts w:ascii="Cambria Math" w:hAnsi="Cambria Math" w:cs="Times New Roman"/>
                    <w:i/>
                    <w:iCs/>
                  </w:rPr>
                </m:ctrlPr>
              </m:dPr>
              <m:e>
                <m:r>
                  <w:rPr>
                    <w:rFonts w:ascii="Cambria Math" w:hAnsi="Cambria Math" w:cs="Times New Roman"/>
                  </w:rPr>
                  <m:t>t</m:t>
                </m:r>
              </m:e>
            </m:d>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in</m:t>
                </m:r>
              </m:sub>
            </m:sSub>
            <m:d>
              <m:dPr>
                <m:ctrlPr>
                  <w:rPr>
                    <w:rFonts w:ascii="Cambria Math" w:hAnsi="Cambria Math" w:cs="Times New Roman"/>
                    <w:i/>
                    <w:iCs/>
                  </w:rPr>
                </m:ctrlPr>
              </m:dPr>
              <m:e>
                <m:r>
                  <w:rPr>
                    <w:rFonts w:ascii="Cambria Math" w:hAnsi="Cambria Math" w:cs="Times New Roman"/>
                  </w:rPr>
                  <m:t>t</m:t>
                </m:r>
              </m:e>
            </m:d>
          </m:num>
          <m:den>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win</m:t>
                </m:r>
              </m:sub>
            </m:sSub>
          </m:den>
        </m:f>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Q</m:t>
            </m:r>
          </m:e>
          <m:sub>
            <m:r>
              <w:rPr>
                <w:rFonts w:ascii="Cambria Math" w:hAnsi="Cambria Math" w:cs="Times New Roman"/>
              </w:rPr>
              <m:t>AC, air</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AC, air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Q</m:t>
            </m:r>
          </m:e>
          <m:sub>
            <m:r>
              <w:rPr>
                <w:rFonts w:ascii="Cambria Math" w:hAnsi="Cambria Math" w:cs="Times New Roman"/>
              </w:rPr>
              <m:t>IHL,air</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IHL,air</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Q</m:t>
            </m:r>
          </m:e>
          <m:sub>
            <m:r>
              <w:rPr>
                <w:rFonts w:ascii="Cambria Math" w:hAnsi="Cambria Math" w:cs="Times New Roman"/>
              </w:rPr>
              <m:t>solar, air</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solar,air</m:t>
            </m:r>
          </m:sub>
        </m:sSub>
      </m:oMath>
      <w:r w:rsidR="00B17E5F" w:rsidRPr="0026707E">
        <w:rPr>
          <w:rFonts w:cs="Times New Roman"/>
          <w:iCs/>
        </w:rPr>
        <w:ptab w:relativeTo="margin" w:alignment="right" w:leader="none"/>
      </w:r>
      <w:r w:rsidR="00B17E5F" w:rsidRPr="0026707E">
        <w:rPr>
          <w:rFonts w:cs="Times New Roman"/>
          <w:iCs/>
        </w:rPr>
        <w:t>(</w:t>
      </w:r>
      <w:r w:rsidR="00BA43D9">
        <w:rPr>
          <w:rFonts w:cs="Times New Roman"/>
          <w:iCs/>
        </w:rPr>
        <w:t>54</w:t>
      </w:r>
      <w:r w:rsidR="00B17E5F" w:rsidRPr="0026707E">
        <w:rPr>
          <w:rFonts w:cs="Times New Roman"/>
          <w:iCs/>
        </w:rPr>
        <w:t>)</w:t>
      </w:r>
    </w:p>
    <w:p w14:paraId="7110C3C2" w14:textId="77777777" w:rsidR="00B17E5F" w:rsidRPr="0026707E" w:rsidRDefault="00B17E5F" w:rsidP="00616C6A">
      <w:pPr>
        <w:rPr>
          <w:rFonts w:cs="Times New Roman"/>
        </w:rPr>
      </w:pPr>
    </w:p>
    <w:p w14:paraId="2B32E8C8" w14:textId="74652404" w:rsidR="00B17E5F" w:rsidRDefault="00B17E5F" w:rsidP="00616C6A">
      <w:pPr>
        <w:rPr>
          <w:rFonts w:cs="Times New Roman"/>
          <w:iCs/>
        </w:rPr>
      </w:pPr>
      <w:r w:rsidRPr="0026707E">
        <w:rPr>
          <w:rFonts w:cs="Times New Roman"/>
          <w:iCs/>
        </w:rPr>
        <w:ptab w:relativeTo="margin" w:alignment="center" w:leader="none"/>
      </w:r>
      <m:oMath>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wall_N</m:t>
            </m:r>
          </m:sub>
        </m:sSub>
        <m:f>
          <m:fPr>
            <m:ctrlPr>
              <w:rPr>
                <w:rFonts w:ascii="Cambria Math" w:hAnsi="Cambria Math" w:cs="Times New Roman"/>
                <w:i/>
                <w:iCs/>
              </w:rPr>
            </m:ctrlPr>
          </m:fPr>
          <m:num>
            <m:r>
              <w:rPr>
                <w:rFonts w:ascii="Cambria Math" w:hAnsi="Cambria Math" w:cs="Times New Roman"/>
              </w:rPr>
              <m:t>d</m:t>
            </m:r>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wall_N</m:t>
                </m:r>
              </m:sub>
            </m:sSub>
            <m:r>
              <w:rPr>
                <w:rFonts w:ascii="Cambria Math" w:hAnsi="Cambria Math" w:cs="Times New Roman"/>
              </w:rPr>
              <m:t>(t)</m:t>
            </m:r>
          </m:num>
          <m:den>
            <m:r>
              <w:rPr>
                <w:rFonts w:ascii="Cambria Math" w:hAnsi="Cambria Math" w:cs="Times New Roman"/>
              </w:rPr>
              <m:t>dt</m:t>
            </m:r>
          </m:den>
        </m:f>
        <m:r>
          <w:rPr>
            <w:rFonts w:ascii="Cambria Math" w:hAnsi="Cambria Math" w:cs="Times New Roman"/>
          </w:rPr>
          <m:t>=</m:t>
        </m:r>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sol,N</m:t>
                </m:r>
              </m:sub>
            </m:sSub>
            <m:d>
              <m:dPr>
                <m:ctrlPr>
                  <w:rPr>
                    <w:rFonts w:ascii="Cambria Math" w:hAnsi="Cambria Math" w:cs="Times New Roman"/>
                    <w:i/>
                    <w:iCs/>
                  </w:rPr>
                </m:ctrlPr>
              </m:dPr>
              <m:e>
                <m:r>
                  <w:rPr>
                    <w:rFonts w:ascii="Cambria Math" w:hAnsi="Cambria Math" w:cs="Times New Roman"/>
                  </w:rPr>
                  <m:t>t</m:t>
                </m:r>
              </m:e>
            </m:d>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wall_N</m:t>
                </m:r>
              </m:sub>
            </m:sSub>
            <m:d>
              <m:dPr>
                <m:ctrlPr>
                  <w:rPr>
                    <w:rFonts w:ascii="Cambria Math" w:hAnsi="Cambria Math" w:cs="Times New Roman"/>
                    <w:i/>
                    <w:iCs/>
                  </w:rPr>
                </m:ctrlPr>
              </m:dPr>
              <m:e>
                <m:r>
                  <w:rPr>
                    <w:rFonts w:ascii="Cambria Math" w:hAnsi="Cambria Math" w:cs="Times New Roman"/>
                  </w:rPr>
                  <m:t>t</m:t>
                </m:r>
              </m:e>
            </m:d>
          </m:num>
          <m:den>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wall_N2</m:t>
                </m:r>
              </m:sub>
            </m:sSub>
          </m:den>
        </m:f>
        <m:r>
          <w:rPr>
            <w:rFonts w:ascii="Cambria Math" w:hAnsi="Cambria Math" w:cs="Times New Roman"/>
          </w:rPr>
          <m:t>-</m:t>
        </m:r>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wall_N</m:t>
                </m:r>
              </m:sub>
            </m:sSub>
            <m:d>
              <m:dPr>
                <m:ctrlPr>
                  <w:rPr>
                    <w:rFonts w:ascii="Cambria Math" w:hAnsi="Cambria Math" w:cs="Times New Roman"/>
                    <w:i/>
                    <w:iCs/>
                  </w:rPr>
                </m:ctrlPr>
              </m:dPr>
              <m:e>
                <m:r>
                  <w:rPr>
                    <w:rFonts w:ascii="Cambria Math" w:hAnsi="Cambria Math" w:cs="Times New Roman"/>
                  </w:rPr>
                  <m:t>t</m:t>
                </m:r>
              </m:e>
            </m:d>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in</m:t>
                </m:r>
              </m:sub>
            </m:sSub>
            <m:d>
              <m:dPr>
                <m:ctrlPr>
                  <w:rPr>
                    <w:rFonts w:ascii="Cambria Math" w:hAnsi="Cambria Math" w:cs="Times New Roman"/>
                    <w:i/>
                    <w:iCs/>
                  </w:rPr>
                </m:ctrlPr>
              </m:dPr>
              <m:e>
                <m:r>
                  <w:rPr>
                    <w:rFonts w:ascii="Cambria Math" w:hAnsi="Cambria Math" w:cs="Times New Roman"/>
                  </w:rPr>
                  <m:t>t</m:t>
                </m:r>
              </m:e>
            </m:d>
          </m:num>
          <m:den>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wall_N1</m:t>
                </m:r>
              </m:sub>
            </m:sSub>
          </m:den>
        </m:f>
      </m:oMath>
      <w:r w:rsidRPr="0026707E">
        <w:rPr>
          <w:rFonts w:cs="Times New Roman"/>
          <w:iCs/>
        </w:rPr>
        <w:ptab w:relativeTo="margin" w:alignment="right" w:leader="none"/>
      </w:r>
      <w:r w:rsidRPr="0026707E">
        <w:rPr>
          <w:rFonts w:cs="Times New Roman"/>
          <w:iCs/>
        </w:rPr>
        <w:t>(</w:t>
      </w:r>
      <w:r w:rsidR="00BA43D9">
        <w:rPr>
          <w:rFonts w:cs="Times New Roman"/>
          <w:iCs/>
        </w:rPr>
        <w:t>55</w:t>
      </w:r>
      <w:r w:rsidRPr="0026707E">
        <w:rPr>
          <w:rFonts w:cs="Times New Roman"/>
          <w:iCs/>
        </w:rPr>
        <w:t>)</w:t>
      </w:r>
    </w:p>
    <w:p w14:paraId="5B190B82" w14:textId="77777777" w:rsidR="00B17E5F" w:rsidRPr="0026707E" w:rsidRDefault="00B17E5F" w:rsidP="00616C6A">
      <w:pPr>
        <w:rPr>
          <w:rFonts w:cs="Times New Roman"/>
          <w:iCs/>
        </w:rPr>
      </w:pPr>
    </w:p>
    <w:p w14:paraId="6ADB65AC" w14:textId="2D9BA867" w:rsidR="00B17E5F" w:rsidRDefault="00000000" w:rsidP="00616C6A">
      <w:pPr>
        <w:jc w:val="right"/>
        <w:rPr>
          <w:rFonts w:cs="Times New Roman"/>
          <w:iCs/>
        </w:rPr>
      </w:pPr>
      <m:oMath>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wall_W</m:t>
            </m:r>
          </m:sub>
        </m:sSub>
        <m:f>
          <m:fPr>
            <m:ctrlPr>
              <w:rPr>
                <w:rFonts w:ascii="Cambria Math" w:hAnsi="Cambria Math" w:cs="Times New Roman"/>
                <w:i/>
                <w:iCs/>
              </w:rPr>
            </m:ctrlPr>
          </m:fPr>
          <m:num>
            <m:r>
              <w:rPr>
                <w:rFonts w:ascii="Cambria Math" w:hAnsi="Cambria Math" w:cs="Times New Roman"/>
              </w:rPr>
              <m:t>d</m:t>
            </m:r>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wall_W</m:t>
                </m:r>
              </m:sub>
            </m:sSub>
            <m:r>
              <w:rPr>
                <w:rFonts w:ascii="Cambria Math" w:hAnsi="Cambria Math" w:cs="Times New Roman"/>
              </w:rPr>
              <m:t>(t)</m:t>
            </m:r>
          </m:num>
          <m:den>
            <m:r>
              <w:rPr>
                <w:rFonts w:ascii="Cambria Math" w:hAnsi="Cambria Math" w:cs="Times New Roman"/>
              </w:rPr>
              <m:t>dt</m:t>
            </m:r>
          </m:den>
        </m:f>
        <m:r>
          <w:rPr>
            <w:rFonts w:ascii="Cambria Math" w:hAnsi="Cambria Math" w:cs="Times New Roman"/>
          </w:rPr>
          <m:t>=</m:t>
        </m:r>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sol,W</m:t>
                </m:r>
              </m:sub>
            </m:sSub>
            <m:d>
              <m:dPr>
                <m:ctrlPr>
                  <w:rPr>
                    <w:rFonts w:ascii="Cambria Math" w:hAnsi="Cambria Math" w:cs="Times New Roman"/>
                    <w:i/>
                    <w:iCs/>
                  </w:rPr>
                </m:ctrlPr>
              </m:dPr>
              <m:e>
                <m:r>
                  <w:rPr>
                    <w:rFonts w:ascii="Cambria Math" w:hAnsi="Cambria Math" w:cs="Times New Roman"/>
                  </w:rPr>
                  <m:t>t</m:t>
                </m:r>
              </m:e>
            </m:d>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wall_W</m:t>
                </m:r>
              </m:sub>
            </m:sSub>
            <m:d>
              <m:dPr>
                <m:ctrlPr>
                  <w:rPr>
                    <w:rFonts w:ascii="Cambria Math" w:hAnsi="Cambria Math" w:cs="Times New Roman"/>
                    <w:i/>
                    <w:iCs/>
                  </w:rPr>
                </m:ctrlPr>
              </m:dPr>
              <m:e>
                <m:r>
                  <w:rPr>
                    <w:rFonts w:ascii="Cambria Math" w:hAnsi="Cambria Math" w:cs="Times New Roman"/>
                  </w:rPr>
                  <m:t>t</m:t>
                </m:r>
              </m:e>
            </m:d>
          </m:num>
          <m:den>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wall_W2</m:t>
                </m:r>
              </m:sub>
            </m:sSub>
          </m:den>
        </m:f>
        <m:r>
          <w:rPr>
            <w:rFonts w:ascii="Cambria Math" w:hAnsi="Cambria Math" w:cs="Times New Roman"/>
          </w:rPr>
          <m:t>-</m:t>
        </m:r>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wall_W</m:t>
                </m:r>
              </m:sub>
            </m:sSub>
            <m:d>
              <m:dPr>
                <m:ctrlPr>
                  <w:rPr>
                    <w:rFonts w:ascii="Cambria Math" w:hAnsi="Cambria Math" w:cs="Times New Roman"/>
                    <w:i/>
                    <w:iCs/>
                  </w:rPr>
                </m:ctrlPr>
              </m:dPr>
              <m:e>
                <m:r>
                  <w:rPr>
                    <w:rFonts w:ascii="Cambria Math" w:hAnsi="Cambria Math" w:cs="Times New Roman"/>
                  </w:rPr>
                  <m:t>t</m:t>
                </m:r>
              </m:e>
            </m:d>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in</m:t>
                </m:r>
              </m:sub>
            </m:sSub>
            <m:d>
              <m:dPr>
                <m:ctrlPr>
                  <w:rPr>
                    <w:rFonts w:ascii="Cambria Math" w:hAnsi="Cambria Math" w:cs="Times New Roman"/>
                    <w:i/>
                    <w:iCs/>
                  </w:rPr>
                </m:ctrlPr>
              </m:dPr>
              <m:e>
                <m:r>
                  <w:rPr>
                    <w:rFonts w:ascii="Cambria Math" w:hAnsi="Cambria Math" w:cs="Times New Roman"/>
                  </w:rPr>
                  <m:t>t</m:t>
                </m:r>
              </m:e>
            </m:d>
          </m:num>
          <m:den>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wall_W1</m:t>
                </m:r>
              </m:sub>
            </m:sSub>
          </m:den>
        </m:f>
      </m:oMath>
      <w:r w:rsidR="00B17E5F" w:rsidRPr="0026707E">
        <w:rPr>
          <w:rFonts w:cs="Times New Roman"/>
          <w:iCs/>
        </w:rPr>
        <w:t xml:space="preserve">                                   (</w:t>
      </w:r>
      <w:r w:rsidR="00BA43D9">
        <w:rPr>
          <w:rFonts w:cs="Times New Roman"/>
          <w:iCs/>
        </w:rPr>
        <w:t>56</w:t>
      </w:r>
      <w:r w:rsidR="00B17E5F" w:rsidRPr="0026707E">
        <w:rPr>
          <w:rFonts w:cs="Times New Roman"/>
          <w:iCs/>
        </w:rPr>
        <w:t>)</w:t>
      </w:r>
    </w:p>
    <w:p w14:paraId="7DD86374" w14:textId="77777777" w:rsidR="00B17E5F" w:rsidRPr="0026707E" w:rsidRDefault="00B17E5F" w:rsidP="00616C6A">
      <w:pPr>
        <w:jc w:val="right"/>
        <w:rPr>
          <w:rFonts w:cs="Times New Roman"/>
          <w:iCs/>
        </w:rPr>
      </w:pPr>
    </w:p>
    <w:p w14:paraId="716C4F99" w14:textId="56E87C6A" w:rsidR="00B17E5F" w:rsidRPr="0026707E" w:rsidRDefault="00000000" w:rsidP="00616C6A">
      <w:pPr>
        <w:jc w:val="right"/>
        <w:rPr>
          <w:rFonts w:cs="Times New Roman"/>
          <w:iCs/>
        </w:rPr>
      </w:pPr>
      <m:oMath>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mass </m:t>
            </m:r>
          </m:sub>
        </m:sSub>
        <m:f>
          <m:fPr>
            <m:ctrlPr>
              <w:rPr>
                <w:rFonts w:ascii="Cambria Math" w:hAnsi="Cambria Math" w:cs="Times New Roman"/>
                <w:i/>
                <w:iCs/>
              </w:rPr>
            </m:ctrlPr>
          </m:fPr>
          <m:num>
            <m:r>
              <w:rPr>
                <w:rFonts w:ascii="Cambria Math" w:hAnsi="Cambria Math" w:cs="Times New Roman"/>
              </w:rPr>
              <m:t>d</m:t>
            </m:r>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mass</m:t>
                </m:r>
              </m:sub>
            </m:sSub>
            <m:d>
              <m:dPr>
                <m:ctrlPr>
                  <w:rPr>
                    <w:rFonts w:ascii="Cambria Math" w:hAnsi="Cambria Math" w:cs="Times New Roman"/>
                    <w:i/>
                    <w:iCs/>
                  </w:rPr>
                </m:ctrlPr>
              </m:dPr>
              <m:e>
                <m:r>
                  <w:rPr>
                    <w:rFonts w:ascii="Cambria Math" w:hAnsi="Cambria Math" w:cs="Times New Roman"/>
                  </w:rPr>
                  <m:t>t</m:t>
                </m:r>
              </m:e>
            </m:d>
          </m:num>
          <m:den>
            <m:r>
              <w:rPr>
                <w:rFonts w:ascii="Cambria Math" w:hAnsi="Cambria Math" w:cs="Times New Roman"/>
              </w:rPr>
              <m:t>dt</m:t>
            </m:r>
          </m:den>
        </m:f>
        <m:r>
          <w:rPr>
            <w:rFonts w:ascii="Cambria Math" w:hAnsi="Cambria Math" w:cs="Times New Roman"/>
          </w:rPr>
          <m:t>=-</m:t>
        </m:r>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mass</m:t>
                </m:r>
              </m:sub>
            </m:sSub>
            <m:d>
              <m:dPr>
                <m:ctrlPr>
                  <w:rPr>
                    <w:rFonts w:ascii="Cambria Math" w:hAnsi="Cambria Math" w:cs="Times New Roman"/>
                    <w:i/>
                    <w:iCs/>
                  </w:rPr>
                </m:ctrlPr>
              </m:dPr>
              <m:e>
                <m:r>
                  <w:rPr>
                    <w:rFonts w:ascii="Cambria Math" w:hAnsi="Cambria Math" w:cs="Times New Roman"/>
                  </w:rPr>
                  <m:t>t</m:t>
                </m:r>
              </m:e>
            </m:d>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in</m:t>
                </m:r>
              </m:sub>
            </m:sSub>
            <m:d>
              <m:dPr>
                <m:ctrlPr>
                  <w:rPr>
                    <w:rFonts w:ascii="Cambria Math" w:hAnsi="Cambria Math" w:cs="Times New Roman"/>
                    <w:i/>
                    <w:iCs/>
                  </w:rPr>
                </m:ctrlPr>
              </m:dPr>
              <m:e>
                <m:r>
                  <w:rPr>
                    <w:rFonts w:ascii="Cambria Math" w:hAnsi="Cambria Math" w:cs="Times New Roman"/>
                  </w:rPr>
                  <m:t>t</m:t>
                </m:r>
              </m:e>
            </m:d>
          </m:num>
          <m:den>
            <m:sSub>
              <m:sSubPr>
                <m:ctrlPr>
                  <w:rPr>
                    <w:rFonts w:ascii="Cambria Math" w:hAnsi="Cambria Math" w:cs="Times New Roman"/>
                    <w:i/>
                    <w:iCs/>
                  </w:rPr>
                </m:ctrlPr>
              </m:sSubPr>
              <m:e>
                <m:r>
                  <w:rPr>
                    <w:rFonts w:ascii="Cambria Math" w:hAnsi="Cambria Math" w:cs="Times New Roman"/>
                  </w:rPr>
                  <m:t>R</m:t>
                </m:r>
              </m:e>
              <m:sub>
                <m:r>
                  <w:rPr>
                    <w:rFonts w:ascii="Cambria Math" w:hAnsi="Cambria Math" w:cs="Times New Roman"/>
                  </w:rPr>
                  <m:t>mass</m:t>
                </m:r>
              </m:sub>
            </m:sSub>
          </m:den>
        </m:f>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Q</m:t>
            </m:r>
          </m:e>
          <m:sub>
            <m:r>
              <w:rPr>
                <w:rFonts w:ascii="Cambria Math" w:hAnsi="Cambria Math" w:cs="Times New Roman"/>
              </w:rPr>
              <m:t>AC, mass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AC, mass</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Q</m:t>
            </m:r>
          </m:e>
          <m:sub>
            <m:r>
              <w:rPr>
                <w:rFonts w:ascii="Cambria Math" w:hAnsi="Cambria Math" w:cs="Times New Roman"/>
              </w:rPr>
              <m:t>IHL,mass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IHL,mass</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Q</m:t>
            </m:r>
          </m:e>
          <m:sub>
            <m:r>
              <w:rPr>
                <w:rFonts w:ascii="Cambria Math" w:hAnsi="Cambria Math" w:cs="Times New Roman"/>
              </w:rPr>
              <m:t>solar,mass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solar,mass</m:t>
            </m:r>
          </m:sub>
        </m:sSub>
      </m:oMath>
      <w:r w:rsidR="00B17E5F" w:rsidRPr="0026707E">
        <w:rPr>
          <w:rFonts w:cs="Times New Roman"/>
          <w:iCs/>
        </w:rPr>
        <w:t xml:space="preserve">                          (</w:t>
      </w:r>
      <w:r w:rsidR="00BA43D9">
        <w:rPr>
          <w:rFonts w:cs="Times New Roman"/>
          <w:iCs/>
        </w:rPr>
        <w:t>57</w:t>
      </w:r>
      <w:r w:rsidR="00B17E5F" w:rsidRPr="0026707E">
        <w:rPr>
          <w:rFonts w:cs="Times New Roman"/>
          <w:iCs/>
        </w:rPr>
        <w:t>)</w:t>
      </w:r>
    </w:p>
    <w:p w14:paraId="6336A787" w14:textId="77777777" w:rsidR="00B17E5F" w:rsidRPr="0026707E" w:rsidRDefault="00B17E5F" w:rsidP="00616C6A">
      <w:pPr>
        <w:rPr>
          <w:rFonts w:cs="Times New Roman"/>
          <w:iCs/>
        </w:rPr>
      </w:pPr>
      <w:r w:rsidRPr="0026707E">
        <w:rPr>
          <w:rFonts w:cs="Times New Roman"/>
        </w:rPr>
        <w:t xml:space="preserve">where, </w:t>
      </w:r>
      <w:r w:rsidRPr="0026707E">
        <w:rPr>
          <w:rFonts w:cs="Times New Roman"/>
          <w:i/>
        </w:rPr>
        <w:t>C</w:t>
      </w:r>
      <w:r w:rsidRPr="0026707E">
        <w:rPr>
          <w:rFonts w:cs="Times New Roman"/>
          <w:i/>
          <w:vertAlign w:val="subscript"/>
        </w:rPr>
        <w:t>in</w:t>
      </w:r>
      <w:r w:rsidRPr="0026707E">
        <w:rPr>
          <w:rFonts w:cs="Times New Roman"/>
        </w:rPr>
        <w:t xml:space="preserve">, </w:t>
      </w:r>
      <w:r w:rsidRPr="0026707E">
        <w:rPr>
          <w:rFonts w:cs="Times New Roman"/>
          <w:i/>
        </w:rPr>
        <w:t>C</w:t>
      </w:r>
      <w:r w:rsidRPr="0026707E">
        <w:rPr>
          <w:rFonts w:cs="Times New Roman"/>
          <w:i/>
          <w:vertAlign w:val="subscript"/>
        </w:rPr>
        <w:t>wall_N</w:t>
      </w:r>
      <w:r w:rsidRPr="0026707E">
        <w:rPr>
          <w:rFonts w:cs="Times New Roman"/>
        </w:rPr>
        <w:t xml:space="preserve">, </w:t>
      </w:r>
      <w:r w:rsidRPr="0026707E">
        <w:rPr>
          <w:rFonts w:cs="Times New Roman"/>
          <w:i/>
        </w:rPr>
        <w:t>C</w:t>
      </w:r>
      <w:r w:rsidRPr="0026707E">
        <w:rPr>
          <w:rFonts w:cs="Times New Roman"/>
          <w:i/>
          <w:vertAlign w:val="subscript"/>
        </w:rPr>
        <w:t>wall_W</w:t>
      </w:r>
      <w:r w:rsidRPr="0026707E">
        <w:rPr>
          <w:rFonts w:cs="Times New Roman"/>
        </w:rPr>
        <w:t xml:space="preserve">, </w:t>
      </w:r>
      <w:r w:rsidRPr="0026707E">
        <w:rPr>
          <w:rFonts w:cs="Times New Roman"/>
          <w:iCs/>
        </w:rPr>
        <w:t xml:space="preserve">and </w:t>
      </w:r>
      <w:r w:rsidRPr="0026707E">
        <w:rPr>
          <w:rFonts w:cs="Times New Roman"/>
          <w:i/>
        </w:rPr>
        <w:t>C</w:t>
      </w:r>
      <w:r w:rsidRPr="0026707E">
        <w:rPr>
          <w:rFonts w:cs="Times New Roman"/>
          <w:i/>
          <w:vertAlign w:val="subscript"/>
        </w:rPr>
        <w:t>im</w:t>
      </w:r>
      <w:r w:rsidRPr="0026707E">
        <w:rPr>
          <w:rFonts w:cs="Times New Roman"/>
        </w:rPr>
        <w:t xml:space="preserve"> are the equivalent overall thermal capacitances of indoor air, north external wall (opaque wall), west external wall (opaque wall), and internal thermal mass, respectively (J/K). </w:t>
      </w:r>
      <w:r w:rsidRPr="0026707E">
        <w:rPr>
          <w:rFonts w:cs="Times New Roman"/>
          <w:i/>
        </w:rPr>
        <w:t>R</w:t>
      </w:r>
      <w:r w:rsidRPr="0026707E">
        <w:rPr>
          <w:rFonts w:cs="Times New Roman"/>
          <w:i/>
          <w:vertAlign w:val="subscript"/>
        </w:rPr>
        <w:t>wall_N1</w:t>
      </w:r>
      <w:r w:rsidRPr="0026707E">
        <w:rPr>
          <w:rFonts w:cs="Times New Roman"/>
        </w:rPr>
        <w:t xml:space="preserve">, </w:t>
      </w:r>
      <w:r w:rsidRPr="0026707E">
        <w:rPr>
          <w:rFonts w:cs="Times New Roman"/>
          <w:i/>
        </w:rPr>
        <w:t>R</w:t>
      </w:r>
      <w:r w:rsidRPr="0026707E">
        <w:rPr>
          <w:rFonts w:cs="Times New Roman"/>
          <w:i/>
          <w:vertAlign w:val="subscript"/>
        </w:rPr>
        <w:t>wall_N2</w:t>
      </w:r>
      <w:r w:rsidRPr="0026707E">
        <w:rPr>
          <w:rFonts w:cs="Times New Roman"/>
        </w:rPr>
        <w:t xml:space="preserve">, </w:t>
      </w:r>
      <w:r w:rsidRPr="0026707E">
        <w:rPr>
          <w:rFonts w:cs="Times New Roman"/>
          <w:i/>
        </w:rPr>
        <w:t>R</w:t>
      </w:r>
      <w:r w:rsidRPr="0026707E">
        <w:rPr>
          <w:rFonts w:cs="Times New Roman"/>
          <w:i/>
          <w:vertAlign w:val="subscript"/>
        </w:rPr>
        <w:t>wall_W1</w:t>
      </w:r>
      <w:r w:rsidRPr="0026707E">
        <w:rPr>
          <w:rFonts w:cs="Times New Roman"/>
        </w:rPr>
        <w:t xml:space="preserve">, </w:t>
      </w:r>
      <w:r w:rsidRPr="0026707E">
        <w:rPr>
          <w:rFonts w:cs="Times New Roman"/>
          <w:i/>
        </w:rPr>
        <w:t>R</w:t>
      </w:r>
      <w:r w:rsidRPr="0026707E">
        <w:rPr>
          <w:rFonts w:cs="Times New Roman"/>
          <w:i/>
          <w:vertAlign w:val="subscript"/>
        </w:rPr>
        <w:t>wall_W2</w:t>
      </w:r>
      <w:r w:rsidRPr="0026707E">
        <w:rPr>
          <w:rFonts w:cs="Times New Roman"/>
        </w:rPr>
        <w:t xml:space="preserve">, </w:t>
      </w:r>
      <w:r w:rsidRPr="0026707E">
        <w:rPr>
          <w:rFonts w:cs="Times New Roman"/>
          <w:i/>
        </w:rPr>
        <w:t>R</w:t>
      </w:r>
      <w:r w:rsidRPr="0026707E">
        <w:rPr>
          <w:rFonts w:cs="Times New Roman"/>
          <w:i/>
          <w:vertAlign w:val="subscript"/>
        </w:rPr>
        <w:t>win</w:t>
      </w:r>
      <w:r w:rsidRPr="0026707E">
        <w:rPr>
          <w:rFonts w:cs="Times New Roman"/>
        </w:rPr>
        <w:t xml:space="preserve">, and </w:t>
      </w:r>
      <w:r w:rsidRPr="0026707E">
        <w:rPr>
          <w:rFonts w:cs="Times New Roman"/>
          <w:i/>
        </w:rPr>
        <w:t>R</w:t>
      </w:r>
      <w:r w:rsidRPr="0026707E">
        <w:rPr>
          <w:rFonts w:cs="Times New Roman"/>
          <w:i/>
          <w:vertAlign w:val="subscript"/>
        </w:rPr>
        <w:t>mass</w:t>
      </w:r>
      <w:r w:rsidRPr="0026707E">
        <w:rPr>
          <w:rFonts w:cs="Times New Roman"/>
        </w:rPr>
        <w:t xml:space="preserve"> are the equivalent overall </w:t>
      </w:r>
      <w:r w:rsidRPr="0026707E">
        <w:rPr>
          <w:rFonts w:cs="Times New Roman"/>
          <w:lang w:val="en-GB"/>
        </w:rPr>
        <w:t xml:space="preserve">thermal resistances of north external wall </w:t>
      </w:r>
      <w:r w:rsidRPr="0026707E">
        <w:rPr>
          <w:rFonts w:cs="Times New Roman"/>
        </w:rPr>
        <w:t xml:space="preserve">(opaque wall) </w:t>
      </w:r>
      <w:r w:rsidRPr="0026707E">
        <w:rPr>
          <w:rFonts w:cs="Times New Roman"/>
          <w:lang w:val="en-GB"/>
        </w:rPr>
        <w:t xml:space="preserve">part 1, north exterior wall </w:t>
      </w:r>
      <w:r w:rsidRPr="0026707E">
        <w:rPr>
          <w:rFonts w:cs="Times New Roman"/>
        </w:rPr>
        <w:t xml:space="preserve">(opaque wall) </w:t>
      </w:r>
      <w:r w:rsidRPr="0026707E">
        <w:rPr>
          <w:rFonts w:cs="Times New Roman"/>
          <w:lang w:val="en-GB"/>
        </w:rPr>
        <w:t xml:space="preserve">part 2, west exterior wall </w:t>
      </w:r>
      <w:r w:rsidRPr="0026707E">
        <w:rPr>
          <w:rFonts w:cs="Times New Roman"/>
        </w:rPr>
        <w:t xml:space="preserve">(opaque wall) </w:t>
      </w:r>
      <w:r w:rsidRPr="0026707E">
        <w:rPr>
          <w:rFonts w:cs="Times New Roman"/>
          <w:lang w:val="en-GB"/>
        </w:rPr>
        <w:t xml:space="preserve">part 1, west exterior wall </w:t>
      </w:r>
      <w:r w:rsidRPr="0026707E">
        <w:rPr>
          <w:rFonts w:cs="Times New Roman"/>
        </w:rPr>
        <w:t>(opaque wall)</w:t>
      </w:r>
      <w:r w:rsidRPr="0026707E">
        <w:rPr>
          <w:rFonts w:cs="Times New Roman"/>
          <w:lang w:val="en-GB"/>
        </w:rPr>
        <w:t xml:space="preserve"> part 2, windows, and internal thermal mass,</w:t>
      </w:r>
      <w:r w:rsidRPr="0026707E">
        <w:rPr>
          <w:rFonts w:cs="Times New Roman"/>
        </w:rPr>
        <w:t xml:space="preserve"> respectively (K/W).</w:t>
      </w:r>
    </w:p>
    <w:p w14:paraId="42C5C521" w14:textId="345B4431" w:rsidR="00B17E5F" w:rsidRPr="0026707E" w:rsidRDefault="00B17E5F" w:rsidP="00616C6A">
      <w:pPr>
        <w:rPr>
          <w:rFonts w:cs="Times New Roman"/>
        </w:rPr>
      </w:pPr>
      <w:r w:rsidRPr="0026707E">
        <w:rPr>
          <w:rFonts w:cs="Times New Roman"/>
        </w:rPr>
        <w:t xml:space="preserve">Building internal mass includes </w:t>
      </w:r>
      <w:bookmarkStart w:id="302" w:name="_Hlk510089926"/>
      <w:r w:rsidRPr="0026707E">
        <w:rPr>
          <w:rFonts w:cs="Times New Roman"/>
        </w:rPr>
        <w:t>interior partitions, furniture</w:t>
      </w:r>
      <w:bookmarkEnd w:id="302"/>
      <w:r w:rsidRPr="0026707E">
        <w:rPr>
          <w:rFonts w:cs="Times New Roman"/>
        </w:rPr>
        <w:t xml:space="preserve">, and so on, and was included in the models because it absorbs solar radiation passing through the windows </w:t>
      </w:r>
      <w:sdt>
        <w:sdtPr>
          <w:rPr>
            <w:rFonts w:cs="Times New Roman"/>
            <w:color w:val="000000"/>
          </w:rPr>
          <w:tag w:val="MENDELEY_CITATION_v3_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"/>
          <w:id w:val="239225880"/>
          <w:placeholder>
            <w:docPart w:val="3FDB414333074DD9B640901BBE23B543"/>
          </w:placeholder>
        </w:sdtPr>
        <w:sdtContent>
          <w:r w:rsidR="001E7ECF" w:rsidRPr="001E7ECF">
            <w:rPr>
              <w:rFonts w:cs="Times New Roman"/>
              <w:color w:val="000000"/>
            </w:rPr>
            <w:t>[222]</w:t>
          </w:r>
        </w:sdtContent>
      </w:sdt>
      <w:r w:rsidRPr="0026707E">
        <w:rPr>
          <w:rFonts w:cs="Times New Roman"/>
        </w:rPr>
        <w:t xml:space="preserve">. </w:t>
      </w:r>
      <w:bookmarkStart w:id="303" w:name="_Hlk510089886"/>
      <w:r w:rsidRPr="0026707E">
        <w:rPr>
          <w:rFonts w:cs="Times New Roman"/>
        </w:rPr>
        <w:t>The building internal mass must be considered since its effect on cooling/heating energy consumption and indoor temperature is significant</w:t>
      </w:r>
      <w:bookmarkEnd w:id="303"/>
      <w:r w:rsidRPr="0026707E">
        <w:rPr>
          <w:rFonts w:cs="Times New Roman"/>
        </w:rPr>
        <w:t>. The total area of the internal mass was assumed to be equal to the floor area, although the actual area of internal mass may be larger.</w:t>
      </w:r>
    </w:p>
    <w:p w14:paraId="382849B9" w14:textId="77777777" w:rsidR="00B17E5F" w:rsidRPr="0026707E" w:rsidRDefault="00B17E5F" w:rsidP="00616C6A">
      <w:pPr>
        <w:rPr>
          <w:rFonts w:cs="Times New Roman"/>
          <w:iCs/>
        </w:rPr>
      </w:pPr>
      <w:r w:rsidRPr="0026707E">
        <w:rPr>
          <w:rFonts w:cs="Times New Roman"/>
          <w:i/>
        </w:rPr>
        <w:t>Q</w:t>
      </w:r>
      <w:r w:rsidRPr="0026707E">
        <w:rPr>
          <w:rFonts w:cs="Times New Roman"/>
          <w:i/>
          <w:vertAlign w:val="subscript"/>
        </w:rPr>
        <w:t>IHL</w:t>
      </w:r>
      <w:r w:rsidRPr="0026707E">
        <w:rPr>
          <w:rFonts w:cs="Times New Roman"/>
        </w:rPr>
        <w:t xml:space="preserve"> is the sensible heat gain from indoor heat sources (W). </w:t>
      </w:r>
      <w:r w:rsidRPr="0026707E">
        <w:rPr>
          <w:rFonts w:cs="Times New Roman"/>
          <w:i/>
          <w:iCs/>
        </w:rPr>
        <w:t>Q</w:t>
      </w:r>
      <w:r w:rsidRPr="0026707E">
        <w:rPr>
          <w:rFonts w:cs="Times New Roman"/>
          <w:i/>
          <w:iCs/>
          <w:vertAlign w:val="subscript"/>
        </w:rPr>
        <w:t>cool</w:t>
      </w:r>
      <w:r w:rsidRPr="0026707E">
        <w:rPr>
          <w:rFonts w:cs="Times New Roman"/>
        </w:rPr>
        <w:t xml:space="preserve"> is the sensible cooling supply from the HVAC (W). </w:t>
      </w:r>
      <w:r w:rsidRPr="0026707E">
        <w:rPr>
          <w:rFonts w:cs="Times New Roman"/>
          <w:i/>
          <w:iCs/>
        </w:rPr>
        <w:t>Q</w:t>
      </w:r>
      <w:r w:rsidRPr="0026707E">
        <w:rPr>
          <w:rFonts w:cs="Times New Roman"/>
          <w:i/>
          <w:iCs/>
          <w:vertAlign w:val="subscript"/>
        </w:rPr>
        <w:t>solar</w:t>
      </w:r>
      <w:r w:rsidRPr="0026707E">
        <w:rPr>
          <w:rFonts w:cs="Times New Roman"/>
        </w:rPr>
        <w:t xml:space="preserve"> is the total solar radiation rate (W) transmitted through the windows into the zone. These values were the measurements from the reference room (i.e., room 104). Partial</w:t>
      </w:r>
      <w:r w:rsidRPr="0026707E">
        <w:rPr>
          <w:rFonts w:cs="Times New Roman"/>
          <w:i/>
          <w:iCs/>
        </w:rPr>
        <w:t xml:space="preserve"> Q</w:t>
      </w:r>
      <w:r w:rsidRPr="0026707E">
        <w:rPr>
          <w:rFonts w:cs="Times New Roman"/>
          <w:i/>
          <w:iCs/>
          <w:vertAlign w:val="subscript"/>
        </w:rPr>
        <w:t>IHL</w:t>
      </w:r>
      <w:r w:rsidRPr="0026707E">
        <w:rPr>
          <w:rFonts w:cs="Times New Roman"/>
          <w:i/>
          <w:iCs/>
        </w:rPr>
        <w:t>, Q</w:t>
      </w:r>
      <w:r w:rsidRPr="0026707E">
        <w:rPr>
          <w:rFonts w:cs="Times New Roman"/>
          <w:i/>
          <w:iCs/>
          <w:vertAlign w:val="subscript"/>
        </w:rPr>
        <w:t>cool</w:t>
      </w:r>
      <w:r w:rsidRPr="0026707E">
        <w:rPr>
          <w:rFonts w:cs="Times New Roman"/>
          <w:i/>
          <w:iCs/>
        </w:rPr>
        <w:t xml:space="preserve"> </w:t>
      </w:r>
      <w:r w:rsidRPr="0026707E">
        <w:rPr>
          <w:rFonts w:cs="Times New Roman"/>
        </w:rPr>
        <w:t>and</w:t>
      </w:r>
      <w:r w:rsidRPr="0026707E">
        <w:rPr>
          <w:rFonts w:cs="Times New Roman"/>
          <w:i/>
          <w:iCs/>
        </w:rPr>
        <w:t xml:space="preserve"> Q</w:t>
      </w:r>
      <w:r w:rsidRPr="0026707E">
        <w:rPr>
          <w:rFonts w:cs="Times New Roman"/>
          <w:i/>
          <w:iCs/>
          <w:vertAlign w:val="subscript"/>
        </w:rPr>
        <w:t>solar</w:t>
      </w:r>
      <w:r w:rsidRPr="0026707E">
        <w:rPr>
          <w:rFonts w:cs="Times New Roman"/>
          <w:i/>
          <w:iCs/>
        </w:rPr>
        <w:t xml:space="preserve"> </w:t>
      </w:r>
      <w:r w:rsidRPr="0026707E">
        <w:rPr>
          <w:rFonts w:cs="Times New Roman"/>
        </w:rPr>
        <w:t xml:space="preserve">were transferred to indoor air directly, as </w:t>
      </w:r>
      <w:r w:rsidRPr="0026707E">
        <w:rPr>
          <w:rFonts w:cs="Times New Roman"/>
          <w:i/>
          <w:iCs/>
        </w:rPr>
        <w:t>Q</w:t>
      </w:r>
      <w:r w:rsidRPr="0026707E">
        <w:rPr>
          <w:rFonts w:cs="Times New Roman"/>
          <w:i/>
          <w:iCs/>
          <w:vertAlign w:val="subscript"/>
        </w:rPr>
        <w:t>IHL,air</w:t>
      </w:r>
      <w:r w:rsidRPr="0026707E">
        <w:rPr>
          <w:rFonts w:cs="Times New Roman"/>
          <w:i/>
          <w:iCs/>
        </w:rPr>
        <w:t>, Q</w:t>
      </w:r>
      <w:r w:rsidRPr="0026707E">
        <w:rPr>
          <w:rFonts w:cs="Times New Roman"/>
          <w:i/>
          <w:iCs/>
          <w:vertAlign w:val="subscript"/>
        </w:rPr>
        <w:t>cool,air</w:t>
      </w:r>
      <w:r w:rsidRPr="0026707E">
        <w:rPr>
          <w:rFonts w:cs="Times New Roman"/>
          <w:i/>
          <w:iCs/>
        </w:rPr>
        <w:t xml:space="preserve"> </w:t>
      </w:r>
      <w:r w:rsidRPr="0026707E">
        <w:rPr>
          <w:rFonts w:cs="Times New Roman"/>
        </w:rPr>
        <w:t>and</w:t>
      </w:r>
      <w:r w:rsidRPr="0026707E">
        <w:rPr>
          <w:rFonts w:cs="Times New Roman"/>
          <w:i/>
          <w:iCs/>
        </w:rPr>
        <w:t xml:space="preserve"> Q</w:t>
      </w:r>
      <w:r w:rsidRPr="0026707E">
        <w:rPr>
          <w:rFonts w:cs="Times New Roman"/>
          <w:i/>
          <w:iCs/>
          <w:vertAlign w:val="subscript"/>
        </w:rPr>
        <w:t>solar,air</w:t>
      </w:r>
      <w:r w:rsidRPr="0026707E">
        <w:rPr>
          <w:rFonts w:cs="Times New Roman"/>
        </w:rPr>
        <w:t xml:space="preserve">. The left part of </w:t>
      </w:r>
      <w:r w:rsidRPr="0026707E">
        <w:rPr>
          <w:rFonts w:cs="Times New Roman"/>
          <w:i/>
          <w:iCs/>
        </w:rPr>
        <w:t>Q</w:t>
      </w:r>
      <w:r w:rsidRPr="0026707E">
        <w:rPr>
          <w:rFonts w:cs="Times New Roman"/>
          <w:i/>
          <w:iCs/>
          <w:vertAlign w:val="subscript"/>
        </w:rPr>
        <w:t>IHL</w:t>
      </w:r>
      <w:r w:rsidRPr="0026707E">
        <w:rPr>
          <w:rFonts w:cs="Times New Roman"/>
          <w:i/>
          <w:iCs/>
        </w:rPr>
        <w:t>, Q</w:t>
      </w:r>
      <w:r w:rsidRPr="0026707E">
        <w:rPr>
          <w:rFonts w:cs="Times New Roman"/>
          <w:i/>
          <w:iCs/>
          <w:vertAlign w:val="subscript"/>
        </w:rPr>
        <w:t>cool</w:t>
      </w:r>
      <w:r w:rsidRPr="0026707E">
        <w:rPr>
          <w:rFonts w:cs="Times New Roman"/>
          <w:i/>
          <w:iCs/>
        </w:rPr>
        <w:t xml:space="preserve"> </w:t>
      </w:r>
      <w:r w:rsidRPr="0026707E">
        <w:rPr>
          <w:rFonts w:cs="Times New Roman"/>
        </w:rPr>
        <w:t>and</w:t>
      </w:r>
      <w:r w:rsidRPr="0026707E">
        <w:rPr>
          <w:rFonts w:cs="Times New Roman"/>
          <w:i/>
          <w:iCs/>
        </w:rPr>
        <w:t xml:space="preserve"> Q</w:t>
      </w:r>
      <w:r w:rsidRPr="0026707E">
        <w:rPr>
          <w:rFonts w:cs="Times New Roman"/>
          <w:i/>
          <w:iCs/>
          <w:vertAlign w:val="subscript"/>
        </w:rPr>
        <w:t>solar</w:t>
      </w:r>
      <w:r w:rsidRPr="0026707E">
        <w:rPr>
          <w:rFonts w:cs="Times New Roman"/>
          <w:i/>
          <w:iCs/>
        </w:rPr>
        <w:t xml:space="preserve"> </w:t>
      </w:r>
      <w:r w:rsidRPr="0026707E">
        <w:rPr>
          <w:rFonts w:cs="Times New Roman"/>
        </w:rPr>
        <w:t xml:space="preserve">were adsorbed by the internal mass through radiation, as </w:t>
      </w:r>
      <w:r w:rsidRPr="0026707E">
        <w:rPr>
          <w:rFonts w:cs="Times New Roman"/>
          <w:i/>
          <w:iCs/>
        </w:rPr>
        <w:t>Q</w:t>
      </w:r>
      <w:r w:rsidRPr="0026707E">
        <w:rPr>
          <w:rFonts w:cs="Times New Roman"/>
          <w:i/>
          <w:iCs/>
          <w:vertAlign w:val="subscript"/>
        </w:rPr>
        <w:t>IHL,mass</w:t>
      </w:r>
      <w:r w:rsidRPr="0026707E">
        <w:rPr>
          <w:rFonts w:cs="Times New Roman"/>
          <w:i/>
          <w:iCs/>
        </w:rPr>
        <w:t>, Q</w:t>
      </w:r>
      <w:r w:rsidRPr="0026707E">
        <w:rPr>
          <w:rFonts w:cs="Times New Roman"/>
          <w:i/>
          <w:iCs/>
          <w:vertAlign w:val="subscript"/>
        </w:rPr>
        <w:t>cool,mass</w:t>
      </w:r>
      <w:r w:rsidRPr="0026707E">
        <w:rPr>
          <w:rFonts w:cs="Times New Roman"/>
          <w:i/>
          <w:iCs/>
        </w:rPr>
        <w:t xml:space="preserve"> </w:t>
      </w:r>
      <w:r w:rsidRPr="0026707E">
        <w:rPr>
          <w:rFonts w:cs="Times New Roman"/>
        </w:rPr>
        <w:t>and</w:t>
      </w:r>
      <w:r w:rsidRPr="0026707E">
        <w:rPr>
          <w:rFonts w:cs="Times New Roman"/>
          <w:i/>
          <w:iCs/>
        </w:rPr>
        <w:t xml:space="preserve"> Q</w:t>
      </w:r>
      <w:r w:rsidRPr="0026707E">
        <w:rPr>
          <w:rFonts w:cs="Times New Roman"/>
          <w:i/>
          <w:iCs/>
          <w:vertAlign w:val="subscript"/>
        </w:rPr>
        <w:t>solar,mass</w:t>
      </w:r>
      <w:r w:rsidRPr="0026707E">
        <w:rPr>
          <w:rFonts w:cs="Times New Roman"/>
        </w:rPr>
        <w:t xml:space="preserve">. </w:t>
      </w:r>
      <w:r w:rsidRPr="0026707E">
        <w:rPr>
          <w:rFonts w:cs="Times New Roman"/>
          <w:i/>
        </w:rPr>
        <w:t>C</w:t>
      </w:r>
      <w:r w:rsidRPr="0026707E">
        <w:rPr>
          <w:rFonts w:cs="Times New Roman"/>
          <w:i/>
          <w:vertAlign w:val="subscript"/>
        </w:rPr>
        <w:t>AC,air</w:t>
      </w:r>
      <w:r w:rsidRPr="0026707E">
        <w:rPr>
          <w:rFonts w:cs="Times New Roman"/>
        </w:rPr>
        <w:t xml:space="preserve">, </w:t>
      </w:r>
      <w:r w:rsidRPr="0026707E">
        <w:rPr>
          <w:rFonts w:cs="Times New Roman"/>
          <w:i/>
        </w:rPr>
        <w:t>C</w:t>
      </w:r>
      <w:r w:rsidRPr="0026707E">
        <w:rPr>
          <w:rFonts w:cs="Times New Roman"/>
          <w:i/>
          <w:vertAlign w:val="subscript"/>
        </w:rPr>
        <w:t>IHL,air</w:t>
      </w:r>
      <w:r w:rsidRPr="0026707E">
        <w:rPr>
          <w:rFonts w:cs="Times New Roman"/>
        </w:rPr>
        <w:t xml:space="preserve">, </w:t>
      </w:r>
      <w:r w:rsidRPr="0026707E">
        <w:rPr>
          <w:rFonts w:cs="Times New Roman"/>
          <w:i/>
        </w:rPr>
        <w:t>C</w:t>
      </w:r>
      <w:r w:rsidRPr="0026707E">
        <w:rPr>
          <w:rFonts w:cs="Times New Roman"/>
          <w:i/>
          <w:vertAlign w:val="subscript"/>
        </w:rPr>
        <w:t>solar</w:t>
      </w:r>
      <w:r w:rsidRPr="0026707E">
        <w:rPr>
          <w:rFonts w:cs="Times New Roman"/>
          <w:i/>
        </w:rPr>
        <w:t>,</w:t>
      </w:r>
      <w:r w:rsidRPr="0026707E">
        <w:rPr>
          <w:rFonts w:cs="Times New Roman"/>
          <w:i/>
          <w:vertAlign w:val="subscript"/>
        </w:rPr>
        <w:t>air</w:t>
      </w:r>
      <w:r w:rsidRPr="0026707E">
        <w:rPr>
          <w:rFonts w:cs="Times New Roman"/>
        </w:rPr>
        <w:t xml:space="preserve">, </w:t>
      </w:r>
      <w:r w:rsidRPr="0026707E">
        <w:rPr>
          <w:rFonts w:cs="Times New Roman"/>
          <w:i/>
        </w:rPr>
        <w:t>C</w:t>
      </w:r>
      <w:r w:rsidRPr="0026707E">
        <w:rPr>
          <w:rFonts w:cs="Times New Roman"/>
          <w:i/>
          <w:vertAlign w:val="subscript"/>
        </w:rPr>
        <w:t>AC,mass</w:t>
      </w:r>
      <w:r w:rsidRPr="0026707E">
        <w:rPr>
          <w:rFonts w:cs="Times New Roman"/>
        </w:rPr>
        <w:t>,</w:t>
      </w:r>
      <w:r w:rsidRPr="0026707E">
        <w:rPr>
          <w:rFonts w:cs="Times New Roman"/>
          <w:i/>
        </w:rPr>
        <w:t xml:space="preserve"> C</w:t>
      </w:r>
      <w:r w:rsidRPr="0026707E">
        <w:rPr>
          <w:rFonts w:cs="Times New Roman"/>
          <w:i/>
          <w:vertAlign w:val="subscript"/>
        </w:rPr>
        <w:t>IHL,mass</w:t>
      </w:r>
      <w:r w:rsidRPr="0026707E">
        <w:rPr>
          <w:rFonts w:cs="Times New Roman"/>
        </w:rPr>
        <w:t xml:space="preserve">, and </w:t>
      </w:r>
      <w:r w:rsidRPr="0026707E">
        <w:rPr>
          <w:rFonts w:cs="Times New Roman"/>
          <w:i/>
        </w:rPr>
        <w:t>C</w:t>
      </w:r>
      <w:r w:rsidRPr="0026707E">
        <w:rPr>
          <w:rFonts w:cs="Times New Roman"/>
          <w:i/>
          <w:vertAlign w:val="subscript"/>
        </w:rPr>
        <w:t xml:space="preserve">solar,mass </w:t>
      </w:r>
      <w:r w:rsidRPr="0026707E">
        <w:rPr>
          <w:rFonts w:cs="Times New Roman"/>
          <w:iCs/>
        </w:rPr>
        <w:t>are the coefficients which are assumed to be unknown and need to be identified by the search algorithm illustrated in the next sub-section.</w:t>
      </w:r>
    </w:p>
    <w:p w14:paraId="7CA103AA" w14:textId="77777777" w:rsidR="00B17E5F" w:rsidRPr="0026707E" w:rsidRDefault="00B17E5F" w:rsidP="00616C6A">
      <w:pPr>
        <w:rPr>
          <w:rFonts w:cs="Times New Roman"/>
        </w:rPr>
      </w:pPr>
      <w:r w:rsidRPr="0026707E">
        <w:rPr>
          <w:rFonts w:cs="Times New Roman"/>
        </w:rPr>
        <w:t xml:space="preserve">The effects of solar radiation on external walls (i.e., north and west walls) were considered by calculating </w:t>
      </w:r>
      <w:r w:rsidRPr="0026707E">
        <w:rPr>
          <w:rFonts w:cs="Times New Roman"/>
          <w:i/>
        </w:rPr>
        <w:t>T</w:t>
      </w:r>
      <w:r w:rsidRPr="0026707E">
        <w:rPr>
          <w:rFonts w:cs="Times New Roman"/>
          <w:i/>
          <w:vertAlign w:val="subscript"/>
        </w:rPr>
        <w:t xml:space="preserve">sol,W  </w:t>
      </w:r>
      <w:r w:rsidRPr="0026707E">
        <w:rPr>
          <w:rFonts w:cs="Times New Roman"/>
        </w:rPr>
        <w:t xml:space="preserve">and </w:t>
      </w:r>
      <w:r w:rsidRPr="0026707E">
        <w:rPr>
          <w:rFonts w:cs="Times New Roman"/>
          <w:i/>
        </w:rPr>
        <w:t>T</w:t>
      </w:r>
      <w:r w:rsidRPr="0026707E">
        <w:rPr>
          <w:rFonts w:cs="Times New Roman"/>
          <w:i/>
          <w:vertAlign w:val="subscript"/>
        </w:rPr>
        <w:t>sol,N</w:t>
      </w:r>
      <w:r w:rsidRPr="0026707E">
        <w:rPr>
          <w:rFonts w:cs="Times New Roman"/>
        </w:rPr>
        <w:t xml:space="preserve"> respectively, which are the sol-air temperatures, shown in the following equations:</w:t>
      </w:r>
    </w:p>
    <w:p w14:paraId="48167935" w14:textId="2FF9C7F9" w:rsidR="00B17E5F" w:rsidRPr="0026707E" w:rsidRDefault="00B17E5F" w:rsidP="00616C6A">
      <w:pPr>
        <w:spacing w:after="80" w:line="480" w:lineRule="auto"/>
        <w:rPr>
          <w:rFonts w:cs="Times New Roman"/>
          <w:color w:val="000000" w:themeColor="text1"/>
        </w:rPr>
      </w:pPr>
      <w:r w:rsidRPr="0026707E">
        <w:rPr>
          <w:rFonts w:cs="Times New Roman"/>
          <w:iCs/>
        </w:rPr>
        <w:ptab w:relativeTo="margin" w:alignment="center" w:leader="none"/>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T</m:t>
            </m:r>
          </m:e>
          <m:sub>
            <m:r>
              <w:rPr>
                <w:rFonts w:ascii="Cambria Math" w:hAnsi="Cambria Math" w:cs="Times New Roman"/>
                <w:color w:val="000000" w:themeColor="text1"/>
              </w:rPr>
              <m:t>sol,W</m:t>
            </m:r>
          </m:sub>
        </m:sSub>
        <m:r>
          <w:rPr>
            <w:rFonts w:ascii="Cambria Math" w:hAnsi="Cambria Math" w:cs="Times New Roman"/>
            <w:color w:val="000000" w:themeColor="text1"/>
          </w:rPr>
          <m:t>=</m:t>
        </m:r>
        <m:f>
          <m:fPr>
            <m:ctrlPr>
              <w:rPr>
                <w:rFonts w:ascii="Cambria Math" w:hAnsi="Cambria Math" w:cs="Times New Roman"/>
                <w:i/>
                <w:color w:val="000000" w:themeColor="text1"/>
              </w:rPr>
            </m:ctrlPr>
          </m:fPr>
          <m:num>
            <m:sSub>
              <m:sSubPr>
                <m:ctrlPr>
                  <w:rPr>
                    <w:rFonts w:ascii="Cambria Math" w:hAnsi="Cambria Math" w:cs="Times New Roman"/>
                    <w:i/>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W</m:t>
                </m:r>
              </m:sub>
            </m:sSub>
            <m:d>
              <m:dPr>
                <m:ctrlPr>
                  <w:rPr>
                    <w:rFonts w:ascii="Cambria Math" w:hAnsi="Cambria Math" w:cs="Times New Roman"/>
                    <w:i/>
                    <w:color w:val="000000" w:themeColor="text1"/>
                  </w:rPr>
                </m:ctrlPr>
              </m:dPr>
              <m:e>
                <m:r>
                  <w:rPr>
                    <w:rFonts w:ascii="Cambria Math" w:hAnsi="Cambria Math" w:cs="Times New Roman"/>
                    <w:color w:val="000000" w:themeColor="text1"/>
                  </w:rPr>
                  <m:t>t</m:t>
                </m:r>
              </m:e>
            </m:d>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W</m:t>
                </m:r>
              </m:sub>
            </m:sSub>
            <m:d>
              <m:dPr>
                <m:ctrlPr>
                  <w:rPr>
                    <w:rFonts w:ascii="Cambria Math" w:hAnsi="Cambria Math" w:cs="Times New Roman"/>
                    <w:i/>
                    <w:color w:val="000000" w:themeColor="text1"/>
                  </w:rPr>
                </m:ctrlPr>
              </m:dPr>
              <m:e>
                <m:r>
                  <w:rPr>
                    <w:rFonts w:ascii="Cambria Math" w:hAnsi="Cambria Math" w:cs="Times New Roman"/>
                    <w:color w:val="000000" w:themeColor="text1"/>
                  </w:rPr>
                  <m:t>t</m:t>
                </m:r>
              </m:e>
            </m:d>
          </m:den>
        </m:f>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T</m:t>
            </m:r>
          </m:e>
          <m:sub>
            <m:r>
              <w:rPr>
                <w:rFonts w:ascii="Cambria Math" w:hAnsi="Cambria Math" w:cs="Times New Roman"/>
                <w:color w:val="000000" w:themeColor="text1"/>
              </w:rPr>
              <m:t>amb</m:t>
            </m:r>
          </m:sub>
        </m:sSub>
      </m:oMath>
      <w:r w:rsidRPr="0026707E">
        <w:rPr>
          <w:rFonts w:cs="Times New Roman"/>
          <w:iCs/>
        </w:rPr>
        <w:ptab w:relativeTo="margin" w:alignment="right" w:leader="none"/>
      </w:r>
      <w:r w:rsidRPr="0026707E">
        <w:rPr>
          <w:rFonts w:cs="Times New Roman"/>
          <w:color w:val="000000" w:themeColor="text1"/>
        </w:rPr>
        <w:t>(5</w:t>
      </w:r>
      <w:r w:rsidR="00BA43D9">
        <w:rPr>
          <w:rFonts w:cs="Times New Roman"/>
          <w:color w:val="000000" w:themeColor="text1"/>
        </w:rPr>
        <w:t>8</w:t>
      </w:r>
      <w:r w:rsidRPr="0026707E">
        <w:rPr>
          <w:rFonts w:cs="Times New Roman"/>
          <w:color w:val="000000" w:themeColor="text1"/>
        </w:rPr>
        <w:t>)</w:t>
      </w:r>
    </w:p>
    <w:p w14:paraId="2134C830" w14:textId="27711C54" w:rsidR="00B17E5F" w:rsidRPr="0026707E" w:rsidRDefault="00B17E5F" w:rsidP="00616C6A">
      <w:pPr>
        <w:spacing w:before="60" w:after="180" w:line="480" w:lineRule="auto"/>
        <w:rPr>
          <w:rFonts w:cs="Times New Roman"/>
          <w:color w:val="000000" w:themeColor="text1"/>
        </w:rPr>
      </w:pPr>
      <w:r w:rsidRPr="0026707E">
        <w:rPr>
          <w:rFonts w:cs="Times New Roman"/>
          <w:iCs/>
        </w:rPr>
        <w:ptab w:relativeTo="margin" w:alignment="center" w:leader="none"/>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T</m:t>
            </m:r>
          </m:e>
          <m:sub>
            <m:r>
              <w:rPr>
                <w:rFonts w:ascii="Cambria Math" w:hAnsi="Cambria Math" w:cs="Times New Roman"/>
                <w:color w:val="000000" w:themeColor="text1"/>
              </w:rPr>
              <m:t>sol,N</m:t>
            </m:r>
          </m:sub>
        </m:sSub>
        <m:r>
          <w:rPr>
            <w:rFonts w:ascii="Cambria Math" w:hAnsi="Cambria Math" w:cs="Times New Roman"/>
            <w:color w:val="000000" w:themeColor="text1"/>
          </w:rPr>
          <m:t>=</m:t>
        </m:r>
        <m:f>
          <m:fPr>
            <m:ctrlPr>
              <w:rPr>
                <w:rFonts w:ascii="Cambria Math" w:hAnsi="Cambria Math" w:cs="Times New Roman"/>
                <w:i/>
                <w:color w:val="000000" w:themeColor="text1"/>
              </w:rPr>
            </m:ctrlPr>
          </m:fPr>
          <m:num>
            <m:sSub>
              <m:sSubPr>
                <m:ctrlPr>
                  <w:rPr>
                    <w:rFonts w:ascii="Cambria Math" w:hAnsi="Cambria Math" w:cs="Times New Roman"/>
                    <w:i/>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N</m:t>
                </m:r>
              </m:sub>
            </m:sSub>
            <m:d>
              <m:dPr>
                <m:ctrlPr>
                  <w:rPr>
                    <w:rFonts w:ascii="Cambria Math" w:hAnsi="Cambria Math" w:cs="Times New Roman"/>
                    <w:i/>
                    <w:color w:val="000000" w:themeColor="text1"/>
                  </w:rPr>
                </m:ctrlPr>
              </m:dPr>
              <m:e>
                <m:r>
                  <w:rPr>
                    <w:rFonts w:ascii="Cambria Math" w:hAnsi="Cambria Math" w:cs="Times New Roman"/>
                    <w:color w:val="000000" w:themeColor="text1"/>
                  </w:rPr>
                  <m:t>t</m:t>
                </m:r>
              </m:e>
            </m:d>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N</m:t>
                </m:r>
              </m:sub>
            </m:sSub>
            <m:d>
              <m:dPr>
                <m:ctrlPr>
                  <w:rPr>
                    <w:rFonts w:ascii="Cambria Math" w:hAnsi="Cambria Math" w:cs="Times New Roman"/>
                    <w:i/>
                    <w:color w:val="000000" w:themeColor="text1"/>
                  </w:rPr>
                </m:ctrlPr>
              </m:dPr>
              <m:e>
                <m:r>
                  <w:rPr>
                    <w:rFonts w:ascii="Cambria Math" w:hAnsi="Cambria Math" w:cs="Times New Roman"/>
                    <w:color w:val="000000" w:themeColor="text1"/>
                  </w:rPr>
                  <m:t>t</m:t>
                </m:r>
              </m:e>
            </m:d>
          </m:den>
        </m:f>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T</m:t>
            </m:r>
          </m:e>
          <m:sub>
            <m:r>
              <w:rPr>
                <w:rFonts w:ascii="Cambria Math" w:hAnsi="Cambria Math" w:cs="Times New Roman"/>
                <w:color w:val="000000" w:themeColor="text1"/>
              </w:rPr>
              <m:t>amb</m:t>
            </m:r>
          </m:sub>
        </m:sSub>
      </m:oMath>
      <w:r w:rsidRPr="0026707E">
        <w:rPr>
          <w:rFonts w:cs="Times New Roman"/>
          <w:iCs/>
        </w:rPr>
        <w:ptab w:relativeTo="margin" w:alignment="right" w:leader="none"/>
      </w:r>
      <w:r w:rsidRPr="0026707E">
        <w:rPr>
          <w:rFonts w:cs="Times New Roman"/>
          <w:color w:val="000000" w:themeColor="text1"/>
        </w:rPr>
        <w:t>(</w:t>
      </w:r>
      <w:r w:rsidR="00BA43D9">
        <w:rPr>
          <w:rFonts w:cs="Times New Roman"/>
          <w:color w:val="000000" w:themeColor="text1"/>
        </w:rPr>
        <w:t>59</w:t>
      </w:r>
      <w:r w:rsidRPr="0026707E">
        <w:rPr>
          <w:rFonts w:cs="Times New Roman"/>
          <w:color w:val="000000" w:themeColor="text1"/>
        </w:rPr>
        <w:t>)</w:t>
      </w:r>
    </w:p>
    <w:p w14:paraId="00F09C6D" w14:textId="77777777" w:rsidR="00B17E5F" w:rsidRPr="0026707E" w:rsidRDefault="00B17E5F" w:rsidP="00616C6A">
      <w:pPr>
        <w:rPr>
          <w:rFonts w:cs="Times New Roman"/>
          <w:color w:val="000000" w:themeColor="text1"/>
        </w:rPr>
      </w:pPr>
      <w:r w:rsidRPr="0026707E">
        <w:rPr>
          <w:rFonts w:cs="Times New Roman"/>
        </w:rPr>
        <w:t xml:space="preserve">where </w:t>
      </w:r>
      <w:r w:rsidRPr="0026707E">
        <w:rPr>
          <w:rFonts w:cs="Times New Roman"/>
          <w:i/>
        </w:rPr>
        <w:t>T</w:t>
      </w:r>
      <w:r w:rsidRPr="0026707E">
        <w:rPr>
          <w:rFonts w:cs="Times New Roman"/>
          <w:i/>
          <w:vertAlign w:val="subscript"/>
        </w:rPr>
        <w:t xml:space="preserve">amb </w:t>
      </w:r>
      <w:r w:rsidRPr="0026707E">
        <w:rPr>
          <w:rFonts w:cs="Times New Roman"/>
        </w:rPr>
        <w:t xml:space="preserve">is the outdoor dry bulb temperature (°C); </w:t>
      </w:r>
      <w:r w:rsidRPr="0026707E">
        <w:rPr>
          <w:rFonts w:cs="Times New Roman"/>
          <w:i/>
          <w:color w:val="000000" w:themeColor="text1"/>
        </w:rPr>
        <w:t>h</w:t>
      </w:r>
      <w:r w:rsidRPr="0026707E">
        <w:rPr>
          <w:rFonts w:cs="Times New Roman"/>
          <w:i/>
          <w:color w:val="000000" w:themeColor="text1"/>
          <w:vertAlign w:val="subscript"/>
        </w:rPr>
        <w:t>W</w:t>
      </w:r>
      <w:r w:rsidRPr="0026707E">
        <w:rPr>
          <w:rFonts w:cs="Times New Roman"/>
          <w:i/>
          <w:color w:val="000000" w:themeColor="text1"/>
        </w:rPr>
        <w:t xml:space="preserve"> </w:t>
      </w:r>
      <w:r w:rsidRPr="0026707E">
        <w:rPr>
          <w:rFonts w:cs="Times New Roman"/>
          <w:iCs/>
          <w:color w:val="000000" w:themeColor="text1"/>
        </w:rPr>
        <w:t>and</w:t>
      </w:r>
      <w:r w:rsidRPr="0026707E">
        <w:rPr>
          <w:rFonts w:cs="Times New Roman"/>
          <w:i/>
          <w:color w:val="000000" w:themeColor="text1"/>
        </w:rPr>
        <w:t xml:space="preserve"> h</w:t>
      </w:r>
      <w:r w:rsidRPr="0026707E">
        <w:rPr>
          <w:rFonts w:cs="Times New Roman"/>
          <w:i/>
          <w:color w:val="000000" w:themeColor="text1"/>
          <w:vertAlign w:val="subscript"/>
        </w:rPr>
        <w:t>N</w:t>
      </w:r>
      <w:r w:rsidRPr="0026707E">
        <w:rPr>
          <w:rFonts w:cs="Times New Roman"/>
          <w:i/>
          <w:color w:val="000000" w:themeColor="text1"/>
        </w:rPr>
        <w:t xml:space="preserve"> </w:t>
      </w:r>
      <w:r w:rsidRPr="0026707E">
        <w:rPr>
          <w:rFonts w:cs="Times New Roman"/>
        </w:rPr>
        <w:t xml:space="preserve">are the convective heat transfer coefficients of the exterior surfaces of west and north external walls, respectively </w:t>
      </w:r>
      <w:r w:rsidRPr="0026707E">
        <w:rPr>
          <w:rFonts w:cs="Times New Roman"/>
          <w:color w:val="000000" w:themeColor="text1"/>
        </w:rPr>
        <w:t>(W/m</w:t>
      </w:r>
      <w:r w:rsidRPr="0026707E">
        <w:rPr>
          <w:rFonts w:cs="Times New Roman"/>
          <w:color w:val="000000" w:themeColor="text1"/>
          <w:vertAlign w:val="superscript"/>
        </w:rPr>
        <w:t>2</w:t>
      </w:r>
      <w:r w:rsidRPr="0026707E">
        <w:rPr>
          <w:rFonts w:cs="Times New Roman"/>
          <w:color w:val="000000" w:themeColor="text1"/>
        </w:rPr>
        <w:t>·K);</w:t>
      </w:r>
      <w:r w:rsidRPr="0026707E">
        <w:rPr>
          <w:rFonts w:cs="Times New Roman"/>
        </w:rPr>
        <w:t xml:space="preserve"> and </w:t>
      </w:r>
      <w:r w:rsidRPr="0026707E">
        <w:rPr>
          <w:rFonts w:cs="Times New Roman"/>
          <w:i/>
          <w:color w:val="000000" w:themeColor="text1"/>
        </w:rPr>
        <w:t>I</w:t>
      </w:r>
      <w:r w:rsidRPr="0026707E">
        <w:rPr>
          <w:rFonts w:cs="Times New Roman"/>
          <w:i/>
          <w:color w:val="000000" w:themeColor="text1"/>
          <w:vertAlign w:val="subscript"/>
        </w:rPr>
        <w:t>W</w:t>
      </w:r>
      <w:r w:rsidRPr="0026707E">
        <w:rPr>
          <w:rFonts w:cs="Times New Roman"/>
          <w:i/>
          <w:color w:val="000000" w:themeColor="text1"/>
        </w:rPr>
        <w:t xml:space="preserve"> </w:t>
      </w:r>
      <w:r w:rsidRPr="0026707E">
        <w:rPr>
          <w:rFonts w:cs="Times New Roman"/>
          <w:iCs/>
          <w:color w:val="000000" w:themeColor="text1"/>
        </w:rPr>
        <w:t>and</w:t>
      </w:r>
      <w:r w:rsidRPr="0026707E">
        <w:rPr>
          <w:rFonts w:cs="Times New Roman"/>
          <w:i/>
          <w:color w:val="000000" w:themeColor="text1"/>
        </w:rPr>
        <w:t xml:space="preserve"> I</w:t>
      </w:r>
      <w:r w:rsidRPr="0026707E">
        <w:rPr>
          <w:rFonts w:cs="Times New Roman"/>
          <w:i/>
          <w:color w:val="000000" w:themeColor="text1"/>
          <w:vertAlign w:val="subscript"/>
        </w:rPr>
        <w:t>N</w:t>
      </w:r>
      <w:r w:rsidRPr="0026707E">
        <w:rPr>
          <w:rFonts w:cs="Times New Roman"/>
          <w:i/>
          <w:color w:val="000000" w:themeColor="text1"/>
        </w:rPr>
        <w:t xml:space="preserve"> </w:t>
      </w:r>
      <w:r w:rsidRPr="0026707E">
        <w:rPr>
          <w:rFonts w:cs="Times New Roman"/>
        </w:rPr>
        <w:t>are the effective solar radiation absorbed on the exterior surfaces of west and north external walls, respectively (W/</w:t>
      </w:r>
      <w:r w:rsidRPr="0026707E">
        <w:rPr>
          <w:rFonts w:cs="Times New Roman"/>
          <w:color w:val="000000" w:themeColor="text1"/>
        </w:rPr>
        <w:t>m</w:t>
      </w:r>
      <w:r w:rsidRPr="0026707E">
        <w:rPr>
          <w:rFonts w:cs="Times New Roman"/>
          <w:color w:val="000000" w:themeColor="text1"/>
          <w:vertAlign w:val="superscript"/>
        </w:rPr>
        <w:t>2</w:t>
      </w:r>
      <w:r w:rsidRPr="0026707E">
        <w:rPr>
          <w:rFonts w:cs="Times New Roman"/>
          <w:color w:val="000000" w:themeColor="text1"/>
        </w:rPr>
        <w:t xml:space="preserve">) </w:t>
      </w:r>
      <w:r w:rsidRPr="0026707E">
        <w:rPr>
          <w:rFonts w:cs="Times New Roman"/>
        </w:rPr>
        <w:t>with absorption coefficients already incorporated</w:t>
      </w:r>
      <w:r w:rsidRPr="0026707E">
        <w:rPr>
          <w:rFonts w:cs="Times New Roman"/>
          <w:color w:val="000000" w:themeColor="text1"/>
        </w:rPr>
        <w:t>.</w:t>
      </w:r>
    </w:p>
    <w:p w14:paraId="29ADC3E9" w14:textId="77777777" w:rsidR="00B17E5F" w:rsidRPr="0026707E" w:rsidRDefault="00B17E5F" w:rsidP="00616C6A">
      <w:pPr>
        <w:rPr>
          <w:rFonts w:cs="Times New Roman"/>
          <w:color w:val="000000" w:themeColor="text1"/>
        </w:rPr>
      </w:pPr>
      <w:r w:rsidRPr="0026707E">
        <w:rPr>
          <w:rFonts w:cs="Times New Roman"/>
          <w:color w:val="000000" w:themeColor="text1"/>
        </w:rPr>
        <w:t xml:space="preserve">Two assumptions were made in the model: only sensible loads were considered, and all the </w:t>
      </w:r>
      <w:r w:rsidRPr="0026707E">
        <w:rPr>
          <w:rFonts w:cs="Times New Roman"/>
          <w:i/>
          <w:iCs/>
          <w:color w:val="000000" w:themeColor="text1"/>
        </w:rPr>
        <w:t>R</w:t>
      </w:r>
      <w:r w:rsidRPr="0026707E">
        <w:rPr>
          <w:rFonts w:cs="Times New Roman"/>
          <w:color w:val="000000" w:themeColor="text1"/>
        </w:rPr>
        <w:t xml:space="preserve"> and </w:t>
      </w:r>
      <w:r w:rsidRPr="0026707E">
        <w:rPr>
          <w:rFonts w:cs="Times New Roman"/>
          <w:i/>
          <w:iCs/>
          <w:color w:val="000000" w:themeColor="text1"/>
        </w:rPr>
        <w:t>C</w:t>
      </w:r>
      <w:r w:rsidRPr="0026707E">
        <w:rPr>
          <w:rFonts w:cs="Times New Roman"/>
          <w:color w:val="000000" w:themeColor="text1"/>
        </w:rPr>
        <w:t xml:space="preserve"> parameters were assumed to be time-invariant.</w:t>
      </w:r>
    </w:p>
    <w:p w14:paraId="0A4191F9" w14:textId="77777777" w:rsidR="00B17E5F" w:rsidRDefault="00B17E5F" w:rsidP="00616C6A">
      <w:pPr>
        <w:rPr>
          <w:rFonts w:cs="Times New Roman"/>
          <w:color w:val="222222"/>
          <w:shd w:val="clear" w:color="auto" w:fill="FFFFFF"/>
        </w:rPr>
      </w:pPr>
      <w:r w:rsidRPr="0026707E">
        <w:rPr>
          <w:rFonts w:cs="Times New Roman"/>
          <w:color w:val="000000" w:themeColor="text1"/>
        </w:rPr>
        <w:t xml:space="preserve">Please note that, for simplification, the heat transfer effect from surrounding rooms/zones (i.e., </w:t>
      </w:r>
      <w:r w:rsidRPr="0026707E">
        <w:rPr>
          <w:rFonts w:cs="Times New Roman"/>
          <w:color w:val="222222"/>
          <w:shd w:val="clear" w:color="auto" w:fill="FFFFFF"/>
        </w:rPr>
        <w:t>rooms 102, 103 and 105) were not considered initially and the indoor air temperature values in those room were assumed to be unknown.</w:t>
      </w:r>
    </w:p>
    <w:p w14:paraId="5D2FF05E" w14:textId="77777777" w:rsidR="00B25167" w:rsidRPr="0026707E" w:rsidRDefault="00B25167" w:rsidP="00616C6A">
      <w:pPr>
        <w:rPr>
          <w:rFonts w:cs="Times New Roman"/>
          <w:color w:val="000000" w:themeColor="text1"/>
        </w:rPr>
      </w:pPr>
    </w:p>
    <w:p w14:paraId="1089B1A6" w14:textId="77777777" w:rsidR="00B17E5F" w:rsidRPr="0026707E" w:rsidRDefault="00B17E5F" w:rsidP="00616C6A">
      <w:pPr>
        <w:pStyle w:val="Smallheading"/>
        <w:numPr>
          <w:ilvl w:val="0"/>
          <w:numId w:val="25"/>
        </w:numPr>
      </w:pPr>
      <w:r w:rsidRPr="00616C6A">
        <w:rPr>
          <w:shd w:val="clear" w:color="auto" w:fill="FFFFFF"/>
        </w:rPr>
        <w:t>Parameter identification</w:t>
      </w:r>
    </w:p>
    <w:p w14:paraId="0D70E145" w14:textId="7B1327EC" w:rsidR="00B17E5F" w:rsidRPr="0026707E" w:rsidRDefault="00B17E5F" w:rsidP="00616C6A">
      <w:pPr>
        <w:spacing w:before="240"/>
        <w:rPr>
          <w:rFonts w:cs="Times New Roman"/>
        </w:rPr>
      </w:pPr>
      <w:r w:rsidRPr="0026707E">
        <w:rPr>
          <w:rFonts w:cs="Times New Roman"/>
        </w:rPr>
        <w:t xml:space="preserve">The searching process for the optimal values of the undetermined parameters (i.e., </w:t>
      </w:r>
      <w:r w:rsidRPr="0026707E">
        <w:rPr>
          <w:rFonts w:cs="Times New Roman"/>
          <w:i/>
        </w:rPr>
        <w:t>C</w:t>
      </w:r>
      <w:r w:rsidRPr="0026707E">
        <w:rPr>
          <w:rFonts w:cs="Times New Roman"/>
          <w:i/>
          <w:vertAlign w:val="subscript"/>
        </w:rPr>
        <w:t>wall_N</w:t>
      </w:r>
      <w:r w:rsidRPr="0026707E">
        <w:rPr>
          <w:rFonts w:cs="Times New Roman"/>
        </w:rPr>
        <w:t xml:space="preserve">, </w:t>
      </w:r>
      <w:r w:rsidRPr="0026707E">
        <w:rPr>
          <w:rFonts w:cs="Times New Roman"/>
          <w:i/>
        </w:rPr>
        <w:t>C</w:t>
      </w:r>
      <w:r w:rsidRPr="0026707E">
        <w:rPr>
          <w:rFonts w:cs="Times New Roman"/>
          <w:i/>
          <w:vertAlign w:val="subscript"/>
        </w:rPr>
        <w:t>wall_W</w:t>
      </w:r>
      <w:r w:rsidRPr="0026707E">
        <w:rPr>
          <w:rFonts w:cs="Times New Roman"/>
        </w:rPr>
        <w:t xml:space="preserve">, </w:t>
      </w:r>
      <w:r w:rsidRPr="0026707E">
        <w:rPr>
          <w:rFonts w:cs="Times New Roman"/>
          <w:i/>
        </w:rPr>
        <w:t>C</w:t>
      </w:r>
      <w:r w:rsidRPr="0026707E">
        <w:rPr>
          <w:rFonts w:cs="Times New Roman"/>
          <w:i/>
          <w:vertAlign w:val="subscript"/>
        </w:rPr>
        <w:t>air</w:t>
      </w:r>
      <w:r w:rsidRPr="0026707E">
        <w:rPr>
          <w:rFonts w:cs="Times New Roman"/>
        </w:rPr>
        <w:t xml:space="preserve">, </w:t>
      </w:r>
      <w:r w:rsidRPr="0026707E">
        <w:rPr>
          <w:rFonts w:cs="Times New Roman"/>
          <w:i/>
        </w:rPr>
        <w:t>C</w:t>
      </w:r>
      <w:r w:rsidRPr="0026707E">
        <w:rPr>
          <w:rFonts w:cs="Times New Roman"/>
          <w:i/>
          <w:vertAlign w:val="subscript"/>
        </w:rPr>
        <w:t>mass</w:t>
      </w:r>
      <w:r w:rsidRPr="0026707E">
        <w:rPr>
          <w:rFonts w:cs="Times New Roman"/>
        </w:rPr>
        <w:t>,</w:t>
      </w:r>
      <w:r w:rsidRPr="0026707E">
        <w:rPr>
          <w:rFonts w:cs="Times New Roman"/>
          <w:i/>
        </w:rPr>
        <w:t xml:space="preserve"> R</w:t>
      </w:r>
      <w:r w:rsidRPr="0026707E">
        <w:rPr>
          <w:rFonts w:cs="Times New Roman"/>
          <w:i/>
          <w:vertAlign w:val="subscript"/>
        </w:rPr>
        <w:t>wall_N1</w:t>
      </w:r>
      <w:r w:rsidRPr="0026707E">
        <w:rPr>
          <w:rFonts w:cs="Times New Roman"/>
        </w:rPr>
        <w:t xml:space="preserve">, </w:t>
      </w:r>
      <w:r w:rsidRPr="0026707E">
        <w:rPr>
          <w:rFonts w:cs="Times New Roman"/>
          <w:i/>
        </w:rPr>
        <w:t>R</w:t>
      </w:r>
      <w:r w:rsidRPr="0026707E">
        <w:rPr>
          <w:rFonts w:cs="Times New Roman"/>
          <w:i/>
          <w:vertAlign w:val="subscript"/>
        </w:rPr>
        <w:t>wall_N2</w:t>
      </w:r>
      <w:r w:rsidRPr="0026707E">
        <w:rPr>
          <w:rFonts w:cs="Times New Roman"/>
        </w:rPr>
        <w:t>,</w:t>
      </w:r>
      <w:r w:rsidRPr="0026707E">
        <w:rPr>
          <w:rFonts w:cs="Times New Roman"/>
          <w:i/>
        </w:rPr>
        <w:t xml:space="preserve"> R</w:t>
      </w:r>
      <w:r w:rsidRPr="0026707E">
        <w:rPr>
          <w:rFonts w:cs="Times New Roman"/>
          <w:i/>
          <w:vertAlign w:val="subscript"/>
        </w:rPr>
        <w:t>wall_W1</w:t>
      </w:r>
      <w:r w:rsidRPr="0026707E">
        <w:rPr>
          <w:rFonts w:cs="Times New Roman"/>
        </w:rPr>
        <w:t>,</w:t>
      </w:r>
      <w:r w:rsidRPr="0026707E">
        <w:rPr>
          <w:rFonts w:cs="Times New Roman"/>
          <w:i/>
        </w:rPr>
        <w:t xml:space="preserve"> R</w:t>
      </w:r>
      <w:r w:rsidRPr="0026707E">
        <w:rPr>
          <w:rFonts w:cs="Times New Roman"/>
          <w:i/>
          <w:vertAlign w:val="subscript"/>
        </w:rPr>
        <w:t>wall_W2</w:t>
      </w:r>
      <w:r w:rsidRPr="0026707E">
        <w:rPr>
          <w:rFonts w:cs="Times New Roman"/>
        </w:rPr>
        <w:t xml:space="preserve">, </w:t>
      </w:r>
      <w:r w:rsidRPr="0026707E">
        <w:rPr>
          <w:rFonts w:cs="Times New Roman"/>
          <w:i/>
        </w:rPr>
        <w:t>R</w:t>
      </w:r>
      <w:r w:rsidRPr="0026707E">
        <w:rPr>
          <w:rFonts w:cs="Times New Roman"/>
          <w:i/>
          <w:vertAlign w:val="subscript"/>
        </w:rPr>
        <w:t>win</w:t>
      </w:r>
      <w:r w:rsidRPr="0026707E">
        <w:rPr>
          <w:rFonts w:cs="Times New Roman"/>
          <w:iCs/>
        </w:rPr>
        <w:t>,</w:t>
      </w:r>
      <w:r w:rsidRPr="0026707E">
        <w:rPr>
          <w:rFonts w:cs="Times New Roman"/>
          <w:i/>
          <w:vertAlign w:val="subscript"/>
        </w:rPr>
        <w:t xml:space="preserve"> </w:t>
      </w:r>
      <w:r w:rsidRPr="0026707E">
        <w:rPr>
          <w:rFonts w:cs="Times New Roman"/>
          <w:i/>
        </w:rPr>
        <w:t>R</w:t>
      </w:r>
      <w:r w:rsidRPr="0026707E">
        <w:rPr>
          <w:rFonts w:cs="Times New Roman"/>
          <w:i/>
          <w:vertAlign w:val="subscript"/>
        </w:rPr>
        <w:t>mass</w:t>
      </w:r>
      <w:r w:rsidRPr="0026707E">
        <w:rPr>
          <w:rFonts w:cs="Times New Roman"/>
          <w:i/>
        </w:rPr>
        <w:t>, C</w:t>
      </w:r>
      <w:r w:rsidRPr="0026707E">
        <w:rPr>
          <w:rFonts w:cs="Times New Roman"/>
          <w:i/>
          <w:vertAlign w:val="subscript"/>
        </w:rPr>
        <w:t>AC,air</w:t>
      </w:r>
      <w:r w:rsidRPr="0026707E">
        <w:rPr>
          <w:rFonts w:cs="Times New Roman"/>
        </w:rPr>
        <w:t xml:space="preserve">, </w:t>
      </w:r>
      <w:r w:rsidRPr="0026707E">
        <w:rPr>
          <w:rFonts w:cs="Times New Roman"/>
          <w:i/>
        </w:rPr>
        <w:t>C</w:t>
      </w:r>
      <w:r w:rsidRPr="0026707E">
        <w:rPr>
          <w:rFonts w:cs="Times New Roman"/>
          <w:i/>
          <w:vertAlign w:val="subscript"/>
        </w:rPr>
        <w:t>IHL,air</w:t>
      </w:r>
      <w:r w:rsidRPr="0026707E">
        <w:rPr>
          <w:rFonts w:cs="Times New Roman"/>
        </w:rPr>
        <w:t xml:space="preserve">, </w:t>
      </w:r>
      <w:r w:rsidRPr="0026707E">
        <w:rPr>
          <w:rFonts w:cs="Times New Roman"/>
          <w:i/>
        </w:rPr>
        <w:t>C</w:t>
      </w:r>
      <w:r w:rsidRPr="0026707E">
        <w:rPr>
          <w:rFonts w:cs="Times New Roman"/>
          <w:i/>
          <w:vertAlign w:val="subscript"/>
        </w:rPr>
        <w:t>solar</w:t>
      </w:r>
      <w:r w:rsidRPr="0026707E">
        <w:rPr>
          <w:rFonts w:cs="Times New Roman"/>
          <w:i/>
        </w:rPr>
        <w:t>,</w:t>
      </w:r>
      <w:r w:rsidRPr="0026707E">
        <w:rPr>
          <w:rFonts w:cs="Times New Roman"/>
          <w:i/>
          <w:vertAlign w:val="subscript"/>
        </w:rPr>
        <w:t>air</w:t>
      </w:r>
      <w:r w:rsidRPr="0026707E">
        <w:rPr>
          <w:rFonts w:cs="Times New Roman"/>
        </w:rPr>
        <w:t xml:space="preserve">, </w:t>
      </w:r>
      <w:r w:rsidRPr="0026707E">
        <w:rPr>
          <w:rFonts w:cs="Times New Roman"/>
          <w:i/>
        </w:rPr>
        <w:t>C</w:t>
      </w:r>
      <w:r w:rsidRPr="0026707E">
        <w:rPr>
          <w:rFonts w:cs="Times New Roman"/>
          <w:i/>
          <w:vertAlign w:val="subscript"/>
        </w:rPr>
        <w:t>AC,mass</w:t>
      </w:r>
      <w:r w:rsidRPr="0026707E">
        <w:rPr>
          <w:rFonts w:cs="Times New Roman"/>
        </w:rPr>
        <w:t>,</w:t>
      </w:r>
      <w:r w:rsidRPr="0026707E">
        <w:rPr>
          <w:rFonts w:cs="Times New Roman"/>
          <w:i/>
        </w:rPr>
        <w:t xml:space="preserve"> C</w:t>
      </w:r>
      <w:r w:rsidRPr="0026707E">
        <w:rPr>
          <w:rFonts w:cs="Times New Roman"/>
          <w:i/>
          <w:vertAlign w:val="subscript"/>
        </w:rPr>
        <w:t>IHL,mass</w:t>
      </w:r>
      <w:r w:rsidRPr="0026707E">
        <w:rPr>
          <w:rFonts w:cs="Times New Roman"/>
        </w:rPr>
        <w:t xml:space="preserve">, and </w:t>
      </w:r>
      <w:r w:rsidRPr="0026707E">
        <w:rPr>
          <w:rFonts w:cs="Times New Roman"/>
          <w:i/>
        </w:rPr>
        <w:t>C</w:t>
      </w:r>
      <w:r w:rsidRPr="0026707E">
        <w:rPr>
          <w:rFonts w:cs="Times New Roman"/>
          <w:i/>
          <w:vertAlign w:val="subscript"/>
        </w:rPr>
        <w:t>solar,mass</w:t>
      </w:r>
      <w:r w:rsidRPr="0026707E">
        <w:rPr>
          <w:rFonts w:cs="Times New Roman"/>
        </w:rPr>
        <w:t xml:space="preserve">) in the RC model is a nonlinear optimization process. Given a set of parameters, the gray-box model can predict a </w:t>
      </w:r>
      <w:r w:rsidRPr="0026707E">
        <w:rPr>
          <w:rFonts w:cs="Times New Roman"/>
          <w:i/>
          <w:iCs/>
        </w:rPr>
        <w:t>T</w:t>
      </w:r>
      <w:r w:rsidRPr="0026707E">
        <w:rPr>
          <w:rFonts w:cs="Times New Roman"/>
          <w:i/>
          <w:iCs/>
          <w:vertAlign w:val="subscript"/>
        </w:rPr>
        <w:t>in</w:t>
      </w:r>
      <w:r w:rsidRPr="0026707E">
        <w:rPr>
          <w:rFonts w:cs="Times New Roman"/>
        </w:rPr>
        <w:t xml:space="preserve"> profile. An objective function is used to evaluate the fitness between the results predicted by the RC model and the measured indoor time temperature during the training period; details on the training period are provided in a later section. The objective function </w:t>
      </w:r>
      <w:r w:rsidRPr="0026707E">
        <w:rPr>
          <w:rFonts w:cs="Times New Roman"/>
          <w:i/>
          <w:iCs/>
        </w:rPr>
        <w:t>J</w:t>
      </w:r>
      <w:r w:rsidRPr="0026707E">
        <w:rPr>
          <w:rFonts w:cs="Times New Roman"/>
          <w:i/>
          <w:iCs/>
          <w:vertAlign w:val="subscript"/>
        </w:rPr>
        <w:t>Benchmark</w:t>
      </w:r>
      <w:r w:rsidRPr="0026707E">
        <w:rPr>
          <w:rFonts w:cs="Times New Roman"/>
        </w:rPr>
        <w:t xml:space="preserve"> of such optimization is to minimize the root mean squared error (</w:t>
      </w:r>
      <w:r w:rsidRPr="0026707E">
        <w:rPr>
          <w:rFonts w:cs="Times New Roman"/>
          <w:i/>
          <w:iCs/>
        </w:rPr>
        <w:t>RMSE</w:t>
      </w:r>
      <w:r w:rsidRPr="0026707E">
        <w:rPr>
          <w:rFonts w:cs="Times New Roman"/>
        </w:rPr>
        <w:t>) as defined in Eq</w:t>
      </w:r>
      <w:r w:rsidR="00BA43D9">
        <w:rPr>
          <w:rFonts w:cs="Times New Roman"/>
        </w:rPr>
        <w:t>uation 60.</w:t>
      </w:r>
      <w:r w:rsidRPr="0026707E">
        <w:rPr>
          <w:rFonts w:cs="Times New Roman"/>
        </w:rPr>
        <w:t xml:space="preserve"> </w:t>
      </w:r>
    </w:p>
    <w:p w14:paraId="3E7ED97D" w14:textId="77777777" w:rsidR="00B17E5F" w:rsidRPr="0026707E" w:rsidRDefault="00B17E5F" w:rsidP="00616C6A">
      <w:pPr>
        <w:rPr>
          <w:rFonts w:cs="Times New Roman"/>
          <w:vertAlign w:val="subscript"/>
        </w:rPr>
      </w:pPr>
      <w:r w:rsidRPr="0026707E">
        <w:rPr>
          <w:rFonts w:cs="Times New Roman"/>
          <w:iCs/>
        </w:rPr>
        <w:ptab w:relativeTo="margin" w:alignment="center" w:leader="none"/>
      </w:r>
      <m:oMath>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Benchmark</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wal</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N</m:t>
                </m:r>
              </m:sub>
            </m:sSub>
          </m:sub>
        </m:sSub>
        <m:r>
          <m:rPr>
            <m:sty m:val="p"/>
          </m:rP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wal</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W</m:t>
                </m:r>
              </m:sub>
            </m:sSub>
          </m:sub>
        </m:sSub>
        <m:r>
          <m:rPr>
            <m:sty m:val="p"/>
          </m:rP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air</m:t>
            </m:r>
          </m:sub>
        </m:sSub>
        <m:r>
          <m:rPr>
            <m:sty m:val="p"/>
          </m:rP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mass</m:t>
            </m:r>
          </m:sub>
        </m:sSub>
        <m:r>
          <w:rPr>
            <w:rFonts w:ascii="Cambria Math" w:hAnsi="Cambria Math" w:cs="Times New Roman"/>
            <w:vertAlign w:val="subscript"/>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wal</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N1</m:t>
                </m:r>
              </m:sub>
            </m:sSub>
          </m:sub>
        </m:sSub>
        <m:r>
          <m:rPr>
            <m:sty m:val="p"/>
          </m:rP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wal</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N2</m:t>
                </m:r>
              </m:sub>
            </m:sSub>
          </m:sub>
        </m:sSub>
        <m:r>
          <m:rPr>
            <m:sty m:val="p"/>
          </m:rP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wal</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W1</m:t>
                </m:r>
              </m:sub>
            </m:sSub>
          </m:sub>
        </m:sSub>
        <m:r>
          <m:rPr>
            <m:sty m:val="p"/>
          </m:rP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wal</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W2</m:t>
                </m:r>
              </m:sub>
            </m:sSub>
          </m:sub>
        </m:sSub>
        <m:r>
          <w:rPr>
            <w:rFonts w:ascii="Cambria Math" w:hAnsi="Cambria Math" w:cs="Times New Roman"/>
            <w:vertAlign w:val="subscript"/>
          </w:rPr>
          <m:t xml:space="preserve">, </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win</m:t>
            </m:r>
          </m:sub>
        </m:sSub>
        <m:r>
          <w:rPr>
            <w:rFonts w:ascii="Cambria Math" w:hAnsi="Cambria Math" w:cs="Times New Roman"/>
            <w:vertAlign w:val="subscript"/>
          </w:rPr>
          <m:t xml:space="preserve">, </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mass</m:t>
            </m:r>
          </m:sub>
        </m:sSub>
        <m:r>
          <w:rPr>
            <w:rFonts w:ascii="Cambria Math" w:hAnsi="Cambria Math" w:cs="Times New Roman"/>
            <w:vertAlign w:val="subscript"/>
          </w:rPr>
          <m:t>,</m:t>
        </m:r>
      </m:oMath>
    </w:p>
    <w:p w14:paraId="236A6232" w14:textId="571B920E" w:rsidR="00B17E5F" w:rsidRPr="0026707E" w:rsidRDefault="00B17E5F" w:rsidP="00616C6A">
      <w:pPr>
        <w:jc w:val="left"/>
        <w:rPr>
          <w:rFonts w:cs="Times New Roman"/>
        </w:rPr>
      </w:pPr>
      <m:oMath>
        <m:r>
          <w:rPr>
            <w:rFonts w:ascii="Cambria Math" w:hAnsi="Cambria Math" w:cs="Times New Roman"/>
            <w:vertAlign w:val="subscript"/>
          </w:rPr>
          <m:t xml:space="preserve"> </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AC,air</m:t>
            </m:r>
          </m:sub>
        </m:sSub>
        <m:r>
          <w:rPr>
            <w:rFonts w:ascii="Cambria Math" w:hAnsi="Cambria Math" w:cs="Times New Roman"/>
            <w:vertAlign w:val="subscript"/>
          </w:rPr>
          <m:t xml:space="preserve">, </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IHL,air</m:t>
            </m:r>
          </m:sub>
        </m:sSub>
        <m:r>
          <w:rPr>
            <w:rFonts w:ascii="Cambria Math" w:hAnsi="Cambria Math" w:cs="Times New Roman"/>
            <w:vertAlign w:val="subscript"/>
          </w:rPr>
          <m:t xml:space="preserve">, </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solar,air</m:t>
            </m:r>
          </m:sub>
        </m:sSub>
        <m:r>
          <w:rPr>
            <w:rFonts w:ascii="Cambria Math" w:hAnsi="Cambria Math" w:cs="Times New Roman"/>
            <w:vertAlign w:val="subscript"/>
          </w:rPr>
          <m:t xml:space="preserve">, </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AC,mass</m:t>
            </m:r>
          </m:sub>
        </m:sSub>
        <m:r>
          <w:rPr>
            <w:rFonts w:ascii="Cambria Math" w:hAnsi="Cambria Math" w:cs="Times New Roman"/>
            <w:vertAlign w:val="subscript"/>
          </w:rPr>
          <m:t xml:space="preserve">, </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IHL,mass</m:t>
            </m:r>
          </m:sub>
        </m:sSub>
        <m:r>
          <w:rPr>
            <w:rFonts w:ascii="Cambria Math" w:hAnsi="Cambria Math" w:cs="Times New Roman"/>
            <w:vertAlign w:val="subscript"/>
          </w:rPr>
          <m:t xml:space="preserve">, </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solar,mass</m:t>
            </m:r>
          </m:sub>
        </m:sSub>
        <m:r>
          <w:rPr>
            <w:rFonts w:ascii="Cambria Math" w:hAnsi="Cambria Math" w:cs="Times New Roman"/>
          </w:rPr>
          <m:t>)=</m:t>
        </m:r>
        <m:rad>
          <m:radPr>
            <m:degHide m:val="1"/>
            <m:ctrlPr>
              <w:rPr>
                <w:rFonts w:ascii="Cambria Math" w:hAnsi="Cambria Math" w:cs="Times New Roman"/>
                <w:i/>
              </w:rPr>
            </m:ctrlPr>
          </m:radPr>
          <m:deg/>
          <m:e>
            <m:f>
              <m:fPr>
                <m:ctrlPr>
                  <w:rPr>
                    <w:rFonts w:ascii="Cambria Math" w:hAnsi="Cambria Math" w:cs="Times New Roman"/>
                    <w:i/>
                  </w:rPr>
                </m:ctrlPr>
              </m:fPr>
              <m:num>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r>
                      <w:rPr>
                        <w:rFonts w:ascii="Cambria Math" w:hAnsi="Cambria Math" w:cs="Times New Roman"/>
                      </w:rPr>
                      <m:t>(</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in,real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in,RC</m:t>
                            </m:r>
                          </m:sub>
                        </m:sSub>
                        <m:r>
                          <w:rPr>
                            <w:rFonts w:ascii="Cambria Math" w:hAnsi="Cambria Math" w:cs="Times New Roman"/>
                          </w:rPr>
                          <m:t>)</m:t>
                        </m:r>
                      </m:e>
                      <m:sup>
                        <m:r>
                          <w:rPr>
                            <w:rFonts w:ascii="Cambria Math" w:hAnsi="Cambria Math" w:cs="Times New Roman"/>
                          </w:rPr>
                          <m:t>2</m:t>
                        </m:r>
                      </m:sup>
                    </m:sSup>
                  </m:e>
                </m:nary>
              </m:num>
              <m:den>
                <m:r>
                  <w:rPr>
                    <w:rFonts w:ascii="Cambria Math" w:hAnsi="Cambria Math" w:cs="Times New Roman"/>
                  </w:rPr>
                  <m:t>N-1</m:t>
                </m:r>
              </m:den>
            </m:f>
          </m:e>
        </m:rad>
        <m:r>
          <w:rPr>
            <w:rFonts w:ascii="Cambria Math" w:hAnsi="Cambria Math" w:cs="Times New Roman"/>
          </w:rPr>
          <m:t xml:space="preserve"> </m:t>
        </m:r>
      </m:oMath>
      <w:r>
        <w:rPr>
          <w:rFonts w:cs="Times New Roman"/>
        </w:rPr>
        <w:t xml:space="preserve"> </w:t>
      </w:r>
      <w:r w:rsidRPr="0026707E">
        <w:rPr>
          <w:rFonts w:cs="Times New Roman"/>
        </w:rPr>
        <w:t>(</w:t>
      </w:r>
      <w:r w:rsidR="00BA43D9">
        <w:rPr>
          <w:rFonts w:cs="Times New Roman"/>
        </w:rPr>
        <w:t>60</w:t>
      </w:r>
      <w:r w:rsidRPr="0026707E">
        <w:rPr>
          <w:rFonts w:cs="Times New Roman"/>
        </w:rPr>
        <w:t>)</w:t>
      </w:r>
    </w:p>
    <w:p w14:paraId="4345E8C9" w14:textId="77777777" w:rsidR="00B17E5F" w:rsidRPr="0026707E" w:rsidRDefault="00B17E5F" w:rsidP="00616C6A">
      <w:pPr>
        <w:rPr>
          <w:rFonts w:cs="Times New Roman"/>
        </w:rPr>
      </w:pPr>
      <w:r w:rsidRPr="0026707E">
        <w:rPr>
          <w:rFonts w:cs="Times New Roman"/>
        </w:rPr>
        <w:t xml:space="preserve">where </w:t>
      </w:r>
      <w:r w:rsidRPr="0026707E">
        <w:rPr>
          <w:rFonts w:cs="Times New Roman"/>
          <w:i/>
        </w:rPr>
        <w:t>T</w:t>
      </w:r>
      <w:r w:rsidRPr="0026707E">
        <w:rPr>
          <w:rFonts w:cs="Times New Roman"/>
          <w:i/>
          <w:vertAlign w:val="subscript"/>
        </w:rPr>
        <w:t>in,real</w:t>
      </w:r>
      <w:r w:rsidRPr="0026707E">
        <w:rPr>
          <w:rFonts w:cs="Times New Roman"/>
        </w:rPr>
        <w:t xml:space="preserve"> is the measured mean indoor air temperature from the reference room, and </w:t>
      </w:r>
      <w:r w:rsidRPr="0026707E">
        <w:rPr>
          <w:rFonts w:cs="Times New Roman"/>
          <w:i/>
        </w:rPr>
        <w:t>T</w:t>
      </w:r>
      <w:r w:rsidRPr="0026707E">
        <w:rPr>
          <w:rFonts w:cs="Times New Roman"/>
          <w:i/>
          <w:vertAlign w:val="subscript"/>
        </w:rPr>
        <w:t>in,RC</w:t>
      </w:r>
      <w:r w:rsidRPr="0026707E">
        <w:rPr>
          <w:rFonts w:cs="Times New Roman"/>
        </w:rPr>
        <w:t xml:space="preserve"> is the mean indoor air temperature predicted by the developed RC model. </w:t>
      </w:r>
    </w:p>
    <w:p w14:paraId="6C0051F1" w14:textId="68493352" w:rsidR="00B17E5F" w:rsidRPr="0026707E" w:rsidRDefault="00B17E5F" w:rsidP="00616C6A">
      <w:pPr>
        <w:rPr>
          <w:rFonts w:cs="Times New Roman"/>
        </w:rPr>
      </w:pPr>
      <w:r w:rsidRPr="0026707E">
        <w:rPr>
          <w:rFonts w:cs="Times New Roman"/>
        </w:rPr>
        <w:t xml:space="preserve">The model development was written in Python. The parameters were identified using the particle swarm optimization (PSO) method. PSO is a computational method that optimizes a problem by iteratively trying to improve a candidate solution with regard to a given measure of quality </w:t>
      </w:r>
      <w:sdt>
        <w:sdtPr>
          <w:rPr>
            <w:rFonts w:cs="Times New Roman"/>
            <w:color w:val="000000"/>
          </w:rPr>
          <w:tag w:val="MENDELEY_CITATION_v3_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"/>
          <w:id w:val="-1086301549"/>
          <w:placeholder>
            <w:docPart w:val="3FDB414333074DD9B640901BBE23B543"/>
          </w:placeholder>
        </w:sdtPr>
        <w:sdtContent>
          <w:r w:rsidR="001E7ECF" w:rsidRPr="001E7ECF">
            <w:rPr>
              <w:rFonts w:cs="Times New Roman"/>
              <w:color w:val="000000"/>
            </w:rPr>
            <w:t>[214]</w:t>
          </w:r>
        </w:sdtContent>
      </w:sdt>
      <w:r w:rsidRPr="0026707E">
        <w:rPr>
          <w:rFonts w:cs="Times New Roman"/>
        </w:rPr>
        <w:t xml:space="preserve">. It solves a problem by having a population of candidate solutions and moving these particles around in the search space according to simple mathematical formulae over the particle’s position and velocity </w:t>
      </w:r>
      <w:sdt>
        <w:sdtPr>
          <w:rPr>
            <w:rFonts w:cs="Times New Roman"/>
            <w:color w:val="000000"/>
          </w:rPr>
          <w:tag w:val="MENDELEY_CITATION_v3_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"/>
          <w:id w:val="1403247764"/>
          <w:placeholder>
            <w:docPart w:val="3FDB414333074DD9B640901BBE23B543"/>
          </w:placeholder>
        </w:sdtPr>
        <w:sdtContent>
          <w:r w:rsidR="001E7ECF" w:rsidRPr="001E7ECF">
            <w:rPr>
              <w:rFonts w:cs="Times New Roman"/>
              <w:color w:val="000000"/>
            </w:rPr>
            <w:t>[223]</w:t>
          </w:r>
        </w:sdtContent>
      </w:sdt>
      <w:r w:rsidRPr="0026707E">
        <w:rPr>
          <w:rFonts w:cs="Times New Roman"/>
        </w:rPr>
        <w:t xml:space="preserve">. </w:t>
      </w:r>
    </w:p>
    <w:p w14:paraId="63546C1B" w14:textId="36CC1163" w:rsidR="00B17E5F" w:rsidRDefault="00B17E5F" w:rsidP="00616C6A">
      <w:pPr>
        <w:rPr>
          <w:rFonts w:cs="Times New Roman"/>
        </w:rPr>
      </w:pPr>
      <w:r w:rsidRPr="0026707E">
        <w:rPr>
          <w:rFonts w:cs="Times New Roman"/>
        </w:rPr>
        <w:t xml:space="preserve">The model development was written and the PSO package was imported in Spyder </w:t>
      </w:r>
      <w:sdt>
        <w:sdtPr>
          <w:rPr>
            <w:rFonts w:cs="Times New Roman"/>
            <w:color w:val="000000"/>
          </w:rPr>
          <w:tag w:val="MENDELEY_CITATION_v3_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"/>
          <w:id w:val="1711886"/>
          <w:placeholder>
            <w:docPart w:val="3FDB414333074DD9B640901BBE23B543"/>
          </w:placeholder>
        </w:sdtPr>
        <w:sdtContent>
          <w:r w:rsidR="001E7ECF" w:rsidRPr="001E7ECF">
            <w:rPr>
              <w:rFonts w:cs="Times New Roman"/>
              <w:color w:val="000000"/>
            </w:rPr>
            <w:t>[224]</w:t>
          </w:r>
        </w:sdtContent>
      </w:sdt>
      <w:r w:rsidRPr="0026707E">
        <w:rPr>
          <w:rFonts w:cs="Times New Roman"/>
        </w:rPr>
        <w:t>, which is a free and open-source integrated development environment for Python.</w:t>
      </w:r>
    </w:p>
    <w:p w14:paraId="7C6DC7BF" w14:textId="161772BE" w:rsidR="00B17E5F" w:rsidRPr="00B25167" w:rsidRDefault="00B17E5F">
      <w:pPr>
        <w:spacing w:before="0" w:line="240" w:lineRule="auto"/>
        <w:ind w:firstLine="0"/>
        <w:jc w:val="left"/>
        <w:rPr>
          <w:rFonts w:cs="Times New Roman"/>
        </w:rPr>
      </w:pPr>
      <w:r>
        <w:rPr>
          <w:rFonts w:cs="Times New Roman"/>
        </w:rPr>
        <w:br w:type="page"/>
      </w:r>
    </w:p>
    <w:p w14:paraId="1A94EFB0" w14:textId="77777777" w:rsidR="00B17E5F" w:rsidRPr="00322E56" w:rsidRDefault="00B17E5F" w:rsidP="00616C6A">
      <w:pPr>
        <w:pStyle w:val="Heading3"/>
        <w:rPr>
          <w:rFonts w:cs="Times New Roman"/>
        </w:rPr>
      </w:pPr>
      <w:bookmarkStart w:id="304" w:name="_Toc140399914"/>
      <w:r w:rsidRPr="00322E56">
        <w:rPr>
          <w:rFonts w:cs="Times New Roman"/>
        </w:rPr>
        <w:t>Experimental setup with HP in FRP-2</w:t>
      </w:r>
      <w:bookmarkEnd w:id="304"/>
    </w:p>
    <w:p w14:paraId="5EBBEBCE" w14:textId="77777777" w:rsidR="00B17E5F" w:rsidRPr="00322E56" w:rsidRDefault="00B17E5F" w:rsidP="002B4ECF">
      <w:pPr>
        <w:rPr>
          <w:rFonts w:cs="Times New Roman"/>
        </w:rPr>
      </w:pPr>
      <w:r w:rsidRPr="00322E56">
        <w:rPr>
          <w:rFonts w:cs="Times New Roman"/>
        </w:rPr>
        <w:t>The heat pump is a dual source (air source and ground source) heat pump (DSHP). The cooling capacity of the HP is 2 ton. Hot or chilled water is produced through a brazed plate heat exchanger for storing energy in the PCM HX. A fan coil in the hydraulic lines is used for discharging stored energy in the PCM HX for space cooling or heating.</w:t>
      </w:r>
    </w:p>
    <w:p w14:paraId="6A5238DE" w14:textId="77777777" w:rsidR="00B17E5F" w:rsidRDefault="00B17E5F" w:rsidP="002B4ECF">
      <w:pPr>
        <w:rPr>
          <w:rFonts w:cs="Times New Roman"/>
        </w:rPr>
      </w:pPr>
      <w:r w:rsidRPr="00322E56">
        <w:rPr>
          <w:rFonts w:cs="Times New Roman"/>
        </w:rPr>
        <w:t>Various sensors are installed in the HP to measure the temperature, pressure, and flow rates of air, water, and refrigerant.</w:t>
      </w:r>
    </w:p>
    <w:p w14:paraId="6F5C803A" w14:textId="5F2EEAA3" w:rsidR="00B17E5F" w:rsidRDefault="00B17E5F" w:rsidP="002B4ECF">
      <w:pPr>
        <w:rPr>
          <w:rFonts w:cs="Times New Roman"/>
        </w:rPr>
      </w:pPr>
      <w:r w:rsidRPr="00C10398">
        <w:rPr>
          <w:rFonts w:cs="Times New Roman"/>
        </w:rPr>
        <w:t xml:space="preserve">Table </w:t>
      </w:r>
      <w:r w:rsidR="006A6B3E">
        <w:rPr>
          <w:rFonts w:cs="Times New Roman"/>
        </w:rPr>
        <w:t>2</w:t>
      </w:r>
      <w:r w:rsidR="00874508">
        <w:rPr>
          <w:rFonts w:cs="Times New Roman"/>
        </w:rPr>
        <w:t>5</w:t>
      </w:r>
      <w:r w:rsidR="006A6B3E">
        <w:rPr>
          <w:rFonts w:cs="Times New Roman"/>
        </w:rPr>
        <w:t xml:space="preserve"> </w:t>
      </w:r>
      <w:r w:rsidRPr="00C10398">
        <w:rPr>
          <w:rFonts w:cs="Times New Roman"/>
        </w:rPr>
        <w:t>below shows the heat pump capacity and COP during heating mode or cooling mode. DX means the heat pump only provides spacing heating or cooling, Hydronic means the heat pump only provides chilled water or hot water for the PCM HX.</w:t>
      </w:r>
    </w:p>
    <w:p w14:paraId="4AB01A45" w14:textId="5277E1F7" w:rsidR="00B17E5F" w:rsidRDefault="00B17E5F" w:rsidP="000D55B1">
      <w:pPr>
        <w:rPr>
          <w:rFonts w:cs="Times New Roman"/>
        </w:rPr>
      </w:pPr>
      <w:r w:rsidRPr="00295679">
        <w:rPr>
          <w:rFonts w:cs="Times New Roman"/>
        </w:rPr>
        <w:t xml:space="preserve">During the charging and discharging tests, the heat pump storage capacity varied with time for each cycle, as </w:t>
      </w:r>
      <w:r>
        <w:rPr>
          <w:rFonts w:cs="Times New Roman"/>
        </w:rPr>
        <w:t>shown in Figure</w:t>
      </w:r>
      <w:r w:rsidRPr="00295679">
        <w:rPr>
          <w:rFonts w:cs="Times New Roman"/>
        </w:rPr>
        <w:t xml:space="preserve"> </w:t>
      </w:r>
      <w:r>
        <w:rPr>
          <w:rFonts w:cs="Times New Roman"/>
        </w:rPr>
        <w:t>7</w:t>
      </w:r>
      <w:r w:rsidR="006A6B3E">
        <w:rPr>
          <w:rFonts w:cs="Times New Roman"/>
        </w:rPr>
        <w:t>6</w:t>
      </w:r>
      <w:r>
        <w:rPr>
          <w:rFonts w:cs="Times New Roman"/>
        </w:rPr>
        <w:t xml:space="preserve"> </w:t>
      </w:r>
      <w:r w:rsidRPr="00295679">
        <w:rPr>
          <w:rFonts w:cs="Times New Roman"/>
        </w:rPr>
        <w:t>below. The discharging rate is 1-2 ton, the average discharging rate is around 1.2 ton.</w:t>
      </w:r>
      <w:r>
        <w:rPr>
          <w:rFonts w:cs="Times New Roman"/>
        </w:rPr>
        <w:t xml:space="preserve"> </w:t>
      </w:r>
      <w:r w:rsidRPr="00037432">
        <w:rPr>
          <w:rFonts w:cs="Times New Roman"/>
        </w:rPr>
        <w:t>The measured phase change temperature is around 26-32</w:t>
      </w:r>
      <w:r>
        <w:rPr>
          <w:rFonts w:cs="Times New Roman"/>
        </w:rPr>
        <w:t>℃</w:t>
      </w:r>
      <w:r w:rsidRPr="00037432">
        <w:rPr>
          <w:rFonts w:cs="Times New Roman"/>
        </w:rPr>
        <w:t xml:space="preserve"> </w:t>
      </w:r>
      <w:r>
        <w:rPr>
          <w:rFonts w:cs="Times New Roman"/>
        </w:rPr>
        <w:t xml:space="preserve">for </w:t>
      </w:r>
      <w:r w:rsidRPr="00037432">
        <w:rPr>
          <w:rFonts w:cs="Times New Roman"/>
        </w:rPr>
        <w:t>melting and 24</w:t>
      </w:r>
      <w:r>
        <w:rPr>
          <w:rFonts w:cs="Times New Roman"/>
        </w:rPr>
        <w:t xml:space="preserve">℃ for </w:t>
      </w:r>
      <w:r w:rsidRPr="00037432">
        <w:rPr>
          <w:rFonts w:cs="Times New Roman"/>
        </w:rPr>
        <w:t>freezing</w:t>
      </w:r>
      <w:r>
        <w:rPr>
          <w:rFonts w:cs="Times New Roman"/>
        </w:rPr>
        <w:t xml:space="preserve"> (Figure 7</w:t>
      </w:r>
      <w:r w:rsidR="006A6B3E">
        <w:rPr>
          <w:rFonts w:cs="Times New Roman"/>
        </w:rPr>
        <w:t>7</w:t>
      </w:r>
      <w:r w:rsidRPr="00037432">
        <w:rPr>
          <w:rFonts w:cs="Times New Roman"/>
        </w:rPr>
        <w:t>).</w:t>
      </w:r>
      <w:r>
        <w:rPr>
          <w:rFonts w:cs="Times New Roman"/>
        </w:rPr>
        <w:t xml:space="preserve"> Figure 7</w:t>
      </w:r>
      <w:r w:rsidR="006A6B3E">
        <w:rPr>
          <w:rFonts w:cs="Times New Roman"/>
        </w:rPr>
        <w:t>8</w:t>
      </w:r>
      <w:r>
        <w:rPr>
          <w:rFonts w:cs="Times New Roman"/>
        </w:rPr>
        <w:t xml:space="preserve"> shows the complete setup at ORNL.</w:t>
      </w:r>
    </w:p>
    <w:p w14:paraId="1DD7D11C" w14:textId="77777777" w:rsidR="009162E7" w:rsidRPr="00322E56" w:rsidRDefault="009162E7" w:rsidP="009162E7">
      <w:pPr>
        <w:pStyle w:val="Heading3"/>
        <w:rPr>
          <w:rFonts w:cs="Times New Roman"/>
        </w:rPr>
      </w:pPr>
      <w:bookmarkStart w:id="305" w:name="_Toc140399915"/>
      <w:r w:rsidRPr="00322E56">
        <w:rPr>
          <w:rFonts w:cs="Times New Roman"/>
        </w:rPr>
        <w:t>PCM Heat exchanger</w:t>
      </w:r>
      <w:r>
        <w:rPr>
          <w:rFonts w:cs="Times New Roman"/>
        </w:rPr>
        <w:t xml:space="preserve"> and HP-TES integration</w:t>
      </w:r>
      <w:bookmarkEnd w:id="305"/>
    </w:p>
    <w:p w14:paraId="7B7DEDD8" w14:textId="60915E57" w:rsidR="009162E7" w:rsidRDefault="009162E7" w:rsidP="009162E7">
      <w:pPr>
        <w:rPr>
          <w:rFonts w:cs="Times New Roman"/>
        </w:rPr>
      </w:pPr>
      <w:r w:rsidRPr="0096260D">
        <w:rPr>
          <w:rFonts w:cs="Times New Roman"/>
        </w:rPr>
        <w:t>The PCM HX consists of a tank filled with the PCM and a plastic tubing network that serves to transfer heat to the PCM. Hot or chilled water is produced through a brazed plate heat exchanger for storing energy in the PCM HX. The coil of the tubing network is 23” round by 30” tall. Total length of tubing is between 670-675 meters. </w:t>
      </w:r>
      <w:r>
        <w:rPr>
          <w:rFonts w:cs="Times New Roman"/>
        </w:rPr>
        <w:t>Figure 79 shows the dimensions of PCM-HX integrated with HP.</w:t>
      </w:r>
      <w:r w:rsidR="00BC0719">
        <w:rPr>
          <w:rFonts w:cs="Times New Roman"/>
        </w:rPr>
        <w:t xml:space="preserve"> Hydronic piping and setup is shown in Figure 80.</w:t>
      </w:r>
    </w:p>
    <w:p w14:paraId="291A6D08" w14:textId="77777777" w:rsidR="009162E7" w:rsidRPr="000D55B1" w:rsidRDefault="009162E7" w:rsidP="009162E7">
      <w:pPr>
        <w:rPr>
          <w:rFonts w:cs="Times New Roman"/>
        </w:rPr>
      </w:pPr>
      <w:r w:rsidRPr="0096260D">
        <w:rPr>
          <w:rFonts w:cs="Times New Roman"/>
        </w:rPr>
        <w:t xml:space="preserve">Total PCM volume in the PCM HX is 48 gal. The discharging </w:t>
      </w:r>
      <w:r w:rsidRPr="00322E56">
        <w:rPr>
          <w:rFonts w:cs="Times New Roman"/>
        </w:rPr>
        <w:t>rate of</w:t>
      </w:r>
      <w:r w:rsidRPr="0096260D">
        <w:rPr>
          <w:rFonts w:cs="Times New Roman"/>
        </w:rPr>
        <w:t xml:space="preserve"> the PCM HX is 1-2 ton, the average discharging rate is around 1.2 ton.</w:t>
      </w:r>
      <w:r>
        <w:rPr>
          <w:rFonts w:cs="Times New Roman"/>
        </w:rPr>
        <w:t xml:space="preserve"> An </w:t>
      </w:r>
      <w:r w:rsidRPr="0096260D">
        <w:rPr>
          <w:rFonts w:cs="Times New Roman"/>
        </w:rPr>
        <w:t>S</w:t>
      </w:r>
      <w:r>
        <w:rPr>
          <w:rFonts w:cs="Times New Roman"/>
        </w:rPr>
        <w:t>SD-SPDD s</w:t>
      </w:r>
      <w:r w:rsidRPr="0096260D">
        <w:rPr>
          <w:rFonts w:cs="Times New Roman"/>
        </w:rPr>
        <w:t>alt hydrate PCM</w:t>
      </w:r>
      <w:r>
        <w:rPr>
          <w:rFonts w:cs="Times New Roman"/>
        </w:rPr>
        <w:t xml:space="preserve"> was developed in lab. </w:t>
      </w:r>
      <w:r w:rsidRPr="0096260D">
        <w:rPr>
          <w:rFonts w:cs="Times New Roman"/>
        </w:rPr>
        <w:t>34.2 w% sodium sulfate decahydrate [SSD], 60.8 w% sodium phosphate dibasic dodecahydrate [SPDD], and 5 w% borax</w:t>
      </w:r>
      <w:r>
        <w:rPr>
          <w:rFonts w:cs="Times New Roman"/>
        </w:rPr>
        <w:t>.</w:t>
      </w:r>
    </w:p>
    <w:p w14:paraId="60ECA3CE" w14:textId="75D5A598" w:rsidR="00B17E5F" w:rsidRDefault="00B17E5F">
      <w:pPr>
        <w:spacing w:before="0" w:line="240" w:lineRule="auto"/>
        <w:ind w:firstLine="0"/>
        <w:jc w:val="left"/>
        <w:rPr>
          <w:rFonts w:cs="Times New Roman"/>
        </w:rPr>
      </w:pPr>
    </w:p>
    <w:p w14:paraId="7154EE66" w14:textId="6EFF009D" w:rsidR="00B17E5F" w:rsidRDefault="00B17E5F" w:rsidP="009B45D3">
      <w:pPr>
        <w:pStyle w:val="Caption"/>
        <w:jc w:val="center"/>
      </w:pPr>
      <w:bookmarkStart w:id="306" w:name="_Toc140399965"/>
      <w:r>
        <w:t xml:space="preserve">Table </w:t>
      </w:r>
      <w:fldSimple w:instr=" SEQ Table \* ARABIC ">
        <w:r w:rsidR="00FC25C0">
          <w:rPr>
            <w:noProof/>
          </w:rPr>
          <w:t>25</w:t>
        </w:r>
      </w:fldSimple>
      <w:r>
        <w:t>: HP capacity and COP</w:t>
      </w:r>
      <w:bookmarkEnd w:id="306"/>
    </w:p>
    <w:tbl>
      <w:tblPr>
        <w:tblStyle w:val="TableGrid"/>
        <w:tblW w:w="0" w:type="auto"/>
        <w:tblLook w:val="04A0" w:firstRow="1" w:lastRow="0" w:firstColumn="1" w:lastColumn="0" w:noHBand="0" w:noVBand="1"/>
      </w:tblPr>
      <w:tblGrid>
        <w:gridCol w:w="942"/>
        <w:gridCol w:w="1388"/>
        <w:gridCol w:w="1066"/>
        <w:gridCol w:w="1463"/>
        <w:gridCol w:w="1192"/>
        <w:gridCol w:w="1068"/>
        <w:gridCol w:w="830"/>
        <w:gridCol w:w="681"/>
      </w:tblGrid>
      <w:tr w:rsidR="00B17E5F" w:rsidRPr="00D34A79" w14:paraId="6F8C2CFD" w14:textId="77777777" w:rsidTr="00037432">
        <w:tc>
          <w:tcPr>
            <w:tcW w:w="942" w:type="dxa"/>
          </w:tcPr>
          <w:p w14:paraId="624AB3B7" w14:textId="77777777" w:rsidR="00B17E5F" w:rsidRPr="00CF60E1" w:rsidRDefault="00B17E5F" w:rsidP="00D34A79">
            <w:pPr>
              <w:pStyle w:val="NoSpacing"/>
              <w:rPr>
                <w:rFonts w:cs="Times New Roman"/>
                <w:b/>
                <w:bCs/>
                <w:sz w:val="22"/>
                <w:szCs w:val="22"/>
              </w:rPr>
            </w:pPr>
            <w:r w:rsidRPr="00CF60E1">
              <w:rPr>
                <w:rFonts w:cs="Times New Roman"/>
                <w:b/>
                <w:bCs/>
                <w:sz w:val="22"/>
                <w:szCs w:val="22"/>
              </w:rPr>
              <w:t>H/C</w:t>
            </w:r>
          </w:p>
        </w:tc>
        <w:tc>
          <w:tcPr>
            <w:tcW w:w="1388" w:type="dxa"/>
          </w:tcPr>
          <w:p w14:paraId="66DD6CA3" w14:textId="77777777" w:rsidR="00B17E5F" w:rsidRPr="00CF60E1" w:rsidRDefault="00B17E5F" w:rsidP="00D34A79">
            <w:pPr>
              <w:pStyle w:val="NoSpacing"/>
              <w:rPr>
                <w:rFonts w:cs="Times New Roman"/>
                <w:b/>
                <w:bCs/>
                <w:sz w:val="22"/>
                <w:szCs w:val="22"/>
              </w:rPr>
            </w:pPr>
            <w:r w:rsidRPr="00CF60E1">
              <w:rPr>
                <w:rFonts w:cs="Times New Roman"/>
                <w:b/>
                <w:bCs/>
                <w:sz w:val="22"/>
                <w:szCs w:val="22"/>
              </w:rPr>
              <w:t>Compressor Speed</w:t>
            </w:r>
          </w:p>
        </w:tc>
        <w:tc>
          <w:tcPr>
            <w:tcW w:w="1066" w:type="dxa"/>
          </w:tcPr>
          <w:p w14:paraId="579D9E67" w14:textId="77777777" w:rsidR="00B17E5F" w:rsidRPr="00CF60E1" w:rsidRDefault="00B17E5F" w:rsidP="00D34A79">
            <w:pPr>
              <w:pStyle w:val="NoSpacing"/>
              <w:rPr>
                <w:rFonts w:cs="Times New Roman"/>
                <w:b/>
                <w:bCs/>
                <w:sz w:val="22"/>
                <w:szCs w:val="22"/>
              </w:rPr>
            </w:pPr>
            <w:r w:rsidRPr="00CF60E1">
              <w:rPr>
                <w:rFonts w:cs="Times New Roman"/>
                <w:b/>
                <w:bCs/>
                <w:sz w:val="22"/>
                <w:szCs w:val="22"/>
              </w:rPr>
              <w:t>Mode</w:t>
            </w:r>
          </w:p>
        </w:tc>
        <w:tc>
          <w:tcPr>
            <w:tcW w:w="1463" w:type="dxa"/>
          </w:tcPr>
          <w:p w14:paraId="54D2B28E" w14:textId="77777777" w:rsidR="00B17E5F" w:rsidRPr="00CF60E1" w:rsidRDefault="00B17E5F" w:rsidP="00D34A79">
            <w:pPr>
              <w:pStyle w:val="NoSpacing"/>
              <w:rPr>
                <w:rFonts w:cs="Times New Roman"/>
                <w:b/>
                <w:bCs/>
                <w:sz w:val="22"/>
                <w:szCs w:val="22"/>
              </w:rPr>
            </w:pPr>
            <w:r w:rsidRPr="00CF60E1">
              <w:rPr>
                <w:rFonts w:cs="Times New Roman"/>
                <w:b/>
                <w:bCs/>
                <w:sz w:val="22"/>
                <w:szCs w:val="22"/>
              </w:rPr>
              <w:t>Source Temperature (F)</w:t>
            </w:r>
          </w:p>
        </w:tc>
        <w:tc>
          <w:tcPr>
            <w:tcW w:w="1192" w:type="dxa"/>
          </w:tcPr>
          <w:p w14:paraId="3218C2F6" w14:textId="77777777" w:rsidR="00B17E5F" w:rsidRPr="00CF60E1" w:rsidRDefault="00B17E5F" w:rsidP="00D34A79">
            <w:pPr>
              <w:pStyle w:val="NoSpacing"/>
              <w:rPr>
                <w:rFonts w:cs="Times New Roman"/>
                <w:b/>
                <w:bCs/>
                <w:sz w:val="22"/>
                <w:szCs w:val="22"/>
              </w:rPr>
            </w:pPr>
            <w:r w:rsidRPr="00CF60E1">
              <w:rPr>
                <w:rFonts w:cs="Times New Roman"/>
                <w:b/>
                <w:bCs/>
                <w:sz w:val="22"/>
                <w:szCs w:val="22"/>
              </w:rPr>
              <w:t>Entering air conditions</w:t>
            </w:r>
          </w:p>
        </w:tc>
        <w:tc>
          <w:tcPr>
            <w:tcW w:w="1068" w:type="dxa"/>
          </w:tcPr>
          <w:p w14:paraId="7AFC14E1" w14:textId="77777777" w:rsidR="00B17E5F" w:rsidRPr="00CF60E1" w:rsidRDefault="00B17E5F" w:rsidP="00D34A79">
            <w:pPr>
              <w:pStyle w:val="NoSpacing"/>
              <w:rPr>
                <w:rFonts w:cs="Times New Roman"/>
                <w:b/>
                <w:bCs/>
                <w:sz w:val="22"/>
                <w:szCs w:val="22"/>
              </w:rPr>
            </w:pPr>
            <w:r w:rsidRPr="00CF60E1">
              <w:rPr>
                <w:rFonts w:cs="Times New Roman"/>
                <w:b/>
                <w:bCs/>
                <w:sz w:val="22"/>
                <w:szCs w:val="22"/>
              </w:rPr>
              <w:t>Heat Capacity (kW)</w:t>
            </w:r>
          </w:p>
        </w:tc>
        <w:tc>
          <w:tcPr>
            <w:tcW w:w="830" w:type="dxa"/>
          </w:tcPr>
          <w:p w14:paraId="33BA00D0" w14:textId="77777777" w:rsidR="00B17E5F" w:rsidRPr="00CF60E1" w:rsidRDefault="00B17E5F" w:rsidP="00D34A79">
            <w:pPr>
              <w:pStyle w:val="NoSpacing"/>
              <w:rPr>
                <w:rFonts w:cs="Times New Roman"/>
                <w:b/>
                <w:bCs/>
                <w:sz w:val="22"/>
                <w:szCs w:val="22"/>
              </w:rPr>
            </w:pPr>
            <w:r w:rsidRPr="00CF60E1">
              <w:rPr>
                <w:rFonts w:cs="Times New Roman"/>
                <w:b/>
                <w:bCs/>
                <w:sz w:val="22"/>
                <w:szCs w:val="22"/>
              </w:rPr>
              <w:t>Power (kW)</w:t>
            </w:r>
          </w:p>
        </w:tc>
        <w:tc>
          <w:tcPr>
            <w:tcW w:w="681" w:type="dxa"/>
          </w:tcPr>
          <w:p w14:paraId="01BDF5D2" w14:textId="77777777" w:rsidR="00B17E5F" w:rsidRPr="00CF60E1" w:rsidRDefault="00B17E5F" w:rsidP="00D34A79">
            <w:pPr>
              <w:pStyle w:val="NoSpacing"/>
              <w:rPr>
                <w:rFonts w:cs="Times New Roman"/>
                <w:b/>
                <w:bCs/>
                <w:sz w:val="22"/>
                <w:szCs w:val="22"/>
              </w:rPr>
            </w:pPr>
            <w:r w:rsidRPr="00CF60E1">
              <w:rPr>
                <w:rFonts w:cs="Times New Roman"/>
                <w:b/>
                <w:bCs/>
                <w:sz w:val="22"/>
                <w:szCs w:val="22"/>
              </w:rPr>
              <w:t>COP</w:t>
            </w:r>
          </w:p>
        </w:tc>
      </w:tr>
      <w:tr w:rsidR="00B17E5F" w:rsidRPr="00D34A79" w14:paraId="38933F6E" w14:textId="77777777" w:rsidTr="00037432">
        <w:tc>
          <w:tcPr>
            <w:tcW w:w="942" w:type="dxa"/>
            <w:hideMark/>
          </w:tcPr>
          <w:p w14:paraId="6FA6CC7D"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Heating</w:t>
            </w:r>
          </w:p>
        </w:tc>
        <w:tc>
          <w:tcPr>
            <w:tcW w:w="1388" w:type="dxa"/>
            <w:hideMark/>
          </w:tcPr>
          <w:p w14:paraId="6CFFBB70"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High</w:t>
            </w:r>
          </w:p>
        </w:tc>
        <w:tc>
          <w:tcPr>
            <w:tcW w:w="1066" w:type="dxa"/>
            <w:hideMark/>
          </w:tcPr>
          <w:p w14:paraId="29C6A469"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DX</w:t>
            </w:r>
          </w:p>
        </w:tc>
        <w:tc>
          <w:tcPr>
            <w:tcW w:w="1463" w:type="dxa"/>
            <w:hideMark/>
          </w:tcPr>
          <w:p w14:paraId="449E1933"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50</w:t>
            </w:r>
          </w:p>
        </w:tc>
        <w:tc>
          <w:tcPr>
            <w:tcW w:w="1192" w:type="dxa"/>
            <w:hideMark/>
          </w:tcPr>
          <w:p w14:paraId="00399731"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73F, 30-35% RH</w:t>
            </w:r>
          </w:p>
        </w:tc>
        <w:tc>
          <w:tcPr>
            <w:tcW w:w="1068" w:type="dxa"/>
            <w:hideMark/>
          </w:tcPr>
          <w:p w14:paraId="3C69E83A"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9.0</w:t>
            </w:r>
          </w:p>
        </w:tc>
        <w:tc>
          <w:tcPr>
            <w:tcW w:w="830" w:type="dxa"/>
            <w:hideMark/>
          </w:tcPr>
          <w:p w14:paraId="45FEC01B"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1.6</w:t>
            </w:r>
          </w:p>
        </w:tc>
        <w:tc>
          <w:tcPr>
            <w:tcW w:w="681" w:type="dxa"/>
            <w:hideMark/>
          </w:tcPr>
          <w:p w14:paraId="591C952A"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5.7</w:t>
            </w:r>
          </w:p>
        </w:tc>
      </w:tr>
      <w:tr w:rsidR="00B17E5F" w:rsidRPr="00D34A79" w14:paraId="3E0E33E2" w14:textId="77777777" w:rsidTr="00037432">
        <w:trPr>
          <w:trHeight w:val="493"/>
        </w:trPr>
        <w:tc>
          <w:tcPr>
            <w:tcW w:w="942" w:type="dxa"/>
            <w:hideMark/>
          </w:tcPr>
          <w:p w14:paraId="03F52A45"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Heating</w:t>
            </w:r>
          </w:p>
        </w:tc>
        <w:tc>
          <w:tcPr>
            <w:tcW w:w="1388" w:type="dxa"/>
            <w:hideMark/>
          </w:tcPr>
          <w:p w14:paraId="6F633B3B"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Low</w:t>
            </w:r>
          </w:p>
        </w:tc>
        <w:tc>
          <w:tcPr>
            <w:tcW w:w="1066" w:type="dxa"/>
            <w:hideMark/>
          </w:tcPr>
          <w:p w14:paraId="4CE4400B"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DX</w:t>
            </w:r>
          </w:p>
        </w:tc>
        <w:tc>
          <w:tcPr>
            <w:tcW w:w="1463" w:type="dxa"/>
            <w:hideMark/>
          </w:tcPr>
          <w:p w14:paraId="6B79B857"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50</w:t>
            </w:r>
          </w:p>
        </w:tc>
        <w:tc>
          <w:tcPr>
            <w:tcW w:w="1192" w:type="dxa"/>
            <w:hideMark/>
          </w:tcPr>
          <w:p w14:paraId="37A1D359"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73F, 30-35% RH</w:t>
            </w:r>
          </w:p>
        </w:tc>
        <w:tc>
          <w:tcPr>
            <w:tcW w:w="1068" w:type="dxa"/>
            <w:hideMark/>
          </w:tcPr>
          <w:p w14:paraId="5635CCFB"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6.5</w:t>
            </w:r>
          </w:p>
        </w:tc>
        <w:tc>
          <w:tcPr>
            <w:tcW w:w="830" w:type="dxa"/>
            <w:hideMark/>
          </w:tcPr>
          <w:p w14:paraId="6905963E"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1.1</w:t>
            </w:r>
          </w:p>
        </w:tc>
        <w:tc>
          <w:tcPr>
            <w:tcW w:w="681" w:type="dxa"/>
            <w:hideMark/>
          </w:tcPr>
          <w:p w14:paraId="1661B94B"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5.8</w:t>
            </w:r>
          </w:p>
        </w:tc>
      </w:tr>
      <w:tr w:rsidR="00B17E5F" w:rsidRPr="00D34A79" w14:paraId="75658DDC" w14:textId="77777777" w:rsidTr="00037432">
        <w:trPr>
          <w:trHeight w:val="242"/>
        </w:trPr>
        <w:tc>
          <w:tcPr>
            <w:tcW w:w="942" w:type="dxa"/>
            <w:hideMark/>
          </w:tcPr>
          <w:p w14:paraId="41E94370"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Heating</w:t>
            </w:r>
          </w:p>
        </w:tc>
        <w:tc>
          <w:tcPr>
            <w:tcW w:w="1388" w:type="dxa"/>
            <w:hideMark/>
          </w:tcPr>
          <w:p w14:paraId="2CCCED77"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High</w:t>
            </w:r>
          </w:p>
        </w:tc>
        <w:tc>
          <w:tcPr>
            <w:tcW w:w="1066" w:type="dxa"/>
            <w:hideMark/>
          </w:tcPr>
          <w:p w14:paraId="4CBEB689"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Hydronic</w:t>
            </w:r>
          </w:p>
        </w:tc>
        <w:tc>
          <w:tcPr>
            <w:tcW w:w="1463" w:type="dxa"/>
            <w:hideMark/>
          </w:tcPr>
          <w:p w14:paraId="4B6D8A79"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51</w:t>
            </w:r>
          </w:p>
        </w:tc>
        <w:tc>
          <w:tcPr>
            <w:tcW w:w="1192" w:type="dxa"/>
            <w:hideMark/>
          </w:tcPr>
          <w:p w14:paraId="44662297"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73F, 30-35% RH</w:t>
            </w:r>
          </w:p>
        </w:tc>
        <w:tc>
          <w:tcPr>
            <w:tcW w:w="1068" w:type="dxa"/>
            <w:hideMark/>
          </w:tcPr>
          <w:p w14:paraId="1D49E482"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5.8</w:t>
            </w:r>
          </w:p>
        </w:tc>
        <w:tc>
          <w:tcPr>
            <w:tcW w:w="830" w:type="dxa"/>
            <w:hideMark/>
          </w:tcPr>
          <w:p w14:paraId="36D0070D"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1.5</w:t>
            </w:r>
          </w:p>
        </w:tc>
        <w:tc>
          <w:tcPr>
            <w:tcW w:w="681" w:type="dxa"/>
            <w:hideMark/>
          </w:tcPr>
          <w:p w14:paraId="65AB3D8F"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3.8</w:t>
            </w:r>
          </w:p>
        </w:tc>
      </w:tr>
      <w:tr w:rsidR="00B17E5F" w:rsidRPr="00D34A79" w14:paraId="150D999E" w14:textId="77777777" w:rsidTr="00037432">
        <w:tc>
          <w:tcPr>
            <w:tcW w:w="942" w:type="dxa"/>
            <w:hideMark/>
          </w:tcPr>
          <w:p w14:paraId="540014E0"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Heating</w:t>
            </w:r>
          </w:p>
        </w:tc>
        <w:tc>
          <w:tcPr>
            <w:tcW w:w="1388" w:type="dxa"/>
            <w:hideMark/>
          </w:tcPr>
          <w:p w14:paraId="222DBB34"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Low</w:t>
            </w:r>
          </w:p>
        </w:tc>
        <w:tc>
          <w:tcPr>
            <w:tcW w:w="1066" w:type="dxa"/>
            <w:hideMark/>
          </w:tcPr>
          <w:p w14:paraId="4F738DF6"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Hydronic</w:t>
            </w:r>
          </w:p>
        </w:tc>
        <w:tc>
          <w:tcPr>
            <w:tcW w:w="1463" w:type="dxa"/>
            <w:hideMark/>
          </w:tcPr>
          <w:p w14:paraId="1F19E891"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50</w:t>
            </w:r>
          </w:p>
        </w:tc>
        <w:tc>
          <w:tcPr>
            <w:tcW w:w="1192" w:type="dxa"/>
            <w:hideMark/>
          </w:tcPr>
          <w:p w14:paraId="3FFBC01E"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73F, 30-35% RH</w:t>
            </w:r>
          </w:p>
        </w:tc>
        <w:tc>
          <w:tcPr>
            <w:tcW w:w="1068" w:type="dxa"/>
            <w:hideMark/>
          </w:tcPr>
          <w:p w14:paraId="380616A4"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4.4</w:t>
            </w:r>
          </w:p>
        </w:tc>
        <w:tc>
          <w:tcPr>
            <w:tcW w:w="830" w:type="dxa"/>
            <w:hideMark/>
          </w:tcPr>
          <w:p w14:paraId="5C9F5FF4"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1.1</w:t>
            </w:r>
          </w:p>
        </w:tc>
        <w:tc>
          <w:tcPr>
            <w:tcW w:w="681" w:type="dxa"/>
            <w:hideMark/>
          </w:tcPr>
          <w:p w14:paraId="6930ED54"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4.1</w:t>
            </w:r>
          </w:p>
        </w:tc>
      </w:tr>
      <w:tr w:rsidR="00B17E5F" w:rsidRPr="00D34A79" w14:paraId="12C4A126" w14:textId="77777777" w:rsidTr="00037432">
        <w:trPr>
          <w:trHeight w:val="494"/>
        </w:trPr>
        <w:tc>
          <w:tcPr>
            <w:tcW w:w="942" w:type="dxa"/>
            <w:hideMark/>
          </w:tcPr>
          <w:p w14:paraId="45CAFDAB"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Cooling</w:t>
            </w:r>
          </w:p>
        </w:tc>
        <w:tc>
          <w:tcPr>
            <w:tcW w:w="1388" w:type="dxa"/>
            <w:hideMark/>
          </w:tcPr>
          <w:p w14:paraId="1772569A"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High</w:t>
            </w:r>
          </w:p>
        </w:tc>
        <w:tc>
          <w:tcPr>
            <w:tcW w:w="1066" w:type="dxa"/>
            <w:hideMark/>
          </w:tcPr>
          <w:p w14:paraId="1870FE61"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DX</w:t>
            </w:r>
          </w:p>
        </w:tc>
        <w:tc>
          <w:tcPr>
            <w:tcW w:w="1463" w:type="dxa"/>
            <w:hideMark/>
          </w:tcPr>
          <w:p w14:paraId="41DB9E10"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50</w:t>
            </w:r>
          </w:p>
        </w:tc>
        <w:tc>
          <w:tcPr>
            <w:tcW w:w="1192" w:type="dxa"/>
            <w:hideMark/>
          </w:tcPr>
          <w:p w14:paraId="214BA8F3"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70F, 30-35% RH</w:t>
            </w:r>
          </w:p>
        </w:tc>
        <w:tc>
          <w:tcPr>
            <w:tcW w:w="1068" w:type="dxa"/>
            <w:hideMark/>
          </w:tcPr>
          <w:p w14:paraId="6E9D43A6"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6.0</w:t>
            </w:r>
          </w:p>
        </w:tc>
        <w:tc>
          <w:tcPr>
            <w:tcW w:w="830" w:type="dxa"/>
            <w:hideMark/>
          </w:tcPr>
          <w:p w14:paraId="22391B30"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0.9</w:t>
            </w:r>
          </w:p>
        </w:tc>
        <w:tc>
          <w:tcPr>
            <w:tcW w:w="681" w:type="dxa"/>
            <w:hideMark/>
          </w:tcPr>
          <w:p w14:paraId="03D4B8DD"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7.0</w:t>
            </w:r>
          </w:p>
        </w:tc>
      </w:tr>
      <w:tr w:rsidR="00B17E5F" w:rsidRPr="00D34A79" w14:paraId="0D217680" w14:textId="77777777" w:rsidTr="00037432">
        <w:trPr>
          <w:trHeight w:val="494"/>
        </w:trPr>
        <w:tc>
          <w:tcPr>
            <w:tcW w:w="942" w:type="dxa"/>
            <w:hideMark/>
          </w:tcPr>
          <w:p w14:paraId="1C66DE63"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Cooling</w:t>
            </w:r>
          </w:p>
        </w:tc>
        <w:tc>
          <w:tcPr>
            <w:tcW w:w="1388" w:type="dxa"/>
            <w:hideMark/>
          </w:tcPr>
          <w:p w14:paraId="316E3C8E"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Low</w:t>
            </w:r>
          </w:p>
        </w:tc>
        <w:tc>
          <w:tcPr>
            <w:tcW w:w="1066" w:type="dxa"/>
            <w:hideMark/>
          </w:tcPr>
          <w:p w14:paraId="6D15DD17"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DX</w:t>
            </w:r>
          </w:p>
        </w:tc>
        <w:tc>
          <w:tcPr>
            <w:tcW w:w="1463" w:type="dxa"/>
            <w:hideMark/>
          </w:tcPr>
          <w:p w14:paraId="7ACF9C76"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50</w:t>
            </w:r>
          </w:p>
        </w:tc>
        <w:tc>
          <w:tcPr>
            <w:tcW w:w="1192" w:type="dxa"/>
            <w:hideMark/>
          </w:tcPr>
          <w:p w14:paraId="09B2444C"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70F, 30-35% RH</w:t>
            </w:r>
          </w:p>
        </w:tc>
        <w:tc>
          <w:tcPr>
            <w:tcW w:w="1068" w:type="dxa"/>
            <w:hideMark/>
          </w:tcPr>
          <w:p w14:paraId="16F2BA9B"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4.6</w:t>
            </w:r>
          </w:p>
        </w:tc>
        <w:tc>
          <w:tcPr>
            <w:tcW w:w="830" w:type="dxa"/>
            <w:hideMark/>
          </w:tcPr>
          <w:p w14:paraId="78ED791D"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0.6</w:t>
            </w:r>
          </w:p>
        </w:tc>
        <w:tc>
          <w:tcPr>
            <w:tcW w:w="681" w:type="dxa"/>
            <w:hideMark/>
          </w:tcPr>
          <w:p w14:paraId="494C3F33"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8.0</w:t>
            </w:r>
          </w:p>
        </w:tc>
      </w:tr>
      <w:tr w:rsidR="00B17E5F" w:rsidRPr="00D34A79" w14:paraId="1384C503" w14:textId="77777777" w:rsidTr="00037432">
        <w:trPr>
          <w:trHeight w:val="247"/>
        </w:trPr>
        <w:tc>
          <w:tcPr>
            <w:tcW w:w="942" w:type="dxa"/>
            <w:hideMark/>
          </w:tcPr>
          <w:p w14:paraId="57CBC059"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Cooling</w:t>
            </w:r>
          </w:p>
        </w:tc>
        <w:tc>
          <w:tcPr>
            <w:tcW w:w="1388" w:type="dxa"/>
            <w:hideMark/>
          </w:tcPr>
          <w:p w14:paraId="3E9F0AD9"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High</w:t>
            </w:r>
          </w:p>
        </w:tc>
        <w:tc>
          <w:tcPr>
            <w:tcW w:w="1066" w:type="dxa"/>
            <w:hideMark/>
          </w:tcPr>
          <w:p w14:paraId="766FEB9D"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Hydronic</w:t>
            </w:r>
          </w:p>
        </w:tc>
        <w:tc>
          <w:tcPr>
            <w:tcW w:w="1463" w:type="dxa"/>
            <w:hideMark/>
          </w:tcPr>
          <w:p w14:paraId="3EAEDC7F"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49</w:t>
            </w:r>
          </w:p>
        </w:tc>
        <w:tc>
          <w:tcPr>
            <w:tcW w:w="1192" w:type="dxa"/>
            <w:hideMark/>
          </w:tcPr>
          <w:p w14:paraId="554DD4B8"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70F, 30-35% RH</w:t>
            </w:r>
          </w:p>
        </w:tc>
        <w:tc>
          <w:tcPr>
            <w:tcW w:w="1068" w:type="dxa"/>
            <w:hideMark/>
          </w:tcPr>
          <w:p w14:paraId="25E675DB"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6.7</w:t>
            </w:r>
          </w:p>
        </w:tc>
        <w:tc>
          <w:tcPr>
            <w:tcW w:w="830" w:type="dxa"/>
            <w:hideMark/>
          </w:tcPr>
          <w:p w14:paraId="15441253"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0.9</w:t>
            </w:r>
          </w:p>
        </w:tc>
        <w:tc>
          <w:tcPr>
            <w:tcW w:w="681" w:type="dxa"/>
            <w:hideMark/>
          </w:tcPr>
          <w:p w14:paraId="6F7FC3BB"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7.5</w:t>
            </w:r>
          </w:p>
        </w:tc>
      </w:tr>
      <w:tr w:rsidR="00B17E5F" w:rsidRPr="00D34A79" w14:paraId="3CF1CB7B" w14:textId="77777777" w:rsidTr="00037432">
        <w:tc>
          <w:tcPr>
            <w:tcW w:w="942" w:type="dxa"/>
            <w:hideMark/>
          </w:tcPr>
          <w:p w14:paraId="6786C31A"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Cooling</w:t>
            </w:r>
          </w:p>
        </w:tc>
        <w:tc>
          <w:tcPr>
            <w:tcW w:w="1388" w:type="dxa"/>
            <w:hideMark/>
          </w:tcPr>
          <w:p w14:paraId="37F7B36F"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Low</w:t>
            </w:r>
          </w:p>
        </w:tc>
        <w:tc>
          <w:tcPr>
            <w:tcW w:w="1066" w:type="dxa"/>
            <w:hideMark/>
          </w:tcPr>
          <w:p w14:paraId="34AB6DE2"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Hydronic</w:t>
            </w:r>
          </w:p>
        </w:tc>
        <w:tc>
          <w:tcPr>
            <w:tcW w:w="1463" w:type="dxa"/>
            <w:hideMark/>
          </w:tcPr>
          <w:p w14:paraId="2FA358A9"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49</w:t>
            </w:r>
          </w:p>
        </w:tc>
        <w:tc>
          <w:tcPr>
            <w:tcW w:w="1192" w:type="dxa"/>
            <w:hideMark/>
          </w:tcPr>
          <w:p w14:paraId="288D11E7"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70F, 30-35% RH</w:t>
            </w:r>
          </w:p>
        </w:tc>
        <w:tc>
          <w:tcPr>
            <w:tcW w:w="1068" w:type="dxa"/>
            <w:hideMark/>
          </w:tcPr>
          <w:p w14:paraId="46F4A1D6" w14:textId="77777777" w:rsidR="00B17E5F" w:rsidRPr="00D34A79" w:rsidRDefault="00B17E5F" w:rsidP="00D34A79">
            <w:pPr>
              <w:pStyle w:val="NoSpacing"/>
              <w:rPr>
                <w:rFonts w:cs="Times New Roman"/>
                <w:color w:val="000000"/>
                <w:sz w:val="22"/>
                <w:szCs w:val="22"/>
              </w:rPr>
            </w:pPr>
            <w:r w:rsidRPr="00D34A79">
              <w:rPr>
                <w:rFonts w:cs="Times New Roman"/>
                <w:color w:val="000000"/>
                <w:sz w:val="22"/>
                <w:szCs w:val="22"/>
              </w:rPr>
              <w:t>5.3</w:t>
            </w:r>
          </w:p>
        </w:tc>
        <w:tc>
          <w:tcPr>
            <w:tcW w:w="0" w:type="auto"/>
            <w:hideMark/>
          </w:tcPr>
          <w:p w14:paraId="31F15D31" w14:textId="77777777" w:rsidR="00B17E5F" w:rsidRPr="00D34A79" w:rsidRDefault="00B17E5F" w:rsidP="00D34A79">
            <w:pPr>
              <w:pStyle w:val="NoSpacing"/>
              <w:rPr>
                <w:rFonts w:cs="Times New Roman"/>
                <w:sz w:val="22"/>
                <w:szCs w:val="22"/>
              </w:rPr>
            </w:pPr>
            <w:r w:rsidRPr="00D34A79">
              <w:rPr>
                <w:rFonts w:cs="Times New Roman"/>
                <w:sz w:val="22"/>
                <w:szCs w:val="22"/>
              </w:rPr>
              <w:t>0.5</w:t>
            </w:r>
          </w:p>
        </w:tc>
        <w:tc>
          <w:tcPr>
            <w:tcW w:w="0" w:type="auto"/>
            <w:hideMark/>
          </w:tcPr>
          <w:p w14:paraId="13910176" w14:textId="77777777" w:rsidR="00B17E5F" w:rsidRPr="00D34A79" w:rsidRDefault="00B17E5F" w:rsidP="00D34A79">
            <w:pPr>
              <w:pStyle w:val="NoSpacing"/>
              <w:rPr>
                <w:rFonts w:cs="Times New Roman"/>
                <w:sz w:val="22"/>
                <w:szCs w:val="22"/>
              </w:rPr>
            </w:pPr>
            <w:r w:rsidRPr="00D34A79">
              <w:rPr>
                <w:rFonts w:cs="Times New Roman"/>
                <w:sz w:val="22"/>
                <w:szCs w:val="22"/>
              </w:rPr>
              <w:t>10.3</w:t>
            </w:r>
          </w:p>
        </w:tc>
      </w:tr>
    </w:tbl>
    <w:p w14:paraId="23180FB1" w14:textId="77777777" w:rsidR="00B17E5F" w:rsidRDefault="00B17E5F" w:rsidP="005B3AFA">
      <w:pPr>
        <w:ind w:firstLine="0"/>
        <w:rPr>
          <w:rFonts w:cs="Times New Roman"/>
        </w:rPr>
      </w:pPr>
    </w:p>
    <w:p w14:paraId="30BB3275" w14:textId="77777777" w:rsidR="003F607C" w:rsidRDefault="003F607C" w:rsidP="005B3AFA">
      <w:pPr>
        <w:ind w:firstLine="0"/>
        <w:rPr>
          <w:rFonts w:cs="Times New Roman"/>
        </w:rPr>
      </w:pPr>
    </w:p>
    <w:p w14:paraId="3C4EE0BF" w14:textId="77777777" w:rsidR="003F607C" w:rsidRDefault="003F607C" w:rsidP="005B3AFA">
      <w:pPr>
        <w:ind w:firstLine="0"/>
        <w:rPr>
          <w:rFonts w:cs="Times New Roman"/>
        </w:rPr>
      </w:pPr>
    </w:p>
    <w:p w14:paraId="6D1EC341" w14:textId="77777777" w:rsidR="00B17E5F" w:rsidRDefault="00B17E5F" w:rsidP="00B92536">
      <w:pPr>
        <w:keepNext/>
        <w:ind w:firstLine="0"/>
        <w:jc w:val="center"/>
      </w:pPr>
      <w:r>
        <w:rPr>
          <w:rFonts w:cs="Times New Roman"/>
          <w:noProof/>
        </w:rPr>
        <w:drawing>
          <wp:inline distT="0" distB="0" distL="0" distR="0" wp14:anchorId="59099DBB" wp14:editId="60F5070B">
            <wp:extent cx="5486400" cy="1397000"/>
            <wp:effectExtent l="0" t="0" r="0" b="0"/>
            <wp:docPr id="1045" name="Picture 1045" descr="A picture containing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 name="Picture 1045" descr="A picture containing screenshot, design&#10;&#10;Description automatically generated"/>
                    <pic:cNvPicPr/>
                  </pic:nvPicPr>
                  <pic:blipFill rotWithShape="1">
                    <a:blip r:embed="rId107" cstate="print">
                      <a:extLst>
                        <a:ext uri="{28A0092B-C50C-407E-A947-70E740481C1C}">
                          <a14:useLocalDpi xmlns:a14="http://schemas.microsoft.com/office/drawing/2010/main" val="0"/>
                        </a:ext>
                      </a:extLst>
                    </a:blip>
                    <a:srcRect b="10497"/>
                    <a:stretch/>
                  </pic:blipFill>
                  <pic:spPr bwMode="auto">
                    <a:xfrm>
                      <a:off x="0" y="0"/>
                      <a:ext cx="5486400" cy="1397000"/>
                    </a:xfrm>
                    <a:prstGeom prst="rect">
                      <a:avLst/>
                    </a:prstGeom>
                    <a:ln>
                      <a:noFill/>
                    </a:ln>
                    <a:extLst>
                      <a:ext uri="{53640926-AAD7-44D8-BBD7-CCE9431645EC}">
                        <a14:shadowObscured xmlns:a14="http://schemas.microsoft.com/office/drawing/2010/main"/>
                      </a:ext>
                    </a:extLst>
                  </pic:spPr>
                </pic:pic>
              </a:graphicData>
            </a:graphic>
          </wp:inline>
        </w:drawing>
      </w:r>
    </w:p>
    <w:p w14:paraId="5035792B" w14:textId="4B0C8A59" w:rsidR="00B17E5F" w:rsidRDefault="00B17E5F" w:rsidP="009B45D3">
      <w:pPr>
        <w:pStyle w:val="Caption"/>
        <w:jc w:val="center"/>
      </w:pPr>
      <w:bookmarkStart w:id="307" w:name="_Toc140403942"/>
      <w:r>
        <w:t xml:space="preserve">Figure </w:t>
      </w:r>
      <w:fldSimple w:instr=" SEQ Figure \* ARABIC ">
        <w:r w:rsidR="00A5526B">
          <w:rPr>
            <w:noProof/>
          </w:rPr>
          <w:t>76</w:t>
        </w:r>
      </w:fldSimple>
      <w:r>
        <w:t>: HP Charging and Discharging rate.</w:t>
      </w:r>
      <w:bookmarkEnd w:id="307"/>
    </w:p>
    <w:p w14:paraId="2E763778" w14:textId="77777777" w:rsidR="00B17E5F" w:rsidRPr="00B92536" w:rsidRDefault="00B17E5F" w:rsidP="00B92536"/>
    <w:p w14:paraId="083AD010" w14:textId="77777777" w:rsidR="00B17E5F" w:rsidRDefault="00B17E5F" w:rsidP="00B92536">
      <w:pPr>
        <w:keepNext/>
        <w:ind w:firstLine="0"/>
        <w:jc w:val="center"/>
      </w:pPr>
      <w:r>
        <w:rPr>
          <w:rFonts w:cs="Times New Roman"/>
          <w:noProof/>
        </w:rPr>
        <w:drawing>
          <wp:inline distT="0" distB="0" distL="0" distR="0" wp14:anchorId="331C115B" wp14:editId="56D29A29">
            <wp:extent cx="5486400" cy="1653215"/>
            <wp:effectExtent l="0" t="0" r="0" b="4445"/>
            <wp:docPr id="1046" name="Picture 1046" descr="A screenshot of a graph&#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 name="Picture 1046" descr="A screenshot of a graph&#10;&#10;Description automatically generated with low confidence"/>
                    <pic:cNvPicPr/>
                  </pic:nvPicPr>
                  <pic:blipFill rotWithShape="1">
                    <a:blip r:embed="rId108">
                      <a:extLst>
                        <a:ext uri="{28A0092B-C50C-407E-A947-70E740481C1C}">
                          <a14:useLocalDpi xmlns:a14="http://schemas.microsoft.com/office/drawing/2010/main" val="0"/>
                        </a:ext>
                      </a:extLst>
                    </a:blip>
                    <a:srcRect l="2894" t="33556" r="1273"/>
                    <a:stretch/>
                  </pic:blipFill>
                  <pic:spPr bwMode="auto">
                    <a:xfrm>
                      <a:off x="0" y="0"/>
                      <a:ext cx="5486400" cy="1653215"/>
                    </a:xfrm>
                    <a:prstGeom prst="rect">
                      <a:avLst/>
                    </a:prstGeom>
                    <a:ln>
                      <a:noFill/>
                    </a:ln>
                    <a:extLst>
                      <a:ext uri="{53640926-AAD7-44D8-BBD7-CCE9431645EC}">
                        <a14:shadowObscured xmlns:a14="http://schemas.microsoft.com/office/drawing/2010/main"/>
                      </a:ext>
                    </a:extLst>
                  </pic:spPr>
                </pic:pic>
              </a:graphicData>
            </a:graphic>
          </wp:inline>
        </w:drawing>
      </w:r>
    </w:p>
    <w:p w14:paraId="534CA4A4" w14:textId="2CE5F67B" w:rsidR="00B17E5F" w:rsidRDefault="00B17E5F" w:rsidP="00B92536">
      <w:pPr>
        <w:pStyle w:val="Caption"/>
        <w:jc w:val="center"/>
      </w:pPr>
      <w:bookmarkStart w:id="308" w:name="_Toc140403943"/>
      <w:r>
        <w:t xml:space="preserve">Figure </w:t>
      </w:r>
      <w:fldSimple w:instr=" SEQ Figure \* ARABIC ">
        <w:r w:rsidR="00A5526B">
          <w:rPr>
            <w:noProof/>
          </w:rPr>
          <w:t>77</w:t>
        </w:r>
      </w:fldSimple>
      <w:r>
        <w:t>: Measured PCT using sensors.</w:t>
      </w:r>
      <w:bookmarkEnd w:id="308"/>
    </w:p>
    <w:p w14:paraId="3E551593" w14:textId="77777777" w:rsidR="00B17E5F" w:rsidRDefault="00B17E5F" w:rsidP="00B92536"/>
    <w:p w14:paraId="53EC3474" w14:textId="77777777" w:rsidR="003F607C" w:rsidRDefault="003F607C" w:rsidP="00B92536"/>
    <w:p w14:paraId="03D73CB9" w14:textId="77777777" w:rsidR="003F607C" w:rsidRPr="00B92536" w:rsidRDefault="003F607C" w:rsidP="00B92536"/>
    <w:p w14:paraId="612974C1" w14:textId="77777777" w:rsidR="00B17E5F" w:rsidRPr="00322E56" w:rsidRDefault="00B17E5F" w:rsidP="00B92536">
      <w:pPr>
        <w:keepNext/>
        <w:ind w:firstLine="0"/>
        <w:jc w:val="center"/>
        <w:rPr>
          <w:rFonts w:cs="Times New Roman"/>
        </w:rPr>
      </w:pPr>
      <w:r w:rsidRPr="00322E56">
        <w:rPr>
          <w:rFonts w:cs="Times New Roman"/>
          <w:noProof/>
        </w:rPr>
        <w:drawing>
          <wp:inline distT="0" distB="0" distL="0" distR="0" wp14:anchorId="68710962" wp14:editId="5381E36B">
            <wp:extent cx="5486400" cy="2772410"/>
            <wp:effectExtent l="0" t="0" r="0" b="0"/>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486400" cy="2772410"/>
                    </a:xfrm>
                    <a:prstGeom prst="rect">
                      <a:avLst/>
                    </a:prstGeom>
                    <a:noFill/>
                    <a:ln>
                      <a:noFill/>
                    </a:ln>
                  </pic:spPr>
                </pic:pic>
              </a:graphicData>
            </a:graphic>
          </wp:inline>
        </w:drawing>
      </w:r>
    </w:p>
    <w:p w14:paraId="0E70ED7A" w14:textId="351CDBF1" w:rsidR="00B17E5F" w:rsidRPr="00322E56" w:rsidRDefault="00B17E5F" w:rsidP="00795A22">
      <w:pPr>
        <w:pStyle w:val="Caption"/>
        <w:jc w:val="center"/>
        <w:rPr>
          <w:rFonts w:cs="Times New Roman"/>
        </w:rPr>
      </w:pPr>
      <w:bookmarkStart w:id="309" w:name="_Toc140403944"/>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78</w:t>
      </w:r>
      <w:r w:rsidRPr="00322E56">
        <w:rPr>
          <w:rFonts w:cs="Times New Roman"/>
        </w:rPr>
        <w:fldChar w:fldCharType="end"/>
      </w:r>
      <w:r w:rsidRPr="00322E56">
        <w:rPr>
          <w:rFonts w:cs="Times New Roman"/>
        </w:rPr>
        <w:t>: Experimental setup at ORNL.</w:t>
      </w:r>
      <w:bookmarkEnd w:id="309"/>
    </w:p>
    <w:p w14:paraId="6A52047F" w14:textId="1DE5DF0F" w:rsidR="00B17E5F" w:rsidRPr="009162E7" w:rsidRDefault="00B17E5F" w:rsidP="009162E7">
      <w:pPr>
        <w:spacing w:line="240" w:lineRule="auto"/>
        <w:rPr>
          <w:rFonts w:cs="Times New Roman"/>
          <w:b/>
          <w:bCs/>
          <w:i/>
          <w:szCs w:val="26"/>
        </w:rPr>
      </w:pPr>
      <w:r w:rsidRPr="00322E56">
        <w:rPr>
          <w:rFonts w:cs="Times New Roman"/>
        </w:rPr>
        <w:br w:type="page"/>
      </w:r>
    </w:p>
    <w:p w14:paraId="67836855" w14:textId="77777777" w:rsidR="00B17E5F" w:rsidRPr="00322E56" w:rsidRDefault="00B17E5F" w:rsidP="00133F17">
      <w:pPr>
        <w:keepNext/>
        <w:rPr>
          <w:rFonts w:cs="Times New Roman"/>
        </w:rPr>
      </w:pPr>
      <w:r w:rsidRPr="00322E56">
        <w:rPr>
          <w:rFonts w:cs="Times New Roman"/>
          <w:noProof/>
        </w:rPr>
        <w:drawing>
          <wp:inline distT="0" distB="0" distL="0" distR="0" wp14:anchorId="38FE7283" wp14:editId="147BE1FC">
            <wp:extent cx="5486400" cy="2950501"/>
            <wp:effectExtent l="0" t="0" r="0" b="254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486400" cy="2950501"/>
                    </a:xfrm>
                    <a:prstGeom prst="rect">
                      <a:avLst/>
                    </a:prstGeom>
                    <a:noFill/>
                  </pic:spPr>
                </pic:pic>
              </a:graphicData>
            </a:graphic>
          </wp:inline>
        </w:drawing>
      </w:r>
    </w:p>
    <w:p w14:paraId="374669CF" w14:textId="4BA90FC6" w:rsidR="00B17E5F" w:rsidRDefault="00B17E5F" w:rsidP="001116A6">
      <w:pPr>
        <w:pStyle w:val="Caption"/>
        <w:jc w:val="center"/>
        <w:rPr>
          <w:rFonts w:cs="Times New Roman"/>
        </w:rPr>
      </w:pPr>
      <w:bookmarkStart w:id="310" w:name="_Toc140403945"/>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79</w:t>
      </w:r>
      <w:r w:rsidRPr="00322E56">
        <w:rPr>
          <w:rFonts w:cs="Times New Roman"/>
        </w:rPr>
        <w:fldChar w:fldCharType="end"/>
      </w:r>
      <w:r w:rsidRPr="00322E56">
        <w:rPr>
          <w:rFonts w:cs="Times New Roman"/>
        </w:rPr>
        <w:t>: PCM-HX integrated with DSHP</w:t>
      </w:r>
      <w:r>
        <w:rPr>
          <w:rFonts w:cs="Times New Roman"/>
        </w:rPr>
        <w:t>.</w:t>
      </w:r>
      <w:bookmarkEnd w:id="310"/>
    </w:p>
    <w:p w14:paraId="2355F761" w14:textId="77777777" w:rsidR="00B17E5F" w:rsidRDefault="00B17E5F" w:rsidP="001116A6"/>
    <w:p w14:paraId="2839A279" w14:textId="77777777" w:rsidR="003F607C" w:rsidRPr="001116A6" w:rsidRDefault="003F607C" w:rsidP="001116A6"/>
    <w:p w14:paraId="33FFFB29" w14:textId="77777777" w:rsidR="00B17E5F" w:rsidRPr="00322E56" w:rsidRDefault="00B17E5F" w:rsidP="001116A6">
      <w:pPr>
        <w:pStyle w:val="Caption"/>
        <w:ind w:firstLine="0"/>
        <w:jc w:val="center"/>
        <w:rPr>
          <w:rFonts w:cs="Times New Roman"/>
        </w:rPr>
      </w:pPr>
      <w:r w:rsidRPr="00322E56">
        <w:rPr>
          <w:rFonts w:cs="Times New Roman"/>
          <w:noProof/>
        </w:rPr>
        <w:drawing>
          <wp:inline distT="0" distB="0" distL="0" distR="0" wp14:anchorId="6F994494" wp14:editId="65E8DF45">
            <wp:extent cx="5485370" cy="2664219"/>
            <wp:effectExtent l="0" t="0" r="1270"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1" cstate="print">
                      <a:extLst>
                        <a:ext uri="{28A0092B-C50C-407E-A947-70E740481C1C}">
                          <a14:useLocalDpi xmlns:a14="http://schemas.microsoft.com/office/drawing/2010/main" val="0"/>
                        </a:ext>
                      </a:extLst>
                    </a:blip>
                    <a:srcRect t="10845"/>
                    <a:stretch/>
                  </pic:blipFill>
                  <pic:spPr bwMode="auto">
                    <a:xfrm>
                      <a:off x="0" y="0"/>
                      <a:ext cx="5486400" cy="2664719"/>
                    </a:xfrm>
                    <a:prstGeom prst="rect">
                      <a:avLst/>
                    </a:prstGeom>
                    <a:noFill/>
                    <a:ln>
                      <a:noFill/>
                    </a:ln>
                    <a:extLst>
                      <a:ext uri="{53640926-AAD7-44D8-BBD7-CCE9431645EC}">
                        <a14:shadowObscured xmlns:a14="http://schemas.microsoft.com/office/drawing/2010/main"/>
                      </a:ext>
                    </a:extLst>
                  </pic:spPr>
                </pic:pic>
              </a:graphicData>
            </a:graphic>
          </wp:inline>
        </w:drawing>
      </w:r>
    </w:p>
    <w:p w14:paraId="7E533333" w14:textId="2222D559" w:rsidR="00B17E5F" w:rsidRPr="00322E56" w:rsidRDefault="00B17E5F" w:rsidP="00133F17">
      <w:pPr>
        <w:pStyle w:val="Caption"/>
        <w:jc w:val="center"/>
        <w:rPr>
          <w:rFonts w:cs="Times New Roman"/>
        </w:rPr>
      </w:pPr>
      <w:bookmarkStart w:id="311" w:name="_Toc140403946"/>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80</w:t>
      </w:r>
      <w:r w:rsidRPr="00322E56">
        <w:rPr>
          <w:rFonts w:cs="Times New Roman"/>
        </w:rPr>
        <w:fldChar w:fldCharType="end"/>
      </w:r>
      <w:r w:rsidRPr="00322E56">
        <w:rPr>
          <w:rFonts w:cs="Times New Roman"/>
        </w:rPr>
        <w:t>: Hydronic piping and data points.</w:t>
      </w:r>
      <w:bookmarkEnd w:id="311"/>
    </w:p>
    <w:p w14:paraId="58E02D87" w14:textId="77777777" w:rsidR="00B17E5F" w:rsidRPr="00322E56" w:rsidRDefault="00B17E5F">
      <w:pPr>
        <w:spacing w:line="240" w:lineRule="auto"/>
        <w:rPr>
          <w:rFonts w:cs="Times New Roman"/>
          <w:b/>
          <w:bCs/>
          <w:iCs/>
          <w:szCs w:val="28"/>
        </w:rPr>
      </w:pPr>
      <w:r w:rsidRPr="00322E56">
        <w:rPr>
          <w:rFonts w:cs="Times New Roman"/>
        </w:rPr>
        <w:br w:type="page"/>
      </w:r>
    </w:p>
    <w:p w14:paraId="2B3F7394" w14:textId="77777777" w:rsidR="00B17E5F" w:rsidRDefault="00B17E5F" w:rsidP="006D7F32">
      <w:pPr>
        <w:pStyle w:val="Heading2"/>
        <w:rPr>
          <w:rFonts w:cs="Times New Roman"/>
        </w:rPr>
      </w:pPr>
      <w:bookmarkStart w:id="312" w:name="_Toc140399916"/>
      <w:bookmarkEnd w:id="298"/>
      <w:r w:rsidRPr="00322E56">
        <w:rPr>
          <w:rFonts w:cs="Times New Roman"/>
        </w:rPr>
        <w:t>Analysis</w:t>
      </w:r>
      <w:bookmarkEnd w:id="312"/>
    </w:p>
    <w:p w14:paraId="3C41BEF2" w14:textId="6F3018C0" w:rsidR="00B17E5F" w:rsidRPr="000D55B1" w:rsidRDefault="00B17E5F" w:rsidP="000D55B1">
      <w:r>
        <w:t>The analysis is performed on three climate zones</w:t>
      </w:r>
      <w:r w:rsidR="00EC5EEC">
        <w:t xml:space="preserve"> for electric consumption, utility cost, and grid emissions</w:t>
      </w:r>
      <w:r>
        <w:t>. Physical buildings for each climate are selected and hot and cold weeks are analyzed. Three cases are analyzed using both utility and grid emissions data. Base case does not include any controls. Case 1 is rule</w:t>
      </w:r>
      <w:r w:rsidR="002B08A5">
        <w:t>-</w:t>
      </w:r>
      <w:r>
        <w:t>based strategy defined by TOU utility schedule only, while Case 2 is rule</w:t>
      </w:r>
      <w:r w:rsidR="002B08A5">
        <w:t>-</w:t>
      </w:r>
      <w:r>
        <w:t>based strategy defined by both TOU utility schedule and marginal grid emissions data.</w:t>
      </w:r>
      <w:r w:rsidR="00EC5EEC">
        <w:t xml:space="preserve"> Pareto charts are developed to compare controls.</w:t>
      </w:r>
      <w:r w:rsidR="00D544D2">
        <w:t xml:space="preserve"> The charts show percent decrease in peak utility cost and peak emissions in both cases.</w:t>
      </w:r>
    </w:p>
    <w:p w14:paraId="41471D03" w14:textId="77777777" w:rsidR="00B17E5F" w:rsidRPr="00322E56" w:rsidRDefault="00B17E5F" w:rsidP="00A85F58">
      <w:pPr>
        <w:pStyle w:val="Heading3"/>
        <w:rPr>
          <w:rFonts w:cs="Times New Roman"/>
        </w:rPr>
      </w:pPr>
      <w:bookmarkStart w:id="313" w:name="_Toc140399917"/>
      <w:r w:rsidRPr="00322E56">
        <w:rPr>
          <w:rFonts w:cs="Times New Roman"/>
        </w:rPr>
        <w:t>Climate Zone and Input Data</w:t>
      </w:r>
      <w:bookmarkEnd w:id="313"/>
    </w:p>
    <w:p w14:paraId="4952E240" w14:textId="092C4803" w:rsidR="00B17E5F" w:rsidRDefault="002B08A5" w:rsidP="007E538E">
      <w:pPr>
        <w:rPr>
          <w:rFonts w:cs="Times New Roman"/>
        </w:rPr>
      </w:pPr>
      <w:r>
        <w:rPr>
          <w:rFonts w:cs="Times New Roman"/>
        </w:rPr>
        <w:t>Three climate zones were selected for analysis based on the data availability of physical buildings. The building information was collected from</w:t>
      </w:r>
      <w:r w:rsidR="00510ACF">
        <w:rPr>
          <w:rFonts w:cs="Times New Roman"/>
        </w:rPr>
        <w:t xml:space="preserve"> Benchmark building data</w:t>
      </w:r>
      <w:r w:rsidR="00142302">
        <w:rPr>
          <w:rFonts w:cs="Times New Roman"/>
        </w:rPr>
        <w:t>base by U.S. DOE</w:t>
      </w:r>
      <w:r w:rsidR="001E7ECF">
        <w:rPr>
          <w:rFonts w:cs="Times New Roman"/>
        </w:rPr>
        <w:t xml:space="preserve"> </w:t>
      </w:r>
      <w:sdt>
        <w:sdtPr>
          <w:rPr>
            <w:rFonts w:cs="Times New Roman"/>
            <w:color w:val="000000"/>
          </w:rPr>
          <w:tag w:val="MENDELEY_CITATION_v3_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"/>
          <w:id w:val="1708836036"/>
          <w:placeholder>
            <w:docPart w:val="DefaultPlaceholder_-1854013440"/>
          </w:placeholder>
        </w:sdtPr>
        <w:sdtContent>
          <w:r w:rsidR="001E7ECF" w:rsidRPr="001E7ECF">
            <w:rPr>
              <w:rFonts w:cs="Times New Roman"/>
              <w:color w:val="000000"/>
            </w:rPr>
            <w:t>[225]</w:t>
          </w:r>
        </w:sdtContent>
      </w:sdt>
      <w:r w:rsidR="00510ACF">
        <w:rPr>
          <w:rFonts w:cs="Times New Roman"/>
        </w:rPr>
        <w:t xml:space="preserve">. </w:t>
      </w:r>
    </w:p>
    <w:p w14:paraId="3101DD52" w14:textId="7F203A44" w:rsidR="002B08A5" w:rsidRDefault="002B08A5" w:rsidP="007E538E">
      <w:pPr>
        <w:rPr>
          <w:rFonts w:cs="Times New Roman"/>
        </w:rPr>
      </w:pPr>
      <w:r>
        <w:rPr>
          <w:rFonts w:cs="Times New Roman"/>
        </w:rPr>
        <w:t xml:space="preserve">TMY 3 weather data was used for all three </w:t>
      </w:r>
      <w:r w:rsidR="00E608CD">
        <w:rPr>
          <w:rFonts w:cs="Times New Roman"/>
        </w:rPr>
        <w:t>buildings,</w:t>
      </w:r>
      <w:r>
        <w:rPr>
          <w:rFonts w:cs="Times New Roman"/>
        </w:rPr>
        <w:t xml:space="preserve"> </w:t>
      </w:r>
    </w:p>
    <w:p w14:paraId="789FD22E" w14:textId="692B07D9" w:rsidR="00792AEE" w:rsidRPr="003C02C0" w:rsidRDefault="004C4217" w:rsidP="002B08A5">
      <w:pPr>
        <w:pStyle w:val="ListParagraph"/>
        <w:numPr>
          <w:ilvl w:val="0"/>
          <w:numId w:val="30"/>
        </w:numPr>
        <w:rPr>
          <w:rFonts w:cs="Times New Roman"/>
          <w:sz w:val="24"/>
          <w:szCs w:val="24"/>
        </w:rPr>
      </w:pPr>
      <w:r>
        <w:rPr>
          <w:rFonts w:cs="Times New Roman"/>
          <w:sz w:val="24"/>
          <w:szCs w:val="24"/>
          <w:lang w:val="en-GB"/>
        </w:rPr>
        <w:t>Honda Smart Home</w:t>
      </w:r>
      <w:r w:rsidR="002E7D57">
        <w:rPr>
          <w:rFonts w:cs="Times New Roman"/>
          <w:sz w:val="24"/>
          <w:szCs w:val="24"/>
          <w:lang w:val="en-GB"/>
        </w:rPr>
        <w:t>, Davis, CA</w:t>
      </w:r>
      <w:r w:rsidR="003C02C0" w:rsidRPr="003C02C0">
        <w:rPr>
          <w:rFonts w:cs="Times New Roman"/>
          <w:sz w:val="24"/>
          <w:szCs w:val="24"/>
          <w:lang w:val="en-GB"/>
        </w:rPr>
        <w:t>.</w:t>
      </w:r>
    </w:p>
    <w:p w14:paraId="669C9B80" w14:textId="32D90F10" w:rsidR="002B08A5" w:rsidRPr="003C02C0" w:rsidRDefault="003C02C0" w:rsidP="002B08A5">
      <w:pPr>
        <w:pStyle w:val="ListParagraph"/>
        <w:numPr>
          <w:ilvl w:val="0"/>
          <w:numId w:val="30"/>
        </w:numPr>
        <w:rPr>
          <w:rFonts w:cs="Times New Roman"/>
          <w:sz w:val="24"/>
          <w:szCs w:val="24"/>
        </w:rPr>
      </w:pPr>
      <w:r w:rsidRPr="003C02C0">
        <w:rPr>
          <w:rFonts w:cs="Times New Roman"/>
          <w:sz w:val="24"/>
          <w:szCs w:val="24"/>
          <w:lang w:val="en-GB"/>
        </w:rPr>
        <w:t xml:space="preserve">NREL </w:t>
      </w:r>
      <w:r w:rsidR="002E7D57" w:rsidRPr="002E7D57">
        <w:rPr>
          <w:rFonts w:cs="Times New Roman"/>
          <w:sz w:val="24"/>
          <w:szCs w:val="24"/>
          <w:lang w:val="en-GB"/>
        </w:rPr>
        <w:t>Habitat for Humanity, Wheat Ridge, CO</w:t>
      </w:r>
      <w:r w:rsidRPr="003C02C0">
        <w:rPr>
          <w:rFonts w:cs="Times New Roman"/>
          <w:sz w:val="24"/>
          <w:szCs w:val="24"/>
          <w:lang w:val="en-GB"/>
        </w:rPr>
        <w:t>.</w:t>
      </w:r>
    </w:p>
    <w:p w14:paraId="1A42C353" w14:textId="00731541" w:rsidR="002B08A5" w:rsidRPr="003C02C0" w:rsidRDefault="002B08A5" w:rsidP="002B08A5">
      <w:pPr>
        <w:pStyle w:val="ListParagraph"/>
        <w:numPr>
          <w:ilvl w:val="0"/>
          <w:numId w:val="30"/>
        </w:numPr>
        <w:rPr>
          <w:rFonts w:cs="Times New Roman"/>
          <w:sz w:val="24"/>
          <w:szCs w:val="24"/>
        </w:rPr>
      </w:pPr>
      <w:r w:rsidRPr="003C02C0">
        <w:rPr>
          <w:rFonts w:cs="Times New Roman"/>
          <w:sz w:val="24"/>
          <w:szCs w:val="24"/>
          <w:lang w:val="en-GB"/>
        </w:rPr>
        <w:t>NIST building</w:t>
      </w:r>
      <w:r w:rsidR="004C4217">
        <w:rPr>
          <w:rFonts w:cs="Times New Roman"/>
          <w:sz w:val="24"/>
          <w:szCs w:val="24"/>
          <w:lang w:val="en-GB"/>
        </w:rPr>
        <w:t xml:space="preserve"> (</w:t>
      </w:r>
      <w:r w:rsidR="004C4217" w:rsidRPr="004C4217">
        <w:rPr>
          <w:rFonts w:cs="Times New Roman"/>
          <w:sz w:val="24"/>
          <w:szCs w:val="24"/>
          <w:lang w:val="en-GB"/>
        </w:rPr>
        <w:t xml:space="preserve">Net-Zero Energy Residential Test Facility, Gaithersburg, </w:t>
      </w:r>
      <w:r w:rsidR="00E608CD">
        <w:rPr>
          <w:rFonts w:cs="Times New Roman"/>
          <w:sz w:val="24"/>
          <w:szCs w:val="24"/>
          <w:lang w:val="en-GB"/>
        </w:rPr>
        <w:t>MD</w:t>
      </w:r>
      <w:r w:rsidR="004C4217">
        <w:rPr>
          <w:rFonts w:cs="Times New Roman"/>
          <w:sz w:val="24"/>
          <w:szCs w:val="24"/>
          <w:lang w:val="en-GB"/>
        </w:rPr>
        <w:t>)</w:t>
      </w:r>
    </w:p>
    <w:p w14:paraId="0BBE8420" w14:textId="75E3826F" w:rsidR="00B17E5F" w:rsidRDefault="003C02C0" w:rsidP="007E538E">
      <w:pPr>
        <w:rPr>
          <w:rFonts w:cs="Times New Roman"/>
        </w:rPr>
      </w:pPr>
      <w:r>
        <w:rPr>
          <w:rFonts w:cs="Times New Roman"/>
        </w:rPr>
        <w:t>TOU utility rates were obtained corresponding to each location and are shown in Table 2</w:t>
      </w:r>
      <w:r w:rsidR="00874508">
        <w:rPr>
          <w:rFonts w:cs="Times New Roman"/>
        </w:rPr>
        <w:t>6</w:t>
      </w:r>
      <w:r>
        <w:rPr>
          <w:rFonts w:cs="Times New Roman"/>
        </w:rPr>
        <w:t>. Marginal grid emissions data was collected from Watt Time for all three locations.</w:t>
      </w:r>
    </w:p>
    <w:p w14:paraId="390A6882" w14:textId="2E8170E1" w:rsidR="001E7ECF" w:rsidRPr="001E7ECF" w:rsidRDefault="003C02C0" w:rsidP="001E7ECF">
      <w:pPr>
        <w:rPr>
          <w:rFonts w:cs="Times New Roman"/>
        </w:rPr>
      </w:pPr>
      <w:r>
        <w:rPr>
          <w:rFonts w:cs="Times New Roman"/>
        </w:rPr>
        <w:t xml:space="preserve">Figure 81 </w:t>
      </w:r>
      <w:r w:rsidR="00B86839">
        <w:rPr>
          <w:rFonts w:cs="Times New Roman"/>
        </w:rPr>
        <w:t>and 82</w:t>
      </w:r>
      <w:r>
        <w:rPr>
          <w:rFonts w:cs="Times New Roman"/>
        </w:rPr>
        <w:t xml:space="preserve"> show</w:t>
      </w:r>
      <w:r w:rsidR="00B86839">
        <w:rPr>
          <w:rFonts w:cs="Times New Roman"/>
        </w:rPr>
        <w:t xml:space="preserve"> </w:t>
      </w:r>
      <w:r>
        <w:rPr>
          <w:rFonts w:cs="Times New Roman"/>
        </w:rPr>
        <w:t>grid emissions during winter and summer</w:t>
      </w:r>
      <w:r w:rsidR="00B86839">
        <w:rPr>
          <w:rFonts w:cs="Times New Roman"/>
        </w:rPr>
        <w:t>, respectively,</w:t>
      </w:r>
      <w:r>
        <w:rPr>
          <w:rFonts w:cs="Times New Roman"/>
        </w:rPr>
        <w:t xml:space="preserve"> for all three locations.</w:t>
      </w:r>
      <w:r w:rsidR="000B4DF4">
        <w:rPr>
          <w:rFonts w:cs="Times New Roman"/>
        </w:rPr>
        <w:t xml:space="preserve"> </w:t>
      </w:r>
      <w:r>
        <w:rPr>
          <w:rFonts w:cs="Times New Roman"/>
        </w:rPr>
        <w:t>Figure 8</w:t>
      </w:r>
      <w:r w:rsidR="00B86839">
        <w:rPr>
          <w:rFonts w:cs="Times New Roman"/>
        </w:rPr>
        <w:t>3</w:t>
      </w:r>
      <w:r>
        <w:rPr>
          <w:rFonts w:cs="Times New Roman"/>
        </w:rPr>
        <w:t xml:space="preserve"> through 8</w:t>
      </w:r>
      <w:r w:rsidR="00B86839">
        <w:rPr>
          <w:rFonts w:cs="Times New Roman"/>
        </w:rPr>
        <w:t>8</w:t>
      </w:r>
      <w:r>
        <w:rPr>
          <w:rFonts w:cs="Times New Roman"/>
        </w:rPr>
        <w:t xml:space="preserve"> show ambient dry bulb temperature and utility rate trend. </w:t>
      </w:r>
      <w:r w:rsidR="000B4DF4">
        <w:rPr>
          <w:rFonts w:cs="Times New Roman"/>
        </w:rPr>
        <w:t xml:space="preserve">Hottest and coldest day for each climate zone was plotted against utility rate. </w:t>
      </w:r>
      <w:r>
        <w:rPr>
          <w:rFonts w:cs="Times New Roman"/>
        </w:rPr>
        <w:t xml:space="preserve">For a hottest day in Baltimore, MD, utility peak also occurs when the ambient temperature is high, and vice versa for the coldest day. However, in Sacramento, CA, utility peaks do not correspond with the ambient temperature peak. This is a limitation of this study that controls do not consider ambient temperature extremes while deciding when to charge or discharge TES. </w:t>
      </w:r>
    </w:p>
    <w:p w14:paraId="2BDFEC2E" w14:textId="416E632E" w:rsidR="002B08A5" w:rsidRDefault="002B08A5" w:rsidP="002B08A5">
      <w:pPr>
        <w:pStyle w:val="Caption"/>
        <w:jc w:val="center"/>
      </w:pPr>
      <w:bookmarkStart w:id="314" w:name="_Toc140399966"/>
      <w:r>
        <w:t xml:space="preserve">Table </w:t>
      </w:r>
      <w:fldSimple w:instr=" SEQ Table \* ARABIC ">
        <w:r w:rsidR="00FC25C0">
          <w:rPr>
            <w:noProof/>
          </w:rPr>
          <w:t>26</w:t>
        </w:r>
      </w:fldSimple>
      <w:r>
        <w:t>: TOU Utility Schedule</w:t>
      </w:r>
      <w:bookmarkEnd w:id="314"/>
    </w:p>
    <w:tbl>
      <w:tblPr>
        <w:tblStyle w:val="TableGrid1"/>
        <w:tblW w:w="8533" w:type="dxa"/>
        <w:jc w:val="center"/>
        <w:tblLayout w:type="fixed"/>
        <w:tblLook w:val="04A0" w:firstRow="1" w:lastRow="0" w:firstColumn="1" w:lastColumn="0" w:noHBand="0" w:noVBand="1"/>
      </w:tblPr>
      <w:tblGrid>
        <w:gridCol w:w="1345"/>
        <w:gridCol w:w="1710"/>
        <w:gridCol w:w="2070"/>
        <w:gridCol w:w="1710"/>
        <w:gridCol w:w="1698"/>
      </w:tblGrid>
      <w:tr w:rsidR="00B17E5F" w:rsidRPr="00D94F75" w14:paraId="0ECBE029" w14:textId="77777777" w:rsidTr="00D910A9">
        <w:trPr>
          <w:trHeight w:val="176"/>
          <w:jc w:val="center"/>
        </w:trPr>
        <w:tc>
          <w:tcPr>
            <w:tcW w:w="1345" w:type="dxa"/>
            <w:vMerge w:val="restart"/>
          </w:tcPr>
          <w:p w14:paraId="26DF6F0E" w14:textId="77777777" w:rsidR="00B17E5F" w:rsidRPr="00D94F75" w:rsidRDefault="00B17E5F" w:rsidP="000B4CEB">
            <w:pPr>
              <w:pStyle w:val="NoSpacing"/>
              <w:rPr>
                <w:rFonts w:eastAsia="Calibri"/>
                <w:b/>
                <w:bCs/>
                <w:sz w:val="22"/>
                <w:szCs w:val="22"/>
                <w:lang w:val="en-GB"/>
              </w:rPr>
            </w:pPr>
            <w:r w:rsidRPr="00D94F75">
              <w:rPr>
                <w:rFonts w:eastAsia="Calibri"/>
                <w:b/>
                <w:bCs/>
                <w:sz w:val="22"/>
                <w:szCs w:val="22"/>
                <w:lang w:val="en-GB"/>
              </w:rPr>
              <w:t>Location</w:t>
            </w:r>
          </w:p>
        </w:tc>
        <w:tc>
          <w:tcPr>
            <w:tcW w:w="1710" w:type="dxa"/>
            <w:vMerge w:val="restart"/>
          </w:tcPr>
          <w:p w14:paraId="64B44519" w14:textId="77777777" w:rsidR="00B17E5F" w:rsidRPr="00D94F75" w:rsidRDefault="00B17E5F" w:rsidP="000B4CEB">
            <w:pPr>
              <w:pStyle w:val="NoSpacing"/>
              <w:rPr>
                <w:rFonts w:eastAsia="Calibri"/>
                <w:b/>
                <w:bCs/>
                <w:sz w:val="22"/>
                <w:szCs w:val="22"/>
                <w:lang w:val="en-GB"/>
              </w:rPr>
            </w:pPr>
            <w:r w:rsidRPr="00D94F75">
              <w:rPr>
                <w:rFonts w:eastAsia="Calibri"/>
                <w:b/>
                <w:bCs/>
                <w:sz w:val="22"/>
                <w:szCs w:val="22"/>
                <w:lang w:val="en-GB"/>
              </w:rPr>
              <w:t xml:space="preserve">Utility </w:t>
            </w:r>
          </w:p>
        </w:tc>
        <w:tc>
          <w:tcPr>
            <w:tcW w:w="5478" w:type="dxa"/>
            <w:gridSpan w:val="3"/>
          </w:tcPr>
          <w:p w14:paraId="72CBC830" w14:textId="77777777" w:rsidR="00B17E5F" w:rsidRPr="00D94F75" w:rsidRDefault="00B17E5F" w:rsidP="000B4CEB">
            <w:pPr>
              <w:pStyle w:val="NoSpacing"/>
              <w:jc w:val="center"/>
              <w:rPr>
                <w:rFonts w:eastAsia="Calibri"/>
                <w:b/>
                <w:bCs/>
                <w:sz w:val="22"/>
                <w:szCs w:val="22"/>
                <w:lang w:val="en-GB"/>
              </w:rPr>
            </w:pPr>
            <w:r w:rsidRPr="00D94F75">
              <w:rPr>
                <w:rFonts w:eastAsia="Calibri"/>
                <w:b/>
                <w:bCs/>
                <w:sz w:val="22"/>
                <w:szCs w:val="22"/>
                <w:lang w:val="en-GB"/>
              </w:rPr>
              <w:t>TOU tariff</w:t>
            </w:r>
          </w:p>
        </w:tc>
      </w:tr>
      <w:tr w:rsidR="00B17E5F" w:rsidRPr="00D94F75" w14:paraId="176CB505" w14:textId="77777777" w:rsidTr="00D910A9">
        <w:trPr>
          <w:trHeight w:val="188"/>
          <w:jc w:val="center"/>
        </w:trPr>
        <w:tc>
          <w:tcPr>
            <w:tcW w:w="1345" w:type="dxa"/>
            <w:vMerge/>
          </w:tcPr>
          <w:p w14:paraId="3E634F26" w14:textId="77777777" w:rsidR="00B17E5F" w:rsidRPr="00D94F75" w:rsidRDefault="00B17E5F" w:rsidP="000B4CEB">
            <w:pPr>
              <w:pStyle w:val="NoSpacing"/>
              <w:rPr>
                <w:rFonts w:eastAsia="Calibri"/>
                <w:b/>
                <w:bCs/>
                <w:sz w:val="22"/>
                <w:szCs w:val="22"/>
                <w:lang w:val="en-GB"/>
              </w:rPr>
            </w:pPr>
          </w:p>
        </w:tc>
        <w:tc>
          <w:tcPr>
            <w:tcW w:w="1710" w:type="dxa"/>
            <w:vMerge/>
          </w:tcPr>
          <w:p w14:paraId="02E03EDF" w14:textId="77777777" w:rsidR="00B17E5F" w:rsidRPr="00D94F75" w:rsidRDefault="00B17E5F" w:rsidP="000B4CEB">
            <w:pPr>
              <w:pStyle w:val="NoSpacing"/>
              <w:rPr>
                <w:rFonts w:eastAsia="Calibri"/>
                <w:b/>
                <w:bCs/>
                <w:sz w:val="22"/>
                <w:szCs w:val="22"/>
                <w:lang w:val="en-GB"/>
              </w:rPr>
            </w:pPr>
          </w:p>
        </w:tc>
        <w:tc>
          <w:tcPr>
            <w:tcW w:w="2070" w:type="dxa"/>
          </w:tcPr>
          <w:p w14:paraId="6FD8B139" w14:textId="77777777" w:rsidR="00B17E5F" w:rsidRPr="00D94F75" w:rsidRDefault="00B17E5F" w:rsidP="000B4CEB">
            <w:pPr>
              <w:pStyle w:val="NoSpacing"/>
              <w:rPr>
                <w:rFonts w:eastAsia="Calibri"/>
                <w:b/>
                <w:bCs/>
                <w:sz w:val="22"/>
                <w:szCs w:val="22"/>
                <w:lang w:val="en-GB"/>
              </w:rPr>
            </w:pPr>
            <w:r w:rsidRPr="00D94F75">
              <w:rPr>
                <w:rFonts w:eastAsia="Calibri"/>
                <w:b/>
                <w:bCs/>
                <w:sz w:val="22"/>
                <w:szCs w:val="22"/>
                <w:lang w:val="en-GB"/>
              </w:rPr>
              <w:t>Tariff name</w:t>
            </w:r>
          </w:p>
        </w:tc>
        <w:tc>
          <w:tcPr>
            <w:tcW w:w="1710" w:type="dxa"/>
          </w:tcPr>
          <w:p w14:paraId="6713CB19" w14:textId="77777777" w:rsidR="00B17E5F" w:rsidRPr="00D94F75" w:rsidRDefault="00B17E5F" w:rsidP="000B4CEB">
            <w:pPr>
              <w:pStyle w:val="NoSpacing"/>
              <w:rPr>
                <w:rFonts w:eastAsia="Calibri"/>
                <w:b/>
                <w:bCs/>
                <w:sz w:val="22"/>
                <w:szCs w:val="22"/>
                <w:lang w:val="en-GB"/>
              </w:rPr>
            </w:pPr>
            <w:r w:rsidRPr="00D94F75">
              <w:rPr>
                <w:rFonts w:eastAsia="Calibri"/>
                <w:b/>
                <w:bCs/>
                <w:sz w:val="22"/>
                <w:szCs w:val="22"/>
                <w:lang w:val="en-GB"/>
              </w:rPr>
              <w:t>On-peak rate</w:t>
            </w:r>
          </w:p>
          <w:p w14:paraId="7D636481" w14:textId="77777777" w:rsidR="00B17E5F" w:rsidRPr="00D94F75" w:rsidRDefault="00B17E5F" w:rsidP="000B4CEB">
            <w:pPr>
              <w:pStyle w:val="NoSpacing"/>
              <w:rPr>
                <w:rFonts w:eastAsia="Calibri"/>
                <w:b/>
                <w:bCs/>
                <w:sz w:val="22"/>
                <w:szCs w:val="22"/>
                <w:lang w:val="en-GB"/>
              </w:rPr>
            </w:pPr>
            <w:r w:rsidRPr="00D94F75">
              <w:rPr>
                <w:rFonts w:eastAsia="Calibri"/>
                <w:b/>
                <w:bCs/>
                <w:sz w:val="22"/>
                <w:szCs w:val="22"/>
                <w:lang w:val="en-GB"/>
              </w:rPr>
              <w:t>(¢/kWh)</w:t>
            </w:r>
          </w:p>
        </w:tc>
        <w:tc>
          <w:tcPr>
            <w:tcW w:w="1698" w:type="dxa"/>
          </w:tcPr>
          <w:p w14:paraId="6913B4AD" w14:textId="77777777" w:rsidR="00B17E5F" w:rsidRPr="00D94F75" w:rsidRDefault="00B17E5F" w:rsidP="000B4CEB">
            <w:pPr>
              <w:pStyle w:val="NoSpacing"/>
              <w:rPr>
                <w:rFonts w:eastAsia="Calibri"/>
                <w:b/>
                <w:bCs/>
                <w:sz w:val="22"/>
                <w:szCs w:val="22"/>
                <w:lang w:val="en-GB"/>
              </w:rPr>
            </w:pPr>
            <w:r w:rsidRPr="00D94F75">
              <w:rPr>
                <w:rFonts w:eastAsia="Calibri"/>
                <w:b/>
                <w:bCs/>
                <w:sz w:val="22"/>
                <w:szCs w:val="22"/>
                <w:lang w:val="en-GB"/>
              </w:rPr>
              <w:t>Off-peak rate</w:t>
            </w:r>
          </w:p>
          <w:p w14:paraId="34074EF4" w14:textId="77777777" w:rsidR="00B17E5F" w:rsidRPr="00D94F75" w:rsidRDefault="00B17E5F" w:rsidP="000B4CEB">
            <w:pPr>
              <w:pStyle w:val="NoSpacing"/>
              <w:rPr>
                <w:rFonts w:eastAsia="Calibri"/>
                <w:b/>
                <w:bCs/>
                <w:sz w:val="22"/>
                <w:szCs w:val="22"/>
                <w:lang w:val="en-GB"/>
              </w:rPr>
            </w:pPr>
            <w:r w:rsidRPr="00D94F75">
              <w:rPr>
                <w:rFonts w:eastAsia="Calibri"/>
                <w:b/>
                <w:bCs/>
                <w:sz w:val="22"/>
                <w:szCs w:val="22"/>
                <w:lang w:val="en-GB"/>
              </w:rPr>
              <w:t>(¢/kWh)</w:t>
            </w:r>
          </w:p>
        </w:tc>
      </w:tr>
      <w:tr w:rsidR="00B17E5F" w:rsidRPr="00D94F75" w14:paraId="2C1542B7" w14:textId="77777777" w:rsidTr="00D910A9">
        <w:trPr>
          <w:trHeight w:val="352"/>
          <w:jc w:val="center"/>
        </w:trPr>
        <w:tc>
          <w:tcPr>
            <w:tcW w:w="1345" w:type="dxa"/>
          </w:tcPr>
          <w:p w14:paraId="40693425" w14:textId="77777777" w:rsidR="00B17E5F" w:rsidRPr="00D94F75" w:rsidRDefault="00B17E5F" w:rsidP="000B4CEB">
            <w:pPr>
              <w:pStyle w:val="NoSpacing"/>
              <w:jc w:val="left"/>
              <w:rPr>
                <w:rFonts w:eastAsia="Calibri"/>
                <w:sz w:val="22"/>
                <w:szCs w:val="22"/>
                <w:lang w:val="en-GB"/>
              </w:rPr>
            </w:pPr>
            <w:r>
              <w:rPr>
                <w:rFonts w:eastAsia="Calibri"/>
                <w:sz w:val="22"/>
                <w:szCs w:val="22"/>
                <w:lang w:val="en-GB"/>
              </w:rPr>
              <w:t>Sacramento, California</w:t>
            </w:r>
          </w:p>
        </w:tc>
        <w:tc>
          <w:tcPr>
            <w:tcW w:w="1710" w:type="dxa"/>
          </w:tcPr>
          <w:p w14:paraId="1F02332E" w14:textId="77777777" w:rsidR="00B17E5F" w:rsidRPr="00D94F75" w:rsidRDefault="00B17E5F" w:rsidP="000B4CEB">
            <w:pPr>
              <w:pStyle w:val="NoSpacing"/>
              <w:jc w:val="left"/>
              <w:rPr>
                <w:rFonts w:eastAsia="Calibri"/>
                <w:sz w:val="22"/>
                <w:szCs w:val="22"/>
                <w:lang w:val="en-GB"/>
              </w:rPr>
            </w:pPr>
            <w:r>
              <w:rPr>
                <w:rFonts w:eastAsia="Calibri"/>
                <w:sz w:val="22"/>
                <w:szCs w:val="22"/>
                <w:lang w:val="en-GB"/>
              </w:rPr>
              <w:t>Sacramento Municipal Utility District</w:t>
            </w:r>
          </w:p>
        </w:tc>
        <w:tc>
          <w:tcPr>
            <w:tcW w:w="2070" w:type="dxa"/>
          </w:tcPr>
          <w:p w14:paraId="327226FB" w14:textId="77777777" w:rsidR="00B17E5F" w:rsidRPr="008A1C3A" w:rsidRDefault="00B17E5F" w:rsidP="000B4CEB">
            <w:pPr>
              <w:pStyle w:val="NoSpacing"/>
              <w:jc w:val="left"/>
              <w:rPr>
                <w:rFonts w:eastAsia="Calibri"/>
                <w:sz w:val="22"/>
                <w:szCs w:val="22"/>
              </w:rPr>
            </w:pPr>
            <w:r w:rsidRPr="008A1C3A">
              <w:rPr>
                <w:rFonts w:eastAsia="Calibri"/>
                <w:sz w:val="22"/>
                <w:szCs w:val="22"/>
              </w:rPr>
              <w:t>Time-of-Day</w:t>
            </w:r>
            <w:r>
              <w:rPr>
                <w:rFonts w:eastAsia="Calibri"/>
                <w:sz w:val="22"/>
                <w:szCs w:val="22"/>
              </w:rPr>
              <w:t xml:space="preserve"> </w:t>
            </w:r>
            <w:r w:rsidRPr="008A1C3A">
              <w:rPr>
                <w:rFonts w:eastAsia="Calibri"/>
                <w:sz w:val="22"/>
                <w:szCs w:val="22"/>
              </w:rPr>
              <w:t>(5-8 p.m.) Rate</w:t>
            </w:r>
          </w:p>
        </w:tc>
        <w:tc>
          <w:tcPr>
            <w:tcW w:w="1710" w:type="dxa"/>
          </w:tcPr>
          <w:p w14:paraId="604E38A8" w14:textId="77777777" w:rsidR="00B17E5F" w:rsidRPr="00D94F75" w:rsidRDefault="00B17E5F" w:rsidP="000B4CEB">
            <w:pPr>
              <w:pStyle w:val="NoSpacing"/>
              <w:jc w:val="left"/>
              <w:rPr>
                <w:rFonts w:eastAsia="Calibri"/>
                <w:sz w:val="22"/>
                <w:szCs w:val="22"/>
                <w:lang w:val="en-GB"/>
              </w:rPr>
            </w:pPr>
            <w:r>
              <w:rPr>
                <w:rFonts w:eastAsia="Calibri"/>
                <w:sz w:val="22"/>
                <w:szCs w:val="22"/>
                <w:lang w:val="en-GB"/>
              </w:rPr>
              <w:t>32.79</w:t>
            </w:r>
            <w:r w:rsidRPr="00D94F75">
              <w:rPr>
                <w:rFonts w:eastAsia="Calibri"/>
                <w:sz w:val="22"/>
                <w:szCs w:val="22"/>
                <w:lang w:val="en-GB"/>
              </w:rPr>
              <w:t xml:space="preserve"> (summer</w:t>
            </w:r>
            <w:r w:rsidRPr="00D94F75">
              <w:rPr>
                <w:rFonts w:eastAsia="Calibri"/>
                <w:sz w:val="22"/>
                <w:szCs w:val="22"/>
                <w:vertAlign w:val="superscript"/>
                <w:lang w:val="en-GB"/>
              </w:rPr>
              <w:t>1</w:t>
            </w:r>
            <w:r w:rsidRPr="00D94F75">
              <w:rPr>
                <w:rFonts w:eastAsia="Calibri"/>
                <w:sz w:val="22"/>
                <w:szCs w:val="22"/>
                <w:lang w:val="en-GB"/>
              </w:rPr>
              <w:t>)</w:t>
            </w:r>
          </w:p>
          <w:p w14:paraId="33E07E31" w14:textId="77777777" w:rsidR="00B17E5F" w:rsidRPr="00D94F75" w:rsidRDefault="00B17E5F" w:rsidP="000B4CEB">
            <w:pPr>
              <w:pStyle w:val="NoSpacing"/>
              <w:jc w:val="left"/>
              <w:rPr>
                <w:rFonts w:eastAsia="Calibri"/>
                <w:sz w:val="22"/>
                <w:szCs w:val="22"/>
                <w:lang w:val="en-GB"/>
              </w:rPr>
            </w:pPr>
            <w:r>
              <w:rPr>
                <w:rFonts w:eastAsia="Calibri"/>
                <w:sz w:val="22"/>
                <w:szCs w:val="22"/>
                <w:lang w:val="en-GB"/>
              </w:rPr>
              <w:t>15.47</w:t>
            </w:r>
            <w:r w:rsidRPr="00D94F75">
              <w:rPr>
                <w:rFonts w:eastAsia="Calibri"/>
                <w:sz w:val="22"/>
                <w:szCs w:val="22"/>
                <w:lang w:val="en-GB"/>
              </w:rPr>
              <w:t xml:space="preserve"> (winter</w:t>
            </w:r>
            <w:r w:rsidRPr="00D94F75">
              <w:rPr>
                <w:rFonts w:eastAsia="Calibri"/>
                <w:sz w:val="22"/>
                <w:szCs w:val="22"/>
                <w:vertAlign w:val="superscript"/>
                <w:lang w:val="en-GB"/>
              </w:rPr>
              <w:t>2</w:t>
            </w:r>
            <w:r w:rsidRPr="00D94F75">
              <w:rPr>
                <w:rFonts w:eastAsia="Calibri"/>
                <w:sz w:val="22"/>
                <w:szCs w:val="22"/>
                <w:lang w:val="en-GB"/>
              </w:rPr>
              <w:t>)</w:t>
            </w:r>
          </w:p>
        </w:tc>
        <w:tc>
          <w:tcPr>
            <w:tcW w:w="1698" w:type="dxa"/>
          </w:tcPr>
          <w:p w14:paraId="4655ECA0" w14:textId="77777777" w:rsidR="00B17E5F" w:rsidRPr="00D94F75" w:rsidRDefault="00B17E5F" w:rsidP="000B4CEB">
            <w:pPr>
              <w:pStyle w:val="NoSpacing"/>
              <w:jc w:val="left"/>
              <w:rPr>
                <w:rFonts w:eastAsia="Calibri"/>
                <w:sz w:val="22"/>
                <w:szCs w:val="22"/>
                <w:lang w:val="en-GB"/>
              </w:rPr>
            </w:pPr>
            <w:r>
              <w:rPr>
                <w:rFonts w:eastAsia="Calibri"/>
                <w:sz w:val="22"/>
                <w:szCs w:val="22"/>
                <w:lang w:val="en-GB"/>
              </w:rPr>
              <w:t>13.50</w:t>
            </w:r>
            <w:r w:rsidRPr="00D94F75">
              <w:rPr>
                <w:rFonts w:eastAsia="Calibri"/>
                <w:sz w:val="22"/>
                <w:szCs w:val="22"/>
                <w:lang w:val="en-GB"/>
              </w:rPr>
              <w:t xml:space="preserve"> (summer</w:t>
            </w:r>
            <w:r w:rsidRPr="00D94F75">
              <w:rPr>
                <w:rFonts w:eastAsia="Calibri"/>
                <w:sz w:val="22"/>
                <w:szCs w:val="22"/>
                <w:vertAlign w:val="superscript"/>
                <w:lang w:val="en-GB"/>
              </w:rPr>
              <w:t>1</w:t>
            </w:r>
            <w:r w:rsidRPr="00D94F75">
              <w:rPr>
                <w:rFonts w:eastAsia="Calibri"/>
                <w:sz w:val="22"/>
                <w:szCs w:val="22"/>
                <w:lang w:val="en-GB"/>
              </w:rPr>
              <w:t>)</w:t>
            </w:r>
          </w:p>
          <w:p w14:paraId="69639342" w14:textId="77777777" w:rsidR="00B17E5F" w:rsidRPr="00D94F75" w:rsidRDefault="00B17E5F" w:rsidP="000B4CEB">
            <w:pPr>
              <w:pStyle w:val="NoSpacing"/>
              <w:jc w:val="left"/>
              <w:rPr>
                <w:rFonts w:eastAsia="Calibri"/>
                <w:sz w:val="22"/>
                <w:szCs w:val="22"/>
                <w:lang w:val="en-GB"/>
              </w:rPr>
            </w:pPr>
            <w:r>
              <w:rPr>
                <w:rFonts w:eastAsia="Calibri"/>
                <w:sz w:val="22"/>
                <w:szCs w:val="22"/>
                <w:lang w:val="en-GB"/>
              </w:rPr>
              <w:t>11.20</w:t>
            </w:r>
            <w:r w:rsidRPr="00D94F75">
              <w:rPr>
                <w:rFonts w:eastAsia="Calibri"/>
                <w:sz w:val="22"/>
                <w:szCs w:val="22"/>
                <w:lang w:val="en-GB"/>
              </w:rPr>
              <w:t xml:space="preserve"> (winter</w:t>
            </w:r>
            <w:r w:rsidRPr="00D94F75">
              <w:rPr>
                <w:rFonts w:eastAsia="Calibri"/>
                <w:sz w:val="22"/>
                <w:szCs w:val="22"/>
                <w:vertAlign w:val="superscript"/>
                <w:lang w:val="en-GB"/>
              </w:rPr>
              <w:t>2</w:t>
            </w:r>
            <w:r w:rsidRPr="00D94F75">
              <w:rPr>
                <w:rFonts w:eastAsia="Calibri"/>
                <w:sz w:val="22"/>
                <w:szCs w:val="22"/>
                <w:lang w:val="en-GB"/>
              </w:rPr>
              <w:t>)</w:t>
            </w:r>
          </w:p>
        </w:tc>
      </w:tr>
      <w:tr w:rsidR="00B17E5F" w:rsidRPr="00D94F75" w14:paraId="4E89EFF6" w14:textId="77777777" w:rsidTr="00D910A9">
        <w:trPr>
          <w:trHeight w:val="181"/>
          <w:jc w:val="center"/>
        </w:trPr>
        <w:tc>
          <w:tcPr>
            <w:tcW w:w="1345" w:type="dxa"/>
          </w:tcPr>
          <w:p w14:paraId="46AD23FF" w14:textId="77777777" w:rsidR="00B17E5F" w:rsidRPr="00D94F75" w:rsidRDefault="00B17E5F" w:rsidP="000B4CEB">
            <w:pPr>
              <w:pStyle w:val="NoSpacing"/>
              <w:jc w:val="left"/>
              <w:rPr>
                <w:rFonts w:eastAsia="Calibri"/>
                <w:sz w:val="22"/>
                <w:szCs w:val="22"/>
                <w:lang w:val="en-GB"/>
              </w:rPr>
            </w:pPr>
            <w:r>
              <w:rPr>
                <w:rFonts w:eastAsia="Calibri"/>
                <w:sz w:val="22"/>
                <w:szCs w:val="22"/>
                <w:lang w:val="en-GB"/>
              </w:rPr>
              <w:t>Golden, Colorado</w:t>
            </w:r>
          </w:p>
        </w:tc>
        <w:tc>
          <w:tcPr>
            <w:tcW w:w="1710" w:type="dxa"/>
          </w:tcPr>
          <w:p w14:paraId="7B4ACC58" w14:textId="77777777" w:rsidR="00B17E5F" w:rsidRPr="00D94F75" w:rsidRDefault="00B17E5F" w:rsidP="000B4CEB">
            <w:pPr>
              <w:pStyle w:val="NoSpacing"/>
              <w:jc w:val="left"/>
              <w:rPr>
                <w:rFonts w:eastAsia="Calibri"/>
                <w:sz w:val="22"/>
                <w:szCs w:val="22"/>
                <w:lang w:val="en-GB"/>
              </w:rPr>
            </w:pPr>
            <w:r>
              <w:rPr>
                <w:rFonts w:eastAsia="Calibri"/>
                <w:sz w:val="22"/>
                <w:szCs w:val="22"/>
                <w:lang w:val="en-GB"/>
              </w:rPr>
              <w:t>Xcel Energy</w:t>
            </w:r>
          </w:p>
        </w:tc>
        <w:tc>
          <w:tcPr>
            <w:tcW w:w="2070" w:type="dxa"/>
          </w:tcPr>
          <w:p w14:paraId="7F8E3C95" w14:textId="77777777" w:rsidR="00B17E5F" w:rsidRPr="00693A93" w:rsidRDefault="00B17E5F" w:rsidP="000B4CEB">
            <w:pPr>
              <w:pStyle w:val="NoSpacing"/>
              <w:jc w:val="left"/>
              <w:rPr>
                <w:rFonts w:eastAsia="Calibri"/>
                <w:sz w:val="22"/>
                <w:szCs w:val="22"/>
              </w:rPr>
            </w:pPr>
            <w:r w:rsidRPr="00693A93">
              <w:rPr>
                <w:rFonts w:eastAsia="Calibri"/>
                <w:sz w:val="22"/>
                <w:szCs w:val="22"/>
              </w:rPr>
              <w:t>Time</w:t>
            </w:r>
            <w:r>
              <w:rPr>
                <w:rFonts w:eastAsia="Calibri"/>
                <w:sz w:val="22"/>
                <w:szCs w:val="22"/>
              </w:rPr>
              <w:t>-</w:t>
            </w:r>
            <w:r w:rsidRPr="00693A93">
              <w:rPr>
                <w:rFonts w:eastAsia="Calibri"/>
                <w:sz w:val="22"/>
                <w:szCs w:val="22"/>
              </w:rPr>
              <w:t>of</w:t>
            </w:r>
            <w:r>
              <w:rPr>
                <w:rFonts w:eastAsia="Calibri"/>
                <w:sz w:val="22"/>
                <w:szCs w:val="22"/>
              </w:rPr>
              <w:t>-</w:t>
            </w:r>
            <w:r w:rsidRPr="00693A93">
              <w:rPr>
                <w:rFonts w:eastAsia="Calibri"/>
                <w:sz w:val="22"/>
                <w:szCs w:val="22"/>
              </w:rPr>
              <w:t>Use (TOU)</w:t>
            </w:r>
          </w:p>
        </w:tc>
        <w:tc>
          <w:tcPr>
            <w:tcW w:w="1710" w:type="dxa"/>
          </w:tcPr>
          <w:p w14:paraId="0EB720A2" w14:textId="77777777" w:rsidR="00B17E5F" w:rsidRPr="00D94F75" w:rsidRDefault="00B17E5F" w:rsidP="000B4CEB">
            <w:pPr>
              <w:pStyle w:val="NoSpacing"/>
              <w:jc w:val="left"/>
              <w:rPr>
                <w:rFonts w:eastAsia="Calibri"/>
                <w:sz w:val="22"/>
                <w:szCs w:val="22"/>
                <w:lang w:val="en-GB"/>
              </w:rPr>
            </w:pPr>
            <w:r>
              <w:rPr>
                <w:rFonts w:eastAsia="Calibri"/>
                <w:sz w:val="22"/>
                <w:szCs w:val="22"/>
                <w:lang w:val="en-GB"/>
              </w:rPr>
              <w:t>28</w:t>
            </w:r>
            <w:r w:rsidRPr="00D94F75">
              <w:rPr>
                <w:rFonts w:eastAsia="Calibri"/>
                <w:sz w:val="22"/>
                <w:szCs w:val="22"/>
                <w:lang w:val="en-GB"/>
              </w:rPr>
              <w:t xml:space="preserve"> (summer</w:t>
            </w:r>
            <w:r w:rsidRPr="00D94F75">
              <w:rPr>
                <w:rFonts w:eastAsia="Calibri"/>
                <w:sz w:val="22"/>
                <w:szCs w:val="22"/>
                <w:vertAlign w:val="superscript"/>
                <w:lang w:val="en-GB"/>
              </w:rPr>
              <w:t>1</w:t>
            </w:r>
            <w:r w:rsidRPr="00D94F75">
              <w:rPr>
                <w:rFonts w:eastAsia="Calibri"/>
                <w:sz w:val="22"/>
                <w:szCs w:val="22"/>
                <w:lang w:val="en-GB"/>
              </w:rPr>
              <w:t>)</w:t>
            </w:r>
          </w:p>
          <w:p w14:paraId="226BAE1C" w14:textId="77777777" w:rsidR="00B17E5F" w:rsidRPr="00D94F75" w:rsidRDefault="00B17E5F" w:rsidP="000B4CEB">
            <w:pPr>
              <w:pStyle w:val="NoSpacing"/>
              <w:jc w:val="left"/>
              <w:rPr>
                <w:rFonts w:eastAsia="Calibri"/>
                <w:sz w:val="22"/>
                <w:szCs w:val="22"/>
                <w:lang w:val="en-GB"/>
              </w:rPr>
            </w:pPr>
            <w:r>
              <w:rPr>
                <w:rFonts w:eastAsia="Calibri"/>
                <w:sz w:val="22"/>
                <w:szCs w:val="22"/>
                <w:lang w:val="en-GB"/>
              </w:rPr>
              <w:t>18</w:t>
            </w:r>
            <w:r w:rsidRPr="00D94F75">
              <w:rPr>
                <w:rFonts w:eastAsia="Calibri"/>
                <w:sz w:val="22"/>
                <w:szCs w:val="22"/>
                <w:lang w:val="en-GB"/>
              </w:rPr>
              <w:t xml:space="preserve"> (winter</w:t>
            </w:r>
            <w:r w:rsidRPr="00D94F75">
              <w:rPr>
                <w:rFonts w:eastAsia="Calibri"/>
                <w:sz w:val="22"/>
                <w:szCs w:val="22"/>
                <w:vertAlign w:val="superscript"/>
                <w:lang w:val="en-GB"/>
              </w:rPr>
              <w:t>2</w:t>
            </w:r>
            <w:r w:rsidRPr="00D94F75">
              <w:rPr>
                <w:rFonts w:eastAsia="Calibri"/>
                <w:sz w:val="22"/>
                <w:szCs w:val="22"/>
                <w:lang w:val="en-GB"/>
              </w:rPr>
              <w:t>)</w:t>
            </w:r>
          </w:p>
        </w:tc>
        <w:tc>
          <w:tcPr>
            <w:tcW w:w="1698" w:type="dxa"/>
          </w:tcPr>
          <w:p w14:paraId="1803380C" w14:textId="4F04C6BF" w:rsidR="00B17E5F" w:rsidRPr="00D94F75" w:rsidRDefault="00B17E5F" w:rsidP="000B4CEB">
            <w:pPr>
              <w:pStyle w:val="NoSpacing"/>
              <w:jc w:val="left"/>
              <w:rPr>
                <w:rFonts w:eastAsia="Calibri"/>
                <w:sz w:val="22"/>
                <w:szCs w:val="22"/>
                <w:lang w:val="en-GB"/>
              </w:rPr>
            </w:pPr>
            <w:r>
              <w:rPr>
                <w:rFonts w:eastAsia="Calibri"/>
                <w:sz w:val="22"/>
                <w:szCs w:val="22"/>
                <w:lang w:val="en-GB"/>
              </w:rPr>
              <w:t>11 (</w:t>
            </w:r>
            <w:r w:rsidR="00D910A9">
              <w:rPr>
                <w:rFonts w:eastAsia="Calibri"/>
                <w:sz w:val="22"/>
                <w:szCs w:val="22"/>
                <w:lang w:val="en-GB"/>
              </w:rPr>
              <w:t>year-round</w:t>
            </w:r>
            <w:r>
              <w:rPr>
                <w:rFonts w:eastAsia="Calibri"/>
                <w:sz w:val="22"/>
                <w:szCs w:val="22"/>
                <w:lang w:val="en-GB"/>
              </w:rPr>
              <w:t>)</w:t>
            </w:r>
          </w:p>
        </w:tc>
      </w:tr>
      <w:tr w:rsidR="00B17E5F" w:rsidRPr="00D94F75" w:rsidDel="00215D13" w14:paraId="50EEADE1" w14:textId="77777777" w:rsidTr="00D910A9">
        <w:trPr>
          <w:trHeight w:val="181"/>
          <w:jc w:val="center"/>
        </w:trPr>
        <w:tc>
          <w:tcPr>
            <w:tcW w:w="1345" w:type="dxa"/>
          </w:tcPr>
          <w:p w14:paraId="1CC794C6" w14:textId="77777777" w:rsidR="00B17E5F" w:rsidRPr="00D94F75" w:rsidDel="00215D13" w:rsidRDefault="00B17E5F" w:rsidP="000B4CEB">
            <w:pPr>
              <w:pStyle w:val="NoSpacing"/>
              <w:jc w:val="left"/>
              <w:rPr>
                <w:rFonts w:eastAsia="Calibri"/>
                <w:sz w:val="22"/>
                <w:szCs w:val="22"/>
                <w:lang w:val="en-GB"/>
              </w:rPr>
            </w:pPr>
            <w:r>
              <w:rPr>
                <w:rFonts w:eastAsia="Calibri"/>
                <w:sz w:val="22"/>
                <w:szCs w:val="22"/>
                <w:lang w:val="en-GB"/>
              </w:rPr>
              <w:t>Baltimore, Maryland</w:t>
            </w:r>
          </w:p>
        </w:tc>
        <w:tc>
          <w:tcPr>
            <w:tcW w:w="1710" w:type="dxa"/>
          </w:tcPr>
          <w:p w14:paraId="2FA332B1" w14:textId="77777777" w:rsidR="00B17E5F" w:rsidRPr="00D94F75" w:rsidDel="00215D13" w:rsidRDefault="00B17E5F" w:rsidP="000B4CEB">
            <w:pPr>
              <w:pStyle w:val="NoSpacing"/>
              <w:jc w:val="left"/>
              <w:rPr>
                <w:rFonts w:eastAsia="Calibri"/>
                <w:sz w:val="22"/>
                <w:szCs w:val="22"/>
                <w:lang w:val="en-GB"/>
              </w:rPr>
            </w:pPr>
            <w:r w:rsidRPr="00171AC8">
              <w:rPr>
                <w:rFonts w:eastAsia="Calibri"/>
                <w:sz w:val="22"/>
                <w:szCs w:val="22"/>
              </w:rPr>
              <w:t>Baltimore Gas and Electric Company</w:t>
            </w:r>
          </w:p>
        </w:tc>
        <w:tc>
          <w:tcPr>
            <w:tcW w:w="2070" w:type="dxa"/>
          </w:tcPr>
          <w:p w14:paraId="22DC8413" w14:textId="77777777" w:rsidR="00B17E5F" w:rsidRPr="00D94F75" w:rsidDel="00215D13" w:rsidRDefault="00B17E5F" w:rsidP="000B4CEB">
            <w:pPr>
              <w:pStyle w:val="NoSpacing"/>
              <w:jc w:val="left"/>
              <w:rPr>
                <w:rFonts w:eastAsia="Calibri"/>
                <w:sz w:val="22"/>
                <w:szCs w:val="22"/>
                <w:lang w:val="en-GB"/>
              </w:rPr>
            </w:pPr>
            <w:r>
              <w:rPr>
                <w:rFonts w:eastAsia="Calibri"/>
                <w:sz w:val="22"/>
                <w:szCs w:val="22"/>
              </w:rPr>
              <w:t>R</w:t>
            </w:r>
            <w:r w:rsidRPr="00427555">
              <w:rPr>
                <w:rFonts w:eastAsia="Calibri"/>
                <w:sz w:val="22"/>
                <w:szCs w:val="22"/>
              </w:rPr>
              <w:t xml:space="preserve">esidential delivery and energy time-of-use - electric schedule </w:t>
            </w:r>
            <w:r>
              <w:rPr>
                <w:rFonts w:eastAsia="Calibri"/>
                <w:sz w:val="22"/>
                <w:szCs w:val="22"/>
              </w:rPr>
              <w:t>RD</w:t>
            </w:r>
          </w:p>
        </w:tc>
        <w:tc>
          <w:tcPr>
            <w:tcW w:w="1710" w:type="dxa"/>
          </w:tcPr>
          <w:p w14:paraId="00C3833B" w14:textId="77777777" w:rsidR="00B17E5F" w:rsidRPr="00D94F75" w:rsidDel="00215D13" w:rsidRDefault="00B17E5F" w:rsidP="000B4CEB">
            <w:pPr>
              <w:pStyle w:val="NoSpacing"/>
              <w:jc w:val="left"/>
              <w:rPr>
                <w:rFonts w:eastAsia="Calibri"/>
                <w:sz w:val="22"/>
                <w:szCs w:val="22"/>
                <w:lang w:val="en-GB"/>
              </w:rPr>
            </w:pPr>
            <w:r>
              <w:rPr>
                <w:rFonts w:eastAsia="Calibri"/>
                <w:sz w:val="22"/>
                <w:szCs w:val="22"/>
                <w:lang w:val="en-GB"/>
              </w:rPr>
              <w:t>13.31 (Year around)</w:t>
            </w:r>
          </w:p>
        </w:tc>
        <w:tc>
          <w:tcPr>
            <w:tcW w:w="1698" w:type="dxa"/>
          </w:tcPr>
          <w:p w14:paraId="678E15FE" w14:textId="72C47330" w:rsidR="00B17E5F" w:rsidRPr="00D94F75" w:rsidDel="00215D13" w:rsidRDefault="00B17E5F" w:rsidP="000B4CEB">
            <w:pPr>
              <w:pStyle w:val="NoSpacing"/>
              <w:jc w:val="left"/>
              <w:rPr>
                <w:rFonts w:eastAsia="Calibri"/>
                <w:sz w:val="22"/>
                <w:szCs w:val="22"/>
                <w:lang w:val="en-GB"/>
              </w:rPr>
            </w:pPr>
            <w:r>
              <w:rPr>
                <w:rFonts w:eastAsia="Calibri"/>
                <w:sz w:val="22"/>
                <w:szCs w:val="22"/>
                <w:lang w:val="en-GB"/>
              </w:rPr>
              <w:t>2.58 (</w:t>
            </w:r>
            <w:r w:rsidR="00D910A9">
              <w:rPr>
                <w:rFonts w:eastAsia="Calibri"/>
                <w:sz w:val="22"/>
                <w:szCs w:val="22"/>
                <w:lang w:val="en-GB"/>
              </w:rPr>
              <w:t>year-round</w:t>
            </w:r>
            <w:r>
              <w:rPr>
                <w:rFonts w:eastAsia="Calibri"/>
                <w:sz w:val="22"/>
                <w:szCs w:val="22"/>
                <w:lang w:val="en-GB"/>
              </w:rPr>
              <w:t>)</w:t>
            </w:r>
          </w:p>
        </w:tc>
      </w:tr>
    </w:tbl>
    <w:p w14:paraId="2B5F1FF7" w14:textId="7E263A7B" w:rsidR="00D910A9" w:rsidRDefault="00D910A9" w:rsidP="00D910A9">
      <w:pPr>
        <w:keepNext/>
        <w:ind w:firstLine="0"/>
        <w:jc w:val="center"/>
      </w:pPr>
    </w:p>
    <w:p w14:paraId="13A00D2D" w14:textId="295366C4" w:rsidR="00D910A9" w:rsidRDefault="00D910A9" w:rsidP="00D910A9">
      <w:pPr>
        <w:spacing w:before="0" w:line="240" w:lineRule="auto"/>
        <w:ind w:firstLine="0"/>
        <w:jc w:val="left"/>
      </w:pPr>
      <w:r>
        <w:br w:type="page"/>
      </w:r>
    </w:p>
    <w:p w14:paraId="601EF2F3" w14:textId="0B7890FE" w:rsidR="007A0CEA" w:rsidRDefault="00741418" w:rsidP="00D910A9">
      <w:pPr>
        <w:keepNext/>
        <w:ind w:firstLine="0"/>
        <w:jc w:val="center"/>
      </w:pPr>
      <w:r>
        <w:rPr>
          <w:rFonts w:cs="Times New Roman"/>
          <w:noProof/>
        </w:rPr>
        <w:drawing>
          <wp:inline distT="0" distB="0" distL="0" distR="0" wp14:anchorId="6E924DE7" wp14:editId="3B281348">
            <wp:extent cx="5486400" cy="2718303"/>
            <wp:effectExtent l="0" t="0" r="0" b="0"/>
            <wp:docPr id="1054" name="Pictur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486400" cy="2718303"/>
                    </a:xfrm>
                    <a:prstGeom prst="rect">
                      <a:avLst/>
                    </a:prstGeom>
                    <a:noFill/>
                  </pic:spPr>
                </pic:pic>
              </a:graphicData>
            </a:graphic>
          </wp:inline>
        </w:drawing>
      </w:r>
    </w:p>
    <w:p w14:paraId="17634B10" w14:textId="7278209E" w:rsidR="00D910A9" w:rsidRDefault="007A0CEA" w:rsidP="00D910A9">
      <w:pPr>
        <w:pStyle w:val="Caption"/>
        <w:ind w:firstLine="0"/>
        <w:jc w:val="center"/>
      </w:pPr>
      <w:bookmarkStart w:id="315" w:name="_Toc140403947"/>
      <w:r>
        <w:t xml:space="preserve">Figure </w:t>
      </w:r>
      <w:fldSimple w:instr=" SEQ Figure \* ARABIC ">
        <w:r w:rsidR="00A5526B">
          <w:rPr>
            <w:noProof/>
          </w:rPr>
          <w:t>81</w:t>
        </w:r>
      </w:fldSimple>
      <w:r>
        <w:t>: Representative MGE Data for Summer in all locations</w:t>
      </w:r>
      <w:r w:rsidR="00D910A9">
        <w:t>.</w:t>
      </w:r>
      <w:bookmarkEnd w:id="315"/>
    </w:p>
    <w:p w14:paraId="18BAD80B" w14:textId="77777777" w:rsidR="00D910A9" w:rsidRPr="00D910A9" w:rsidRDefault="00D910A9" w:rsidP="00D910A9"/>
    <w:p w14:paraId="5B03EDC9" w14:textId="77777777" w:rsidR="00D910A9" w:rsidRDefault="00D910A9" w:rsidP="00D910A9">
      <w:pPr>
        <w:keepNext/>
        <w:ind w:firstLine="0"/>
        <w:jc w:val="center"/>
      </w:pPr>
      <w:r>
        <w:rPr>
          <w:rFonts w:cs="Times New Roman"/>
          <w:noProof/>
        </w:rPr>
        <w:drawing>
          <wp:inline distT="0" distB="0" distL="0" distR="0" wp14:anchorId="0D9BC913" wp14:editId="574DAF66">
            <wp:extent cx="5486400" cy="2718303"/>
            <wp:effectExtent l="0" t="0" r="0" b="0"/>
            <wp:docPr id="1057" name="Picture 105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 name="Picture 1057" descr="Chart, line chart&#10;&#10;Description automatically generated"/>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486400" cy="2718303"/>
                    </a:xfrm>
                    <a:prstGeom prst="rect">
                      <a:avLst/>
                    </a:prstGeom>
                    <a:noFill/>
                  </pic:spPr>
                </pic:pic>
              </a:graphicData>
            </a:graphic>
          </wp:inline>
        </w:drawing>
      </w:r>
    </w:p>
    <w:p w14:paraId="40C62C3C" w14:textId="58CB08F7" w:rsidR="00D910A9" w:rsidRDefault="00D910A9" w:rsidP="00D910A9">
      <w:pPr>
        <w:pStyle w:val="Caption"/>
        <w:jc w:val="center"/>
      </w:pPr>
      <w:bookmarkStart w:id="316" w:name="_Toc140403948"/>
      <w:r>
        <w:t xml:space="preserve">Figure </w:t>
      </w:r>
      <w:fldSimple w:instr=" SEQ Figure \* ARABIC ">
        <w:r w:rsidR="00A5526B">
          <w:rPr>
            <w:noProof/>
          </w:rPr>
          <w:t>82</w:t>
        </w:r>
      </w:fldSimple>
      <w:r>
        <w:t xml:space="preserve">: </w:t>
      </w:r>
      <w:r w:rsidRPr="00FB5466">
        <w:t xml:space="preserve">Representative MGE Data for </w:t>
      </w:r>
      <w:r>
        <w:t>Winter</w:t>
      </w:r>
      <w:r w:rsidRPr="00FB5466">
        <w:t xml:space="preserve"> in all locations</w:t>
      </w:r>
      <w:r>
        <w:t>.</w:t>
      </w:r>
      <w:bookmarkEnd w:id="316"/>
    </w:p>
    <w:p w14:paraId="4181BD19" w14:textId="77777777" w:rsidR="00D910A9" w:rsidRPr="00D910A9" w:rsidRDefault="00D910A9" w:rsidP="00D910A9"/>
    <w:p w14:paraId="16CC0B3F" w14:textId="77777777" w:rsidR="003B2FF5" w:rsidRDefault="00AF47D4" w:rsidP="00D910A9">
      <w:pPr>
        <w:keepNext/>
        <w:ind w:firstLine="0"/>
        <w:jc w:val="center"/>
      </w:pPr>
      <w:r>
        <w:rPr>
          <w:rFonts w:cs="Times New Roman"/>
          <w:noProof/>
        </w:rPr>
        <w:drawing>
          <wp:inline distT="0" distB="0" distL="0" distR="0" wp14:anchorId="66883EDD" wp14:editId="65810EE7">
            <wp:extent cx="5486400" cy="2688796"/>
            <wp:effectExtent l="0" t="0" r="0" b="3810"/>
            <wp:docPr id="1052" name="Pictur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486400" cy="2688796"/>
                    </a:xfrm>
                    <a:prstGeom prst="rect">
                      <a:avLst/>
                    </a:prstGeom>
                    <a:noFill/>
                  </pic:spPr>
                </pic:pic>
              </a:graphicData>
            </a:graphic>
          </wp:inline>
        </w:drawing>
      </w:r>
    </w:p>
    <w:p w14:paraId="6104A367" w14:textId="3000F0CB" w:rsidR="00B17E5F" w:rsidRDefault="003B2FF5" w:rsidP="003B2FF5">
      <w:pPr>
        <w:pStyle w:val="Caption"/>
        <w:rPr>
          <w:noProof/>
        </w:rPr>
      </w:pPr>
      <w:bookmarkStart w:id="317" w:name="_Toc140403949"/>
      <w:r>
        <w:t xml:space="preserve">Figure </w:t>
      </w:r>
      <w:fldSimple w:instr=" SEQ Figure \* ARABIC ">
        <w:r w:rsidR="00A5526B">
          <w:rPr>
            <w:noProof/>
          </w:rPr>
          <w:t>83</w:t>
        </w:r>
      </w:fldSimple>
      <w:r>
        <w:t xml:space="preserve">: Ambient Weather and Utility Rate on the coldest day in </w:t>
      </w:r>
      <w:r>
        <w:rPr>
          <w:noProof/>
        </w:rPr>
        <w:t>Baltimore</w:t>
      </w:r>
      <w:bookmarkEnd w:id="317"/>
    </w:p>
    <w:p w14:paraId="39DA7CF6" w14:textId="77777777" w:rsidR="002B08A5" w:rsidRPr="002B08A5" w:rsidRDefault="002B08A5" w:rsidP="002B08A5"/>
    <w:p w14:paraId="159BEEBA" w14:textId="77777777" w:rsidR="003B2FF5" w:rsidRDefault="003B2FF5" w:rsidP="00D910A9">
      <w:pPr>
        <w:keepNext/>
        <w:ind w:firstLine="0"/>
        <w:jc w:val="center"/>
      </w:pPr>
      <w:r>
        <w:rPr>
          <w:noProof/>
        </w:rPr>
        <w:drawing>
          <wp:inline distT="0" distB="0" distL="0" distR="0" wp14:anchorId="1DE71A5D" wp14:editId="238109A9">
            <wp:extent cx="5486400" cy="2718302"/>
            <wp:effectExtent l="0" t="0" r="0" b="0"/>
            <wp:docPr id="1056" name="Picture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486400" cy="2718302"/>
                    </a:xfrm>
                    <a:prstGeom prst="rect">
                      <a:avLst/>
                    </a:prstGeom>
                    <a:noFill/>
                  </pic:spPr>
                </pic:pic>
              </a:graphicData>
            </a:graphic>
          </wp:inline>
        </w:drawing>
      </w:r>
    </w:p>
    <w:p w14:paraId="13F54172" w14:textId="4360C5F8" w:rsidR="003B2FF5" w:rsidRDefault="003B2FF5" w:rsidP="003B2FF5">
      <w:pPr>
        <w:pStyle w:val="Caption"/>
      </w:pPr>
      <w:bookmarkStart w:id="318" w:name="_Toc140403950"/>
      <w:r>
        <w:t xml:space="preserve">Figure </w:t>
      </w:r>
      <w:fldSimple w:instr=" SEQ Figure \* ARABIC ">
        <w:r w:rsidR="00A5526B">
          <w:rPr>
            <w:noProof/>
          </w:rPr>
          <w:t>84</w:t>
        </w:r>
      </w:fldSimple>
      <w:r>
        <w:t xml:space="preserve">: </w:t>
      </w:r>
      <w:r w:rsidRPr="00106B49">
        <w:t xml:space="preserve">Ambient Weather and Utility Rate on the </w:t>
      </w:r>
      <w:r>
        <w:t>hottest</w:t>
      </w:r>
      <w:r w:rsidRPr="00106B49">
        <w:t xml:space="preserve"> day in Baltimore</w:t>
      </w:r>
      <w:bookmarkEnd w:id="318"/>
    </w:p>
    <w:p w14:paraId="1D2BC57F" w14:textId="77777777" w:rsidR="002B08A5" w:rsidRPr="002B08A5" w:rsidRDefault="002B08A5" w:rsidP="002B08A5"/>
    <w:p w14:paraId="2B023485" w14:textId="77777777" w:rsidR="003B2FF5" w:rsidRDefault="003B2FF5" w:rsidP="00D910A9">
      <w:pPr>
        <w:keepNext/>
        <w:ind w:firstLine="0"/>
        <w:jc w:val="center"/>
      </w:pPr>
      <w:r>
        <w:rPr>
          <w:noProof/>
        </w:rPr>
        <w:drawing>
          <wp:inline distT="0" distB="0" distL="0" distR="0" wp14:anchorId="2A7D8D20" wp14:editId="79476B20">
            <wp:extent cx="5486400" cy="2684069"/>
            <wp:effectExtent l="0" t="0" r="0" b="0"/>
            <wp:docPr id="1063" name="Picture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486400" cy="2684069"/>
                    </a:xfrm>
                    <a:prstGeom prst="rect">
                      <a:avLst/>
                    </a:prstGeom>
                    <a:noFill/>
                  </pic:spPr>
                </pic:pic>
              </a:graphicData>
            </a:graphic>
          </wp:inline>
        </w:drawing>
      </w:r>
    </w:p>
    <w:p w14:paraId="1CAA5AF1" w14:textId="2F10BF10" w:rsidR="003B2FF5" w:rsidRDefault="003B2FF5" w:rsidP="003B2FF5">
      <w:pPr>
        <w:pStyle w:val="Caption"/>
      </w:pPr>
      <w:bookmarkStart w:id="319" w:name="_Toc140403951"/>
      <w:r>
        <w:t xml:space="preserve">Figure </w:t>
      </w:r>
      <w:fldSimple w:instr=" SEQ Figure \* ARABIC ">
        <w:r w:rsidR="00A5526B">
          <w:rPr>
            <w:noProof/>
          </w:rPr>
          <w:t>85</w:t>
        </w:r>
      </w:fldSimple>
      <w:r>
        <w:t xml:space="preserve">: </w:t>
      </w:r>
      <w:r w:rsidRPr="009B37E4">
        <w:t xml:space="preserve">Ambient Weather and Utility Rate on the </w:t>
      </w:r>
      <w:r>
        <w:t>coldest</w:t>
      </w:r>
      <w:r w:rsidRPr="009B37E4">
        <w:t xml:space="preserve"> day in </w:t>
      </w:r>
      <w:r>
        <w:t>Sacramento</w:t>
      </w:r>
      <w:bookmarkEnd w:id="319"/>
    </w:p>
    <w:p w14:paraId="5E52F3AC" w14:textId="77777777" w:rsidR="002B08A5" w:rsidRPr="002B08A5" w:rsidRDefault="002B08A5" w:rsidP="002B08A5"/>
    <w:p w14:paraId="6A578000" w14:textId="77777777" w:rsidR="003B2FF5" w:rsidRDefault="003B2FF5" w:rsidP="00D910A9">
      <w:pPr>
        <w:keepNext/>
        <w:ind w:firstLine="0"/>
        <w:jc w:val="center"/>
      </w:pPr>
      <w:r>
        <w:rPr>
          <w:noProof/>
        </w:rPr>
        <w:drawing>
          <wp:inline distT="0" distB="0" distL="0" distR="0" wp14:anchorId="2DCE844E" wp14:editId="5A0387DB">
            <wp:extent cx="5486400" cy="2718302"/>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486400" cy="2718302"/>
                    </a:xfrm>
                    <a:prstGeom prst="rect">
                      <a:avLst/>
                    </a:prstGeom>
                    <a:noFill/>
                  </pic:spPr>
                </pic:pic>
              </a:graphicData>
            </a:graphic>
          </wp:inline>
        </w:drawing>
      </w:r>
    </w:p>
    <w:p w14:paraId="73268173" w14:textId="1239BF71" w:rsidR="003B2FF5" w:rsidRDefault="003B2FF5" w:rsidP="003B2FF5">
      <w:pPr>
        <w:pStyle w:val="Caption"/>
      </w:pPr>
      <w:bookmarkStart w:id="320" w:name="_Toc140403952"/>
      <w:r>
        <w:t xml:space="preserve">Figure </w:t>
      </w:r>
      <w:fldSimple w:instr=" SEQ Figure \* ARABIC ">
        <w:r w:rsidR="00A5526B">
          <w:rPr>
            <w:noProof/>
          </w:rPr>
          <w:t>86</w:t>
        </w:r>
      </w:fldSimple>
      <w:r>
        <w:t xml:space="preserve">: </w:t>
      </w:r>
      <w:r w:rsidRPr="00787535">
        <w:t xml:space="preserve">Ambient Weather and Utility Rate on the </w:t>
      </w:r>
      <w:r>
        <w:t>hottest</w:t>
      </w:r>
      <w:r w:rsidRPr="00787535">
        <w:t xml:space="preserve"> day in Sacramento</w:t>
      </w:r>
      <w:bookmarkEnd w:id="320"/>
    </w:p>
    <w:p w14:paraId="4E26E44A" w14:textId="77777777" w:rsidR="002B08A5" w:rsidRPr="002B08A5" w:rsidRDefault="002B08A5" w:rsidP="002B08A5"/>
    <w:p w14:paraId="74187ECC" w14:textId="77777777" w:rsidR="003B2FF5" w:rsidRDefault="003B2FF5" w:rsidP="00D910A9">
      <w:pPr>
        <w:keepNext/>
        <w:ind w:firstLine="0"/>
        <w:jc w:val="center"/>
      </w:pPr>
      <w:r>
        <w:rPr>
          <w:noProof/>
        </w:rPr>
        <w:drawing>
          <wp:inline distT="0" distB="0" distL="0" distR="0" wp14:anchorId="1E3DAF2B" wp14:editId="59E38539">
            <wp:extent cx="5486400" cy="2686715"/>
            <wp:effectExtent l="0" t="0" r="0" b="571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5486400" cy="2686715"/>
                    </a:xfrm>
                    <a:prstGeom prst="rect">
                      <a:avLst/>
                    </a:prstGeom>
                    <a:noFill/>
                  </pic:spPr>
                </pic:pic>
              </a:graphicData>
            </a:graphic>
          </wp:inline>
        </w:drawing>
      </w:r>
    </w:p>
    <w:p w14:paraId="5AEC9DE1" w14:textId="4013B49D" w:rsidR="003B2FF5" w:rsidRDefault="003B2FF5" w:rsidP="003B2FF5">
      <w:pPr>
        <w:pStyle w:val="Caption"/>
      </w:pPr>
      <w:bookmarkStart w:id="321" w:name="_Toc140403953"/>
      <w:r>
        <w:t xml:space="preserve">Figure </w:t>
      </w:r>
      <w:fldSimple w:instr=" SEQ Figure \* ARABIC ">
        <w:r w:rsidR="00A5526B">
          <w:rPr>
            <w:noProof/>
          </w:rPr>
          <w:t>87</w:t>
        </w:r>
      </w:fldSimple>
      <w:r>
        <w:t xml:space="preserve">: </w:t>
      </w:r>
      <w:r w:rsidRPr="00F82843">
        <w:t xml:space="preserve">Ambient Weather and Utility Rate on the coldest day in </w:t>
      </w:r>
      <w:r>
        <w:t>Golden</w:t>
      </w:r>
      <w:bookmarkEnd w:id="321"/>
    </w:p>
    <w:p w14:paraId="2EC2459B" w14:textId="77777777" w:rsidR="002B08A5" w:rsidRPr="002B08A5" w:rsidRDefault="002B08A5" w:rsidP="002B08A5"/>
    <w:p w14:paraId="6981A7E4" w14:textId="77777777" w:rsidR="003B2FF5" w:rsidRDefault="003B2FF5" w:rsidP="00D910A9">
      <w:pPr>
        <w:keepNext/>
        <w:ind w:firstLine="0"/>
        <w:jc w:val="center"/>
      </w:pPr>
      <w:r>
        <w:rPr>
          <w:noProof/>
        </w:rPr>
        <w:drawing>
          <wp:inline distT="0" distB="0" distL="0" distR="0" wp14:anchorId="5F603188" wp14:editId="60A74402">
            <wp:extent cx="5486400" cy="2715955"/>
            <wp:effectExtent l="0" t="0" r="0" b="190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486400" cy="2715955"/>
                    </a:xfrm>
                    <a:prstGeom prst="rect">
                      <a:avLst/>
                    </a:prstGeom>
                    <a:noFill/>
                  </pic:spPr>
                </pic:pic>
              </a:graphicData>
            </a:graphic>
          </wp:inline>
        </w:drawing>
      </w:r>
    </w:p>
    <w:p w14:paraId="13052EB1" w14:textId="4F4176D6" w:rsidR="003B2FF5" w:rsidRDefault="003B2FF5" w:rsidP="003B2FF5">
      <w:pPr>
        <w:pStyle w:val="Caption"/>
      </w:pPr>
      <w:bookmarkStart w:id="322" w:name="_Toc140403954"/>
      <w:r>
        <w:t xml:space="preserve">Figure </w:t>
      </w:r>
      <w:fldSimple w:instr=" SEQ Figure \* ARABIC ">
        <w:r w:rsidR="00A5526B">
          <w:rPr>
            <w:noProof/>
          </w:rPr>
          <w:t>88</w:t>
        </w:r>
      </w:fldSimple>
      <w:r>
        <w:t xml:space="preserve">: </w:t>
      </w:r>
      <w:r w:rsidRPr="00770D9F">
        <w:t xml:space="preserve">Ambient Weather and Utility Rate on the </w:t>
      </w:r>
      <w:r>
        <w:t>hottest</w:t>
      </w:r>
      <w:r w:rsidRPr="00770D9F">
        <w:t xml:space="preserve"> day in Golden</w:t>
      </w:r>
      <w:bookmarkEnd w:id="322"/>
    </w:p>
    <w:p w14:paraId="3D743FC4" w14:textId="6DF514D0" w:rsidR="003B2FF5" w:rsidRPr="003B2FF5" w:rsidRDefault="003B2FF5" w:rsidP="002B08A5">
      <w:pPr>
        <w:spacing w:before="0" w:line="240" w:lineRule="auto"/>
        <w:ind w:firstLine="0"/>
        <w:jc w:val="left"/>
      </w:pPr>
      <w:r>
        <w:br w:type="page"/>
      </w:r>
    </w:p>
    <w:p w14:paraId="6F18DAAD" w14:textId="77777777" w:rsidR="00B17E5F" w:rsidRDefault="00B17E5F" w:rsidP="00616C6A">
      <w:pPr>
        <w:pStyle w:val="Heading3"/>
      </w:pPr>
      <w:bookmarkStart w:id="323" w:name="_Toc140399918"/>
      <w:r>
        <w:t>Analysis on Baltimore, MD</w:t>
      </w:r>
      <w:bookmarkEnd w:id="323"/>
    </w:p>
    <w:p w14:paraId="6BBA5088" w14:textId="018999C7" w:rsidR="00EC5EEC" w:rsidRPr="00EC5EEC" w:rsidRDefault="00EC5EEC" w:rsidP="00EC5EEC">
      <w:r>
        <w:t>Baltimore is a heating dominated climate. The analysis was performed for winter typical and winter extreme weeks for both cases.</w:t>
      </w:r>
      <w:r w:rsidR="00D544D2">
        <w:t xml:space="preserve"> The charts show </w:t>
      </w:r>
      <w:r w:rsidR="00EC72D7">
        <w:t xml:space="preserve">average </w:t>
      </w:r>
      <w:r w:rsidR="00D544D2">
        <w:t>percent decrease in peak utility cost and peak emissions in both cases.</w:t>
      </w:r>
      <w:r>
        <w:t xml:space="preserve"> </w:t>
      </w:r>
      <w:r w:rsidR="00EC72D7">
        <w:t>Figures</w:t>
      </w:r>
      <w:r w:rsidR="00D544D2">
        <w:t xml:space="preserve"> 89 and 90 show the results for winter typical and winter extreme respectively. </w:t>
      </w:r>
      <w:r w:rsidR="00EC72D7">
        <w:t>For typical week</w:t>
      </w:r>
      <w:r w:rsidR="00D544D2">
        <w:t xml:space="preserve">, the case with both MGE and TOU controls was promising as it decreased </w:t>
      </w:r>
      <w:r w:rsidR="00EC72D7">
        <w:t xml:space="preserve">maximum </w:t>
      </w:r>
      <w:r w:rsidR="00D544D2">
        <w:t>emissions by 33% and cost by 58%</w:t>
      </w:r>
      <w:r w:rsidR="00EC72D7">
        <w:t xml:space="preserve"> (only average values shown in chart)</w:t>
      </w:r>
      <w:r w:rsidR="00D544D2">
        <w:t xml:space="preserve">. The TOU only case saves cost at similar </w:t>
      </w:r>
      <w:r w:rsidR="00EC72D7">
        <w:t>percentage,</w:t>
      </w:r>
      <w:r w:rsidR="00D544D2">
        <w:t xml:space="preserve"> but emission savings are much lower.</w:t>
      </w:r>
    </w:p>
    <w:p w14:paraId="1E41EDF5" w14:textId="77777777" w:rsidR="00B17E5F" w:rsidRDefault="00B17E5F" w:rsidP="00616C6A">
      <w:pPr>
        <w:pStyle w:val="Heading3"/>
      </w:pPr>
      <w:bookmarkStart w:id="324" w:name="_Toc140399919"/>
      <w:r>
        <w:t>Analysis on Golden, CO</w:t>
      </w:r>
      <w:bookmarkEnd w:id="324"/>
      <w:r>
        <w:t xml:space="preserve"> </w:t>
      </w:r>
    </w:p>
    <w:p w14:paraId="31CDBF5D" w14:textId="00548403" w:rsidR="00EC5EEC" w:rsidRPr="00EC5EEC" w:rsidRDefault="00D544D2" w:rsidP="00D544D2">
      <w:r>
        <w:t>Golden is also a heating dominated climate. The analysis was performed for winter typical and winter extreme weeks for both cases. Figure</w:t>
      </w:r>
      <w:r w:rsidR="00EC72D7">
        <w:t>s</w:t>
      </w:r>
      <w:r>
        <w:t xml:space="preserve"> 91 and 92 show percent decrease in peak utility cost and peak emissions for winter typical and winter extreme respectively, in both cases. For winter typical week, the case with both MGE and TOU controls saved emissions</w:t>
      </w:r>
      <w:r w:rsidR="00743B87">
        <w:t xml:space="preserve"> (35%)</w:t>
      </w:r>
      <w:r>
        <w:t xml:space="preserve"> by a huge margin as compared to the case with TOU controls only</w:t>
      </w:r>
      <w:r w:rsidR="00743B87">
        <w:t xml:space="preserve"> (10%)</w:t>
      </w:r>
      <w:r>
        <w:t>.</w:t>
      </w:r>
    </w:p>
    <w:p w14:paraId="40CDAF2F" w14:textId="1F52A03E" w:rsidR="00EC5EEC" w:rsidRDefault="00B17E5F" w:rsidP="00743B87">
      <w:pPr>
        <w:pStyle w:val="Heading3"/>
      </w:pPr>
      <w:bookmarkStart w:id="325" w:name="_Toc140399920"/>
      <w:r>
        <w:t>Analysis on</w:t>
      </w:r>
      <w:r w:rsidR="00010758">
        <w:t xml:space="preserve"> Sacramento, CA</w:t>
      </w:r>
      <w:bookmarkEnd w:id="325"/>
    </w:p>
    <w:p w14:paraId="076F8D93" w14:textId="58A282EB" w:rsidR="00743B87" w:rsidRPr="00743B87" w:rsidRDefault="00743B87" w:rsidP="00BC0719">
      <w:r>
        <w:t xml:space="preserve">Sacramento is a mild climate zone and analysis is performed for both winter and summer extremes. </w:t>
      </w:r>
      <w:r w:rsidR="00BC0719">
        <w:t>Figures 93 and 94 show co</w:t>
      </w:r>
      <w:r w:rsidR="00BC0719" w:rsidRPr="00BC0719">
        <w:t xml:space="preserve">mparison for </w:t>
      </w:r>
      <w:r w:rsidR="00BC0719">
        <w:t>peak utility cost and peak emissions during extreme week of s</w:t>
      </w:r>
      <w:r w:rsidR="00BC0719" w:rsidRPr="00BC0719">
        <w:t xml:space="preserve">ummer </w:t>
      </w:r>
      <w:r w:rsidR="00BC0719">
        <w:t xml:space="preserve">and winter </w:t>
      </w:r>
      <w:r w:rsidR="00BC0719" w:rsidRPr="00BC0719">
        <w:t>in Sacramento</w:t>
      </w:r>
      <w:r w:rsidR="00BC0719">
        <w:t xml:space="preserve">, respectively. </w:t>
      </w:r>
      <w:r>
        <w:t xml:space="preserve">Since the utility peaks and ambient weather extremes do not align in this case, TES may be used for charging during the times when cooling or heating demand is high. This leads to increased electric consumption as compared to base case. </w:t>
      </w:r>
      <w:r w:rsidR="00EC72D7">
        <w:t>Emissions were increased as compared to base case for summer.</w:t>
      </w:r>
    </w:p>
    <w:p w14:paraId="7E036306" w14:textId="77777777" w:rsidR="00B17E5F" w:rsidRDefault="00B17E5F">
      <w:pPr>
        <w:spacing w:before="0" w:line="240" w:lineRule="auto"/>
        <w:ind w:firstLine="0"/>
        <w:jc w:val="left"/>
        <w:rPr>
          <w:rFonts w:eastAsiaTheme="minorHAnsi" w:cstheme="minorBidi"/>
          <w:i/>
          <w:iCs/>
          <w:sz w:val="22"/>
          <w:szCs w:val="22"/>
          <w:lang w:val="en-GB"/>
        </w:rPr>
      </w:pPr>
      <w:r>
        <w:br w:type="page"/>
      </w:r>
    </w:p>
    <w:p w14:paraId="3E0BCEFE" w14:textId="38301D0F" w:rsidR="00C11033" w:rsidRDefault="00DC5190" w:rsidP="00C11033">
      <w:pPr>
        <w:keepNext/>
      </w:pPr>
      <w:r>
        <w:rPr>
          <w:noProof/>
        </w:rPr>
        <w:drawing>
          <wp:inline distT="0" distB="0" distL="0" distR="0" wp14:anchorId="59C87830" wp14:editId="66F3F5F8">
            <wp:extent cx="4596765" cy="273113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596765" cy="2731135"/>
                    </a:xfrm>
                    <a:prstGeom prst="rect">
                      <a:avLst/>
                    </a:prstGeom>
                    <a:noFill/>
                  </pic:spPr>
                </pic:pic>
              </a:graphicData>
            </a:graphic>
          </wp:inline>
        </w:drawing>
      </w:r>
    </w:p>
    <w:p w14:paraId="77033419" w14:textId="69122F49" w:rsidR="00C11033" w:rsidRDefault="00C11033" w:rsidP="00B86839">
      <w:pPr>
        <w:pStyle w:val="Caption"/>
        <w:ind w:firstLine="0"/>
        <w:jc w:val="center"/>
      </w:pPr>
      <w:bookmarkStart w:id="326" w:name="_Toc140403955"/>
      <w:r>
        <w:t xml:space="preserve">Figure </w:t>
      </w:r>
      <w:fldSimple w:instr=" SEQ Figure \* ARABIC ">
        <w:r w:rsidR="00A5526B">
          <w:rPr>
            <w:noProof/>
          </w:rPr>
          <w:t>89</w:t>
        </w:r>
      </w:fldSimple>
      <w:r>
        <w:t xml:space="preserve">: </w:t>
      </w:r>
      <w:r w:rsidRPr="000665BC">
        <w:t xml:space="preserve">Control Strategy Comparison for </w:t>
      </w:r>
      <w:r>
        <w:t>Winter Typical</w:t>
      </w:r>
      <w:r w:rsidRPr="000665BC">
        <w:t xml:space="preserve"> week in Baltimore</w:t>
      </w:r>
      <w:bookmarkEnd w:id="326"/>
    </w:p>
    <w:p w14:paraId="056C5B3F" w14:textId="77777777" w:rsidR="003F607C" w:rsidRPr="003F607C" w:rsidRDefault="003F607C" w:rsidP="003F607C"/>
    <w:p w14:paraId="04D2EA69" w14:textId="6AA0B457" w:rsidR="00C11033" w:rsidRDefault="00DC5190" w:rsidP="00C11033">
      <w:pPr>
        <w:keepNext/>
      </w:pPr>
      <w:r>
        <w:rPr>
          <w:noProof/>
        </w:rPr>
        <w:drawing>
          <wp:inline distT="0" distB="0" distL="0" distR="0" wp14:anchorId="24229AB6" wp14:editId="0D50AA44">
            <wp:extent cx="4596765" cy="2731135"/>
            <wp:effectExtent l="0" t="0" r="0" b="0"/>
            <wp:docPr id="1072" name="Picture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596765" cy="2731135"/>
                    </a:xfrm>
                    <a:prstGeom prst="rect">
                      <a:avLst/>
                    </a:prstGeom>
                    <a:noFill/>
                  </pic:spPr>
                </pic:pic>
              </a:graphicData>
            </a:graphic>
          </wp:inline>
        </w:drawing>
      </w:r>
    </w:p>
    <w:p w14:paraId="4DD8B75D" w14:textId="5F3A3C35" w:rsidR="00C11033" w:rsidRDefault="00C11033" w:rsidP="00B86839">
      <w:pPr>
        <w:pStyle w:val="Caption"/>
        <w:ind w:firstLine="0"/>
        <w:jc w:val="center"/>
      </w:pPr>
      <w:bookmarkStart w:id="327" w:name="_Toc140403956"/>
      <w:r>
        <w:t xml:space="preserve">Figure </w:t>
      </w:r>
      <w:fldSimple w:instr=" SEQ Figure \* ARABIC ">
        <w:r w:rsidR="00A5526B">
          <w:rPr>
            <w:noProof/>
          </w:rPr>
          <w:t>90</w:t>
        </w:r>
      </w:fldSimple>
      <w:r>
        <w:t xml:space="preserve">: </w:t>
      </w:r>
      <w:r w:rsidRPr="006017E3">
        <w:t xml:space="preserve">Control Strategy Comparison for Winter </w:t>
      </w:r>
      <w:r>
        <w:t>Extreme</w:t>
      </w:r>
      <w:r w:rsidRPr="006017E3">
        <w:t xml:space="preserve"> week in Baltimore</w:t>
      </w:r>
      <w:bookmarkEnd w:id="327"/>
    </w:p>
    <w:p w14:paraId="60789733" w14:textId="77777777" w:rsidR="003F607C" w:rsidRPr="003F607C" w:rsidRDefault="003F607C" w:rsidP="003F607C"/>
    <w:p w14:paraId="3DC8D734" w14:textId="4614FBD0" w:rsidR="00EF4B0B" w:rsidRDefault="004C5A0D" w:rsidP="00EF4B0B">
      <w:pPr>
        <w:keepNext/>
      </w:pPr>
      <w:r>
        <w:rPr>
          <w:noProof/>
        </w:rPr>
        <w:drawing>
          <wp:inline distT="0" distB="0" distL="0" distR="0" wp14:anchorId="1840C16F" wp14:editId="0B68947B">
            <wp:extent cx="4596765" cy="2731135"/>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596765" cy="2731135"/>
                    </a:xfrm>
                    <a:prstGeom prst="rect">
                      <a:avLst/>
                    </a:prstGeom>
                    <a:noFill/>
                  </pic:spPr>
                </pic:pic>
              </a:graphicData>
            </a:graphic>
          </wp:inline>
        </w:drawing>
      </w:r>
    </w:p>
    <w:p w14:paraId="71D2B6C9" w14:textId="4E11ECCE" w:rsidR="00EF4B0B" w:rsidRDefault="00EF4B0B" w:rsidP="00B86839">
      <w:pPr>
        <w:pStyle w:val="Caption"/>
        <w:ind w:firstLine="0"/>
        <w:jc w:val="center"/>
      </w:pPr>
      <w:bookmarkStart w:id="328" w:name="_Toc140403957"/>
      <w:r>
        <w:t xml:space="preserve">Figure </w:t>
      </w:r>
      <w:fldSimple w:instr=" SEQ Figure \* ARABIC ">
        <w:r w:rsidR="00A5526B">
          <w:rPr>
            <w:noProof/>
          </w:rPr>
          <w:t>91</w:t>
        </w:r>
      </w:fldSimple>
      <w:r>
        <w:t xml:space="preserve">: </w:t>
      </w:r>
      <w:r w:rsidRPr="00DB4B1C">
        <w:t xml:space="preserve">Control Strategy Comparison for </w:t>
      </w:r>
      <w:r>
        <w:t>Winter Typical</w:t>
      </w:r>
      <w:r w:rsidRPr="00DB4B1C">
        <w:t xml:space="preserve"> week in Golden</w:t>
      </w:r>
      <w:bookmarkEnd w:id="328"/>
    </w:p>
    <w:p w14:paraId="6CC32D4C" w14:textId="77777777" w:rsidR="003F607C" w:rsidRPr="003F607C" w:rsidRDefault="003F607C" w:rsidP="003F607C"/>
    <w:p w14:paraId="5E3C952C" w14:textId="1B548CDC" w:rsidR="00EF4B0B" w:rsidRDefault="004C5A0D" w:rsidP="00EF4B0B">
      <w:pPr>
        <w:keepNext/>
      </w:pPr>
      <w:r>
        <w:rPr>
          <w:noProof/>
        </w:rPr>
        <w:drawing>
          <wp:inline distT="0" distB="0" distL="0" distR="0" wp14:anchorId="725B8AD6" wp14:editId="1176F2FD">
            <wp:extent cx="4596765" cy="2731135"/>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596765" cy="2731135"/>
                    </a:xfrm>
                    <a:prstGeom prst="rect">
                      <a:avLst/>
                    </a:prstGeom>
                    <a:noFill/>
                  </pic:spPr>
                </pic:pic>
              </a:graphicData>
            </a:graphic>
          </wp:inline>
        </w:drawing>
      </w:r>
    </w:p>
    <w:p w14:paraId="394584B3" w14:textId="3A4F00EC" w:rsidR="00EF4B0B" w:rsidRDefault="00EF4B0B" w:rsidP="00B86839">
      <w:pPr>
        <w:pStyle w:val="Caption"/>
        <w:ind w:firstLine="0"/>
        <w:jc w:val="center"/>
      </w:pPr>
      <w:bookmarkStart w:id="329" w:name="_Toc140403958"/>
      <w:r>
        <w:t xml:space="preserve">Figure </w:t>
      </w:r>
      <w:fldSimple w:instr=" SEQ Figure \* ARABIC ">
        <w:r w:rsidR="00A5526B">
          <w:rPr>
            <w:noProof/>
          </w:rPr>
          <w:t>92</w:t>
        </w:r>
      </w:fldSimple>
      <w:r>
        <w:t xml:space="preserve">: </w:t>
      </w:r>
      <w:r w:rsidRPr="00E65428">
        <w:t xml:space="preserve">Control Strategy Comparison for Winter </w:t>
      </w:r>
      <w:r>
        <w:t>Extreme</w:t>
      </w:r>
      <w:r w:rsidRPr="00E65428">
        <w:t xml:space="preserve"> week in Golden</w:t>
      </w:r>
      <w:bookmarkEnd w:id="329"/>
    </w:p>
    <w:p w14:paraId="22C102D8" w14:textId="77777777" w:rsidR="003F607C" w:rsidRPr="003F607C" w:rsidRDefault="003F607C" w:rsidP="003F607C"/>
    <w:p w14:paraId="3E994697" w14:textId="03DCEAE7" w:rsidR="00014F04" w:rsidRDefault="003A21A7" w:rsidP="00014F04">
      <w:pPr>
        <w:keepNext/>
      </w:pPr>
      <w:r>
        <w:rPr>
          <w:noProof/>
        </w:rPr>
        <w:drawing>
          <wp:inline distT="0" distB="0" distL="0" distR="0" wp14:anchorId="00DF8BB3" wp14:editId="5A081A11">
            <wp:extent cx="4596765" cy="2731135"/>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596765" cy="2731135"/>
                    </a:xfrm>
                    <a:prstGeom prst="rect">
                      <a:avLst/>
                    </a:prstGeom>
                    <a:noFill/>
                  </pic:spPr>
                </pic:pic>
              </a:graphicData>
            </a:graphic>
          </wp:inline>
        </w:drawing>
      </w:r>
    </w:p>
    <w:p w14:paraId="4FA555EC" w14:textId="400436C4" w:rsidR="00014F04" w:rsidRDefault="00014F04" w:rsidP="00B86839">
      <w:pPr>
        <w:pStyle w:val="Caption"/>
        <w:ind w:firstLine="0"/>
        <w:jc w:val="center"/>
      </w:pPr>
      <w:bookmarkStart w:id="330" w:name="_Toc140403959"/>
      <w:r>
        <w:t xml:space="preserve">Figure </w:t>
      </w:r>
      <w:fldSimple w:instr=" SEQ Figure \* ARABIC ">
        <w:r w:rsidR="00A5526B">
          <w:rPr>
            <w:noProof/>
          </w:rPr>
          <w:t>93</w:t>
        </w:r>
      </w:fldSimple>
      <w:r>
        <w:t xml:space="preserve">: </w:t>
      </w:r>
      <w:r w:rsidRPr="00F93C14">
        <w:t xml:space="preserve">Control Strategy Comparison for Summer </w:t>
      </w:r>
      <w:r>
        <w:t>Extreme</w:t>
      </w:r>
      <w:r w:rsidRPr="00F93C14">
        <w:t xml:space="preserve"> week in Sacramento</w:t>
      </w:r>
      <w:bookmarkEnd w:id="330"/>
    </w:p>
    <w:p w14:paraId="75B27FB0" w14:textId="77777777" w:rsidR="003F607C" w:rsidRDefault="003F607C" w:rsidP="003F607C"/>
    <w:p w14:paraId="42D66A68" w14:textId="77777777" w:rsidR="003F607C" w:rsidRPr="003F607C" w:rsidRDefault="003F607C" w:rsidP="003F607C"/>
    <w:p w14:paraId="1427521B" w14:textId="4C4FA1E9" w:rsidR="00014F04" w:rsidRDefault="003A21A7" w:rsidP="00014F04">
      <w:pPr>
        <w:keepNext/>
      </w:pPr>
      <w:r>
        <w:rPr>
          <w:noProof/>
        </w:rPr>
        <w:drawing>
          <wp:inline distT="0" distB="0" distL="0" distR="0" wp14:anchorId="34C06669" wp14:editId="57A411E7">
            <wp:extent cx="4596765" cy="2731135"/>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596765" cy="2731135"/>
                    </a:xfrm>
                    <a:prstGeom prst="rect">
                      <a:avLst/>
                    </a:prstGeom>
                    <a:noFill/>
                  </pic:spPr>
                </pic:pic>
              </a:graphicData>
            </a:graphic>
          </wp:inline>
        </w:drawing>
      </w:r>
    </w:p>
    <w:p w14:paraId="708F7091" w14:textId="405E00DF" w:rsidR="00014F04" w:rsidRPr="00014F04" w:rsidRDefault="00014F04" w:rsidP="00B86839">
      <w:pPr>
        <w:pStyle w:val="Caption"/>
        <w:ind w:firstLine="0"/>
        <w:jc w:val="center"/>
      </w:pPr>
      <w:bookmarkStart w:id="331" w:name="_Toc140403960"/>
      <w:r>
        <w:t xml:space="preserve">Figure </w:t>
      </w:r>
      <w:fldSimple w:instr=" SEQ Figure \* ARABIC ">
        <w:r w:rsidR="00A5526B">
          <w:rPr>
            <w:noProof/>
          </w:rPr>
          <w:t>94</w:t>
        </w:r>
      </w:fldSimple>
      <w:r>
        <w:t xml:space="preserve">: </w:t>
      </w:r>
      <w:r w:rsidRPr="001C0EF8">
        <w:t xml:space="preserve">Control Strategy Comparison for Winter </w:t>
      </w:r>
      <w:r>
        <w:t>Extreme</w:t>
      </w:r>
      <w:r w:rsidRPr="001C0EF8">
        <w:t xml:space="preserve"> week in Sacramento</w:t>
      </w:r>
      <w:bookmarkEnd w:id="331"/>
    </w:p>
    <w:p w14:paraId="0C2EE8E3" w14:textId="36BD02EE" w:rsidR="00B17E5F" w:rsidRDefault="00B17E5F">
      <w:pPr>
        <w:spacing w:before="0" w:line="240" w:lineRule="auto"/>
        <w:ind w:firstLine="0"/>
        <w:jc w:val="left"/>
        <w:rPr>
          <w:rFonts w:cs="Times New Roman"/>
          <w:b/>
          <w:bCs/>
          <w:iCs/>
          <w:szCs w:val="28"/>
        </w:rPr>
      </w:pPr>
    </w:p>
    <w:p w14:paraId="7EA905EE" w14:textId="77777777" w:rsidR="00B17E5F" w:rsidRDefault="00B17E5F" w:rsidP="006D7F32">
      <w:pPr>
        <w:pStyle w:val="Heading2"/>
        <w:rPr>
          <w:rFonts w:cs="Times New Roman"/>
        </w:rPr>
      </w:pPr>
      <w:bookmarkStart w:id="332" w:name="_Toc140399921"/>
      <w:r>
        <w:rPr>
          <w:rFonts w:cs="Times New Roman"/>
        </w:rPr>
        <w:t>Conclusions</w:t>
      </w:r>
      <w:bookmarkEnd w:id="332"/>
    </w:p>
    <w:p w14:paraId="355587E1" w14:textId="77777777" w:rsidR="00B17E5F" w:rsidRPr="00322E56" w:rsidRDefault="00B17E5F" w:rsidP="00772C4D">
      <w:pPr>
        <w:ind w:firstLine="720"/>
        <w:rPr>
          <w:rFonts w:cs="Times New Roman"/>
        </w:rPr>
      </w:pPr>
      <w:r w:rsidRPr="00322E56">
        <w:rPr>
          <w:rFonts w:cs="Times New Roman"/>
          <w:lang w:val="en-GB"/>
        </w:rPr>
        <w:t xml:space="preserve">This </w:t>
      </w:r>
      <w:r w:rsidRPr="00322E56">
        <w:rPr>
          <w:rFonts w:cs="Times New Roman"/>
        </w:rPr>
        <w:t xml:space="preserve">work developed a full-scale HP-TES prototype and bridged the experimental gap in HP-TES research. The prototype validated the MATLAB model and demonstrated the cost, energy and grid benefits for selected phase change temperature (PCT) and storage capacity. The demand, energy and cost analysis were compared to the reported results from HP-TES simulation for optimized PCT and storage capacity. </w:t>
      </w:r>
    </w:p>
    <w:p w14:paraId="2D4A8580" w14:textId="77777777" w:rsidR="00B17E5F" w:rsidRPr="00772C4D" w:rsidRDefault="00B17E5F" w:rsidP="00772C4D">
      <w:pPr>
        <w:ind w:firstLine="720"/>
        <w:rPr>
          <w:rFonts w:cs="Times New Roman"/>
        </w:rPr>
      </w:pPr>
      <w:r w:rsidRPr="00322E56">
        <w:rPr>
          <w:rFonts w:cs="Times New Roman"/>
        </w:rPr>
        <w:t>The PCM-integrated heat pump was designed to achieve the targeted load shift capabilities. An existing high efficiency heat pump was selected and sized based on the building load and performance. Off-the-shelf PCM was used in the TES tank. The PCM heat exchanger was sized based on the shifted load to achieve required demand reduction and coupled to heat pump.</w:t>
      </w:r>
    </w:p>
    <w:p w14:paraId="1EF05346" w14:textId="77777777" w:rsidR="00B17E5F" w:rsidRPr="00322E56" w:rsidRDefault="00B17E5F" w:rsidP="006D7F32">
      <w:pPr>
        <w:pStyle w:val="Heading2"/>
        <w:rPr>
          <w:rFonts w:cs="Times New Roman"/>
        </w:rPr>
      </w:pPr>
      <w:bookmarkStart w:id="333" w:name="_Toc140399922"/>
      <w:r w:rsidRPr="00322E56">
        <w:rPr>
          <w:rFonts w:cs="Times New Roman"/>
        </w:rPr>
        <w:t>Discussions</w:t>
      </w:r>
      <w:bookmarkEnd w:id="333"/>
    </w:p>
    <w:p w14:paraId="04B75AC2" w14:textId="77777777" w:rsidR="00B17E5F" w:rsidRPr="00322E56" w:rsidRDefault="00B17E5F" w:rsidP="00BD2E15">
      <w:pPr>
        <w:ind w:firstLine="720"/>
        <w:rPr>
          <w:rFonts w:cs="Times New Roman"/>
        </w:rPr>
      </w:pPr>
      <w:r w:rsidRPr="00322E56">
        <w:rPr>
          <w:rFonts w:cs="Times New Roman"/>
        </w:rPr>
        <w:t xml:space="preserve">HP-TES research has only garnered attention in the past decade. The reason that HP-TES integration is not widely adopted is that it’s still difficult to quantify the technology cost and benefits without global metrics and standards for TES selection, design, and evaluation. Furthermore, </w:t>
      </w:r>
      <w:bookmarkStart w:id="334" w:name="_Hlk114134871"/>
      <w:r w:rsidRPr="00322E56">
        <w:rPr>
          <w:rFonts w:cs="Times New Roman"/>
        </w:rPr>
        <w:t>the research already conducted on HP-TES is mostly based on simulations and very few works present an experimental analysis on both heating and cooling systems.</w:t>
      </w:r>
    </w:p>
    <w:bookmarkEnd w:id="334"/>
    <w:p w14:paraId="09216C0B" w14:textId="4367D51E" w:rsidR="00B17E5F" w:rsidRDefault="002D7430" w:rsidP="008B7409">
      <w:pPr>
        <w:ind w:firstLine="720"/>
        <w:rPr>
          <w:rFonts w:cs="Times New Roman"/>
          <w:color w:val="000000"/>
        </w:rPr>
      </w:pPr>
      <w:r>
        <w:rPr>
          <w:rFonts w:cs="Times New Roman"/>
          <w:color w:val="000000"/>
        </w:rPr>
        <w:t xml:space="preserve">Ermel et al. </w:t>
      </w:r>
      <w:sdt>
        <w:sdtPr>
          <w:rPr>
            <w:rFonts w:cs="Times New Roman"/>
            <w:color w:val="000000"/>
          </w:rPr>
          <w:tag w:val="MENDELEY_CITATION_v3_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"/>
          <w:id w:val="142861257"/>
          <w:placeholder>
            <w:docPart w:val="3CE2FB2A6ED34D3AA46FFEF9C2CE4A29"/>
          </w:placeholder>
        </w:sdtPr>
        <w:sdtContent>
          <w:r w:rsidR="001E7ECF" w:rsidRPr="001E7ECF">
            <w:rPr>
              <w:rFonts w:cs="Times New Roman"/>
              <w:color w:val="000000"/>
            </w:rPr>
            <w:t>[226]</w:t>
          </w:r>
        </w:sdtContent>
      </w:sdt>
      <w:r w:rsidR="00B17E5F" w:rsidRPr="00322E56">
        <w:rPr>
          <w:rFonts w:cs="Times New Roman"/>
          <w:color w:val="000000"/>
        </w:rPr>
        <w:t xml:space="preserve"> highlighted the complexity of integrating TES with HP in their systematic review on performance of air source heat pumps integrated TES. Integrating PCM-TES with HP can be challenging as energy storage materials are manifold and depend on application. It is important to select a suitable material, packaged in an optimized container and configuration to manage the </w:t>
      </w:r>
      <w:r w:rsidR="00B17E5F" w:rsidRPr="00322E56">
        <w:rPr>
          <w:rFonts w:cs="Times New Roman"/>
        </w:rPr>
        <w:t xml:space="preserve">thermal loads and heat transfer, </w:t>
      </w:r>
      <w:r w:rsidR="00B17E5F" w:rsidRPr="00322E56">
        <w:rPr>
          <w:rFonts w:cs="Times New Roman"/>
          <w:color w:val="000000"/>
        </w:rPr>
        <w:t xml:space="preserve">and to overcome the low thermal conductivity of PCMs. Furthermore, controls strategies are needed to develop and optimized for grid-interactive buildings, and heat pumps’ demand response. </w:t>
      </w:r>
    </w:p>
    <w:p w14:paraId="623A91E0" w14:textId="05D20151" w:rsidR="00B17E5F" w:rsidRDefault="00B80307" w:rsidP="00B80307">
      <w:pPr>
        <w:ind w:firstLine="720"/>
        <w:rPr>
          <w:rFonts w:cs="Times New Roman"/>
          <w:color w:val="000000"/>
        </w:rPr>
      </w:pPr>
      <w:r>
        <w:rPr>
          <w:rFonts w:cs="Times New Roman"/>
          <w:color w:val="000000"/>
        </w:rPr>
        <w:t xml:space="preserve">This work focused on evaluating configuration and controls for HP-TES. Developing controls for a new technology is challenging especially when the literature is not </w:t>
      </w:r>
      <w:r w:rsidR="005A0097">
        <w:rPr>
          <w:rFonts w:cs="Times New Roman"/>
          <w:color w:val="000000"/>
        </w:rPr>
        <w:t>sufficient,</w:t>
      </w:r>
      <w:r>
        <w:rPr>
          <w:rFonts w:cs="Times New Roman"/>
          <w:color w:val="000000"/>
        </w:rPr>
        <w:t xml:space="preserve"> and data is not readily available. The configuration we studied for HP-TES was new and there were not many systems available to compare it against. </w:t>
      </w:r>
    </w:p>
    <w:p w14:paraId="0A1D148E" w14:textId="410EFCCB" w:rsidR="00514541" w:rsidRDefault="00B80307" w:rsidP="00B80307">
      <w:pPr>
        <w:ind w:firstLine="720"/>
        <w:rPr>
          <w:rFonts w:cs="Times New Roman"/>
          <w:color w:val="000000"/>
        </w:rPr>
      </w:pPr>
      <w:r>
        <w:rPr>
          <w:rFonts w:cs="Times New Roman"/>
          <w:color w:val="000000"/>
        </w:rPr>
        <w:t xml:space="preserve">HP-TES provides degree of freedom as compared to conventional HVAC system in both hardware design and controls choices. </w:t>
      </w:r>
      <w:r w:rsidR="00514541">
        <w:rPr>
          <w:rFonts w:cs="Times New Roman"/>
          <w:color w:val="000000"/>
        </w:rPr>
        <w:t>But exploring all these possibilities to model HP-TES becomes challenging and complex as all these decisions need to be made.</w:t>
      </w:r>
    </w:p>
    <w:p w14:paraId="23847A65" w14:textId="0DB80B45" w:rsidR="00B80307" w:rsidRDefault="00B80307" w:rsidP="00B80307">
      <w:pPr>
        <w:ind w:firstLine="720"/>
        <w:rPr>
          <w:rFonts w:cs="Times New Roman"/>
          <w:color w:val="000000"/>
        </w:rPr>
      </w:pPr>
      <w:r>
        <w:rPr>
          <w:rFonts w:cs="Times New Roman"/>
          <w:color w:val="000000"/>
        </w:rPr>
        <w:t xml:space="preserve">There are number of possibilities </w:t>
      </w:r>
      <w:r w:rsidR="00F749A7">
        <w:rPr>
          <w:rFonts w:cs="Times New Roman"/>
          <w:color w:val="000000"/>
        </w:rPr>
        <w:t xml:space="preserve">that can be explored </w:t>
      </w:r>
      <w:r>
        <w:rPr>
          <w:rFonts w:cs="Times New Roman"/>
          <w:color w:val="000000"/>
        </w:rPr>
        <w:t xml:space="preserve">to couple TES with existing </w:t>
      </w:r>
      <w:r w:rsidR="00F749A7">
        <w:rPr>
          <w:rFonts w:cs="Times New Roman"/>
          <w:color w:val="000000"/>
        </w:rPr>
        <w:t xml:space="preserve">hardware </w:t>
      </w:r>
      <w:r>
        <w:rPr>
          <w:rFonts w:cs="Times New Roman"/>
          <w:color w:val="000000"/>
        </w:rPr>
        <w:t>components, avoiding the installation of new equipment which can be costly and takes up more space</w:t>
      </w:r>
      <w:r w:rsidR="00F749A7">
        <w:rPr>
          <w:rFonts w:cs="Times New Roman"/>
          <w:color w:val="000000"/>
        </w:rPr>
        <w:t xml:space="preserve">. We provided a review on configurations to focus on HP component integration and configuration choice was a major portion of this research. Furthermore, choices </w:t>
      </w:r>
      <w:r w:rsidR="00514541">
        <w:rPr>
          <w:rFonts w:cs="Times New Roman"/>
          <w:color w:val="000000"/>
        </w:rPr>
        <w:t>were</w:t>
      </w:r>
      <w:r w:rsidR="00F749A7">
        <w:rPr>
          <w:rFonts w:cs="Times New Roman"/>
          <w:color w:val="000000"/>
        </w:rPr>
        <w:t xml:space="preserve"> made for HX size, PCM size, and phase change temperature. </w:t>
      </w:r>
    </w:p>
    <w:p w14:paraId="6B8DD0B2" w14:textId="2C870F2D" w:rsidR="00F749A7" w:rsidRDefault="00514541" w:rsidP="00B80307">
      <w:pPr>
        <w:ind w:firstLine="720"/>
        <w:rPr>
          <w:rFonts w:cs="Times New Roman"/>
          <w:color w:val="000000"/>
        </w:rPr>
      </w:pPr>
      <w:r>
        <w:rPr>
          <w:rFonts w:cs="Times New Roman"/>
          <w:color w:val="000000"/>
        </w:rPr>
        <w:t>For the control choices, decision to charge and discharge TES could depend on number of factors such as weather forecast, utility rate forecast, and grid emissions forecast. We explored rule-based strategies with different data sets and climate zones which led to divergent result scenarios. A more comprehensive review on controls optimization could be included in future studies.</w:t>
      </w:r>
    </w:p>
    <w:p w14:paraId="2FA89157" w14:textId="10F0E95D" w:rsidR="00514541" w:rsidRPr="00322E56" w:rsidRDefault="00514541" w:rsidP="00B80307">
      <w:pPr>
        <w:ind w:firstLine="720"/>
        <w:rPr>
          <w:rFonts w:cs="Times New Roman"/>
          <w:color w:val="000000"/>
        </w:rPr>
      </w:pPr>
      <w:r>
        <w:rPr>
          <w:rFonts w:cs="Times New Roman"/>
          <w:color w:val="000000"/>
        </w:rPr>
        <w:t xml:space="preserve">Finally, thermostat was main part of the </w:t>
      </w:r>
      <w:r w:rsidR="005A0097">
        <w:rPr>
          <w:rFonts w:cs="Times New Roman"/>
          <w:color w:val="000000"/>
        </w:rPr>
        <w:t>model,</w:t>
      </w:r>
      <w:r>
        <w:rPr>
          <w:rFonts w:cs="Times New Roman"/>
          <w:color w:val="000000"/>
        </w:rPr>
        <w:t xml:space="preserve"> and all the controls were integrated with thermostat to avoid additional equipment and to mediate the heat transfer via HP. There are number of possibilities to model thermostat behavior as well.</w:t>
      </w:r>
    </w:p>
    <w:p w14:paraId="7EB0C15E" w14:textId="77777777" w:rsidR="00B17E5F" w:rsidRPr="00772C4D" w:rsidRDefault="00B17E5F" w:rsidP="00514541">
      <w:pPr>
        <w:ind w:firstLine="0"/>
        <w:rPr>
          <w:highlight w:val="yellow"/>
        </w:rPr>
      </w:pPr>
      <w:r w:rsidRPr="00322E56">
        <w:rPr>
          <w:rFonts w:cs="Times New Roman"/>
        </w:rPr>
        <w:br w:type="page"/>
      </w:r>
    </w:p>
    <w:p w14:paraId="5DF73EE3" w14:textId="35981E14" w:rsidR="00B17E5F" w:rsidRPr="00322E56" w:rsidRDefault="00AB7500" w:rsidP="006512F7">
      <w:pPr>
        <w:pStyle w:val="Heading1"/>
        <w:rPr>
          <w:rFonts w:cs="Times New Roman"/>
        </w:rPr>
      </w:pPr>
      <w:bookmarkStart w:id="335" w:name="_Toc289175843"/>
      <w:bookmarkStart w:id="336" w:name="_Toc140399923"/>
      <w:bookmarkStart w:id="337" w:name="_Toc289175842"/>
      <w:r>
        <w:rPr>
          <w:rFonts w:cs="Times New Roman"/>
        </w:rPr>
        <w:t>dissertation</w:t>
      </w:r>
      <w:r w:rsidR="00B17E5F" w:rsidRPr="00322E56">
        <w:rPr>
          <w:rFonts w:cs="Times New Roman"/>
        </w:rPr>
        <w:t xml:space="preserve"> CONCLUSION</w:t>
      </w:r>
      <w:bookmarkEnd w:id="335"/>
      <w:r w:rsidR="00B17E5F" w:rsidRPr="00322E56">
        <w:rPr>
          <w:rFonts w:cs="Times New Roman"/>
        </w:rPr>
        <w:t>S</w:t>
      </w:r>
      <w:bookmarkEnd w:id="336"/>
    </w:p>
    <w:p w14:paraId="71348186" w14:textId="77777777" w:rsidR="00B17E5F" w:rsidRPr="00322E56" w:rsidRDefault="00B17E5F" w:rsidP="005251F3">
      <w:pPr>
        <w:rPr>
          <w:rFonts w:cs="Times New Roman"/>
        </w:rPr>
      </w:pPr>
    </w:p>
    <w:p w14:paraId="0659E393" w14:textId="77777777" w:rsidR="00B17E5F" w:rsidRPr="00322E56" w:rsidRDefault="00B17E5F" w:rsidP="005251F3">
      <w:pPr>
        <w:rPr>
          <w:rFonts w:cs="Times New Roman"/>
          <w:color w:val="000000"/>
        </w:rPr>
      </w:pPr>
      <w:r w:rsidRPr="00322E56">
        <w:rPr>
          <w:rFonts w:cs="Times New Roman"/>
          <w:color w:val="000000"/>
        </w:rPr>
        <w:t xml:space="preserve">A novel TES system is integrated with an existing residential air source HP. Research focuses on controls and configurations to reduce residential building's energy consumption, consumer cost, carbon emissions, and peak energy consumption associated with HP heating and cooling applications. Since HP space conditioning contributes to half of the buildings’ energy consumption, it exacerbates demand issues. This work will contribute to the development of a framework for commercialized HP-TES and policies to reduce peak energy demand and carbon emissions of utility grids. </w:t>
      </w:r>
    </w:p>
    <w:p w14:paraId="417C357A" w14:textId="77777777" w:rsidR="00B17E5F" w:rsidRPr="00322E56" w:rsidRDefault="00B17E5F" w:rsidP="005251F3">
      <w:pPr>
        <w:rPr>
          <w:rFonts w:cs="Times New Roman"/>
          <w:color w:val="000000"/>
        </w:rPr>
      </w:pPr>
      <w:r w:rsidRPr="00322E56">
        <w:rPr>
          <w:rFonts w:cs="Times New Roman"/>
          <w:color w:val="000000"/>
        </w:rPr>
        <w:t>We used active configuration where HP is integrated with PCM-TES to mediate the heat transfer. TES is not directly coupled to the building to provide air conditioning but coupled to VCS, behaving as heat sink or source for HP. Rule-based control strategies were used to shift the peak loads and emissions. A single TES is used for both space heating and cooling of system and parametric analysis showed that 20℃ was the best PCT for most climates, yielding up to 70% peak demand reduction.</w:t>
      </w:r>
    </w:p>
    <w:p w14:paraId="551C5034" w14:textId="0CBF613F" w:rsidR="00B17E5F" w:rsidRPr="00322E56" w:rsidRDefault="00B17E5F" w:rsidP="005251F3">
      <w:pPr>
        <w:rPr>
          <w:rFonts w:cs="Times New Roman"/>
          <w:color w:val="000000"/>
        </w:rPr>
      </w:pPr>
      <w:r w:rsidRPr="00322E56">
        <w:rPr>
          <w:rFonts w:cs="Times New Roman"/>
          <w:color w:val="000000"/>
        </w:rPr>
        <w:t>A limited number of studies have been conducted on HP-TES and no standards have been developed for comparing them.</w:t>
      </w:r>
      <w:r w:rsidRPr="00322E56">
        <w:rPr>
          <w:rFonts w:cs="Times New Roman"/>
        </w:rPr>
        <w:t xml:space="preserve"> </w:t>
      </w:r>
      <w:r w:rsidRPr="00322E56">
        <w:rPr>
          <w:rFonts w:cs="Times New Roman"/>
          <w:color w:val="000000"/>
        </w:rPr>
        <w:t xml:space="preserve">No comprehensive experimental system has been investigated in literature that addresses all aspects of HP-TES, including controls, configurations, and performance. In addition, no simulations have compared different climate zones. A simulation-based system is developed and experimentally validated for a single-family residential building </w:t>
      </w:r>
      <w:r w:rsidR="00654021" w:rsidRPr="00322E56">
        <w:rPr>
          <w:rFonts w:cs="Times New Roman"/>
          <w:color w:val="000000"/>
        </w:rPr>
        <w:t>to</w:t>
      </w:r>
      <w:r w:rsidRPr="00322E56">
        <w:rPr>
          <w:rFonts w:cs="Times New Roman"/>
          <w:color w:val="000000"/>
        </w:rPr>
        <w:t xml:space="preserve"> fill this gap. We investigate the impact of control settings and configuration on performance in different climate zones in the US.</w:t>
      </w:r>
    </w:p>
    <w:p w14:paraId="3A3DAE49" w14:textId="77777777" w:rsidR="00B17E5F" w:rsidRPr="00322E56" w:rsidRDefault="00B17E5F" w:rsidP="005251F3">
      <w:pPr>
        <w:rPr>
          <w:rFonts w:cs="Times New Roman"/>
          <w:color w:val="000000"/>
        </w:rPr>
      </w:pPr>
      <w:r w:rsidRPr="00322E56">
        <w:rPr>
          <w:rFonts w:cs="Times New Roman"/>
          <w:color w:val="000000"/>
        </w:rPr>
        <w:t xml:space="preserve">This work aligns with DOE's goals to decarbonize and reduce demand by 2030. Commercialized HP-TES are expected to have a much broader impact on the research community as well as consumers. </w:t>
      </w:r>
      <w:r w:rsidRPr="00322E56">
        <w:rPr>
          <w:rFonts w:cs="Times New Roman"/>
        </w:rPr>
        <w:t>Residential homeowners will benefit from HP-TES' flexible installation, enabling them to use existing HP equipment for controls with a minimal footprint, while reducing installation and consumer costs.</w:t>
      </w:r>
    </w:p>
    <w:p w14:paraId="6B5406BA" w14:textId="77777777" w:rsidR="00B17E5F" w:rsidRPr="00322E56" w:rsidRDefault="00B17E5F" w:rsidP="005251F3">
      <w:pPr>
        <w:pStyle w:val="Heading2"/>
        <w:rPr>
          <w:rFonts w:cs="Times New Roman"/>
          <w:szCs w:val="24"/>
        </w:rPr>
      </w:pPr>
      <w:bookmarkStart w:id="338" w:name="_Toc140399924"/>
      <w:r w:rsidRPr="00322E56">
        <w:rPr>
          <w:rFonts w:cs="Times New Roman"/>
          <w:szCs w:val="24"/>
        </w:rPr>
        <w:t>Summary</w:t>
      </w:r>
      <w:bookmarkEnd w:id="338"/>
    </w:p>
    <w:p w14:paraId="1192F01B" w14:textId="77777777" w:rsidR="00B17E5F" w:rsidRPr="00322E56" w:rsidRDefault="00B17E5F" w:rsidP="005251F3">
      <w:pPr>
        <w:rPr>
          <w:rFonts w:cs="Times New Roman"/>
        </w:rPr>
      </w:pPr>
      <w:r w:rsidRPr="00322E56">
        <w:rPr>
          <w:rFonts w:cs="Times New Roman"/>
        </w:rPr>
        <w:t>This work presents an HP-TES system with a focus on configurations, controls, and coupling of HP-TES using single PCM for both heating and cooling in different climates. An analysis is performed to compare the utility cost, electric consumption, carbon emissions, and peak demand savings.</w:t>
      </w:r>
    </w:p>
    <w:p w14:paraId="36F383B8" w14:textId="23CC97C1" w:rsidR="0087232F" w:rsidRPr="00322E56" w:rsidRDefault="00B17E5F" w:rsidP="0087232F">
      <w:pPr>
        <w:rPr>
          <w:rFonts w:cs="Times New Roman"/>
        </w:rPr>
      </w:pPr>
      <w:r w:rsidRPr="00322E56">
        <w:rPr>
          <w:rFonts w:cs="Times New Roman"/>
        </w:rPr>
        <w:t xml:space="preserve">A review on HP-TES configurations </w:t>
      </w:r>
      <w:r w:rsidR="0087232F">
        <w:rPr>
          <w:rFonts w:cs="Times New Roman"/>
        </w:rPr>
        <w:t>showed</w:t>
      </w:r>
      <w:r w:rsidRPr="00322E56">
        <w:rPr>
          <w:rFonts w:cs="Times New Roman"/>
        </w:rPr>
        <w:t xml:space="preserve"> that</w:t>
      </w:r>
      <w:r w:rsidR="0087232F">
        <w:rPr>
          <w:rFonts w:cs="Times New Roman"/>
        </w:rPr>
        <w:t xml:space="preserve"> </w:t>
      </w:r>
      <w:r w:rsidR="0087232F" w:rsidRPr="00322E56">
        <w:rPr>
          <w:rFonts w:cs="Times New Roman"/>
        </w:rPr>
        <w:t>Active HP-TES improve</w:t>
      </w:r>
      <w:r w:rsidR="0087232F">
        <w:rPr>
          <w:rFonts w:cs="Times New Roman"/>
        </w:rPr>
        <w:t>s</w:t>
      </w:r>
      <w:r w:rsidR="0087232F" w:rsidRPr="00322E56">
        <w:rPr>
          <w:rFonts w:cs="Times New Roman"/>
        </w:rPr>
        <w:t xml:space="preserve"> energy storage and </w:t>
      </w:r>
      <w:r w:rsidR="0087232F">
        <w:rPr>
          <w:rFonts w:cs="Times New Roman"/>
        </w:rPr>
        <w:t xml:space="preserve">can </w:t>
      </w:r>
      <w:r w:rsidR="0087232F" w:rsidRPr="00322E56">
        <w:rPr>
          <w:rFonts w:cs="Times New Roman"/>
        </w:rPr>
        <w:t>provid</w:t>
      </w:r>
      <w:r w:rsidR="0087232F">
        <w:rPr>
          <w:rFonts w:cs="Times New Roman"/>
        </w:rPr>
        <w:t>e</w:t>
      </w:r>
      <w:r w:rsidR="0087232F" w:rsidRPr="00322E56">
        <w:rPr>
          <w:rFonts w:cs="Times New Roman"/>
        </w:rPr>
        <w:t xml:space="preserve"> up to 80% demand reduction through real-time charging and discharging. The utility cost savings for active HP-TES depend on the type and size of TES, TES location within an HP, and utility tariff, and energy savings highly depend on the climate and TES application. The financial viability of active HP-TES is higher in cooling-dominated climates with higher peak electricity prices. </w:t>
      </w:r>
    </w:p>
    <w:p w14:paraId="43469E81" w14:textId="7DDC63AF" w:rsidR="00B17E5F" w:rsidRPr="0087232F" w:rsidRDefault="00B17E5F" w:rsidP="0087232F">
      <w:pPr>
        <w:rPr>
          <w:rFonts w:cs="Times New Roman"/>
          <w:color w:val="0D0D0D" w:themeColor="text1" w:themeTint="F2"/>
        </w:rPr>
      </w:pPr>
      <w:r w:rsidRPr="00322E56">
        <w:rPr>
          <w:rFonts w:cs="Times New Roman"/>
        </w:rPr>
        <w:t>We reviewed suitable PCMs for HP-TES system</w:t>
      </w:r>
      <w:r w:rsidR="0087232F">
        <w:rPr>
          <w:rFonts w:cs="Times New Roman"/>
        </w:rPr>
        <w:t xml:space="preserve">. </w:t>
      </w:r>
      <w:r w:rsidR="0087232F" w:rsidRPr="00322E56">
        <w:rPr>
          <w:rFonts w:cs="Times New Roman"/>
          <w:color w:val="0D0D0D" w:themeColor="text1" w:themeTint="F2"/>
        </w:rPr>
        <w:t xml:space="preserve">The optimum demand impact and energy savings </w:t>
      </w:r>
      <w:r w:rsidR="0087232F">
        <w:rPr>
          <w:rFonts w:cs="Times New Roman"/>
          <w:color w:val="0D0D0D" w:themeColor="text1" w:themeTint="F2"/>
        </w:rPr>
        <w:t>were</w:t>
      </w:r>
      <w:r w:rsidR="0087232F" w:rsidRPr="00322E56">
        <w:rPr>
          <w:rFonts w:cs="Times New Roman"/>
          <w:color w:val="0D0D0D" w:themeColor="text1" w:themeTint="F2"/>
        </w:rPr>
        <w:t xml:space="preserve"> reported for salt hydrate PCM</w:t>
      </w:r>
      <w:r w:rsidR="0087232F">
        <w:rPr>
          <w:rFonts w:cs="Times New Roman"/>
          <w:color w:val="0D0D0D" w:themeColor="text1" w:themeTint="F2"/>
        </w:rPr>
        <w:t>s</w:t>
      </w:r>
      <w:r w:rsidR="0087232F" w:rsidRPr="00322E56">
        <w:rPr>
          <w:rFonts w:cs="Times New Roman"/>
          <w:color w:val="0D0D0D" w:themeColor="text1" w:themeTint="F2"/>
        </w:rPr>
        <w:t xml:space="preserve"> with </w:t>
      </w:r>
      <w:r w:rsidR="0087232F">
        <w:rPr>
          <w:rFonts w:cs="Times New Roman"/>
          <w:color w:val="0D0D0D" w:themeColor="text1" w:themeTint="F2"/>
        </w:rPr>
        <w:t>phase change</w:t>
      </w:r>
      <w:r w:rsidR="0087232F" w:rsidRPr="00322E56">
        <w:rPr>
          <w:rFonts w:cs="Times New Roman"/>
          <w:color w:val="0D0D0D" w:themeColor="text1" w:themeTint="F2"/>
        </w:rPr>
        <w:t xml:space="preserve"> temperature between 15 and 27 </w:t>
      </w:r>
      <w:r w:rsidR="0087232F" w:rsidRPr="00322E56">
        <w:rPr>
          <w:rFonts w:cs="Times New Roman"/>
        </w:rPr>
        <w:t>°C integrated via air distribution system of the heat pump.</w:t>
      </w:r>
    </w:p>
    <w:p w14:paraId="504527AD" w14:textId="3538F0C9" w:rsidR="0087232F" w:rsidRPr="00322E56" w:rsidRDefault="00B17E5F" w:rsidP="0087232F">
      <w:pPr>
        <w:rPr>
          <w:rFonts w:cs="Times New Roman"/>
        </w:rPr>
      </w:pPr>
      <w:r w:rsidRPr="00322E56">
        <w:rPr>
          <w:rFonts w:cs="Times New Roman"/>
        </w:rPr>
        <w:t>Economic implications case study show</w:t>
      </w:r>
      <w:r w:rsidR="0087232F">
        <w:rPr>
          <w:rFonts w:cs="Times New Roman"/>
        </w:rPr>
        <w:t xml:space="preserve">ed the potential of ice-based HP-TES. For a case study where hottest week analysis was performed on Fresno, CA, </w:t>
      </w:r>
      <w:r w:rsidR="0087232F" w:rsidRPr="00322E56">
        <w:rPr>
          <w:rFonts w:cs="Times New Roman"/>
        </w:rPr>
        <w:t xml:space="preserve">the total energy used to cool the space was reduced </w:t>
      </w:r>
      <w:r w:rsidR="0087232F">
        <w:rPr>
          <w:rFonts w:cs="Times New Roman"/>
        </w:rPr>
        <w:t>14</w:t>
      </w:r>
      <w:r w:rsidR="0087232F" w:rsidRPr="00322E56">
        <w:rPr>
          <w:rFonts w:cs="Times New Roman"/>
        </w:rPr>
        <w:t xml:space="preserve">.5% </w:t>
      </w:r>
      <w:r w:rsidR="0087232F">
        <w:rPr>
          <w:rFonts w:cs="Times New Roman"/>
        </w:rPr>
        <w:t>when TES was used</w:t>
      </w:r>
      <w:r w:rsidR="0087232F" w:rsidRPr="00322E56">
        <w:rPr>
          <w:rFonts w:cs="Times New Roman"/>
        </w:rPr>
        <w:t xml:space="preserve">.  The on-peak energy usage was reduced by 87.5%, </w:t>
      </w:r>
      <w:r w:rsidR="0087232F">
        <w:rPr>
          <w:rFonts w:cs="Times New Roman"/>
        </w:rPr>
        <w:t>and</w:t>
      </w:r>
      <w:r w:rsidR="0087232F" w:rsidRPr="00322E56">
        <w:rPr>
          <w:rFonts w:cs="Times New Roman"/>
        </w:rPr>
        <w:t xml:space="preserve"> the cost to the customer was reduced by nearly 20%.</w:t>
      </w:r>
    </w:p>
    <w:p w14:paraId="4BA275BA" w14:textId="7743C658" w:rsidR="00B17E5F" w:rsidRDefault="0087232F" w:rsidP="0087232F">
      <w:pPr>
        <w:rPr>
          <w:rFonts w:cs="Times New Roman"/>
        </w:rPr>
      </w:pPr>
      <w:r>
        <w:rPr>
          <w:rFonts w:cs="Times New Roman"/>
        </w:rPr>
        <w:t>Preliminary a</w:t>
      </w:r>
      <w:r w:rsidR="00B17E5F" w:rsidRPr="00322E56">
        <w:rPr>
          <w:rFonts w:cs="Times New Roman"/>
        </w:rPr>
        <w:t>n</w:t>
      </w:r>
      <w:r>
        <w:rPr>
          <w:rFonts w:cs="Times New Roman"/>
        </w:rPr>
        <w:t>nual simulations were performed on HP-TES MATLAB model and</w:t>
      </w:r>
      <w:r w:rsidR="00B17E5F" w:rsidRPr="00322E56">
        <w:rPr>
          <w:rFonts w:cs="Times New Roman"/>
        </w:rPr>
        <w:t xml:space="preserve"> optimized PCT of </w:t>
      </w:r>
      <w:r>
        <w:rPr>
          <w:rFonts w:cs="Times New Roman"/>
        </w:rPr>
        <w:t>20</w:t>
      </w:r>
      <w:r w:rsidRPr="00322E56">
        <w:rPr>
          <w:rFonts w:cs="Times New Roman"/>
        </w:rPr>
        <w:t>°C</w:t>
      </w:r>
      <w:r w:rsidR="00B17E5F" w:rsidRPr="00322E56">
        <w:rPr>
          <w:rFonts w:cs="Times New Roman"/>
        </w:rPr>
        <w:t xml:space="preserve"> and EPCM </w:t>
      </w:r>
      <w:r>
        <w:rPr>
          <w:rFonts w:cs="Times New Roman"/>
        </w:rPr>
        <w:t>of 170 MJ</w:t>
      </w:r>
      <w:r w:rsidR="00B17E5F" w:rsidRPr="00322E56">
        <w:rPr>
          <w:rFonts w:cs="Times New Roman"/>
        </w:rPr>
        <w:t xml:space="preserve"> </w:t>
      </w:r>
      <w:r>
        <w:rPr>
          <w:rFonts w:cs="Times New Roman"/>
        </w:rPr>
        <w:t>wa</w:t>
      </w:r>
      <w:r w:rsidR="00B17E5F" w:rsidRPr="00322E56">
        <w:rPr>
          <w:rFonts w:cs="Times New Roman"/>
        </w:rPr>
        <w:t>s determined through a parametric analysis</w:t>
      </w:r>
      <w:r>
        <w:rPr>
          <w:rFonts w:cs="Times New Roman"/>
        </w:rPr>
        <w:t xml:space="preserve">. Those optimized parameters were used further in detailed simulation model which was </w:t>
      </w:r>
      <w:r w:rsidR="00B17E5F" w:rsidRPr="00322E56">
        <w:rPr>
          <w:rFonts w:cs="Times New Roman"/>
        </w:rPr>
        <w:t xml:space="preserve">validated through experimental prototype. Controls </w:t>
      </w:r>
      <w:r>
        <w:rPr>
          <w:rFonts w:cs="Times New Roman"/>
        </w:rPr>
        <w:t>were</w:t>
      </w:r>
      <w:r w:rsidR="00B17E5F" w:rsidRPr="00322E56">
        <w:rPr>
          <w:rFonts w:cs="Times New Roman"/>
        </w:rPr>
        <w:t xml:space="preserve"> compared for demand reduction and decarbonization. The analysis show</w:t>
      </w:r>
      <w:r>
        <w:rPr>
          <w:rFonts w:cs="Times New Roman"/>
        </w:rPr>
        <w:t>ed</w:t>
      </w:r>
      <w:r w:rsidR="00B17E5F" w:rsidRPr="00322E56">
        <w:rPr>
          <w:rFonts w:cs="Times New Roman"/>
        </w:rPr>
        <w:t xml:space="preserve"> that</w:t>
      </w:r>
      <w:r>
        <w:rPr>
          <w:rFonts w:cs="Times New Roman"/>
        </w:rPr>
        <w:t xml:space="preserve"> </w:t>
      </w:r>
      <w:r w:rsidR="002D4BB4">
        <w:rPr>
          <w:rFonts w:cs="Times New Roman"/>
        </w:rPr>
        <w:t>the emissions and peak utility cost reduction was more promising for the control strategy where both MGE and TOU peak time controls were implemented.</w:t>
      </w:r>
    </w:p>
    <w:p w14:paraId="3B7AADFE" w14:textId="77777777" w:rsidR="002D4BB4" w:rsidRPr="00322E56" w:rsidRDefault="002D4BB4" w:rsidP="0087232F">
      <w:pPr>
        <w:rPr>
          <w:rFonts w:cs="Times New Roman"/>
        </w:rPr>
      </w:pPr>
    </w:p>
    <w:p w14:paraId="328B4653" w14:textId="77777777" w:rsidR="00B17E5F" w:rsidRPr="00322E56" w:rsidRDefault="00B17E5F" w:rsidP="005251F3">
      <w:pPr>
        <w:rPr>
          <w:rFonts w:cs="Times New Roman"/>
        </w:rPr>
      </w:pPr>
    </w:p>
    <w:p w14:paraId="2415AB41" w14:textId="77777777" w:rsidR="00B17E5F" w:rsidRPr="00322E56" w:rsidRDefault="00B17E5F" w:rsidP="005251F3">
      <w:pPr>
        <w:pStyle w:val="Heading2"/>
        <w:rPr>
          <w:rFonts w:cs="Times New Roman"/>
          <w:szCs w:val="24"/>
        </w:rPr>
      </w:pPr>
      <w:bookmarkStart w:id="339" w:name="_Toc140399925"/>
      <w:r w:rsidRPr="00322E56">
        <w:rPr>
          <w:rFonts w:cs="Times New Roman"/>
          <w:szCs w:val="24"/>
        </w:rPr>
        <w:t>Broader Impact</w:t>
      </w:r>
      <w:bookmarkEnd w:id="339"/>
    </w:p>
    <w:p w14:paraId="357837E4" w14:textId="6C71CEF3" w:rsidR="00B17E5F" w:rsidRPr="00322E56" w:rsidRDefault="00B17E5F" w:rsidP="002D4BB4">
      <w:pPr>
        <w:rPr>
          <w:rFonts w:cs="Times New Roman"/>
        </w:rPr>
      </w:pPr>
      <w:r w:rsidRPr="00322E56">
        <w:rPr>
          <w:rFonts w:cs="Times New Roman"/>
        </w:rPr>
        <w:t xml:space="preserve">This work presents an active HP-TES for buildings using a novel indirect configuration. Active HP-TES allow use of already established equipment and provide configuration flexibility. The indirect configuration provides control flexibility and user can decide when to charge or discharge TES depending on factors like ambient weather, utility peak time, and indoor temperature. </w:t>
      </w:r>
    </w:p>
    <w:p w14:paraId="6005012A" w14:textId="77777777" w:rsidR="00B17E5F" w:rsidRPr="00322E56" w:rsidRDefault="00B17E5F" w:rsidP="005251F3">
      <w:pPr>
        <w:rPr>
          <w:rFonts w:cs="Times New Roman"/>
        </w:rPr>
      </w:pPr>
      <w:r w:rsidRPr="00322E56">
        <w:rPr>
          <w:rFonts w:cs="Times New Roman"/>
        </w:rPr>
        <w:t xml:space="preserve">This work aligns with DOE’s 2023 goals of demand reduction and decarbonizing buildings. HP-TES is gaining popularity among researchers and overall research trends are improving. This work will get more visibility in research community and will contribute significantly to the literature since not much work has been accomplished in this area. </w:t>
      </w:r>
    </w:p>
    <w:p w14:paraId="3B0A9235" w14:textId="2D81177C" w:rsidR="00B17E5F" w:rsidRDefault="00B17E5F" w:rsidP="0012669E">
      <w:pPr>
        <w:rPr>
          <w:rFonts w:cs="Times New Roman"/>
        </w:rPr>
      </w:pPr>
      <w:r w:rsidRPr="00322E56">
        <w:rPr>
          <w:rFonts w:cs="Times New Roman"/>
        </w:rPr>
        <w:t xml:space="preserve">The broader impact of this work has been estimated via policy and entrepreneurship projects. </w:t>
      </w:r>
      <w:r w:rsidR="002D4BB4">
        <w:rPr>
          <w:rFonts w:cs="Times New Roman"/>
        </w:rPr>
        <w:t>A summary is illustrated in the Figure 95.</w:t>
      </w:r>
      <w:r w:rsidR="0012669E">
        <w:rPr>
          <w:rFonts w:cs="Times New Roman"/>
        </w:rPr>
        <w:t xml:space="preserve"> </w:t>
      </w:r>
      <w:r w:rsidR="0012669E" w:rsidRPr="0012669E">
        <w:rPr>
          <w:rFonts w:cs="Times New Roman"/>
        </w:rPr>
        <w:t>The impact and benefits are reported in three categories, economic, technical and non-economic.</w:t>
      </w:r>
      <w:r w:rsidR="0012669E">
        <w:rPr>
          <w:rFonts w:cs="Times New Roman"/>
        </w:rPr>
        <w:t xml:space="preserve"> </w:t>
      </w:r>
      <w:r w:rsidR="0012669E" w:rsidRPr="0012669E">
        <w:rPr>
          <w:rFonts w:cs="Times New Roman"/>
        </w:rPr>
        <w:t xml:space="preserve">The benefits are in comparison to the baseline which is a conventional heat pump or air conditioning system with no TES and no </w:t>
      </w:r>
      <w:r w:rsidR="0012669E">
        <w:rPr>
          <w:rFonts w:cs="Times New Roman"/>
        </w:rPr>
        <w:t>DR</w:t>
      </w:r>
      <w:r w:rsidR="0012669E" w:rsidRPr="0012669E">
        <w:rPr>
          <w:rFonts w:cs="Times New Roman"/>
        </w:rPr>
        <w:t xml:space="preserve"> controls.</w:t>
      </w:r>
    </w:p>
    <w:p w14:paraId="4D5C6067" w14:textId="70656624" w:rsidR="00CB2CB1" w:rsidRPr="00CB2CB1" w:rsidRDefault="002D4BB4" w:rsidP="00CB2CB1">
      <w:pPr>
        <w:rPr>
          <w:rFonts w:cs="Times New Roman"/>
        </w:rPr>
      </w:pPr>
      <w:r w:rsidRPr="00322E56">
        <w:rPr>
          <w:rFonts w:cs="Times New Roman"/>
        </w:rPr>
        <w:t>A</w:t>
      </w:r>
      <w:r>
        <w:rPr>
          <w:rFonts w:cs="Times New Roman"/>
        </w:rPr>
        <w:t>n initial</w:t>
      </w:r>
      <w:r w:rsidRPr="00322E56">
        <w:rPr>
          <w:rFonts w:cs="Times New Roman"/>
        </w:rPr>
        <w:t xml:space="preserve"> market analysis was conducted through ICORPS</w:t>
      </w:r>
      <w:r>
        <w:rPr>
          <w:rFonts w:cs="Times New Roman"/>
        </w:rPr>
        <w:t xml:space="preserve"> program for customer discovery</w:t>
      </w:r>
      <w:r w:rsidRPr="00322E56">
        <w:rPr>
          <w:rFonts w:cs="Times New Roman"/>
        </w:rPr>
        <w:t xml:space="preserve">. </w:t>
      </w:r>
      <w:r>
        <w:rPr>
          <w:rFonts w:cs="Times New Roman"/>
        </w:rPr>
        <w:t>The findings also dictated some of the research plan for this work.</w:t>
      </w:r>
      <w:r w:rsidR="00CB2CB1">
        <w:rPr>
          <w:rFonts w:cs="Times New Roman"/>
        </w:rPr>
        <w:t xml:space="preserve"> </w:t>
      </w:r>
      <w:r w:rsidR="00CB2CB1" w:rsidRPr="00CB2CB1">
        <w:rPr>
          <w:rFonts w:cs="Times New Roman"/>
        </w:rPr>
        <w:t>Some of the key findings are summarized here:</w:t>
      </w:r>
    </w:p>
    <w:p w14:paraId="6BEB35BB" w14:textId="77777777" w:rsidR="00CB2CB1" w:rsidRPr="00CB2CB1" w:rsidRDefault="00CB2CB1" w:rsidP="00CB2CB1">
      <w:pPr>
        <w:numPr>
          <w:ilvl w:val="0"/>
          <w:numId w:val="31"/>
        </w:numPr>
        <w:rPr>
          <w:rFonts w:cs="Times New Roman"/>
        </w:rPr>
      </w:pPr>
      <w:r w:rsidRPr="00CB2CB1">
        <w:rPr>
          <w:rFonts w:cs="Times New Roman"/>
        </w:rPr>
        <w:t>Design/Consulting Engineers are critical influencers for the uptake of storage. As more research is being done in TES, with better demonstration of improved results and performance, people will be more likely to adapt the up-to-date technology with more reliability.</w:t>
      </w:r>
    </w:p>
    <w:p w14:paraId="19549393" w14:textId="76DAC149" w:rsidR="00C56C59" w:rsidRDefault="00CB2CB1" w:rsidP="00C56C59">
      <w:pPr>
        <w:pStyle w:val="ListParagraph"/>
        <w:keepNext/>
        <w:numPr>
          <w:ilvl w:val="0"/>
          <w:numId w:val="31"/>
        </w:numPr>
        <w:rPr>
          <w:rFonts w:cs="Times New Roman"/>
          <w:noProof/>
        </w:rPr>
      </w:pPr>
      <w:r w:rsidRPr="00C56C59">
        <w:rPr>
          <w:rFonts w:eastAsia="Times New Roman" w:cs="Times New Roman"/>
          <w:sz w:val="24"/>
          <w:szCs w:val="24"/>
        </w:rPr>
        <w:t>Value proposition is relatively higher for customers with extended periods of off-peak energy load. Residential customers living in relatively extreme weather</w:t>
      </w:r>
      <w:r w:rsidR="00C56C59">
        <w:rPr>
          <w:rFonts w:eastAsia="Times New Roman" w:cs="Times New Roman"/>
          <w:sz w:val="24"/>
          <w:szCs w:val="24"/>
        </w:rPr>
        <w:t xml:space="preserve"> </w:t>
      </w:r>
      <w:r w:rsidRPr="00C56C59">
        <w:rPr>
          <w:rFonts w:eastAsia="Times New Roman" w:cs="Times New Roman"/>
          <w:sz w:val="24"/>
          <w:szCs w:val="24"/>
        </w:rPr>
        <w:t>locations tend to</w:t>
      </w:r>
      <w:r w:rsidRPr="00C56C59">
        <w:rPr>
          <w:rFonts w:cs="Times New Roman"/>
        </w:rPr>
        <w:t xml:space="preserve"> benefit more from TES</w:t>
      </w:r>
      <w:r w:rsidR="0088475A" w:rsidRPr="00C56C59">
        <w:rPr>
          <w:rFonts w:cs="Times New Roman"/>
        </w:rPr>
        <w:t>.</w:t>
      </w:r>
      <w:r w:rsidR="00C56C59" w:rsidRPr="00C56C59">
        <w:rPr>
          <w:rFonts w:cs="Times New Roman"/>
          <w:noProof/>
        </w:rPr>
        <w:t xml:space="preserve"> </w:t>
      </w:r>
    </w:p>
    <w:p w14:paraId="21590F43" w14:textId="77777777" w:rsidR="00C56C59" w:rsidRDefault="00C56C59">
      <w:pPr>
        <w:spacing w:before="0" w:line="240" w:lineRule="auto"/>
        <w:ind w:firstLine="0"/>
        <w:jc w:val="left"/>
        <w:rPr>
          <w:rFonts w:eastAsiaTheme="minorHAnsi" w:cs="Times New Roman"/>
          <w:noProof/>
          <w:sz w:val="22"/>
          <w:szCs w:val="22"/>
        </w:rPr>
      </w:pPr>
      <w:r>
        <w:rPr>
          <w:rFonts w:cs="Times New Roman"/>
          <w:noProof/>
        </w:rPr>
        <w:br w:type="page"/>
      </w:r>
    </w:p>
    <w:p w14:paraId="4BEE3C6B" w14:textId="5CAE2F4A" w:rsidR="00C56C59" w:rsidRDefault="00C56C59" w:rsidP="00C56C59">
      <w:pPr>
        <w:pStyle w:val="ListParagraph"/>
        <w:keepNext/>
        <w:ind w:firstLine="0"/>
      </w:pPr>
      <w:r w:rsidRPr="00812101">
        <w:rPr>
          <w:noProof/>
        </w:rPr>
        <w:drawing>
          <wp:inline distT="0" distB="0" distL="0" distR="0" wp14:anchorId="5E9A2A65" wp14:editId="5B59504A">
            <wp:extent cx="5029200" cy="3055140"/>
            <wp:effectExtent l="0" t="0" r="0" b="5715"/>
            <wp:docPr id="1042" name="Picture 1042" descr="A diagram of a business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 name="Picture 1042" descr="A diagram of a business flowchart&#10;&#10;Description automatically generated"/>
                    <pic:cNvPicPr/>
                  </pic:nvPicPr>
                  <pic:blipFill rotWithShape="1">
                    <a:blip r:embed="rId126"/>
                    <a:srcRect b="5091"/>
                    <a:stretch/>
                  </pic:blipFill>
                  <pic:spPr bwMode="auto">
                    <a:xfrm>
                      <a:off x="0" y="0"/>
                      <a:ext cx="5029200" cy="3055140"/>
                    </a:xfrm>
                    <a:prstGeom prst="rect">
                      <a:avLst/>
                    </a:prstGeom>
                    <a:ln>
                      <a:noFill/>
                    </a:ln>
                    <a:extLst>
                      <a:ext uri="{53640926-AAD7-44D8-BBD7-CCE9431645EC}">
                        <a14:shadowObscured xmlns:a14="http://schemas.microsoft.com/office/drawing/2010/main"/>
                      </a:ext>
                    </a:extLst>
                  </pic:spPr>
                </pic:pic>
              </a:graphicData>
            </a:graphic>
          </wp:inline>
        </w:drawing>
      </w:r>
    </w:p>
    <w:p w14:paraId="0D90ACEA" w14:textId="3F1853C6" w:rsidR="00C56C59" w:rsidRDefault="00C56C59" w:rsidP="00C56C59">
      <w:pPr>
        <w:pStyle w:val="Caption"/>
        <w:jc w:val="center"/>
      </w:pPr>
      <w:bookmarkStart w:id="340" w:name="_Toc140403961"/>
      <w:r>
        <w:t xml:space="preserve">Figure </w:t>
      </w:r>
      <w:fldSimple w:instr=" SEQ Figure \* ARABIC ">
        <w:r w:rsidR="00A5526B">
          <w:rPr>
            <w:noProof/>
          </w:rPr>
          <w:t>95</w:t>
        </w:r>
      </w:fldSimple>
      <w:r>
        <w:t>: Broader Impacts of research.</w:t>
      </w:r>
      <w:bookmarkEnd w:id="340"/>
    </w:p>
    <w:p w14:paraId="2D982D24" w14:textId="08667B08" w:rsidR="00CB2CB1" w:rsidRPr="00CB2CB1" w:rsidRDefault="00C56C59" w:rsidP="00C56C59">
      <w:pPr>
        <w:spacing w:before="0" w:line="240" w:lineRule="auto"/>
        <w:ind w:firstLine="0"/>
        <w:jc w:val="left"/>
        <w:rPr>
          <w:rFonts w:cs="Times New Roman"/>
        </w:rPr>
      </w:pPr>
      <w:r>
        <w:rPr>
          <w:rFonts w:cs="Times New Roman"/>
        </w:rPr>
        <w:br w:type="page"/>
      </w:r>
    </w:p>
    <w:p w14:paraId="79F61AB3" w14:textId="15F3D5CD" w:rsidR="00CB2CB1" w:rsidRPr="00CB2CB1" w:rsidRDefault="00CB2CB1" w:rsidP="00CB2CB1">
      <w:pPr>
        <w:numPr>
          <w:ilvl w:val="0"/>
          <w:numId w:val="31"/>
        </w:numPr>
        <w:rPr>
          <w:rFonts w:cs="Times New Roman"/>
        </w:rPr>
      </w:pPr>
      <w:r w:rsidRPr="00CB2CB1">
        <w:rPr>
          <w:rFonts w:cs="Times New Roman"/>
        </w:rPr>
        <w:t>Daily demand and cost benefits are predominant in mixed humid and dry climates due to large fluctuations in diurnal temperature</w:t>
      </w:r>
      <w:r w:rsidR="0088475A">
        <w:rPr>
          <w:rFonts w:cs="Times New Roman"/>
        </w:rPr>
        <w:t>.</w:t>
      </w:r>
    </w:p>
    <w:p w14:paraId="716B4E71" w14:textId="465DD32B" w:rsidR="00CB2CB1" w:rsidRPr="00CB2CB1" w:rsidRDefault="00CB2CB1" w:rsidP="00CB2CB1">
      <w:pPr>
        <w:numPr>
          <w:ilvl w:val="0"/>
          <w:numId w:val="31"/>
        </w:numPr>
        <w:rPr>
          <w:rFonts w:cs="Times New Roman"/>
        </w:rPr>
      </w:pPr>
      <w:r w:rsidRPr="00CB2CB1">
        <w:rPr>
          <w:rFonts w:cs="Times New Roman"/>
        </w:rPr>
        <w:t>Regions with high energy demands and higher electricity prices can offer higher cost savings by taking advantage of time-based utility tariff</w:t>
      </w:r>
      <w:r w:rsidR="0088475A">
        <w:rPr>
          <w:rFonts w:cs="Times New Roman"/>
        </w:rPr>
        <w:t>.</w:t>
      </w:r>
    </w:p>
    <w:p w14:paraId="3CAD4A59" w14:textId="77777777" w:rsidR="00CB2CB1" w:rsidRPr="00CB2CB1" w:rsidRDefault="00CB2CB1" w:rsidP="00CB2CB1">
      <w:pPr>
        <w:numPr>
          <w:ilvl w:val="0"/>
          <w:numId w:val="31"/>
        </w:numPr>
        <w:rPr>
          <w:rFonts w:cs="Times New Roman"/>
        </w:rPr>
      </w:pPr>
      <w:r w:rsidRPr="00CB2CB1">
        <w:rPr>
          <w:rFonts w:cs="Times New Roman"/>
        </w:rPr>
        <w:t>Consumers are more inclined towards TES in regions where utility providers offer rebates on investments and generation compensations.</w:t>
      </w:r>
    </w:p>
    <w:p w14:paraId="5F0A1790" w14:textId="77777777" w:rsidR="00CB2CB1" w:rsidRPr="00CB2CB1" w:rsidRDefault="00CB2CB1" w:rsidP="00CB2CB1">
      <w:pPr>
        <w:numPr>
          <w:ilvl w:val="0"/>
          <w:numId w:val="31"/>
        </w:numPr>
        <w:rPr>
          <w:rFonts w:cs="Times New Roman"/>
        </w:rPr>
      </w:pPr>
      <w:r w:rsidRPr="00CB2CB1">
        <w:rPr>
          <w:rFonts w:cs="Times New Roman"/>
        </w:rPr>
        <w:t>Payback period and system size are important factors to consider. Some of the TES systems are costly to install and require complex programing for controls.</w:t>
      </w:r>
    </w:p>
    <w:p w14:paraId="2136EA59" w14:textId="7D0C7048" w:rsidR="00CB2CB1" w:rsidRPr="00CB2CB1" w:rsidRDefault="00CB2CB1" w:rsidP="00CB2CB1">
      <w:pPr>
        <w:numPr>
          <w:ilvl w:val="0"/>
          <w:numId w:val="31"/>
        </w:numPr>
        <w:rPr>
          <w:rFonts w:cs="Times New Roman"/>
        </w:rPr>
      </w:pPr>
      <w:r w:rsidRPr="00CB2CB1">
        <w:rPr>
          <w:rFonts w:cs="Times New Roman"/>
        </w:rPr>
        <w:t>TES configurations and materials’ temperature can be optimized to maximize savings</w:t>
      </w:r>
      <w:r>
        <w:rPr>
          <w:rFonts w:cs="Times New Roman"/>
        </w:rPr>
        <w:t>.</w:t>
      </w:r>
    </w:p>
    <w:p w14:paraId="2E385B34" w14:textId="57E5DE5F" w:rsidR="00CB2CB1" w:rsidRPr="00CB2CB1" w:rsidRDefault="00CB2CB1" w:rsidP="00CB2CB1">
      <w:pPr>
        <w:numPr>
          <w:ilvl w:val="0"/>
          <w:numId w:val="31"/>
        </w:numPr>
        <w:rPr>
          <w:rFonts w:cs="Times New Roman"/>
        </w:rPr>
      </w:pPr>
      <w:r w:rsidRPr="00CB2CB1">
        <w:rPr>
          <w:rFonts w:cs="Times New Roman"/>
        </w:rPr>
        <w:t>Many customers may consider other cooling options in the near future as the phase out of ozone-depleting refrigerants intensifies. A grid emissions analysis can play a role for better environmental policies implementation.</w:t>
      </w:r>
    </w:p>
    <w:p w14:paraId="0C51C3C1" w14:textId="5821C58C" w:rsidR="002D4BB4" w:rsidRDefault="00CB2CB1" w:rsidP="002D4BB4">
      <w:pPr>
        <w:rPr>
          <w:rFonts w:cs="Times New Roman"/>
        </w:rPr>
      </w:pPr>
      <w:r>
        <w:rPr>
          <w:rFonts w:cs="Times New Roman"/>
        </w:rPr>
        <w:t>Being a selected innovator in the 2022 cohort for</w:t>
      </w:r>
      <w:r w:rsidR="002D4BB4">
        <w:rPr>
          <w:rFonts w:cs="Times New Roman"/>
        </w:rPr>
        <w:t xml:space="preserve"> </w:t>
      </w:r>
      <w:r w:rsidR="002D4BB4" w:rsidRPr="00322E56">
        <w:rPr>
          <w:rFonts w:cs="Times New Roman"/>
        </w:rPr>
        <w:t>IMPEL (Incubating Market-Propelled Entrepreneurial-Mindset at the Labs and Beyond) program by Lawrence Berkeley National Laboratory</w:t>
      </w:r>
      <w:r>
        <w:rPr>
          <w:rFonts w:cs="Times New Roman"/>
        </w:rPr>
        <w:t xml:space="preserve"> (Figure 96), </w:t>
      </w:r>
      <w:r w:rsidRPr="00322E56">
        <w:rPr>
          <w:rFonts w:cs="Times New Roman"/>
        </w:rPr>
        <w:t>business model was developed for this work</w:t>
      </w:r>
      <w:r>
        <w:rPr>
          <w:rFonts w:cs="Times New Roman"/>
        </w:rPr>
        <w:t xml:space="preserve">. A market adaptation plan was also developed by </w:t>
      </w:r>
      <w:r w:rsidRPr="00322E56">
        <w:rPr>
          <w:rFonts w:cs="Times New Roman"/>
        </w:rPr>
        <w:t>participating</w:t>
      </w:r>
      <w:r>
        <w:rPr>
          <w:rFonts w:cs="Times New Roman"/>
        </w:rPr>
        <w:t xml:space="preserve"> </w:t>
      </w:r>
      <w:r w:rsidRPr="00322E56">
        <w:rPr>
          <w:rFonts w:cs="Times New Roman"/>
        </w:rPr>
        <w:t>in DOE Jump into STEM program by Oak Ridge National Laboratory</w:t>
      </w:r>
      <w:r>
        <w:rPr>
          <w:rFonts w:cs="Times New Roman"/>
        </w:rPr>
        <w:t xml:space="preserve"> (Figure 97)</w:t>
      </w:r>
      <w:r w:rsidR="002D4BB4" w:rsidRPr="00322E56">
        <w:rPr>
          <w:rFonts w:cs="Times New Roman"/>
        </w:rPr>
        <w:t>.</w:t>
      </w:r>
      <w:r w:rsidR="002D4BB4">
        <w:rPr>
          <w:rFonts w:cs="Times New Roman"/>
        </w:rPr>
        <w:t xml:space="preserve"> </w:t>
      </w:r>
      <w:r w:rsidR="002D4BB4" w:rsidRPr="00322E56">
        <w:rPr>
          <w:rFonts w:cs="Times New Roman"/>
        </w:rPr>
        <w:t xml:space="preserve">Both programs concluded that commercializing such systems will benefit both consumers and utilities. </w:t>
      </w:r>
    </w:p>
    <w:p w14:paraId="6CAF889B" w14:textId="77777777" w:rsidR="002D4BB4" w:rsidRDefault="002D4BB4">
      <w:pPr>
        <w:spacing w:before="0" w:line="240" w:lineRule="auto"/>
        <w:ind w:firstLine="0"/>
        <w:jc w:val="left"/>
        <w:rPr>
          <w:rFonts w:cs="Times New Roman"/>
          <w:noProof/>
        </w:rPr>
      </w:pPr>
      <w:r>
        <w:rPr>
          <w:rFonts w:cs="Times New Roman"/>
          <w:noProof/>
        </w:rPr>
        <w:br w:type="page"/>
      </w:r>
    </w:p>
    <w:p w14:paraId="0C792BA0" w14:textId="77777777" w:rsidR="002D4BB4" w:rsidRPr="002D4BB4" w:rsidRDefault="002D4BB4" w:rsidP="002D4BB4"/>
    <w:p w14:paraId="6E8D2D9A" w14:textId="77777777" w:rsidR="00CB2CB1" w:rsidRDefault="002D4BB4" w:rsidP="00CB2CB1">
      <w:pPr>
        <w:keepNext/>
      </w:pPr>
      <w:r>
        <w:rPr>
          <w:noProof/>
        </w:rPr>
        <w:drawing>
          <wp:inline distT="0" distB="0" distL="0" distR="0" wp14:anchorId="54C299EC" wp14:editId="1D376BB4">
            <wp:extent cx="5486400" cy="2522855"/>
            <wp:effectExtent l="0" t="0" r="0" b="4445"/>
            <wp:docPr id="1044" name="Picture 1044" descr="Timeline&#10;&#10;Description automatically generated">
              <a:extLst xmlns:a="http://schemas.openxmlformats.org/drawingml/2006/main">
                <a:ext uri="{FF2B5EF4-FFF2-40B4-BE49-F238E27FC236}">
                  <a16:creationId xmlns:a16="http://schemas.microsoft.com/office/drawing/2014/main" id="{2CEADB89-3799-36C9-5856-C930C066AE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 name="Picture 1044" descr="Timeline&#10;&#10;Description automatically generated">
                      <a:extLst>
                        <a:ext uri="{FF2B5EF4-FFF2-40B4-BE49-F238E27FC236}">
                          <a16:creationId xmlns:a16="http://schemas.microsoft.com/office/drawing/2014/main" id="{2CEADB89-3799-36C9-5856-C930C066AE7D}"/>
                        </a:ext>
                      </a:extLst>
                    </pic:cNvPr>
                    <pic:cNvPicPr>
                      <a:picLocks noChangeAspect="1"/>
                    </pic:cNvPicPr>
                  </pic:nvPicPr>
                  <pic:blipFill>
                    <a:blip r:embed="rId127"/>
                    <a:stretch>
                      <a:fillRect/>
                    </a:stretch>
                  </pic:blipFill>
                  <pic:spPr>
                    <a:xfrm>
                      <a:off x="0" y="0"/>
                      <a:ext cx="5486400" cy="2522855"/>
                    </a:xfrm>
                    <a:prstGeom prst="rect">
                      <a:avLst/>
                    </a:prstGeom>
                  </pic:spPr>
                </pic:pic>
              </a:graphicData>
            </a:graphic>
          </wp:inline>
        </w:drawing>
      </w:r>
    </w:p>
    <w:p w14:paraId="1DEB15FF" w14:textId="20326532" w:rsidR="00B17E5F" w:rsidRDefault="00CB2CB1" w:rsidP="00CB2CB1">
      <w:pPr>
        <w:pStyle w:val="Caption"/>
        <w:jc w:val="center"/>
        <w:rPr>
          <w:rFonts w:cs="Times New Roman"/>
        </w:rPr>
      </w:pPr>
      <w:bookmarkStart w:id="341" w:name="_Toc140403962"/>
      <w:r>
        <w:t xml:space="preserve">Figure </w:t>
      </w:r>
      <w:fldSimple w:instr=" SEQ Figure \* ARABIC ">
        <w:r w:rsidR="00A5526B">
          <w:rPr>
            <w:noProof/>
          </w:rPr>
          <w:t>96</w:t>
        </w:r>
      </w:fldSimple>
      <w:r>
        <w:t>: Business model development</w:t>
      </w:r>
      <w:r w:rsidR="0088475A">
        <w:t>.</w:t>
      </w:r>
      <w:bookmarkEnd w:id="341"/>
    </w:p>
    <w:p w14:paraId="25236D9E" w14:textId="77777777" w:rsidR="002D4BB4" w:rsidRDefault="002D4BB4" w:rsidP="002D4BB4">
      <w:pPr>
        <w:ind w:firstLine="0"/>
        <w:jc w:val="center"/>
        <w:rPr>
          <w:rFonts w:cs="Times New Roman"/>
        </w:rPr>
      </w:pPr>
    </w:p>
    <w:p w14:paraId="4AE82ADC" w14:textId="77777777" w:rsidR="00CB2CB1" w:rsidRDefault="002D4BB4" w:rsidP="00CB2CB1">
      <w:pPr>
        <w:keepNext/>
        <w:ind w:firstLine="0"/>
        <w:jc w:val="center"/>
      </w:pPr>
      <w:r w:rsidRPr="00812101">
        <w:rPr>
          <w:rFonts w:cs="Times New Roman"/>
          <w:noProof/>
        </w:rPr>
        <w:drawing>
          <wp:inline distT="0" distB="0" distL="0" distR="0" wp14:anchorId="65BD0AE3" wp14:editId="55608644">
            <wp:extent cx="5486400" cy="4914265"/>
            <wp:effectExtent l="0" t="0" r="0" b="635"/>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8" cstate="print">
                      <a:extLst>
                        <a:ext uri="{28A0092B-C50C-407E-A947-70E740481C1C}">
                          <a14:useLocalDpi xmlns:a14="http://schemas.microsoft.com/office/drawing/2010/main" val="0"/>
                        </a:ext>
                      </a:extLst>
                    </a:blip>
                    <a:srcRect l="6539" r="12307" b="2410"/>
                    <a:stretch/>
                  </pic:blipFill>
                  <pic:spPr bwMode="auto">
                    <a:xfrm>
                      <a:off x="0" y="0"/>
                      <a:ext cx="5486400" cy="4914265"/>
                    </a:xfrm>
                    <a:prstGeom prst="rect">
                      <a:avLst/>
                    </a:prstGeom>
                    <a:noFill/>
                    <a:ln>
                      <a:noFill/>
                    </a:ln>
                    <a:extLst>
                      <a:ext uri="{53640926-AAD7-44D8-BBD7-CCE9431645EC}">
                        <a14:shadowObscured xmlns:a14="http://schemas.microsoft.com/office/drawing/2010/main"/>
                      </a:ext>
                    </a:extLst>
                  </pic:spPr>
                </pic:pic>
              </a:graphicData>
            </a:graphic>
          </wp:inline>
        </w:drawing>
      </w:r>
    </w:p>
    <w:p w14:paraId="7677F1D0" w14:textId="4B2D6A04" w:rsidR="002D4BB4" w:rsidRPr="00322E56" w:rsidRDefault="00CB2CB1" w:rsidP="00CB2CB1">
      <w:pPr>
        <w:pStyle w:val="Caption"/>
        <w:jc w:val="center"/>
        <w:rPr>
          <w:rFonts w:cs="Times New Roman"/>
        </w:rPr>
      </w:pPr>
      <w:bookmarkStart w:id="342" w:name="_Toc140403963"/>
      <w:r>
        <w:t xml:space="preserve">Figure </w:t>
      </w:r>
      <w:fldSimple w:instr=" SEQ Figure \* ARABIC ">
        <w:r w:rsidR="00A5526B">
          <w:rPr>
            <w:noProof/>
          </w:rPr>
          <w:t>97</w:t>
        </w:r>
      </w:fldSimple>
      <w:r>
        <w:t>: Market adaptation framework</w:t>
      </w:r>
      <w:r w:rsidR="0088475A">
        <w:t>.</w:t>
      </w:r>
      <w:bookmarkEnd w:id="342"/>
    </w:p>
    <w:p w14:paraId="4C9F79B2" w14:textId="1B1C51A3" w:rsidR="002D4BB4" w:rsidRDefault="002D4BB4">
      <w:pPr>
        <w:spacing w:before="0" w:line="240" w:lineRule="auto"/>
        <w:ind w:firstLine="0"/>
        <w:jc w:val="left"/>
        <w:rPr>
          <w:rFonts w:cs="Times New Roman"/>
        </w:rPr>
      </w:pPr>
      <w:r>
        <w:rPr>
          <w:rFonts w:cs="Times New Roman"/>
        </w:rPr>
        <w:br w:type="page"/>
      </w:r>
    </w:p>
    <w:p w14:paraId="1D0C7E81" w14:textId="77777777" w:rsidR="00B17E5F" w:rsidRPr="00322E56" w:rsidRDefault="00B17E5F" w:rsidP="002D4BB4">
      <w:pPr>
        <w:pStyle w:val="Heading2"/>
        <w:ind w:firstLine="0"/>
        <w:rPr>
          <w:rFonts w:cs="Times New Roman"/>
        </w:rPr>
      </w:pPr>
      <w:bookmarkStart w:id="343" w:name="_Toc140399926"/>
      <w:r w:rsidRPr="00322E56">
        <w:rPr>
          <w:rFonts w:cs="Times New Roman"/>
        </w:rPr>
        <w:t>Future Work</w:t>
      </w:r>
      <w:bookmarkEnd w:id="343"/>
    </w:p>
    <w:p w14:paraId="035DD05E" w14:textId="77777777" w:rsidR="00B17E5F" w:rsidRPr="00322E56" w:rsidRDefault="00B17E5F" w:rsidP="00ED0697">
      <w:pPr>
        <w:rPr>
          <w:rFonts w:cs="Times New Roman"/>
          <w:noProof/>
        </w:rPr>
      </w:pPr>
      <w:r w:rsidRPr="00322E56">
        <w:rPr>
          <w:rFonts w:cs="Times New Roman"/>
        </w:rPr>
        <w:t xml:space="preserve">HP-TES are gaining popularity among researchers; however, much work remains to be investigated. </w:t>
      </w:r>
      <w:r w:rsidRPr="00322E56">
        <w:rPr>
          <w:rFonts w:cs="Times New Roman"/>
          <w:noProof/>
        </w:rPr>
        <w:t>HP-TES technology with greater flexibility presents research opportunities in materials, configurations, and controls: novel TES materials can be developed to increase energy storage density, many configurations can be explored to reduce installation complexities and TES footprint, and TES operation can be optimized through controls for demand response in grid-interactive buildings to offer greater energy and demand reduction potential.</w:t>
      </w:r>
    </w:p>
    <w:p w14:paraId="410F4DC9" w14:textId="77777777" w:rsidR="00B17E5F" w:rsidRPr="00322E56" w:rsidRDefault="00B17E5F" w:rsidP="005251F3">
      <w:pPr>
        <w:rPr>
          <w:rFonts w:cs="Times New Roman"/>
        </w:rPr>
      </w:pPr>
      <w:r w:rsidRPr="00322E56">
        <w:rPr>
          <w:rFonts w:cs="Times New Roman"/>
        </w:rPr>
        <w:t>Retrofit technologies are needed for a rapid transition to HP-TES. Integrating TES with HP can be challenging from design and control optimization perspective. TES with suitable properties is needed to accommodate the building’s thermal load and is packaged in a suitable HX for heat transfer optimization. The PCT of the material and storage capacity needs to be optimized for maximum energy, cost, and DR benefits. Furthermore, control strategies need to be developed for smart integration with the grid.</w:t>
      </w:r>
    </w:p>
    <w:p w14:paraId="0327F53C" w14:textId="77777777" w:rsidR="00B17E5F" w:rsidRPr="00322E56" w:rsidRDefault="00B17E5F" w:rsidP="005251F3">
      <w:pPr>
        <w:rPr>
          <w:rFonts w:cs="Times New Roman"/>
        </w:rPr>
      </w:pPr>
      <w:r w:rsidRPr="00322E56">
        <w:rPr>
          <w:rFonts w:cs="Times New Roman"/>
        </w:rPr>
        <w:t xml:space="preserve">This work evaluated a novel configuration to use TES indirectly for space conditioning in residential buildings. There are many possible configurations to explore and analyze, as well as the controls need to be more sophisticated. </w:t>
      </w:r>
    </w:p>
    <w:p w14:paraId="2EF7B0C7" w14:textId="77777777" w:rsidR="00B17E5F" w:rsidRPr="00322E56" w:rsidRDefault="00B17E5F" w:rsidP="005251F3">
      <w:pPr>
        <w:rPr>
          <w:rFonts w:cs="Times New Roman"/>
        </w:rPr>
      </w:pPr>
      <w:r w:rsidRPr="00322E56">
        <w:rPr>
          <w:rFonts w:cs="Times New Roman"/>
        </w:rPr>
        <w:t xml:space="preserve">This work numerically investigated only rule based control strategies for single family residential buildings using air source HP. More detailed simulations are needed that evaluate different building types, and different HP with variable speed compressor.  </w:t>
      </w:r>
    </w:p>
    <w:p w14:paraId="6F457BB0" w14:textId="77777777" w:rsidR="00B17E5F" w:rsidRPr="00322E56" w:rsidRDefault="00B17E5F" w:rsidP="005251F3">
      <w:pPr>
        <w:rPr>
          <w:rFonts w:cs="Times New Roman"/>
        </w:rPr>
      </w:pPr>
      <w:r w:rsidRPr="00322E56">
        <w:rPr>
          <w:rFonts w:cs="Times New Roman"/>
        </w:rPr>
        <w:t>A salt hydrate PCM with 20</w:t>
      </w:r>
      <w:r w:rsidRPr="00322E56">
        <w:rPr>
          <w:rFonts w:cs="Times New Roman"/>
        </w:rPr>
        <w:sym w:font="Symbol" w:char="F0B0"/>
      </w:r>
      <w:r w:rsidRPr="00322E56">
        <w:rPr>
          <w:rFonts w:cs="Times New Roman"/>
        </w:rPr>
        <w:t>C phase change temperature has been used in this study and the experiments are performed for single climate zone. For future work, PCM model and HX can be improved.</w:t>
      </w:r>
    </w:p>
    <w:p w14:paraId="3D789B36" w14:textId="1ACE4C94" w:rsidR="00B17E5F" w:rsidRPr="00322E56" w:rsidRDefault="00B17E5F" w:rsidP="002D4BB4">
      <w:pPr>
        <w:rPr>
          <w:rFonts w:cs="Times New Roman"/>
        </w:rPr>
      </w:pPr>
      <w:r w:rsidRPr="00322E56">
        <w:rPr>
          <w:rFonts w:cs="Times New Roman"/>
        </w:rPr>
        <w:t>More comprehensive review papers are needed for HP-TES to compare controls, HP, and building types in different climate zones.</w:t>
      </w:r>
    </w:p>
    <w:p w14:paraId="56E72CE6" w14:textId="77777777" w:rsidR="00B17E5F" w:rsidRPr="00322E56" w:rsidRDefault="00B17E5F">
      <w:pPr>
        <w:spacing w:line="240" w:lineRule="auto"/>
        <w:rPr>
          <w:rFonts w:cs="Times New Roman"/>
          <w:b/>
          <w:bCs/>
          <w:iCs/>
          <w:szCs w:val="28"/>
        </w:rPr>
      </w:pPr>
      <w:r w:rsidRPr="00322E56">
        <w:rPr>
          <w:rFonts w:cs="Times New Roman"/>
        </w:rPr>
        <w:br w:type="page"/>
      </w:r>
    </w:p>
    <w:p w14:paraId="7DB25BED" w14:textId="77777777" w:rsidR="00B17E5F" w:rsidRPr="00322E56" w:rsidRDefault="00B17E5F" w:rsidP="00847985">
      <w:pPr>
        <w:pStyle w:val="Heading1"/>
        <w:rPr>
          <w:rFonts w:cs="Times New Roman"/>
        </w:rPr>
      </w:pPr>
      <w:bookmarkStart w:id="344" w:name="_Toc140399927"/>
      <w:r w:rsidRPr="00322E56">
        <w:rPr>
          <w:rFonts w:cs="Times New Roman"/>
        </w:rPr>
        <w:t>R</w:t>
      </w:r>
      <w:bookmarkEnd w:id="337"/>
      <w:r w:rsidRPr="00322E56">
        <w:rPr>
          <w:rFonts w:cs="Times New Roman"/>
        </w:rPr>
        <w:t>EFERENCES</w:t>
      </w:r>
      <w:bookmarkEnd w:id="344"/>
    </w:p>
    <w:sdt>
      <w:sdtPr>
        <w:rPr>
          <w:rFonts w:cs="Times New Roman"/>
        </w:rPr>
        <w:tag w:val="MENDELEY_BIBLIOGRAPHY"/>
        <w:id w:val="-394195163"/>
        <w:placeholder>
          <w:docPart w:val="DefaultPlaceholder_-1854013440"/>
        </w:placeholder>
      </w:sdtPr>
      <w:sdtContent>
        <w:p w14:paraId="7882EF03" w14:textId="77777777" w:rsidR="001E7ECF" w:rsidRDefault="001E7ECF">
          <w:pPr>
            <w:autoSpaceDE w:val="0"/>
            <w:autoSpaceDN w:val="0"/>
            <w:ind w:hanging="640"/>
            <w:divId w:val="23527517"/>
          </w:pPr>
          <w:r>
            <w:t>[1]</w:t>
          </w:r>
          <w:r>
            <w:tab/>
            <w:t>U.S. Energy Information Administration - EIA, “Annual Energy Outlook 2020,” 2020. Accessed: Apr. 19, 2020. [Online]. Available: https://www.eia.gov/outlooks/aeo/</w:t>
          </w:r>
        </w:p>
        <w:p w14:paraId="521835BB" w14:textId="77777777" w:rsidR="001E7ECF" w:rsidRDefault="001E7ECF">
          <w:pPr>
            <w:autoSpaceDE w:val="0"/>
            <w:autoSpaceDN w:val="0"/>
            <w:ind w:hanging="640"/>
            <w:divId w:val="1834449148"/>
          </w:pPr>
          <w:r>
            <w:t>[2]</w:t>
          </w:r>
          <w:r>
            <w:tab/>
            <w:t xml:space="preserve">A. Odukomaiya </w:t>
          </w:r>
          <w:r>
            <w:rPr>
              <w:i/>
              <w:iCs/>
            </w:rPr>
            <w:t>et al.</w:t>
          </w:r>
          <w:r>
            <w:t xml:space="preserve">, “Addressing energy storage needs at lower cost via on-site thermal energy storage in buildings,” </w:t>
          </w:r>
          <w:r>
            <w:rPr>
              <w:i/>
              <w:iCs/>
            </w:rPr>
            <w:t>Energy Environ Sci</w:t>
          </w:r>
          <w:r>
            <w:t>, vol. 14, no. 10, pp. 5315–5329, Oct. 2021, doi: 10.1039/D1EE01992A.</w:t>
          </w:r>
        </w:p>
        <w:p w14:paraId="05D239A7" w14:textId="77777777" w:rsidR="001E7ECF" w:rsidRDefault="001E7ECF">
          <w:pPr>
            <w:autoSpaceDE w:val="0"/>
            <w:autoSpaceDN w:val="0"/>
            <w:ind w:hanging="640"/>
            <w:divId w:val="150607311"/>
          </w:pPr>
          <w:r>
            <w:t>[3]</w:t>
          </w:r>
          <w:r>
            <w:tab/>
            <w:t xml:space="preserve">J. Dong, B. Shen, J. Munk, K. R. Gluesenkamp, T. Laclair, and T. Kuruganti, “Novel PCM Integration with Electrical Heat Pump for Demand Response,” in </w:t>
          </w:r>
          <w:r>
            <w:rPr>
              <w:i/>
              <w:iCs/>
            </w:rPr>
            <w:t>IEEE Power and Energy Society General Meeting</w:t>
          </w:r>
          <w:r>
            <w:t>, 2019. doi: 10.1109/PESGM40551.2019.8973936.</w:t>
          </w:r>
        </w:p>
        <w:p w14:paraId="6CFA72AA" w14:textId="77777777" w:rsidR="001E7ECF" w:rsidRDefault="001E7ECF">
          <w:pPr>
            <w:autoSpaceDE w:val="0"/>
            <w:autoSpaceDN w:val="0"/>
            <w:ind w:hanging="640"/>
            <w:divId w:val="964821171"/>
          </w:pPr>
          <w:r>
            <w:t>[4]</w:t>
          </w:r>
          <w:r>
            <w:tab/>
            <w:t xml:space="preserve">B. Cui, J. Munk, R. Jackson, D. Fugate, and M. Starke, “Building thermal model development of typical house in U.S. for virtual storage control of aggregated building loads based on limited available information,” in </w:t>
          </w:r>
          <w:r>
            <w:rPr>
              <w:i/>
              <w:iCs/>
            </w:rPr>
            <w:t>30th International Conference on Efficiency, Cost, Optimization, Simulation and Environmental Impact of Energy Systems, ECOS 2017</w:t>
          </w:r>
          <w:r>
            <w:t>, 2017.</w:t>
          </w:r>
        </w:p>
        <w:p w14:paraId="5F0DCA09" w14:textId="77777777" w:rsidR="001E7ECF" w:rsidRDefault="001E7ECF">
          <w:pPr>
            <w:autoSpaceDE w:val="0"/>
            <w:autoSpaceDN w:val="0"/>
            <w:ind w:hanging="640"/>
            <w:divId w:val="1529564079"/>
          </w:pPr>
          <w:r>
            <w:t>[5]</w:t>
          </w:r>
          <w:r>
            <w:tab/>
            <w:t xml:space="preserve">A. Sepehri, “Introduction and Literature Review of Building Components with Passive Thermal Energy Storage Systems,” </w:t>
          </w:r>
          <w:r>
            <w:rPr>
              <w:i/>
              <w:iCs/>
            </w:rPr>
            <w:t>Green Energy and Technology</w:t>
          </w:r>
          <w:r>
            <w:t>, pp. 1–18, 2022, doi: 10.1007/978-3-031-08732-5_1/FIGURES/11.</w:t>
          </w:r>
        </w:p>
        <w:p w14:paraId="2F0C92DD" w14:textId="77777777" w:rsidR="001E7ECF" w:rsidRDefault="001E7ECF">
          <w:pPr>
            <w:autoSpaceDE w:val="0"/>
            <w:autoSpaceDN w:val="0"/>
            <w:ind w:hanging="640"/>
            <w:divId w:val="407190764"/>
          </w:pPr>
          <w:r>
            <w:t>[6]</w:t>
          </w:r>
          <w:r>
            <w:tab/>
            <w:t xml:space="preserve">A. Behzadi, S. Holmberg, C. Duwig, F. Haghighat, R. Ooka, and S. Sadrizadeh, “Smart design and control of thermal energy storage in low-temperature heating and high-temperature cooling systems: A comprehensive review,” </w:t>
          </w:r>
          <w:r>
            <w:rPr>
              <w:i/>
              <w:iCs/>
            </w:rPr>
            <w:t>Renewable and Sustainable Energy Reviews</w:t>
          </w:r>
          <w:r>
            <w:t>, vol. 166, p. 112625, Sep. 2022, doi: 10.1016/J.RSER.2022.112625.</w:t>
          </w:r>
        </w:p>
        <w:p w14:paraId="106AE8BA" w14:textId="77777777" w:rsidR="001E7ECF" w:rsidRDefault="001E7ECF">
          <w:pPr>
            <w:autoSpaceDE w:val="0"/>
            <w:autoSpaceDN w:val="0"/>
            <w:ind w:hanging="640"/>
            <w:divId w:val="1352418768"/>
          </w:pPr>
          <w:r>
            <w:t>[7]</w:t>
          </w:r>
          <w:r>
            <w:tab/>
            <w:t xml:space="preserve">S. Chavan, R. Rudrapati, and S. Manickam, “A comprehensive review on current advances of thermal energy storage and its applications,” </w:t>
          </w:r>
          <w:r>
            <w:rPr>
              <w:i/>
              <w:iCs/>
            </w:rPr>
            <w:t>Alexandria Engineering Journal</w:t>
          </w:r>
          <w:r>
            <w:t>, vol. 61, no. 7, pp. 5455–5463, Jul. 2022, doi: 10.1016/J.AEJ.2021.11.003.</w:t>
          </w:r>
        </w:p>
        <w:p w14:paraId="706EE323" w14:textId="77777777" w:rsidR="001E7ECF" w:rsidRDefault="001E7ECF">
          <w:pPr>
            <w:autoSpaceDE w:val="0"/>
            <w:autoSpaceDN w:val="0"/>
            <w:ind w:hanging="640"/>
            <w:divId w:val="1412897525"/>
          </w:pPr>
          <w:r>
            <w:t>[8]</w:t>
          </w:r>
          <w:r>
            <w:tab/>
            <w:t xml:space="preserve">A. Kurdi, N. Almoatham, M. Mirza, T. Ballweg, and B. Alkahlan, “Potential Phase Change Materials in Building Wall Construction—A Review,” </w:t>
          </w:r>
          <w:r>
            <w:rPr>
              <w:i/>
              <w:iCs/>
            </w:rPr>
            <w:t>Materials 2021, Vol. 14, Page 5328</w:t>
          </w:r>
          <w:r>
            <w:t>, vol. 14, no. 18, p. 5328, Sep. 2021, doi: 10.3390/MA14185328.</w:t>
          </w:r>
        </w:p>
        <w:p w14:paraId="690C9F10" w14:textId="77777777" w:rsidR="001E7ECF" w:rsidRDefault="001E7ECF">
          <w:pPr>
            <w:autoSpaceDE w:val="0"/>
            <w:autoSpaceDN w:val="0"/>
            <w:ind w:hanging="640"/>
            <w:divId w:val="943997695"/>
          </w:pPr>
          <w:r>
            <w:t>[9]</w:t>
          </w:r>
          <w:r>
            <w:tab/>
            <w:t xml:space="preserve">T. Amberkar and P. Mahanwar, “Thermal energy management in buildings and constructions with phase change material-epoxy composites: a review,” </w:t>
          </w:r>
          <w:r>
            <w:rPr>
              <w:i/>
              <w:iCs/>
            </w:rPr>
            <w:t>https://doi.org/10.1080/15567036.2023.2171514</w:t>
          </w:r>
          <w:r>
            <w:t>, vol. 45, no. 1, pp. 727–761, Dec. 2023, doi: 10.1080/15567036.2023.2171514.</w:t>
          </w:r>
        </w:p>
        <w:p w14:paraId="243F11A4" w14:textId="77777777" w:rsidR="001E7ECF" w:rsidRDefault="001E7ECF">
          <w:pPr>
            <w:autoSpaceDE w:val="0"/>
            <w:autoSpaceDN w:val="0"/>
            <w:ind w:hanging="640"/>
            <w:divId w:val="1437794319"/>
          </w:pPr>
          <w:r>
            <w:t>[10]</w:t>
          </w:r>
          <w:r>
            <w:tab/>
            <w:t xml:space="preserve">M. M. Rahman and M. A. Habib, “Energy storage using phase change materials - Challenges and opportunities for power savings in residential buildings,” </w:t>
          </w:r>
          <w:r>
            <w:rPr>
              <w:i/>
              <w:iCs/>
            </w:rPr>
            <w:t>AIP Conf Proc</w:t>
          </w:r>
          <w:r>
            <w:t>, vol. 2681, no. 1, p. 020054, Nov. 2022, doi: 10.1063/5.0117296.</w:t>
          </w:r>
        </w:p>
        <w:p w14:paraId="2294787A" w14:textId="77777777" w:rsidR="001E7ECF" w:rsidRDefault="001E7ECF">
          <w:pPr>
            <w:autoSpaceDE w:val="0"/>
            <w:autoSpaceDN w:val="0"/>
            <w:ind w:hanging="640"/>
            <w:divId w:val="1153596618"/>
          </w:pPr>
          <w:r>
            <w:t>[11]</w:t>
          </w:r>
          <w:r>
            <w:tab/>
            <w:t xml:space="preserve">F. Hassan </w:t>
          </w:r>
          <w:r>
            <w:rPr>
              <w:i/>
              <w:iCs/>
            </w:rPr>
            <w:t>et al.</w:t>
          </w:r>
          <w:r>
            <w:t xml:space="preserve">, “Recent advancements in latent heat phase change materials and their applications for thermal energy storage and buildings: A state of the art review,” </w:t>
          </w:r>
          <w:r>
            <w:rPr>
              <w:i/>
              <w:iCs/>
            </w:rPr>
            <w:t>Sustainable Energy Technologies and Assessments</w:t>
          </w:r>
          <w:r>
            <w:t>, vol. 49, p. 101646, Feb. 2022, doi: 10.1016/J.SETA.2021.101646.</w:t>
          </w:r>
        </w:p>
        <w:p w14:paraId="34DEA721" w14:textId="77777777" w:rsidR="001E7ECF" w:rsidRDefault="001E7ECF">
          <w:pPr>
            <w:autoSpaceDE w:val="0"/>
            <w:autoSpaceDN w:val="0"/>
            <w:ind w:hanging="640"/>
            <w:divId w:val="171264593"/>
          </w:pPr>
          <w:r>
            <w:t>[12]</w:t>
          </w:r>
          <w:r>
            <w:tab/>
            <w:t xml:space="preserve">K. Jon Chua, L. Pompei, F. Nardecchia, and A. Miliozzi, “Current, Projected Performance and Costs of Thermal Energy Storage,” </w:t>
          </w:r>
          <w:r>
            <w:rPr>
              <w:i/>
              <w:iCs/>
            </w:rPr>
            <w:t>Processes 2023, Vol. 11, Page 729</w:t>
          </w:r>
          <w:r>
            <w:t>, vol. 11, no. 3, p. 729, Feb. 2023, doi: 10.3390/PR11030729.</w:t>
          </w:r>
        </w:p>
        <w:p w14:paraId="5CBE696A" w14:textId="77777777" w:rsidR="001E7ECF" w:rsidRDefault="001E7ECF">
          <w:pPr>
            <w:autoSpaceDE w:val="0"/>
            <w:autoSpaceDN w:val="0"/>
            <w:ind w:hanging="640"/>
            <w:divId w:val="748579085"/>
          </w:pPr>
          <w:r>
            <w:t>[13]</w:t>
          </w:r>
          <w:r>
            <w:tab/>
            <w:t xml:space="preserve">S. Barbi </w:t>
          </w:r>
          <w:r>
            <w:rPr>
              <w:i/>
              <w:iCs/>
            </w:rPr>
            <w:t>et al.</w:t>
          </w:r>
          <w:r>
            <w:t xml:space="preserve">, “Phase Change Material Evolution in Thermal Energy Storage Systems for the Building Sector, with a Focus on Ground-Coupled Heat Pumps,” </w:t>
          </w:r>
          <w:r>
            <w:rPr>
              <w:i/>
              <w:iCs/>
            </w:rPr>
            <w:t>Polymers 2022, Vol. 14, Page 620</w:t>
          </w:r>
          <w:r>
            <w:t>, vol. 14, no. 3, p. 620, Feb. 2022, doi: 10.3390/POLYM14030620.</w:t>
          </w:r>
        </w:p>
        <w:p w14:paraId="0FDEEBD7" w14:textId="77777777" w:rsidR="001E7ECF" w:rsidRDefault="001E7ECF">
          <w:pPr>
            <w:autoSpaceDE w:val="0"/>
            <w:autoSpaceDN w:val="0"/>
            <w:ind w:hanging="640"/>
            <w:divId w:val="979001652"/>
          </w:pPr>
          <w:r>
            <w:t>[14]</w:t>
          </w:r>
          <w:r>
            <w:tab/>
            <w:t xml:space="preserve">P. Deka, A. Szlęk, P. Deka, and A. Szlęk, “Thermal energy storage in buildings: opportunities and challenges,” </w:t>
          </w:r>
          <w:r>
            <w:rPr>
              <w:i/>
              <w:iCs/>
            </w:rPr>
            <w:t>journals.pan.pl</w:t>
          </w:r>
          <w:r>
            <w:t>, vol. 43, no. 4, pp. 21–61, 2022, doi: 10.24425/ather.2022.144405.</w:t>
          </w:r>
        </w:p>
        <w:p w14:paraId="760A52E5" w14:textId="77777777" w:rsidR="001E7ECF" w:rsidRDefault="001E7ECF">
          <w:pPr>
            <w:autoSpaceDE w:val="0"/>
            <w:autoSpaceDN w:val="0"/>
            <w:ind w:hanging="640"/>
            <w:divId w:val="626012522"/>
          </w:pPr>
          <w:r>
            <w:t>[15]</w:t>
          </w:r>
          <w:r>
            <w:tab/>
            <w:t xml:space="preserve">L. Wang </w:t>
          </w:r>
          <w:r>
            <w:rPr>
              <w:i/>
              <w:iCs/>
            </w:rPr>
            <w:t>et al.</w:t>
          </w:r>
          <w:r>
            <w:t>, “Experimental performance analysis of a dual source heat pump integrated with thermal energy storage,” Dec. 2022, doi: 10.22488/OKSTATE.22.000036.</w:t>
          </w:r>
        </w:p>
        <w:p w14:paraId="051B1973" w14:textId="77777777" w:rsidR="001E7ECF" w:rsidRDefault="001E7ECF">
          <w:pPr>
            <w:autoSpaceDE w:val="0"/>
            <w:autoSpaceDN w:val="0"/>
            <w:ind w:hanging="640"/>
            <w:divId w:val="1408845343"/>
          </w:pPr>
          <w:r>
            <w:t>[16]</w:t>
          </w:r>
          <w:r>
            <w:tab/>
            <w:t>L. Shi, X. Liu, M. Qu, and B. Shen, “Performance analysis of novel thermal storage integrated heat pump system in a residential building at the hot climate for demand flexibility,” 2022, Accessed: Mar. 13, 2023. [Online]. Available: https://www.osti.gov/biblio/1877462</w:t>
          </w:r>
        </w:p>
        <w:p w14:paraId="7BAC06CC" w14:textId="77777777" w:rsidR="001E7ECF" w:rsidRDefault="001E7ECF">
          <w:pPr>
            <w:autoSpaceDE w:val="0"/>
            <w:autoSpaceDN w:val="0"/>
            <w:ind w:hanging="640"/>
            <w:divId w:val="1109665289"/>
          </w:pPr>
          <w:r>
            <w:t>[17]</w:t>
          </w:r>
          <w:r>
            <w:tab/>
            <w:t xml:space="preserve">J. Da, M. Li, G. Li, Y. Wang, and Y. Zhang, “Simulation and experiment of a photovoltaic—air source heat pump system with thermal energy storage for heating and domestic hot water supply,” </w:t>
          </w:r>
          <w:r>
            <w:rPr>
              <w:i/>
              <w:iCs/>
            </w:rPr>
            <w:t>Build Simul</w:t>
          </w:r>
          <w:r>
            <w:t>, pp. 1–17, Jan. 2023, doi: 10.1007/S12273-022-0960-6/METRICS.</w:t>
          </w:r>
        </w:p>
        <w:p w14:paraId="118DBEE4" w14:textId="77777777" w:rsidR="001E7ECF" w:rsidRDefault="001E7ECF">
          <w:pPr>
            <w:autoSpaceDE w:val="0"/>
            <w:autoSpaceDN w:val="0"/>
            <w:ind w:hanging="640"/>
            <w:divId w:val="1183590837"/>
          </w:pPr>
          <w:r>
            <w:t>[18]</w:t>
          </w:r>
          <w:r>
            <w:tab/>
            <w:t xml:space="preserve">M. G. Gado and H. Hassan, “Energy-saving potential of compression heat pump using thermal energy storage of phase change materials for cooling and heating applications,” </w:t>
          </w:r>
          <w:r>
            <w:rPr>
              <w:i/>
              <w:iCs/>
            </w:rPr>
            <w:t>Energy</w:t>
          </w:r>
          <w:r>
            <w:t>, vol. 263, p. 126046, Jan. 2023, doi: 10.1016/J.ENERGY.2022.126046.</w:t>
          </w:r>
        </w:p>
        <w:p w14:paraId="05E0F132" w14:textId="77777777" w:rsidR="001E7ECF" w:rsidRDefault="001E7ECF">
          <w:pPr>
            <w:autoSpaceDE w:val="0"/>
            <w:autoSpaceDN w:val="0"/>
            <w:ind w:hanging="640"/>
            <w:divId w:val="379403932"/>
          </w:pPr>
          <w:r>
            <w:t>[19]</w:t>
          </w:r>
          <w:r>
            <w:tab/>
            <w:t>J. Hirschey, R. Simmons, T. Laclair, and K. Gluesenkamp, “A Framework for Analyzing Widespread Grid Intervening Technologies: A Case Study of Heat Pump-Integrated Thermal Energy Storage Systems in Buildings,” 2022, Accessed: Mar. 13, 2023. [Online]. Available: https://www.osti.gov/servlets/purl/1876256</w:t>
          </w:r>
        </w:p>
        <w:p w14:paraId="2191BFC4" w14:textId="77777777" w:rsidR="001E7ECF" w:rsidRDefault="001E7ECF">
          <w:pPr>
            <w:autoSpaceDE w:val="0"/>
            <w:autoSpaceDN w:val="0"/>
            <w:ind w:hanging="640"/>
            <w:divId w:val="1939216594"/>
          </w:pPr>
          <w:r>
            <w:t>[20]</w:t>
          </w:r>
          <w:r>
            <w:tab/>
            <w:t xml:space="preserve">S. Sultan </w:t>
          </w:r>
          <w:r>
            <w:rPr>
              <w:i/>
              <w:iCs/>
            </w:rPr>
            <w:t>et al.</w:t>
          </w:r>
          <w:r>
            <w:t xml:space="preserve">, “PCM Material Selection For Heat Pump Integrated With Thermal Energy Storage For Demand Response in Residential Buildings,” </w:t>
          </w:r>
          <w:r>
            <w:rPr>
              <w:i/>
              <w:iCs/>
            </w:rPr>
            <w:t>International High Performance Buildings Conference</w:t>
          </w:r>
          <w:r>
            <w:t>, Jul. 2022, Accessed: Jan. 19, 2023. [Online]. Available: https://docs.lib.purdue.edu/ihpbc/427</w:t>
          </w:r>
        </w:p>
        <w:p w14:paraId="6F76894F" w14:textId="77777777" w:rsidR="001E7ECF" w:rsidRDefault="001E7ECF">
          <w:pPr>
            <w:autoSpaceDE w:val="0"/>
            <w:autoSpaceDN w:val="0"/>
            <w:ind w:hanging="640"/>
            <w:divId w:val="1362365716"/>
          </w:pPr>
          <w:r>
            <w:t>[21]</w:t>
          </w:r>
          <w:r>
            <w:tab/>
            <w:t>B. Shen, J. Munk, and K. Gluesenkamp, “Cold Climate Integrated Heat Pump,” 2022, Accessed: Mar. 13, 2023. [Online]. Available: https://www.osti.gov/biblio/1879942</w:t>
          </w:r>
        </w:p>
        <w:p w14:paraId="317E8400" w14:textId="77777777" w:rsidR="001E7ECF" w:rsidRDefault="001E7ECF">
          <w:pPr>
            <w:autoSpaceDE w:val="0"/>
            <w:autoSpaceDN w:val="0"/>
            <w:ind w:hanging="640"/>
            <w:divId w:val="1255091631"/>
          </w:pPr>
          <w:r>
            <w:t>[22]</w:t>
          </w:r>
          <w:r>
            <w:tab/>
            <w:t>S. Mumme, F. Brown, B. Bass, B. Shen, and S. Shrestha, “Implications of Electrifying Residential Space Heating in Cold Climates with Heat Pumps, Envelope Improvements, and Thermal Storage,” 2022, Accessed: Mar. 13, 2023. [Online]. Available: https://www.osti.gov/servlets/purl/1885299</w:t>
          </w:r>
        </w:p>
        <w:p w14:paraId="5D9AC7D8" w14:textId="77777777" w:rsidR="001E7ECF" w:rsidRDefault="001E7ECF">
          <w:pPr>
            <w:autoSpaceDE w:val="0"/>
            <w:autoSpaceDN w:val="0"/>
            <w:ind w:hanging="640"/>
            <w:divId w:val="846868724"/>
          </w:pPr>
          <w:r>
            <w:t>[23]</w:t>
          </w:r>
          <w:r>
            <w:tab/>
            <w:t xml:space="preserve">S. Sultan, K. R. Gluesenkamp, and U. States, “The State of Art of Heat-Pump integrated Thermal Energy Storage for Demand Response,” </w:t>
          </w:r>
          <w:r>
            <w:rPr>
              <w:i/>
              <w:iCs/>
            </w:rPr>
            <w:t>IEA Heat Pump Technologies Magazine</w:t>
          </w:r>
          <w:r>
            <w:t>, vol. 40, no. 2, pp. 27–30, 2021. doi: https://doi.org/10.23697/62tr-nt79.</w:t>
          </w:r>
        </w:p>
        <w:p w14:paraId="15F18D20" w14:textId="77777777" w:rsidR="001E7ECF" w:rsidRDefault="001E7ECF">
          <w:pPr>
            <w:autoSpaceDE w:val="0"/>
            <w:autoSpaceDN w:val="0"/>
            <w:ind w:hanging="640"/>
            <w:divId w:val="674261735"/>
          </w:pPr>
          <w:r>
            <w:t>[24]</w:t>
          </w:r>
          <w:r>
            <w:tab/>
            <w:t>L. Shi, M. Qu, X. Liu, J. Dong, B. Cui, and L. Wang, “Model Predictive Control for a Grid-interactive Efficiency Thermal-storage-integrated Heat Pump System,” 2022, Accessed: Mar. 13, 2023. [Online]. Available: https://docs.lib.purdue.edu/cgi/viewcontent.cgi?article=1414&amp;context=ihpbc</w:t>
          </w:r>
        </w:p>
        <w:p w14:paraId="6EBFCE6D" w14:textId="77777777" w:rsidR="001E7ECF" w:rsidRDefault="001E7ECF">
          <w:pPr>
            <w:autoSpaceDE w:val="0"/>
            <w:autoSpaceDN w:val="0"/>
            <w:ind w:hanging="640"/>
            <w:divId w:val="921993133"/>
          </w:pPr>
          <w:r>
            <w:t>[25]</w:t>
          </w:r>
          <w:r>
            <w:tab/>
            <w:t xml:space="preserve">J. Hirschey, Z. Li, K. R. Gluesenkamp, T. J. LaClair, and S. Graham, “Demand Reduction and Energy Saving Potential of Thermal Energy Storage Integrated Heat Pumps,” </w:t>
          </w:r>
          <w:r>
            <w:rPr>
              <w:i/>
              <w:iCs/>
            </w:rPr>
            <w:t>International Journal of Refrigeration</w:t>
          </w:r>
          <w:r>
            <w:t>, Feb. 2023, doi: 10.1016/J.IJREFRIG.2023.01.026.</w:t>
          </w:r>
        </w:p>
        <w:p w14:paraId="4F5F2894" w14:textId="77777777" w:rsidR="001E7ECF" w:rsidRDefault="001E7ECF">
          <w:pPr>
            <w:autoSpaceDE w:val="0"/>
            <w:autoSpaceDN w:val="0"/>
            <w:ind w:hanging="640"/>
            <w:divId w:val="724596916"/>
          </w:pPr>
          <w:r>
            <w:t>[26]</w:t>
          </w:r>
          <w:r>
            <w:tab/>
            <w:t xml:space="preserve">A. C. Nunna, Y. Zong, L. Georges, and S. You, “Demand response with active phase change material based thermal energy storage in buildings,” </w:t>
          </w:r>
          <w:r>
            <w:rPr>
              <w:i/>
              <w:iCs/>
            </w:rPr>
            <w:t>Energy Reports</w:t>
          </w:r>
          <w:r>
            <w:t>, vol. 9, pp. 227–235, May 2023, doi: 10.1016/J.EGYR.2022.12.131.</w:t>
          </w:r>
        </w:p>
        <w:p w14:paraId="10A48EB5" w14:textId="77777777" w:rsidR="001E7ECF" w:rsidRDefault="001E7ECF">
          <w:pPr>
            <w:autoSpaceDE w:val="0"/>
            <w:autoSpaceDN w:val="0"/>
            <w:ind w:hanging="640"/>
            <w:divId w:val="1337733946"/>
          </w:pPr>
          <w:r>
            <w:t>[27]</w:t>
          </w:r>
          <w:r>
            <w:tab/>
            <w:t xml:space="preserve">X. Jin, S. Zheng, G. Huang, and A. CK Lai, “Energy and economic performance of the heat pump integrated with latent heat thermal energy storage for peak demand shifting,” </w:t>
          </w:r>
          <w:r>
            <w:rPr>
              <w:i/>
              <w:iCs/>
            </w:rPr>
            <w:t>Appl Therm Eng</w:t>
          </w:r>
          <w:r>
            <w:t>, vol. 218, p. 119337, Jan. 2023, doi: 10.1016/J.APPLTHERMALENG.2022.119337.</w:t>
          </w:r>
        </w:p>
        <w:p w14:paraId="14038089" w14:textId="77777777" w:rsidR="001E7ECF" w:rsidRDefault="001E7ECF">
          <w:pPr>
            <w:autoSpaceDE w:val="0"/>
            <w:autoSpaceDN w:val="0"/>
            <w:ind w:hanging="640"/>
            <w:divId w:val="1273392441"/>
          </w:pPr>
          <w:r>
            <w:t>[28]</w:t>
          </w:r>
          <w:r>
            <w:tab/>
            <w:t xml:space="preserve">P. Hlanze, Z. Jiang, J. Cai, and B. Shen, “Model-based predictive control of multi-stage air-source heat pumps integrated with phase change material-embedded ceilings,” </w:t>
          </w:r>
          <w:r>
            <w:rPr>
              <w:i/>
              <w:iCs/>
            </w:rPr>
            <w:t>Appl Energy</w:t>
          </w:r>
          <w:r>
            <w:t>, vol. 336, p. 120796, Apr. 2023, doi: 10.1016/J.APENERGY.2023.120796.</w:t>
          </w:r>
        </w:p>
        <w:p w14:paraId="6566C5E2" w14:textId="77777777" w:rsidR="001E7ECF" w:rsidRDefault="001E7ECF">
          <w:pPr>
            <w:autoSpaceDE w:val="0"/>
            <w:autoSpaceDN w:val="0"/>
            <w:ind w:hanging="640"/>
            <w:divId w:val="1284996220"/>
          </w:pPr>
          <w:r>
            <w:t>[29]</w:t>
          </w:r>
          <w:r>
            <w:tab/>
            <w:t>K. K. Ibrahim Alghamdi Christian Bach Jeffrey D Spitler, K. Ibrahim, K. I. Alghamdi, C. K. Bach, and J. D. Spitler, “Water-Based Thermal Energy Storage for Heating and Air-Conditioning Applications in Residential Buildings: Review and Preliminary Study,” 2022, Accessed: Mar. 13, 2023. [Online]. Available: https://docs.lib.purdue.edu/cgi/viewcontent.cgi?article=3344&amp;context=iracc</w:t>
          </w:r>
        </w:p>
        <w:p w14:paraId="32C25F32" w14:textId="77777777" w:rsidR="001E7ECF" w:rsidRDefault="001E7ECF">
          <w:pPr>
            <w:autoSpaceDE w:val="0"/>
            <w:autoSpaceDN w:val="0"/>
            <w:ind w:hanging="640"/>
            <w:divId w:val="1389720012"/>
          </w:pPr>
          <w:r>
            <w:t>[30]</w:t>
          </w:r>
          <w:r>
            <w:tab/>
            <w:t xml:space="preserve">A. Waqas, J. Ji, M. Ali, and J. Z. Alvi, “Effectiveness of the phase change material-based thermal energy storage integrated with the conventional cooling systems of the buildings – A review,” </w:t>
          </w:r>
          <w:r>
            <w:rPr>
              <w:i/>
              <w:iCs/>
            </w:rPr>
            <w:t>Proceedings of the Institution of Mechanical Engineers, Part A: Journal of Power and Energy</w:t>
          </w:r>
          <w:r>
            <w:t>, vol. 232, no. 6, pp. 735–766, Sep. 2018, doi: 10.1177/0957650917754033.</w:t>
          </w:r>
        </w:p>
        <w:p w14:paraId="65CAD0D0" w14:textId="77777777" w:rsidR="001E7ECF" w:rsidRDefault="001E7ECF">
          <w:pPr>
            <w:autoSpaceDE w:val="0"/>
            <w:autoSpaceDN w:val="0"/>
            <w:ind w:hanging="640"/>
            <w:divId w:val="939995086"/>
          </w:pPr>
          <w:r>
            <w:t>[31]</w:t>
          </w:r>
          <w:r>
            <w:tab/>
            <w:t xml:space="preserve">L. Pérez-Lombard, J. Ortiz, and C. Pout, “A review on buildings energy consumption information,” </w:t>
          </w:r>
          <w:r>
            <w:rPr>
              <w:i/>
              <w:iCs/>
            </w:rPr>
            <w:t>Energy Build</w:t>
          </w:r>
          <w:r>
            <w:t>, vol. 40, no. 3, pp. 394–398, Jan. 2008, doi: 10.1016/j.enbuild.2007.03.007.</w:t>
          </w:r>
        </w:p>
        <w:p w14:paraId="30B998A0" w14:textId="77777777" w:rsidR="001E7ECF" w:rsidRDefault="001E7ECF">
          <w:pPr>
            <w:autoSpaceDE w:val="0"/>
            <w:autoSpaceDN w:val="0"/>
            <w:ind w:hanging="640"/>
            <w:divId w:val="2017926173"/>
          </w:pPr>
          <w:r>
            <w:t>[32]</w:t>
          </w:r>
          <w:r>
            <w:tab/>
            <w:t xml:space="preserve">C. Li and J. Zhao, “Experimental Study on Indoor Air Temperature Distribution of Gravity Air-Conditioning for Cooling,” </w:t>
          </w:r>
          <w:r>
            <w:rPr>
              <w:i/>
              <w:iCs/>
            </w:rPr>
            <w:t>Energy Procedia</w:t>
          </w:r>
          <w:r>
            <w:t>, vol. 17, pp. 961–967, Jan. 2012, doi: 10.1016/J.EGYPRO.2012.02.194.</w:t>
          </w:r>
        </w:p>
        <w:p w14:paraId="5B20FC87" w14:textId="77777777" w:rsidR="001E7ECF" w:rsidRDefault="001E7ECF">
          <w:pPr>
            <w:autoSpaceDE w:val="0"/>
            <w:autoSpaceDN w:val="0"/>
            <w:ind w:hanging="640"/>
            <w:divId w:val="512305374"/>
          </w:pPr>
          <w:r>
            <w:t>[33]</w:t>
          </w:r>
          <w:r>
            <w:tab/>
            <w:t xml:space="preserve">L. F. Cabeza </w:t>
          </w:r>
          <w:r>
            <w:rPr>
              <w:i/>
              <w:iCs/>
            </w:rPr>
            <w:t>et al.</w:t>
          </w:r>
          <w:r>
            <w:t xml:space="preserve">, “CO2 mitigation accounting for Thermal Energy Storage (TES) case studies,” </w:t>
          </w:r>
          <w:r>
            <w:rPr>
              <w:i/>
              <w:iCs/>
            </w:rPr>
            <w:t>Appl Energy</w:t>
          </w:r>
          <w:r>
            <w:t>, vol. 155, pp. 365–377, Oct. 2015, doi: 10.1016/J.APENERGY.2015.05.121.</w:t>
          </w:r>
        </w:p>
        <w:p w14:paraId="1B84AF0C" w14:textId="77777777" w:rsidR="001E7ECF" w:rsidRDefault="001E7ECF">
          <w:pPr>
            <w:autoSpaceDE w:val="0"/>
            <w:autoSpaceDN w:val="0"/>
            <w:ind w:hanging="640"/>
            <w:divId w:val="1877310165"/>
          </w:pPr>
          <w:r>
            <w:t>[34]</w:t>
          </w:r>
          <w:r>
            <w:tab/>
            <w:t xml:space="preserve">S. Durga, K. F. Beckers, M. Taam, F. Horowitz, L. M. Cathles, and J. W. Tester, “Techno-economic analysis of decarbonizing building heating in Upstate New York using seasonal borehole thermal energy storage,” </w:t>
          </w:r>
          <w:r>
            <w:rPr>
              <w:i/>
              <w:iCs/>
            </w:rPr>
            <w:t>Energy Build</w:t>
          </w:r>
          <w:r>
            <w:t>, vol. 241, p. 110890, Jun. 2021, doi: 10.1016/J.ENBUILD.2021.110890.</w:t>
          </w:r>
        </w:p>
        <w:p w14:paraId="4C3C1755" w14:textId="77777777" w:rsidR="001E7ECF" w:rsidRDefault="001E7ECF">
          <w:pPr>
            <w:autoSpaceDE w:val="0"/>
            <w:autoSpaceDN w:val="0"/>
            <w:ind w:hanging="640"/>
            <w:divId w:val="1672562011"/>
          </w:pPr>
          <w:r>
            <w:t>[35]</w:t>
          </w:r>
          <w:r>
            <w:tab/>
            <w:t xml:space="preserve">A. L. Facci, V. K. Krastev, G. Falcucci, and S. Ubertini, “Smart integration of photovoltaic production, heat pump and thermal energy storage in residential applications,” </w:t>
          </w:r>
          <w:r>
            <w:rPr>
              <w:i/>
              <w:iCs/>
            </w:rPr>
            <w:t>Solar Energy</w:t>
          </w:r>
          <w:r>
            <w:t>, vol. 192, pp. 133–143, Nov. 2019, doi: 10.1016/J.SOLENER.2018.06.017.</w:t>
          </w:r>
        </w:p>
        <w:p w14:paraId="3857E5A8" w14:textId="77777777" w:rsidR="001E7ECF" w:rsidRDefault="001E7ECF">
          <w:pPr>
            <w:autoSpaceDE w:val="0"/>
            <w:autoSpaceDN w:val="0"/>
            <w:ind w:hanging="640"/>
            <w:divId w:val="1033725502"/>
          </w:pPr>
          <w:r>
            <w:t>[36]</w:t>
          </w:r>
          <w:r>
            <w:tab/>
            <w:t xml:space="preserve">L. Cabrol and P. Rowley, “Towards low carbon homes – A simulation analysis of building-integrated air-source heat pump systems,” </w:t>
          </w:r>
          <w:r>
            <w:rPr>
              <w:i/>
              <w:iCs/>
            </w:rPr>
            <w:t>Energy Build</w:t>
          </w:r>
          <w:r>
            <w:t>, vol. 48, pp. 127–136, May 2012, doi: 10.1016/J.ENBUILD.2012.01.019.</w:t>
          </w:r>
        </w:p>
        <w:p w14:paraId="1F122657" w14:textId="77777777" w:rsidR="001E7ECF" w:rsidRDefault="001E7ECF">
          <w:pPr>
            <w:autoSpaceDE w:val="0"/>
            <w:autoSpaceDN w:val="0"/>
            <w:ind w:hanging="640"/>
            <w:divId w:val="2099249682"/>
          </w:pPr>
          <w:r>
            <w:t>[37]</w:t>
          </w:r>
          <w:r>
            <w:tab/>
            <w:t xml:space="preserve">G. Gholamibozanjani and M. Farid, “Peak load shifting using a price-based control in PCM-enhanced buildings,” </w:t>
          </w:r>
          <w:r>
            <w:rPr>
              <w:i/>
              <w:iCs/>
            </w:rPr>
            <w:t>Solar Energy</w:t>
          </w:r>
          <w:r>
            <w:t>, vol. 211, pp. 661–673, Nov. 2020, doi: 10.1016/j.solener.2020.09.016.</w:t>
          </w:r>
        </w:p>
        <w:p w14:paraId="165595F3" w14:textId="77777777" w:rsidR="001E7ECF" w:rsidRDefault="001E7ECF">
          <w:pPr>
            <w:autoSpaceDE w:val="0"/>
            <w:autoSpaceDN w:val="0"/>
            <w:ind w:hanging="640"/>
            <w:divId w:val="1735541142"/>
          </w:pPr>
          <w:r>
            <w:t>[38]</w:t>
          </w:r>
          <w:r>
            <w:tab/>
            <w:t>P. Hlanze, A. Elhefny, Z. Jiang, J. Cai, and H. Shabgard, “Integration of Phase Change Material-Based Storage in Air Distribution Systems to Increase Building Power Flexibility,” 2021, Accessed: Aug. 31, 2021. [Online]. Available: https://docs.lib.purdue.edu/cgi/viewcontent.cgi?article=1365&amp;context=ihpbc</w:t>
          </w:r>
        </w:p>
        <w:p w14:paraId="6C66438C" w14:textId="77777777" w:rsidR="001E7ECF" w:rsidRDefault="001E7ECF">
          <w:pPr>
            <w:autoSpaceDE w:val="0"/>
            <w:autoSpaceDN w:val="0"/>
            <w:ind w:hanging="640"/>
            <w:divId w:val="599065920"/>
          </w:pPr>
          <w:r>
            <w:t>[39]</w:t>
          </w:r>
          <w:r>
            <w:tab/>
            <w:t xml:space="preserve">J. Ling </w:t>
          </w:r>
          <w:r>
            <w:rPr>
              <w:i/>
              <w:iCs/>
            </w:rPr>
            <w:t>et al.</w:t>
          </w:r>
          <w:r>
            <w:t xml:space="preserve">, “Energy savings and thermal comfort evaluation of a novel personal conditioning device,” </w:t>
          </w:r>
          <w:r>
            <w:rPr>
              <w:i/>
              <w:iCs/>
            </w:rPr>
            <w:t>Energy Build</w:t>
          </w:r>
          <w:r>
            <w:t>, vol. 241, p. 110917, Jun. 2021, doi: 10.1016/j.enbuild.2021.110917.</w:t>
          </w:r>
        </w:p>
        <w:p w14:paraId="2A3A3B83" w14:textId="77777777" w:rsidR="001E7ECF" w:rsidRDefault="001E7ECF">
          <w:pPr>
            <w:autoSpaceDE w:val="0"/>
            <w:autoSpaceDN w:val="0"/>
            <w:ind w:hanging="640"/>
            <w:divId w:val="18823271"/>
          </w:pPr>
          <w:r>
            <w:t>[40]</w:t>
          </w:r>
          <w:r>
            <w:tab/>
            <w:t xml:space="preserve">S. Farah, M. Liu, and W. Saman, “Numerical investigation of phase change material thermal storage for space cooling,” </w:t>
          </w:r>
          <w:r>
            <w:rPr>
              <w:i/>
              <w:iCs/>
            </w:rPr>
            <w:t>Appl Energy</w:t>
          </w:r>
          <w:r>
            <w:t>, vol. 239, pp. 526–535, Apr. 2019, doi: 10.1016/j.apenergy.2019.01.197.</w:t>
          </w:r>
        </w:p>
        <w:p w14:paraId="1709C890" w14:textId="77777777" w:rsidR="001E7ECF" w:rsidRDefault="001E7ECF">
          <w:pPr>
            <w:autoSpaceDE w:val="0"/>
            <w:autoSpaceDN w:val="0"/>
            <w:ind w:hanging="640"/>
            <w:divId w:val="1732075210"/>
          </w:pPr>
          <w:r>
            <w:t>[41]</w:t>
          </w:r>
          <w:r>
            <w:tab/>
            <w:t xml:space="preserve">X. Chen, Q. Zhang, Z. (John) Zhai, and J. Qiu, “Performance of a cold storage air-cooled heat pump system with phase change materials for space cooling,” </w:t>
          </w:r>
          <w:r>
            <w:rPr>
              <w:i/>
              <w:iCs/>
            </w:rPr>
            <w:t>Energy Build</w:t>
          </w:r>
          <w:r>
            <w:t>, vol. 228, p. 110405, Dec. 2020, doi: 10.1016/j.enbuild.2020.110405.</w:t>
          </w:r>
        </w:p>
        <w:p w14:paraId="6D600A16" w14:textId="77777777" w:rsidR="001E7ECF" w:rsidRDefault="001E7ECF">
          <w:pPr>
            <w:autoSpaceDE w:val="0"/>
            <w:autoSpaceDN w:val="0"/>
            <w:ind w:hanging="640"/>
            <w:divId w:val="253903164"/>
          </w:pPr>
          <w:r>
            <w:t>[42]</w:t>
          </w:r>
          <w:r>
            <w:tab/>
            <w:t xml:space="preserve">F. Bruno, N. H. S. Tay, and M. Belusko, “Minimising energy usage for domestic cooling with off-peak PCM storage,” </w:t>
          </w:r>
          <w:r>
            <w:rPr>
              <w:i/>
              <w:iCs/>
            </w:rPr>
            <w:t>Energy Build</w:t>
          </w:r>
          <w:r>
            <w:t>, vol. 76, pp. 347–353, Jun. 2014, doi: 10.1016/j.enbuild.2014.02.069.</w:t>
          </w:r>
        </w:p>
        <w:p w14:paraId="186FDCAA" w14:textId="77777777" w:rsidR="001E7ECF" w:rsidRDefault="001E7ECF">
          <w:pPr>
            <w:autoSpaceDE w:val="0"/>
            <w:autoSpaceDN w:val="0"/>
            <w:ind w:hanging="640"/>
            <w:divId w:val="976835023"/>
          </w:pPr>
          <w:r>
            <w:t>[43]</w:t>
          </w:r>
          <w:r>
            <w:tab/>
            <w:t xml:space="preserve">N. Chaiyat, “Energy and economic analysis of a building air-conditioner with a phase change material (PCM),” </w:t>
          </w:r>
          <w:r>
            <w:rPr>
              <w:i/>
              <w:iCs/>
            </w:rPr>
            <w:t>Energy Convers Manag</w:t>
          </w:r>
          <w:r>
            <w:t>, vol. 94, pp. 150–158, 2015, doi: 10.1016/j.enconman.2015.01.068.</w:t>
          </w:r>
        </w:p>
        <w:p w14:paraId="1671242D" w14:textId="77777777" w:rsidR="001E7ECF" w:rsidRDefault="001E7ECF">
          <w:pPr>
            <w:autoSpaceDE w:val="0"/>
            <w:autoSpaceDN w:val="0"/>
            <w:ind w:hanging="640"/>
            <w:divId w:val="592978406"/>
          </w:pPr>
          <w:r>
            <w:t>[44]</w:t>
          </w:r>
          <w:r>
            <w:tab/>
            <w:t xml:space="preserve">A. H. Mosaffa and L. Garousi Farshi, “Exergoeconomic and environmental analyses of an air conditioning system using thermal energy storage,” </w:t>
          </w:r>
          <w:r>
            <w:rPr>
              <w:i/>
              <w:iCs/>
            </w:rPr>
            <w:t>Appl Energy</w:t>
          </w:r>
          <w:r>
            <w:t>, vol. 162, pp. 515–526, 2016, doi: 10.1016/j.apenergy.2015.10.122.</w:t>
          </w:r>
        </w:p>
        <w:p w14:paraId="0D859197" w14:textId="77777777" w:rsidR="001E7ECF" w:rsidRDefault="001E7ECF">
          <w:pPr>
            <w:autoSpaceDE w:val="0"/>
            <w:autoSpaceDN w:val="0"/>
            <w:ind w:hanging="640"/>
            <w:divId w:val="229076237"/>
          </w:pPr>
          <w:r>
            <w:t>[45]</w:t>
          </w:r>
          <w:r>
            <w:tab/>
            <w:t xml:space="preserve">A. Maccarini, G. Hultmark, N. C. Bergsøe, and A. Afshari, “Free cooling potential of a PCM-based heat exchanger coupled with a novel HVAC system for simultaneous heating and cooling of buildings,” </w:t>
          </w:r>
          <w:r>
            <w:rPr>
              <w:i/>
              <w:iCs/>
            </w:rPr>
            <w:t>Sustain Cities Soc</w:t>
          </w:r>
          <w:r>
            <w:t>, vol. 42, pp. 384–395, Oct. 2018, doi: 10.1016/j.scs.2018.06.016.</w:t>
          </w:r>
        </w:p>
        <w:p w14:paraId="582F0D05" w14:textId="77777777" w:rsidR="001E7ECF" w:rsidRDefault="001E7ECF">
          <w:pPr>
            <w:autoSpaceDE w:val="0"/>
            <w:autoSpaceDN w:val="0"/>
            <w:ind w:hanging="640"/>
            <w:divId w:val="995260658"/>
          </w:pPr>
          <w:r>
            <w:t>[46]</w:t>
          </w:r>
          <w:r>
            <w:tab/>
            <w:t xml:space="preserve">J. Mazo, M. Delgado, J. M. Marin, and B. Zalba, “Modeling a radiant floor system with Phase Change Material (PCM) integrated into a building simulation tool: Analysis of a case study of a floor heating system coupled to a heat pump,” </w:t>
          </w:r>
          <w:r>
            <w:rPr>
              <w:i/>
              <w:iCs/>
            </w:rPr>
            <w:t>Energy Build</w:t>
          </w:r>
          <w:r>
            <w:t>, vol. 47, pp. 458–466, Apr. 2012, doi: 10.1016/j.enbuild.2011.12.022.</w:t>
          </w:r>
        </w:p>
        <w:p w14:paraId="20135761" w14:textId="77777777" w:rsidR="001E7ECF" w:rsidRDefault="001E7ECF">
          <w:pPr>
            <w:autoSpaceDE w:val="0"/>
            <w:autoSpaceDN w:val="0"/>
            <w:ind w:hanging="640"/>
            <w:divId w:val="304310768"/>
          </w:pPr>
          <w:r>
            <w:t>[47]</w:t>
          </w:r>
          <w:r>
            <w:tab/>
            <w:t xml:space="preserve">R. Hirmiz, H. M. Teamah, M. F. Lightstone, and J. S. Cotton, “Performance of heat pump integrated phase change material thermal storage for electric load shifting in building demand side management,” </w:t>
          </w:r>
          <w:r>
            <w:rPr>
              <w:i/>
              <w:iCs/>
            </w:rPr>
            <w:t>Energy Build</w:t>
          </w:r>
          <w:r>
            <w:t>, vol. 190, pp. 103–118, May 2019, doi: 10.1016/j.enbuild.2019.02.026.</w:t>
          </w:r>
        </w:p>
        <w:p w14:paraId="210BE08F" w14:textId="77777777" w:rsidR="001E7ECF" w:rsidRDefault="001E7ECF">
          <w:pPr>
            <w:autoSpaceDE w:val="0"/>
            <w:autoSpaceDN w:val="0"/>
            <w:ind w:hanging="640"/>
            <w:divId w:val="886380156"/>
          </w:pPr>
          <w:r>
            <w:t>[48]</w:t>
          </w:r>
          <w:r>
            <w:tab/>
            <w:t xml:space="preserve">T. Xu, E. N. Humire, J. N. Chiu, and S. Sawalha, “Latent heat storage integration into heat pump based heating systems for energy-efficient load shifting,” </w:t>
          </w:r>
          <w:r>
            <w:rPr>
              <w:i/>
              <w:iCs/>
            </w:rPr>
            <w:t>Energy Convers Manag</w:t>
          </w:r>
          <w:r>
            <w:t>, vol. 236, p. 114042, May 2021, doi: 10.1016/j.enconman.2021.114042.</w:t>
          </w:r>
        </w:p>
        <w:p w14:paraId="5FB289E4" w14:textId="77777777" w:rsidR="001E7ECF" w:rsidRDefault="001E7ECF">
          <w:pPr>
            <w:autoSpaceDE w:val="0"/>
            <w:autoSpaceDN w:val="0"/>
            <w:ind w:hanging="640"/>
            <w:divId w:val="753361088"/>
          </w:pPr>
          <w:r>
            <w:t>[49]</w:t>
          </w:r>
          <w:r>
            <w:tab/>
            <w:t xml:space="preserve">U.S. Energy Information Administration EIA, “‘Use of Energy in the United States Explained.’ US Energy Information Administration.,” </w:t>
          </w:r>
          <w:r>
            <w:rPr>
              <w:i/>
              <w:iCs/>
            </w:rPr>
            <w:t>EIA</w:t>
          </w:r>
          <w:r>
            <w:t>, 2019. https://www.eia.gov/energyexplained/index.php?page=us_energy_homes (accessed Jul. 13, 2019).</w:t>
          </w:r>
        </w:p>
        <w:p w14:paraId="5F60D5A7" w14:textId="77777777" w:rsidR="001E7ECF" w:rsidRDefault="001E7ECF">
          <w:pPr>
            <w:autoSpaceDE w:val="0"/>
            <w:autoSpaceDN w:val="0"/>
            <w:ind w:hanging="640"/>
            <w:divId w:val="1520006155"/>
          </w:pPr>
          <w:r>
            <w:t>[50]</w:t>
          </w:r>
          <w:r>
            <w:tab/>
            <w:t>U.S. Department of Energy, “2011 Buildings Energy Data Book,” 2011.</w:t>
          </w:r>
        </w:p>
        <w:p w14:paraId="20F1621A" w14:textId="77777777" w:rsidR="001E7ECF" w:rsidRDefault="001E7ECF">
          <w:pPr>
            <w:autoSpaceDE w:val="0"/>
            <w:autoSpaceDN w:val="0"/>
            <w:ind w:hanging="640"/>
            <w:divId w:val="1812283624"/>
          </w:pPr>
          <w:r>
            <w:t>[51]</w:t>
          </w:r>
          <w:r>
            <w:tab/>
            <w:t xml:space="preserve">U.S. Energy Information Administration, “Air conditioning accounts for about 12% of U.S. home energy expenditures,” </w:t>
          </w:r>
          <w:r>
            <w:rPr>
              <w:i/>
              <w:iCs/>
            </w:rPr>
            <w:t>Today in Energy</w:t>
          </w:r>
          <w:r>
            <w:t>, 2018. https://www.eia.gov/todayinenergy/detail.php?id=36692 (accessed Jul. 14, 2019).</w:t>
          </w:r>
        </w:p>
        <w:p w14:paraId="674D51A4" w14:textId="77777777" w:rsidR="001E7ECF" w:rsidRDefault="001E7ECF">
          <w:pPr>
            <w:autoSpaceDE w:val="0"/>
            <w:autoSpaceDN w:val="0"/>
            <w:ind w:hanging="640"/>
            <w:divId w:val="651059069"/>
          </w:pPr>
          <w:r>
            <w:t>[52]</w:t>
          </w:r>
          <w:r>
            <w:tab/>
            <w:t>U.S. Energy Information Administration EIA, “Residential Energy Consumption Survey (RECS) 2015 Consumption and Expenditures Technical Documentation Summary,” Washington, DC, 2015. Accessed: Jul. 13, 2019. [Online]. Available: https://www.eia.gov/consumption/residential/reports/2015/methodology_c&amp;e/</w:t>
          </w:r>
        </w:p>
        <w:p w14:paraId="1C41E463" w14:textId="77777777" w:rsidR="001E7ECF" w:rsidRDefault="001E7ECF">
          <w:pPr>
            <w:autoSpaceDE w:val="0"/>
            <w:autoSpaceDN w:val="0"/>
            <w:ind w:hanging="640"/>
            <w:divId w:val="1965426812"/>
          </w:pPr>
          <w:r>
            <w:t>[53]</w:t>
          </w:r>
          <w:r>
            <w:tab/>
            <w:t>B. Goetzler, M. Guernsey, and T. Kassuga, “Grid-interactive Efficient Buildings Technical Report Series: Heating, Ventilation, and Air Conditioning (HVAC); Water Heating; Appliances; and Refrigeration,” 2019.</w:t>
          </w:r>
        </w:p>
        <w:p w14:paraId="26E35B58" w14:textId="77777777" w:rsidR="001E7ECF" w:rsidRDefault="001E7ECF">
          <w:pPr>
            <w:autoSpaceDE w:val="0"/>
            <w:autoSpaceDN w:val="0"/>
            <w:ind w:hanging="640"/>
            <w:divId w:val="320816130"/>
          </w:pPr>
          <w:r>
            <w:t>[54]</w:t>
          </w:r>
          <w:r>
            <w:tab/>
            <w:t xml:space="preserve">A. Arteconi, A. Mugnini, and F. Polonara, “Energy flexible buildings: A methodology for rating the flexibility performance of buildings with electric heating and cooling systems,” </w:t>
          </w:r>
          <w:r>
            <w:rPr>
              <w:i/>
              <w:iCs/>
            </w:rPr>
            <w:t>Appl Energy</w:t>
          </w:r>
          <w:r>
            <w:t>, vol. 251, no. May, p. 113387, 2019, doi: 10.1016/j.apenergy.2019.113387.</w:t>
          </w:r>
        </w:p>
        <w:p w14:paraId="7B340D57" w14:textId="77777777" w:rsidR="001E7ECF" w:rsidRDefault="001E7ECF">
          <w:pPr>
            <w:autoSpaceDE w:val="0"/>
            <w:autoSpaceDN w:val="0"/>
            <w:ind w:hanging="640"/>
            <w:divId w:val="298582397"/>
          </w:pPr>
          <w:r>
            <w:t>[55]</w:t>
          </w:r>
          <w:r>
            <w:tab/>
            <w:t xml:space="preserve">R. G. Junker </w:t>
          </w:r>
          <w:r>
            <w:rPr>
              <w:i/>
              <w:iCs/>
            </w:rPr>
            <w:t>et al.</w:t>
          </w:r>
          <w:r>
            <w:t xml:space="preserve">, “Characterizing the energy flexibility of buildings and districts,” </w:t>
          </w:r>
          <w:r>
            <w:rPr>
              <w:i/>
              <w:iCs/>
            </w:rPr>
            <w:t>Appl Energy</w:t>
          </w:r>
          <w:r>
            <w:t>, vol. 225, no. April, pp. 175–182, 2018, doi: 10.1016/j.apenergy.2018.05.037.</w:t>
          </w:r>
        </w:p>
        <w:p w14:paraId="16F0C2A9" w14:textId="77777777" w:rsidR="001E7ECF" w:rsidRDefault="001E7ECF">
          <w:pPr>
            <w:autoSpaceDE w:val="0"/>
            <w:autoSpaceDN w:val="0"/>
            <w:ind w:hanging="640"/>
            <w:divId w:val="870729117"/>
          </w:pPr>
          <w:r>
            <w:t>[56]</w:t>
          </w:r>
          <w:r>
            <w:tab/>
            <w:t xml:space="preserve">Y. Chen, P. Xu, J. Gu, F. Schmidt, and W. Li, “Measures to improve energy demand flexibility in buildings for demand response (DR): A review,” </w:t>
          </w:r>
          <w:r>
            <w:rPr>
              <w:i/>
              <w:iCs/>
            </w:rPr>
            <w:t>Energy and Buildings</w:t>
          </w:r>
          <w:r>
            <w:t>, vol. 177. Elsevier Ltd, pp. 125–139, Oct. 15, 2018. doi: 10.1016/j.enbuild.2018.08.003.</w:t>
          </w:r>
        </w:p>
        <w:p w14:paraId="2D689135" w14:textId="77777777" w:rsidR="001E7ECF" w:rsidRDefault="001E7ECF">
          <w:pPr>
            <w:autoSpaceDE w:val="0"/>
            <w:autoSpaceDN w:val="0"/>
            <w:ind w:hanging="640"/>
            <w:divId w:val="1063942672"/>
          </w:pPr>
          <w:r>
            <w:t>[57]</w:t>
          </w:r>
          <w:r>
            <w:tab/>
            <w:t xml:space="preserve">S. Ø. Jensen </w:t>
          </w:r>
          <w:r>
            <w:rPr>
              <w:i/>
              <w:iCs/>
            </w:rPr>
            <w:t>et al.</w:t>
          </w:r>
          <w:r>
            <w:t xml:space="preserve">, “IEA EBC Annex 67 Energy Flexible Buildings,” </w:t>
          </w:r>
          <w:r>
            <w:rPr>
              <w:i/>
              <w:iCs/>
            </w:rPr>
            <w:t>Energy Build</w:t>
          </w:r>
          <w:r>
            <w:t>, vol. 155, pp. 25–34, Nov. 2017, doi: 10.1016/j.enbuild.2017.08.044.</w:t>
          </w:r>
        </w:p>
        <w:p w14:paraId="1F97607E" w14:textId="77777777" w:rsidR="001E7ECF" w:rsidRDefault="001E7ECF">
          <w:pPr>
            <w:autoSpaceDE w:val="0"/>
            <w:autoSpaceDN w:val="0"/>
            <w:ind w:hanging="640"/>
            <w:divId w:val="1574774663"/>
          </w:pPr>
          <w:r>
            <w:t>[58]</w:t>
          </w:r>
          <w:r>
            <w:tab/>
            <w:t xml:space="preserve">H. Tang, S. Wang, and H. Li, “Flexibility categorization, sources, capabilities and technologies for energy-flexible and grid-responsive buildings: State-of-the-art and future perspective,” </w:t>
          </w:r>
          <w:r>
            <w:rPr>
              <w:i/>
              <w:iCs/>
            </w:rPr>
            <w:t>Energy</w:t>
          </w:r>
          <w:r>
            <w:t>, vol. 219, p. 119598, Mar. 2021, doi: 10.1016/J.ENERGY.2020.119598.</w:t>
          </w:r>
        </w:p>
        <w:p w14:paraId="0D5D8B22" w14:textId="77777777" w:rsidR="001E7ECF" w:rsidRDefault="001E7ECF">
          <w:pPr>
            <w:autoSpaceDE w:val="0"/>
            <w:autoSpaceDN w:val="0"/>
            <w:ind w:hanging="640"/>
            <w:divId w:val="1867869323"/>
          </w:pPr>
          <w:r>
            <w:t>[59]</w:t>
          </w:r>
          <w:r>
            <w:tab/>
            <w:t xml:space="preserve">P. Siano, “Demand response and smart grids—A survey,” </w:t>
          </w:r>
          <w:r>
            <w:rPr>
              <w:i/>
              <w:iCs/>
            </w:rPr>
            <w:t>Renewable and Sustainable Energy Reviews</w:t>
          </w:r>
          <w:r>
            <w:t>, vol. 30, pp. 461–478, Feb. 2014, doi: 10.1016/J.RSER.2013.10.022.</w:t>
          </w:r>
        </w:p>
        <w:p w14:paraId="58AF4428" w14:textId="77777777" w:rsidR="001E7ECF" w:rsidRDefault="001E7ECF">
          <w:pPr>
            <w:autoSpaceDE w:val="0"/>
            <w:autoSpaceDN w:val="0"/>
            <w:ind w:hanging="640"/>
            <w:divId w:val="657610750"/>
          </w:pPr>
          <w:r>
            <w:t>[60]</w:t>
          </w:r>
          <w:r>
            <w:tab/>
            <w:t xml:space="preserve">Y. Chen, P. Xu, J. Gu, F. Schmidt, and W. Li, “Measures to improve energy demand flexibility in buildings for demand response (DR): A review,” </w:t>
          </w:r>
          <w:r>
            <w:rPr>
              <w:i/>
              <w:iCs/>
            </w:rPr>
            <w:t>Energy Build</w:t>
          </w:r>
          <w:r>
            <w:t>, vol. 177, pp. 125–139, Oct. 2018, doi: 10.1016/J.ENBUILD.2018.08.003.</w:t>
          </w:r>
        </w:p>
        <w:p w14:paraId="56D6A432" w14:textId="77777777" w:rsidR="001E7ECF" w:rsidRDefault="001E7ECF">
          <w:pPr>
            <w:autoSpaceDE w:val="0"/>
            <w:autoSpaceDN w:val="0"/>
            <w:ind w:hanging="640"/>
            <w:divId w:val="1329208273"/>
          </w:pPr>
          <w:r>
            <w:t>[61]</w:t>
          </w:r>
          <w:r>
            <w:tab/>
            <w:t xml:space="preserve">F. Pallonetto, M. De Rosa, F. D’Ettorre, and D. P. Finn, “On the assessment and control optimisation of demand response programs in residential buildings,” </w:t>
          </w:r>
          <w:r>
            <w:rPr>
              <w:i/>
              <w:iCs/>
            </w:rPr>
            <w:t>Renewable and Sustainable Energy Reviews</w:t>
          </w:r>
          <w:r>
            <w:t>, vol. 127, p. 109861, Jul. 2020, doi: 10.1016/J.RSER.2020.109861.</w:t>
          </w:r>
        </w:p>
        <w:p w14:paraId="03660110" w14:textId="77777777" w:rsidR="001E7ECF" w:rsidRDefault="001E7ECF">
          <w:pPr>
            <w:autoSpaceDE w:val="0"/>
            <w:autoSpaceDN w:val="0"/>
            <w:ind w:hanging="640"/>
            <w:divId w:val="783233760"/>
          </w:pPr>
          <w:r>
            <w:t>[62]</w:t>
          </w:r>
          <w:r>
            <w:tab/>
            <w:t xml:space="preserve">J. Wang, H. Zhong, Z. Ma, Q. Xia, and C. Kang, “Review and prospect of integrated demand response in the multi-energy system,” </w:t>
          </w:r>
          <w:r>
            <w:rPr>
              <w:i/>
              <w:iCs/>
            </w:rPr>
            <w:t>Appl Energy</w:t>
          </w:r>
          <w:r>
            <w:t>, vol. 202, pp. 772–782, Sep. 2017, doi: 10.1016/J.APENERGY.2017.05.150.</w:t>
          </w:r>
        </w:p>
        <w:p w14:paraId="7B436FB1" w14:textId="77777777" w:rsidR="001E7ECF" w:rsidRDefault="001E7ECF">
          <w:pPr>
            <w:autoSpaceDE w:val="0"/>
            <w:autoSpaceDN w:val="0"/>
            <w:ind w:hanging="640"/>
            <w:divId w:val="1442913092"/>
          </w:pPr>
          <w:r>
            <w:t>[63]</w:t>
          </w:r>
          <w:r>
            <w:tab/>
            <w:t xml:space="preserve">K. Shan, S. Wang, C. Yan, and F. Xiao, “Building demand response and control methods for smart grids: A review,” </w:t>
          </w:r>
          <w:r>
            <w:rPr>
              <w:i/>
              <w:iCs/>
            </w:rPr>
            <w:t>https://doi.org/10.1080/23744731.2016.1192878</w:t>
          </w:r>
          <w:r>
            <w:t>, vol. 22, no. 6, pp. 692–704, Aug. 2016, doi: 10.1080/23744731.2016.1192878.</w:t>
          </w:r>
        </w:p>
        <w:p w14:paraId="6520D1EF" w14:textId="77777777" w:rsidR="001E7ECF" w:rsidRDefault="001E7ECF">
          <w:pPr>
            <w:autoSpaceDE w:val="0"/>
            <w:autoSpaceDN w:val="0"/>
            <w:ind w:hanging="640"/>
            <w:divId w:val="540436132"/>
          </w:pPr>
          <w:r>
            <w:t>[64]</w:t>
          </w:r>
          <w:r>
            <w:tab/>
            <w:t xml:space="preserve">D. Fischer and H. Madani, “On heat pumps in smart grids: A review,” </w:t>
          </w:r>
          <w:r>
            <w:rPr>
              <w:i/>
              <w:iCs/>
            </w:rPr>
            <w:t>Renewable and Sustainable Energy Reviews</w:t>
          </w:r>
          <w:r>
            <w:t>, vol. 70, pp. 342–357, Apr. 2017, doi: 10.1016/J.RSER.2016.11.182.</w:t>
          </w:r>
        </w:p>
        <w:p w14:paraId="3722A8BF" w14:textId="77777777" w:rsidR="001E7ECF" w:rsidRDefault="001E7ECF">
          <w:pPr>
            <w:autoSpaceDE w:val="0"/>
            <w:autoSpaceDN w:val="0"/>
            <w:ind w:hanging="640"/>
            <w:divId w:val="1418593348"/>
          </w:pPr>
          <w:r>
            <w:t>[65]</w:t>
          </w:r>
          <w:r>
            <w:tab/>
            <w:t xml:space="preserve">M. Majidi, B. Mohammadi-Ivatloo, and A. Anvari-Moghaddam, “Optimal robust operation of combined heat and power systems with demand response programs,” </w:t>
          </w:r>
          <w:r>
            <w:rPr>
              <w:i/>
              <w:iCs/>
            </w:rPr>
            <w:t>Appl Therm Eng</w:t>
          </w:r>
          <w:r>
            <w:t>, vol. 149, pp. 1359–1369, Feb. 2019, doi: 10.1016/J.APPLTHERMALENG.2018.12.088.</w:t>
          </w:r>
        </w:p>
        <w:p w14:paraId="47B088F1" w14:textId="77777777" w:rsidR="001E7ECF" w:rsidRDefault="001E7ECF">
          <w:pPr>
            <w:autoSpaceDE w:val="0"/>
            <w:autoSpaceDN w:val="0"/>
            <w:ind w:hanging="640"/>
            <w:divId w:val="705062494"/>
          </w:pPr>
          <w:r>
            <w:t>[66]</w:t>
          </w:r>
          <w:r>
            <w:tab/>
            <w:t xml:space="preserve">Y. Zhang, G. Zhou, K. Lin, Q. Zhang, and H. Di, “Application of latent heat thermal energy storage in buildings: State-of-the-art and outlook,” </w:t>
          </w:r>
          <w:r>
            <w:rPr>
              <w:i/>
              <w:iCs/>
            </w:rPr>
            <w:t>Build Environ</w:t>
          </w:r>
          <w:r>
            <w:t>, vol. 42, no. 6, pp. 2197–2209, 2007, doi: 10.1016/j.buildenv.2006.07.023.</w:t>
          </w:r>
        </w:p>
        <w:p w14:paraId="5A82726C" w14:textId="77777777" w:rsidR="001E7ECF" w:rsidRDefault="001E7ECF">
          <w:pPr>
            <w:autoSpaceDE w:val="0"/>
            <w:autoSpaceDN w:val="0"/>
            <w:ind w:hanging="640"/>
            <w:divId w:val="1297686534"/>
          </w:pPr>
          <w:r>
            <w:t>[67]</w:t>
          </w:r>
          <w:r>
            <w:tab/>
            <w:t xml:space="preserve">J. Heier, C. Bales, and V. Martin, “Combining thermal energy storage with buildings - A review,” </w:t>
          </w:r>
          <w:r>
            <w:rPr>
              <w:i/>
              <w:iCs/>
            </w:rPr>
            <w:t>Renewable and Sustainable Energy Reviews</w:t>
          </w:r>
          <w:r>
            <w:t>, vol. 42, pp. 1305–1325, 2015, doi: 10.1016/j.rser.2014.11.031.</w:t>
          </w:r>
        </w:p>
        <w:p w14:paraId="596C7026" w14:textId="77777777" w:rsidR="001E7ECF" w:rsidRDefault="001E7ECF">
          <w:pPr>
            <w:autoSpaceDE w:val="0"/>
            <w:autoSpaceDN w:val="0"/>
            <w:ind w:hanging="640"/>
            <w:divId w:val="570042923"/>
          </w:pPr>
          <w:r>
            <w:t>[68]</w:t>
          </w:r>
          <w:r>
            <w:tab/>
            <w:t xml:space="preserve">D. Zhou, C. Y. Zhao, and Y. Tian, “Review on thermal energy storage with phase change materials (PCMs) in building applications,” </w:t>
          </w:r>
          <w:r>
            <w:rPr>
              <w:i/>
              <w:iCs/>
            </w:rPr>
            <w:t>Applied Energy</w:t>
          </w:r>
          <w:r>
            <w:t>, vol. 92. Elsevier Ltd, pp. 593–605, 2012. doi: 10.1016/j.apenergy.2011.08.025.</w:t>
          </w:r>
        </w:p>
        <w:p w14:paraId="3017569F" w14:textId="77777777" w:rsidR="001E7ECF" w:rsidRDefault="001E7ECF">
          <w:pPr>
            <w:autoSpaceDE w:val="0"/>
            <w:autoSpaceDN w:val="0"/>
            <w:ind w:hanging="640"/>
            <w:divId w:val="1219898051"/>
          </w:pPr>
          <w:r>
            <w:t>[69]</w:t>
          </w:r>
          <w:r>
            <w:tab/>
            <w:t xml:space="preserve">M. Pomianowski, P. Heiselberg, and Y. Zhang, “Review of thermal energy storage technologies based on PCM application in buildings,” </w:t>
          </w:r>
          <w:r>
            <w:rPr>
              <w:i/>
              <w:iCs/>
            </w:rPr>
            <w:t>Energy Build</w:t>
          </w:r>
          <w:r>
            <w:t>, vol. 67, pp. 56–69, 2013, doi: 10.1016/j.enbuild.2013.08.006.</w:t>
          </w:r>
        </w:p>
        <w:p w14:paraId="0A62CC0F" w14:textId="77777777" w:rsidR="001E7ECF" w:rsidRDefault="001E7ECF">
          <w:pPr>
            <w:autoSpaceDE w:val="0"/>
            <w:autoSpaceDN w:val="0"/>
            <w:ind w:hanging="640"/>
            <w:divId w:val="267735381"/>
          </w:pPr>
          <w:r>
            <w:t>[70]</w:t>
          </w:r>
          <w:r>
            <w:tab/>
            <w:t xml:space="preserve">A. De Gracia and L. F. Cabeza, “Phase change materials and thermal energy storage for buildings,” </w:t>
          </w:r>
          <w:r>
            <w:rPr>
              <w:i/>
              <w:iCs/>
            </w:rPr>
            <w:t>Energy Build</w:t>
          </w:r>
          <w:r>
            <w:t>, vol. 103, pp. 414–419, 2015, doi: 10.1016/j.enbuild.2015.06.007.</w:t>
          </w:r>
        </w:p>
        <w:p w14:paraId="0B3B1B11" w14:textId="77777777" w:rsidR="001E7ECF" w:rsidRDefault="001E7ECF">
          <w:pPr>
            <w:autoSpaceDE w:val="0"/>
            <w:autoSpaceDN w:val="0"/>
            <w:ind w:hanging="640"/>
            <w:divId w:val="1460412152"/>
          </w:pPr>
          <w:r>
            <w:t>[71]</w:t>
          </w:r>
          <w:r>
            <w:tab/>
            <w:t xml:space="preserve">K. Pielichowska and K. Pielichowski, “Phase change materials for thermal energy storage,” </w:t>
          </w:r>
          <w:r>
            <w:rPr>
              <w:i/>
              <w:iCs/>
            </w:rPr>
            <w:t>Prog Mater Sci</w:t>
          </w:r>
          <w:r>
            <w:t>, vol. 65, pp. 67–123, 2014, doi: 10.1016/j.pmatsci.2014.03.005.</w:t>
          </w:r>
        </w:p>
        <w:p w14:paraId="758A16D1" w14:textId="77777777" w:rsidR="001E7ECF" w:rsidRDefault="001E7ECF">
          <w:pPr>
            <w:autoSpaceDE w:val="0"/>
            <w:autoSpaceDN w:val="0"/>
            <w:ind w:hanging="640"/>
            <w:divId w:val="425662742"/>
          </w:pPr>
          <w:r>
            <w:t>[72]</w:t>
          </w:r>
          <w:r>
            <w:tab/>
            <w:t xml:space="preserve">L. Navarro </w:t>
          </w:r>
          <w:r>
            <w:rPr>
              <w:i/>
              <w:iCs/>
            </w:rPr>
            <w:t>et al.</w:t>
          </w:r>
          <w:r>
            <w:t xml:space="preserve">, “Thermal energy storage in building integrated thermal systems: A review. Part 2. Integration as passive system,” </w:t>
          </w:r>
          <w:r>
            <w:rPr>
              <w:i/>
              <w:iCs/>
            </w:rPr>
            <w:t>Renew Energy</w:t>
          </w:r>
          <w:r>
            <w:t>, vol. 85, pp. 1334–1356, 2016, doi: 10.1016/j.renene.2015.06.064.</w:t>
          </w:r>
        </w:p>
        <w:p w14:paraId="4D9A403E" w14:textId="77777777" w:rsidR="001E7ECF" w:rsidRDefault="001E7ECF">
          <w:pPr>
            <w:autoSpaceDE w:val="0"/>
            <w:autoSpaceDN w:val="0"/>
            <w:ind w:hanging="640"/>
            <w:divId w:val="2089620197"/>
          </w:pPr>
          <w:r>
            <w:t>[73]</w:t>
          </w:r>
          <w:r>
            <w:tab/>
            <w:t xml:space="preserve">S. B. Sadineni, S. Madala, and R. F. Boehm, “Passive building energy savings: A review of building envelope components,” </w:t>
          </w:r>
          <w:r>
            <w:rPr>
              <w:i/>
              <w:iCs/>
            </w:rPr>
            <w:t>Renewable and Sustainable Energy Reviews</w:t>
          </w:r>
          <w:r>
            <w:t>, vol. 15, no. 8, pp. 3617–3631, 2011, doi: 10.1016/j.rser.2011.07.014.</w:t>
          </w:r>
        </w:p>
        <w:p w14:paraId="319F6F27" w14:textId="77777777" w:rsidR="001E7ECF" w:rsidRDefault="001E7ECF">
          <w:pPr>
            <w:autoSpaceDE w:val="0"/>
            <w:autoSpaceDN w:val="0"/>
            <w:ind w:hanging="640"/>
            <w:divId w:val="1823618984"/>
          </w:pPr>
          <w:r>
            <w:t>[74]</w:t>
          </w:r>
          <w:r>
            <w:tab/>
            <w:t xml:space="preserve">S. A. Memon, “Phase change materials integrated in building walls: A state of the art review,” </w:t>
          </w:r>
          <w:r>
            <w:rPr>
              <w:i/>
              <w:iCs/>
            </w:rPr>
            <w:t>Renewable and Sustainable Energy Reviews</w:t>
          </w:r>
          <w:r>
            <w:t>, vol. 31, pp. 870–906, 2014, doi: 10.1016/j.rser.2013.12.042.</w:t>
          </w:r>
        </w:p>
        <w:p w14:paraId="4C7802D5" w14:textId="77777777" w:rsidR="001E7ECF" w:rsidRDefault="001E7ECF">
          <w:pPr>
            <w:autoSpaceDE w:val="0"/>
            <w:autoSpaceDN w:val="0"/>
            <w:ind w:hanging="640"/>
            <w:divId w:val="1195267740"/>
          </w:pPr>
          <w:r>
            <w:t>[75]</w:t>
          </w:r>
          <w:r>
            <w:tab/>
            <w:t xml:space="preserve">H. Akeiber </w:t>
          </w:r>
          <w:r>
            <w:rPr>
              <w:i/>
              <w:iCs/>
            </w:rPr>
            <w:t>et al.</w:t>
          </w:r>
          <w:r>
            <w:t xml:space="preserve">, “A review on phase change material (PCM) for sustainable passive cooling in building envelopes,” </w:t>
          </w:r>
          <w:r>
            <w:rPr>
              <w:i/>
              <w:iCs/>
            </w:rPr>
            <w:t>Renewable and Sustainable Energy Reviews</w:t>
          </w:r>
          <w:r>
            <w:t>, vol. 60, pp. 1470–1497, 2016, doi: 10.1016/j.rser.2016.03.036.</w:t>
          </w:r>
        </w:p>
        <w:p w14:paraId="33119326" w14:textId="77777777" w:rsidR="001E7ECF" w:rsidRDefault="001E7ECF">
          <w:pPr>
            <w:autoSpaceDE w:val="0"/>
            <w:autoSpaceDN w:val="0"/>
            <w:ind w:hanging="640"/>
            <w:divId w:val="786044801"/>
          </w:pPr>
          <w:r>
            <w:t>[76]</w:t>
          </w:r>
          <w:r>
            <w:tab/>
            <w:t xml:space="preserve">Q. Al-Yasiri and M. Szabó, “Incorporation of phase change materials into building envelope for thermal comfort and energy saving: A comprehensive analysis,” </w:t>
          </w:r>
          <w:r>
            <w:rPr>
              <w:i/>
              <w:iCs/>
            </w:rPr>
            <w:t>Journal of Building Engineering</w:t>
          </w:r>
          <w:r>
            <w:t>, vol. 36. Elsevier, p. 102122, Apr. 01, 2021. doi: 10.1016/j.jobe.2020.102122.</w:t>
          </w:r>
        </w:p>
        <w:p w14:paraId="4446F69D" w14:textId="77777777" w:rsidR="001E7ECF" w:rsidRDefault="001E7ECF">
          <w:pPr>
            <w:autoSpaceDE w:val="0"/>
            <w:autoSpaceDN w:val="0"/>
            <w:ind w:hanging="640"/>
            <w:divId w:val="987512933"/>
          </w:pPr>
          <w:r>
            <w:t>[77]</w:t>
          </w:r>
          <w:r>
            <w:tab/>
            <w:t xml:space="preserve">A. Waqas and Z. Ud Din, “Phase change material (PCM) storage for free cooling of buildings - A review,” </w:t>
          </w:r>
          <w:r>
            <w:rPr>
              <w:i/>
              <w:iCs/>
            </w:rPr>
            <w:t>Renewable and Sustainable Energy Reviews</w:t>
          </w:r>
          <w:r>
            <w:t>, vol. 18, pp. 607–625, 2013, doi: 10.1016/j.rser.2012.10.034.</w:t>
          </w:r>
        </w:p>
        <w:p w14:paraId="716FCEC2" w14:textId="77777777" w:rsidR="001E7ECF" w:rsidRDefault="001E7ECF">
          <w:pPr>
            <w:autoSpaceDE w:val="0"/>
            <w:autoSpaceDN w:val="0"/>
            <w:ind w:hanging="640"/>
            <w:divId w:val="1929271258"/>
          </w:pPr>
          <w:r>
            <w:t>[78]</w:t>
          </w:r>
          <w:r>
            <w:tab/>
            <w:t xml:space="preserve">M. Iten, S. Liu, and A. Shukla, “A review on the air-PCM-TES application for free cooling and heating in the buildings,” </w:t>
          </w:r>
          <w:r>
            <w:rPr>
              <w:i/>
              <w:iCs/>
            </w:rPr>
            <w:t>Renewable and Sustainable Energy Reviews</w:t>
          </w:r>
          <w:r>
            <w:t>, vol. 61, pp. 175–186, 2016, doi: 10.1016/j.rser.2016.03.007.</w:t>
          </w:r>
        </w:p>
        <w:p w14:paraId="695BCDA1" w14:textId="77777777" w:rsidR="001E7ECF" w:rsidRDefault="001E7ECF">
          <w:pPr>
            <w:autoSpaceDE w:val="0"/>
            <w:autoSpaceDN w:val="0"/>
            <w:ind w:hanging="640"/>
            <w:divId w:val="1508446228"/>
          </w:pPr>
          <w:r>
            <w:t>[79]</w:t>
          </w:r>
          <w:r>
            <w:tab/>
            <w:t xml:space="preserve">F. Souayfane, F. Fardoun, and P. H. Biwole, “Phase change materials (PCM) for cooling applications in buildings: A review,” </w:t>
          </w:r>
          <w:r>
            <w:rPr>
              <w:i/>
              <w:iCs/>
            </w:rPr>
            <w:t>Energy Build</w:t>
          </w:r>
          <w:r>
            <w:t>, vol. 129, pp. 396–431, 2016, doi: 10.1016/j.enbuild.2016.04.006.</w:t>
          </w:r>
        </w:p>
        <w:p w14:paraId="01EC7BB9" w14:textId="77777777" w:rsidR="001E7ECF" w:rsidRDefault="001E7ECF">
          <w:pPr>
            <w:autoSpaceDE w:val="0"/>
            <w:autoSpaceDN w:val="0"/>
            <w:ind w:hanging="640"/>
            <w:divId w:val="1545754118"/>
          </w:pPr>
          <w:r>
            <w:t>[80]</w:t>
          </w:r>
          <w:r>
            <w:tab/>
            <w:t xml:space="preserve">M. A. Wahid, S. E. Hosseini, H. M. Hussen, H. J. Akeiber, S. N. Saud, and A. T. Mohammad, “An overview of phase change materials for construction architecture thermal management in hot and dry climate region,” </w:t>
          </w:r>
          <w:r>
            <w:rPr>
              <w:i/>
              <w:iCs/>
            </w:rPr>
            <w:t>Appl Therm Eng</w:t>
          </w:r>
          <w:r>
            <w:t>, vol. 112, pp. 1240–1259, 2017, doi: 10.1016/j.applthermaleng.2016.07.032.</w:t>
          </w:r>
        </w:p>
        <w:p w14:paraId="685320B3" w14:textId="77777777" w:rsidR="001E7ECF" w:rsidRDefault="001E7ECF">
          <w:pPr>
            <w:autoSpaceDE w:val="0"/>
            <w:autoSpaceDN w:val="0"/>
            <w:ind w:hanging="640"/>
            <w:divId w:val="1057171211"/>
          </w:pPr>
          <w:r>
            <w:t>[81]</w:t>
          </w:r>
          <w:r>
            <w:tab/>
            <w:t xml:space="preserve">A. Pasupathy, R. Velraj, and R. V. Seeniraj, “Phase change material-based building architecture for thermal management in residential and commercial establishments,” </w:t>
          </w:r>
          <w:r>
            <w:rPr>
              <w:i/>
              <w:iCs/>
            </w:rPr>
            <w:t>Renewable and Sustainable Energy Reviews</w:t>
          </w:r>
          <w:r>
            <w:t>, vol. 12, no. 1, pp. 39–64, 2008, doi: 10.1016/j.rser.2006.05.010.</w:t>
          </w:r>
        </w:p>
        <w:p w14:paraId="581A7195" w14:textId="77777777" w:rsidR="001E7ECF" w:rsidRDefault="001E7ECF">
          <w:pPr>
            <w:autoSpaceDE w:val="0"/>
            <w:autoSpaceDN w:val="0"/>
            <w:ind w:hanging="640"/>
            <w:divId w:val="1390224482"/>
          </w:pPr>
          <w:r>
            <w:t>[82]</w:t>
          </w:r>
          <w:r>
            <w:tab/>
            <w:t xml:space="preserve">G. Alva, Y. Lin, and G. Fang, “An overview of thermal energy storage systems,” </w:t>
          </w:r>
          <w:r>
            <w:rPr>
              <w:i/>
              <w:iCs/>
            </w:rPr>
            <w:t>Energy</w:t>
          </w:r>
          <w:r>
            <w:t>, vol. 144, pp. 341–378, 2018, doi: 10.1016/j.energy.2017.12.037.</w:t>
          </w:r>
        </w:p>
        <w:p w14:paraId="098449F5" w14:textId="77777777" w:rsidR="001E7ECF" w:rsidRDefault="001E7ECF">
          <w:pPr>
            <w:autoSpaceDE w:val="0"/>
            <w:autoSpaceDN w:val="0"/>
            <w:ind w:hanging="640"/>
            <w:divId w:val="1502962354"/>
          </w:pPr>
          <w:r>
            <w:t>[83]</w:t>
          </w:r>
          <w:r>
            <w:tab/>
            <w:t xml:space="preserve">D. Yang, N. Wang, J. Xie, and J. Wang, “Review on active building energy conservation using phase change materials,” in </w:t>
          </w:r>
          <w:r>
            <w:rPr>
              <w:i/>
              <w:iCs/>
            </w:rPr>
            <w:t>E3S Web of Conferences</w:t>
          </w:r>
          <w:r>
            <w:t>, EDP Sciences, Feb. 2021, p. 05007. doi: 10.1051/e3sconf/202123605007.</w:t>
          </w:r>
        </w:p>
        <w:p w14:paraId="3315F3E7" w14:textId="77777777" w:rsidR="001E7ECF" w:rsidRDefault="001E7ECF">
          <w:pPr>
            <w:autoSpaceDE w:val="0"/>
            <w:autoSpaceDN w:val="0"/>
            <w:ind w:hanging="640"/>
            <w:divId w:val="2013725453"/>
          </w:pPr>
          <w:r>
            <w:t>[84]</w:t>
          </w:r>
          <w:r>
            <w:tab/>
            <w:t xml:space="preserve">V. Vakiloroaya, B. Samali, A. Fakhar, and K. Pishghadam, “A review of different strategies for HVAC energy saving,” </w:t>
          </w:r>
          <w:r>
            <w:rPr>
              <w:i/>
              <w:iCs/>
            </w:rPr>
            <w:t>Energy Convers Manag</w:t>
          </w:r>
          <w:r>
            <w:t>, vol. 77, pp. 738–754, 2014, doi: 10.1016/j.enconman.2013.10.023.</w:t>
          </w:r>
        </w:p>
        <w:p w14:paraId="6C3AABB9" w14:textId="77777777" w:rsidR="001E7ECF" w:rsidRDefault="001E7ECF">
          <w:pPr>
            <w:autoSpaceDE w:val="0"/>
            <w:autoSpaceDN w:val="0"/>
            <w:ind w:hanging="640"/>
            <w:divId w:val="258297087"/>
          </w:pPr>
          <w:r>
            <w:t>[85]</w:t>
          </w:r>
          <w:r>
            <w:tab/>
            <w:t xml:space="preserve">Z. Afroz, G. M. Shafiullah, T. Urmee, and G. Higgins, “Modeling techniques used in building HVAC control systems: A review,” </w:t>
          </w:r>
          <w:r>
            <w:rPr>
              <w:i/>
              <w:iCs/>
            </w:rPr>
            <w:t>Renewable and Sustainable Energy Reviews</w:t>
          </w:r>
          <w:r>
            <w:t>, vol. 83, pp. 64–84, Mar. 2018, doi: 10.1016/j.rser.2017.10.044.</w:t>
          </w:r>
        </w:p>
        <w:p w14:paraId="21DACB00" w14:textId="77777777" w:rsidR="001E7ECF" w:rsidRDefault="001E7ECF">
          <w:pPr>
            <w:autoSpaceDE w:val="0"/>
            <w:autoSpaceDN w:val="0"/>
            <w:ind w:hanging="640"/>
            <w:divId w:val="1977950317"/>
          </w:pPr>
          <w:r>
            <w:t>[86]</w:t>
          </w:r>
          <w:r>
            <w:tab/>
            <w:t xml:space="preserve">N. J. Hewitt, “Heat pumps and energy storage - The challenges of implementation,” </w:t>
          </w:r>
          <w:r>
            <w:rPr>
              <w:i/>
              <w:iCs/>
            </w:rPr>
            <w:t>Appl Energy</w:t>
          </w:r>
          <w:r>
            <w:t>, vol. 89, no. 1, pp. 37–44, 2012, doi: 10.1016/j.apenergy.2010.12.028.</w:t>
          </w:r>
        </w:p>
        <w:p w14:paraId="61AA7CF7" w14:textId="77777777" w:rsidR="001E7ECF" w:rsidRDefault="001E7ECF">
          <w:pPr>
            <w:autoSpaceDE w:val="0"/>
            <w:autoSpaceDN w:val="0"/>
            <w:ind w:hanging="640"/>
            <w:divId w:val="194998917"/>
          </w:pPr>
          <w:r>
            <w:t>[87]</w:t>
          </w:r>
          <w:r>
            <w:tab/>
            <w:t xml:space="preserve">S. Rashidi, H. Shamsabadi, J. A. Esfahani, and S. Harmand, “A review on potentials of coupling PCM storage modules to heat pipes and heat pumps,” </w:t>
          </w:r>
          <w:r>
            <w:rPr>
              <w:i/>
              <w:iCs/>
            </w:rPr>
            <w:t>Journal of Thermal Analysis and Calorimetry</w:t>
          </w:r>
          <w:r>
            <w:t>, vol. 140, no. 4. Springer Netherlands, pp. 1655–1713, May 01, 2020. doi: 10.1007/s10973-019-08930-1.</w:t>
          </w:r>
        </w:p>
        <w:p w14:paraId="6488F1E2" w14:textId="77777777" w:rsidR="001E7ECF" w:rsidRDefault="001E7ECF">
          <w:pPr>
            <w:autoSpaceDE w:val="0"/>
            <w:autoSpaceDN w:val="0"/>
            <w:ind w:hanging="640"/>
            <w:divId w:val="2100905766"/>
          </w:pPr>
          <w:r>
            <w:t>[88]</w:t>
          </w:r>
          <w:r>
            <w:tab/>
            <w:t xml:space="preserve">E. Osterman and U. Stritih, “Review on compression heat pump systems with thermal energy storage for heating and cooling of buildings,” </w:t>
          </w:r>
          <w:r>
            <w:rPr>
              <w:i/>
              <w:iCs/>
            </w:rPr>
            <w:t>Journal of Energy Storage</w:t>
          </w:r>
          <w:r>
            <w:t>, vol. 39. Elsevier, p. 102569, Jul. 01, 2021. doi: 10.1016/j.est.2021.102569.</w:t>
          </w:r>
        </w:p>
        <w:p w14:paraId="74B4695A" w14:textId="77777777" w:rsidR="001E7ECF" w:rsidRDefault="001E7ECF">
          <w:pPr>
            <w:autoSpaceDE w:val="0"/>
            <w:autoSpaceDN w:val="0"/>
            <w:ind w:hanging="640"/>
            <w:divId w:val="168523481"/>
          </w:pPr>
          <w:r>
            <w:t>[89]</w:t>
          </w:r>
          <w:r>
            <w:tab/>
            <w:t xml:space="preserve">A. Takudzwa Muzhanje, M. A. Hassan, and H. Hassan, “Phase change material based thermal energy storage applications for air conditioning: Review,” </w:t>
          </w:r>
          <w:r>
            <w:rPr>
              <w:i/>
              <w:iCs/>
            </w:rPr>
            <w:t>Appl Therm Eng</w:t>
          </w:r>
          <w:r>
            <w:t>, vol. 214, p. 118832, Sep. 2022, doi: 10.1016/J.APPLTHERMALENG.2022.118832.</w:t>
          </w:r>
        </w:p>
        <w:p w14:paraId="483AA45F" w14:textId="77777777" w:rsidR="001E7ECF" w:rsidRDefault="001E7ECF">
          <w:pPr>
            <w:autoSpaceDE w:val="0"/>
            <w:autoSpaceDN w:val="0"/>
            <w:ind w:hanging="640"/>
            <w:divId w:val="23363160"/>
          </w:pPr>
          <w:r>
            <w:t>[90]</w:t>
          </w:r>
          <w:r>
            <w:tab/>
            <w:t xml:space="preserve">C. Ermel, M. V. A. Bianchi, A. P. Cardoso, and P. S. Schneider, “Thermal storage integrated into air-source heat pumps to leverage building electrification: A systematic literature review,” </w:t>
          </w:r>
          <w:r>
            <w:rPr>
              <w:i/>
              <w:iCs/>
            </w:rPr>
            <w:t>Appl Therm Eng</w:t>
          </w:r>
          <w:r>
            <w:t>, vol. 215, p. 118975, Oct. 2022, doi: 10.1016/J.APPLTHERMALENG.2022.118975.</w:t>
          </w:r>
        </w:p>
        <w:p w14:paraId="0CC0A1F6" w14:textId="77777777" w:rsidR="001E7ECF" w:rsidRDefault="001E7ECF">
          <w:pPr>
            <w:autoSpaceDE w:val="0"/>
            <w:autoSpaceDN w:val="0"/>
            <w:ind w:hanging="640"/>
            <w:divId w:val="427774901"/>
          </w:pPr>
          <w:r>
            <w:t>[91]</w:t>
          </w:r>
          <w:r>
            <w:tab/>
            <w:t xml:space="preserve">H. Gu, Y. Chen, X. Yao, L. Huang, and D. Zou, “Review on heat pump (HP) coupled with phase change material (PCM) for thermal energy storage,” </w:t>
          </w:r>
          <w:r>
            <w:rPr>
              <w:i/>
              <w:iCs/>
            </w:rPr>
            <w:t>Chemical Engineering Journal</w:t>
          </w:r>
          <w:r>
            <w:t>, p. 140701, Dec. 2022, doi: 10.1016/J.CEJ.2022.140701.</w:t>
          </w:r>
        </w:p>
        <w:p w14:paraId="55121EDA" w14:textId="77777777" w:rsidR="001E7ECF" w:rsidRDefault="001E7ECF">
          <w:pPr>
            <w:autoSpaceDE w:val="0"/>
            <w:autoSpaceDN w:val="0"/>
            <w:ind w:hanging="640"/>
            <w:divId w:val="1727685308"/>
          </w:pPr>
          <w:r>
            <w:t>[92]</w:t>
          </w:r>
          <w:r>
            <w:tab/>
            <w:t>D. H. Blum, “Improving the Use of Commercial Building HVAC Systems for Electric Grid Ancillary Services,” 2016.</w:t>
          </w:r>
        </w:p>
        <w:p w14:paraId="33366BC9" w14:textId="77777777" w:rsidR="001E7ECF" w:rsidRDefault="001E7ECF">
          <w:pPr>
            <w:autoSpaceDE w:val="0"/>
            <w:autoSpaceDN w:val="0"/>
            <w:ind w:hanging="640"/>
            <w:divId w:val="1640768246"/>
          </w:pPr>
          <w:r>
            <w:t>[93]</w:t>
          </w:r>
          <w:r>
            <w:tab/>
            <w:t xml:space="preserve">C. W. Gellings, “The Concept of Demand-Side Management for Electric Utilities,” </w:t>
          </w:r>
          <w:r>
            <w:rPr>
              <w:i/>
              <w:iCs/>
            </w:rPr>
            <w:t>Proceedings of the IEEE</w:t>
          </w:r>
          <w:r>
            <w:t>, vol. 73, no. 10, pp. 1468–1470, 1985, doi: 10.1109/PROC.1985.13318.</w:t>
          </w:r>
        </w:p>
        <w:p w14:paraId="49D1C8A6" w14:textId="77777777" w:rsidR="001E7ECF" w:rsidRDefault="001E7ECF">
          <w:pPr>
            <w:autoSpaceDE w:val="0"/>
            <w:autoSpaceDN w:val="0"/>
            <w:ind w:hanging="640"/>
            <w:divId w:val="1345941458"/>
          </w:pPr>
          <w:r>
            <w:t>[94]</w:t>
          </w:r>
          <w:r>
            <w:tab/>
            <w:t xml:space="preserve">A. Arteconi, N. J. Hewitt, and F. Polonara, “Domestic demand-side management (DSM): Role of heat pumps and thermal energy storage (TES) systems,” </w:t>
          </w:r>
          <w:r>
            <w:rPr>
              <w:i/>
              <w:iCs/>
            </w:rPr>
            <w:t>Appl Therm Eng</w:t>
          </w:r>
          <w:r>
            <w:t>, vol. 51, no. 1–2, pp. 155–165, Mar. 2013, doi: 10.1016/j.applthermaleng.2012.09.023.</w:t>
          </w:r>
        </w:p>
        <w:p w14:paraId="100B5EDA" w14:textId="77777777" w:rsidR="001E7ECF" w:rsidRDefault="001E7ECF">
          <w:pPr>
            <w:autoSpaceDE w:val="0"/>
            <w:autoSpaceDN w:val="0"/>
            <w:ind w:hanging="640"/>
            <w:divId w:val="1803768503"/>
          </w:pPr>
          <w:r>
            <w:t>[95]</w:t>
          </w:r>
          <w:r>
            <w:tab/>
            <w:t xml:space="preserve">T. Q. Péan, J. Salom, and R. Costa-Castelló, “Review of control strategies for improving the energy flexibility provided by heat pump systems in buildings,” </w:t>
          </w:r>
          <w:r>
            <w:rPr>
              <w:i/>
              <w:iCs/>
            </w:rPr>
            <w:t>J Process Control</w:t>
          </w:r>
          <w:r>
            <w:t>, vol. 74, pp. 35–49, Feb. 2019, doi: 10.1016/J.JPROCONT.2018.03.006.</w:t>
          </w:r>
        </w:p>
        <w:p w14:paraId="1F427CCE" w14:textId="77777777" w:rsidR="001E7ECF" w:rsidRDefault="001E7ECF">
          <w:pPr>
            <w:autoSpaceDE w:val="0"/>
            <w:autoSpaceDN w:val="0"/>
            <w:ind w:hanging="640"/>
            <w:divId w:val="1234123429"/>
          </w:pPr>
          <w:r>
            <w:t>[96]</w:t>
          </w:r>
          <w:r>
            <w:tab/>
            <w:t xml:space="preserve">B. Neenan, “Quantifying the Impacts of Time-Based Rates, Enabling Technology, and Other Treatments in Consumer Behavior Studies,” </w:t>
          </w:r>
          <w:r>
            <w:rPr>
              <w:i/>
              <w:iCs/>
            </w:rPr>
            <w:t>EPRI Technical Report</w:t>
          </w:r>
          <w:r>
            <w:t>, no. July, p. 142, 2013.</w:t>
          </w:r>
        </w:p>
        <w:p w14:paraId="54BAB9BC" w14:textId="77777777" w:rsidR="001E7ECF" w:rsidRDefault="001E7ECF">
          <w:pPr>
            <w:autoSpaceDE w:val="0"/>
            <w:autoSpaceDN w:val="0"/>
            <w:ind w:hanging="640"/>
            <w:divId w:val="1638223493"/>
          </w:pPr>
          <w:r>
            <w:t>[97]</w:t>
          </w:r>
          <w:r>
            <w:tab/>
            <w:t>G. Krasimiroy, “Building Thermal Energy Storage,” Technical University of Denmark, Department of Civil Engineering., 2014.</w:t>
          </w:r>
        </w:p>
        <w:p w14:paraId="1A744567" w14:textId="77777777" w:rsidR="001E7ECF" w:rsidRDefault="001E7ECF">
          <w:pPr>
            <w:autoSpaceDE w:val="0"/>
            <w:autoSpaceDN w:val="0"/>
            <w:ind w:hanging="640"/>
            <w:divId w:val="1617519375"/>
          </w:pPr>
          <w:r>
            <w:t>[98]</w:t>
          </w:r>
          <w:r>
            <w:tab/>
            <w:t xml:space="preserve">B. Cui, S. Wang, and Y. Sun, “Life-cycle cost benefit analysis and optimal design of small scale active storage system for building demand limiting,” </w:t>
          </w:r>
          <w:r>
            <w:rPr>
              <w:i/>
              <w:iCs/>
            </w:rPr>
            <w:t>Energy</w:t>
          </w:r>
          <w:r>
            <w:t>, vol. 73, pp. 787–800, Aug. 2014, doi: 10.1016/j.energy.2014.06.084.</w:t>
          </w:r>
        </w:p>
        <w:p w14:paraId="79974DAA" w14:textId="77777777" w:rsidR="001E7ECF" w:rsidRDefault="001E7ECF">
          <w:pPr>
            <w:autoSpaceDE w:val="0"/>
            <w:autoSpaceDN w:val="0"/>
            <w:ind w:hanging="640"/>
            <w:divId w:val="1237713170"/>
          </w:pPr>
          <w:r>
            <w:t>[99]</w:t>
          </w:r>
          <w:r>
            <w:tab/>
            <w:t xml:space="preserve">I. Dincer, “Renewable energy and sustainable development: a crucial review,” </w:t>
          </w:r>
          <w:r>
            <w:rPr>
              <w:i/>
              <w:iCs/>
            </w:rPr>
            <w:t>Renewable and Sustainable Energy Reviews</w:t>
          </w:r>
          <w:r>
            <w:t>, vol. 4, no. 2, pp. 157–175, 2000, doi: 10.1016/S1364-0321(99)00011-8.</w:t>
          </w:r>
        </w:p>
        <w:p w14:paraId="3C8B7D60" w14:textId="77777777" w:rsidR="001E7ECF" w:rsidRDefault="001E7ECF">
          <w:pPr>
            <w:autoSpaceDE w:val="0"/>
            <w:autoSpaceDN w:val="0"/>
            <w:ind w:hanging="640"/>
            <w:divId w:val="710036763"/>
          </w:pPr>
          <w:r>
            <w:t>[100]</w:t>
          </w:r>
          <w:r>
            <w:tab/>
            <w:t xml:space="preserve">N. Takham and N. Tippayawong, “Experimental Investigation of hot Water Generation from Small CaO/Ca(OH)2 Thermochemical Energy Storage System,” </w:t>
          </w:r>
          <w:r>
            <w:rPr>
              <w:i/>
              <w:iCs/>
            </w:rPr>
            <w:t>IOP Conf Ser Earth Environ Sci</w:t>
          </w:r>
          <w:r>
            <w:t>, vol. 159, no. 1, p. 012002, Jun. 2018, doi: 10.1088/1755-1315/159/1/012002.</w:t>
          </w:r>
        </w:p>
        <w:p w14:paraId="4E55A736" w14:textId="77777777" w:rsidR="001E7ECF" w:rsidRDefault="001E7ECF">
          <w:pPr>
            <w:autoSpaceDE w:val="0"/>
            <w:autoSpaceDN w:val="0"/>
            <w:ind w:hanging="640"/>
            <w:divId w:val="846559127"/>
          </w:pPr>
          <w:r>
            <w:t>[101]</w:t>
          </w:r>
          <w:r>
            <w:tab/>
            <w:t xml:space="preserve">I. Dincer, A. Midilli, and H. Kucuk, Eds., </w:t>
          </w:r>
          <w:r>
            <w:rPr>
              <w:i/>
              <w:iCs/>
            </w:rPr>
            <w:t>Progress in Sustainable Energy Technologies: Generating Renewable Energy</w:t>
          </w:r>
          <w:r>
            <w:t>. Cham: Springer International Publishing, 2014. doi: 10.1007/978-3-319-07896-0.</w:t>
          </w:r>
        </w:p>
        <w:p w14:paraId="46FCAC91" w14:textId="77777777" w:rsidR="001E7ECF" w:rsidRDefault="001E7ECF">
          <w:pPr>
            <w:autoSpaceDE w:val="0"/>
            <w:autoSpaceDN w:val="0"/>
            <w:ind w:hanging="640"/>
            <w:divId w:val="375475680"/>
          </w:pPr>
          <w:r>
            <w:t>[102]</w:t>
          </w:r>
          <w:r>
            <w:tab/>
            <w:t xml:space="preserve">A. S. Fleischer, </w:t>
          </w:r>
          <w:r>
            <w:rPr>
              <w:i/>
              <w:iCs/>
            </w:rPr>
            <w:t>Thermal Energy Storage Using Phase Change Materials</w:t>
          </w:r>
          <w:r>
            <w:t>. in SpringerBriefs in Applied Sciences and Technology. Cham: Springer International Publishing, 2015. doi: 10.1007/978-3-319-20922-7.</w:t>
          </w:r>
        </w:p>
        <w:p w14:paraId="66750A5E" w14:textId="77777777" w:rsidR="001E7ECF" w:rsidRDefault="001E7ECF">
          <w:pPr>
            <w:autoSpaceDE w:val="0"/>
            <w:autoSpaceDN w:val="0"/>
            <w:ind w:hanging="640"/>
            <w:divId w:val="504318866"/>
          </w:pPr>
          <w:r>
            <w:t>[103]</w:t>
          </w:r>
          <w:r>
            <w:tab/>
            <w:t xml:space="preserve">I. Sarbu and C. Sebarchievici, “A comprehensive review of thermal energy storage,” </w:t>
          </w:r>
          <w:r>
            <w:rPr>
              <w:i/>
              <w:iCs/>
            </w:rPr>
            <w:t>Sustainability (Switzerland)</w:t>
          </w:r>
          <w:r>
            <w:t>, vol. 10, no. 1, 2018, doi: 10.3390/su10010191.</w:t>
          </w:r>
        </w:p>
        <w:p w14:paraId="331BB43B" w14:textId="77777777" w:rsidR="001E7ECF" w:rsidRDefault="001E7ECF">
          <w:pPr>
            <w:autoSpaceDE w:val="0"/>
            <w:autoSpaceDN w:val="0"/>
            <w:ind w:hanging="640"/>
            <w:divId w:val="970091712"/>
          </w:pPr>
          <w:r>
            <w:t>[104]</w:t>
          </w:r>
          <w:r>
            <w:tab/>
            <w:t xml:space="preserve">X. Wang, Y. Zhang, W. Xiao, R. Zeng, Q. Zhang, and H. Di, “Review on thermal performance of phase change energy storage building envelope,” </w:t>
          </w:r>
          <w:r>
            <w:rPr>
              <w:i/>
              <w:iCs/>
            </w:rPr>
            <w:t>Chinese Science Bulletin</w:t>
          </w:r>
          <w:r>
            <w:t>, vol. 54, no. 6, pp. 920–928, Mar. 2009, doi: 10.1007/s11434-009-0120-8.</w:t>
          </w:r>
        </w:p>
        <w:p w14:paraId="48DE0D7B" w14:textId="77777777" w:rsidR="001E7ECF" w:rsidRDefault="001E7ECF">
          <w:pPr>
            <w:autoSpaceDE w:val="0"/>
            <w:autoSpaceDN w:val="0"/>
            <w:ind w:hanging="640"/>
            <w:divId w:val="675110418"/>
          </w:pPr>
          <w:r>
            <w:t>[105]</w:t>
          </w:r>
          <w:r>
            <w:tab/>
            <w:t xml:space="preserve">M. Thambidurai, K. Panchabikesan, N. Krishna Mohan, and V. Ramalingam, “Review on phase change material based free cooling of buildings-The way toward sustainability,” </w:t>
          </w:r>
          <w:r>
            <w:rPr>
              <w:i/>
              <w:iCs/>
            </w:rPr>
            <w:t>J Energy Storage</w:t>
          </w:r>
          <w:r>
            <w:t>, vol. 4, pp. 74–88, 2015, doi: 10.1016/j.est.2015.09.003.</w:t>
          </w:r>
        </w:p>
        <w:p w14:paraId="09B7FD8E" w14:textId="77777777" w:rsidR="001E7ECF" w:rsidRDefault="001E7ECF">
          <w:pPr>
            <w:autoSpaceDE w:val="0"/>
            <w:autoSpaceDN w:val="0"/>
            <w:ind w:hanging="640"/>
            <w:divId w:val="1936472914"/>
          </w:pPr>
          <w:r>
            <w:t>[106]</w:t>
          </w:r>
          <w:r>
            <w:tab/>
            <w:t xml:space="preserve">G. R. Newsham and B. G. Bowker, “The effect of utility time-varying pricing and load control strategies on residential summer peak electricity use: A review,” </w:t>
          </w:r>
          <w:r>
            <w:rPr>
              <w:i/>
              <w:iCs/>
            </w:rPr>
            <w:t>Energy Policy</w:t>
          </w:r>
          <w:r>
            <w:t>, vol. 38, no. 7, pp. 3289–3296, Jul. 2010, doi: 10.1016/j.enpol.2010.01.027.</w:t>
          </w:r>
        </w:p>
        <w:p w14:paraId="7286EA34" w14:textId="77777777" w:rsidR="001E7ECF" w:rsidRDefault="001E7ECF">
          <w:pPr>
            <w:autoSpaceDE w:val="0"/>
            <w:autoSpaceDN w:val="0"/>
            <w:ind w:hanging="640"/>
            <w:divId w:val="1126311029"/>
          </w:pPr>
          <w:r>
            <w:t>[107]</w:t>
          </w:r>
          <w:r>
            <w:tab/>
            <w:t xml:space="preserve">J. E. Braun, “Reducing energy costs and peak electrical demand through optimal control of building thermal storage,” in </w:t>
          </w:r>
          <w:r>
            <w:rPr>
              <w:i/>
              <w:iCs/>
            </w:rPr>
            <w:t>ASHRAE Transactions</w:t>
          </w:r>
          <w:r>
            <w:t>, 1990, pp. 876–888.</w:t>
          </w:r>
        </w:p>
        <w:p w14:paraId="3CD3C0E1" w14:textId="77777777" w:rsidR="001E7ECF" w:rsidRDefault="001E7ECF">
          <w:pPr>
            <w:autoSpaceDE w:val="0"/>
            <w:autoSpaceDN w:val="0"/>
            <w:ind w:hanging="640"/>
            <w:divId w:val="785731401"/>
          </w:pPr>
          <w:r>
            <w:t>[108]</w:t>
          </w:r>
          <w:r>
            <w:tab/>
            <w:t xml:space="preserve">A. Rabl and L. K. Norford, “Peak load reduction by preconditioning buildings at night,” </w:t>
          </w:r>
          <w:r>
            <w:rPr>
              <w:i/>
              <w:iCs/>
            </w:rPr>
            <w:t>Int J Energy Res</w:t>
          </w:r>
          <w:r>
            <w:t>, vol. 15, no. 9, pp. 781–798, Dec. 1991, doi: 10.1002/er.4440150909.</w:t>
          </w:r>
        </w:p>
        <w:p w14:paraId="229B5879" w14:textId="77777777" w:rsidR="001E7ECF" w:rsidRDefault="001E7ECF">
          <w:pPr>
            <w:autoSpaceDE w:val="0"/>
            <w:autoSpaceDN w:val="0"/>
            <w:ind w:hanging="640"/>
            <w:divId w:val="993144568"/>
          </w:pPr>
          <w:r>
            <w:t>[109]</w:t>
          </w:r>
          <w:r>
            <w:tab/>
            <w:t xml:space="preserve">S. Gottwalt, W. Ketter, C. Block, J. Collins, and C. Weinhardt, “Demand side management-A simulation of household behavior under variable prices,” </w:t>
          </w:r>
          <w:r>
            <w:rPr>
              <w:i/>
              <w:iCs/>
            </w:rPr>
            <w:t>Energy Policy</w:t>
          </w:r>
          <w:r>
            <w:t>, vol. 39, no. 12, pp. 8163–8174, Dec. 2011, doi: 10.1016/j.enpol.2011.10.016.</w:t>
          </w:r>
        </w:p>
        <w:p w14:paraId="3C9DE08A" w14:textId="77777777" w:rsidR="001E7ECF" w:rsidRDefault="001E7ECF">
          <w:pPr>
            <w:autoSpaceDE w:val="0"/>
            <w:autoSpaceDN w:val="0"/>
            <w:ind w:hanging="640"/>
            <w:divId w:val="1988243848"/>
          </w:pPr>
          <w:r>
            <w:t>[110]</w:t>
          </w:r>
          <w:r>
            <w:tab/>
            <w:t xml:space="preserve">E. Vrettos, K. Lai, F. Oldewurtel, and G. Andersson, “Predictive Control of buildings for Demand Response with dynamic day-ahead and real-time prices,” in </w:t>
          </w:r>
          <w:r>
            <w:rPr>
              <w:i/>
              <w:iCs/>
            </w:rPr>
            <w:t>2013 European Control Conference, ECC 2013</w:t>
          </w:r>
          <w:r>
            <w:t>, 2013, pp. 2527–2534. doi: 10.23919/ecc.2013.6669762.</w:t>
          </w:r>
        </w:p>
        <w:p w14:paraId="0FBBEC05" w14:textId="77777777" w:rsidR="001E7ECF" w:rsidRDefault="001E7ECF">
          <w:pPr>
            <w:autoSpaceDE w:val="0"/>
            <w:autoSpaceDN w:val="0"/>
            <w:ind w:hanging="640"/>
            <w:divId w:val="1305354576"/>
          </w:pPr>
          <w:r>
            <w:t>[111]</w:t>
          </w:r>
          <w:r>
            <w:tab/>
            <w:t xml:space="preserve">J. H. Yoon, R. Bladick, and A. Novoselac, “Demand response for residential buildings based on dynamic price of electricity,” </w:t>
          </w:r>
          <w:r>
            <w:rPr>
              <w:i/>
              <w:iCs/>
            </w:rPr>
            <w:t>Energy Build</w:t>
          </w:r>
          <w:r>
            <w:t>, vol. 80, pp. 531–541, Sep. 2014, doi: 10.1016/j.enbuild.2014.05.002.</w:t>
          </w:r>
        </w:p>
        <w:p w14:paraId="375A4625" w14:textId="77777777" w:rsidR="001E7ECF" w:rsidRDefault="001E7ECF">
          <w:pPr>
            <w:autoSpaceDE w:val="0"/>
            <w:autoSpaceDN w:val="0"/>
            <w:ind w:hanging="640"/>
            <w:divId w:val="26879326"/>
          </w:pPr>
          <w:r>
            <w:t>[112]</w:t>
          </w:r>
          <w:r>
            <w:tab/>
            <w:t xml:space="preserve">J. H. Yoon, R. Baldick, and A. Novoselac, “Demand response control of residential HVAC loads based on dynamic electricity prices and economic analysis,” </w:t>
          </w:r>
          <w:r>
            <w:rPr>
              <w:i/>
              <w:iCs/>
            </w:rPr>
            <w:t>Sci Technol Built Environ</w:t>
          </w:r>
          <w:r>
            <w:t>, vol. 22, no. 6, pp. 705–719, Aug. 2016, doi: 10.1080/23744731.2016.1195659.</w:t>
          </w:r>
        </w:p>
        <w:p w14:paraId="1D41DA7A" w14:textId="77777777" w:rsidR="001E7ECF" w:rsidRDefault="001E7ECF">
          <w:pPr>
            <w:autoSpaceDE w:val="0"/>
            <w:autoSpaceDN w:val="0"/>
            <w:ind w:hanging="640"/>
            <w:divId w:val="295794597"/>
          </w:pPr>
          <w:r>
            <w:t>[113]</w:t>
          </w:r>
          <w:r>
            <w:tab/>
            <w:t xml:space="preserve">L. Schibuola, M. Scarpa, and C. Tambani, “Demand response management by means of heat pumps controlled via real time pricing,” </w:t>
          </w:r>
          <w:r>
            <w:rPr>
              <w:i/>
              <w:iCs/>
            </w:rPr>
            <w:t>Energy Build</w:t>
          </w:r>
          <w:r>
            <w:t>, vol. 90, pp. 15–28, Mar. 2015, doi: 10.1016/j.enbuild.2014.12.047.</w:t>
          </w:r>
        </w:p>
        <w:p w14:paraId="0267366B" w14:textId="77777777" w:rsidR="001E7ECF" w:rsidRDefault="001E7ECF">
          <w:pPr>
            <w:autoSpaceDE w:val="0"/>
            <w:autoSpaceDN w:val="0"/>
            <w:ind w:hanging="640"/>
            <w:divId w:val="365059227"/>
          </w:pPr>
          <w:r>
            <w:t>[114]</w:t>
          </w:r>
          <w:r>
            <w:tab/>
            <w:t xml:space="preserve">M. Farrokhifar, F. Momayyezi, N. Sadoogi, and A. Safari, “Real-time based approach for intelligent building energy management using dynamic price policies,” </w:t>
          </w:r>
          <w:r>
            <w:rPr>
              <w:i/>
              <w:iCs/>
            </w:rPr>
            <w:t>Sustain Cities Soc</w:t>
          </w:r>
          <w:r>
            <w:t>, vol. 37, pp. 85–92, Feb. 2018, doi: 10.1016/j.scs.2017.11.011.</w:t>
          </w:r>
        </w:p>
        <w:p w14:paraId="4C9F4DE9" w14:textId="77777777" w:rsidR="001E7ECF" w:rsidRDefault="001E7ECF">
          <w:pPr>
            <w:autoSpaceDE w:val="0"/>
            <w:autoSpaceDN w:val="0"/>
            <w:ind w:hanging="640"/>
            <w:divId w:val="1562012456"/>
          </w:pPr>
          <w:r>
            <w:t>[115]</w:t>
          </w:r>
          <w:r>
            <w:tab/>
            <w:t xml:space="preserve">L. Romero Rodríguez, J. Sánchez Ramos, S. Álvarez Domínguez, and U. Eicker, “Contributions of heat pumps to demand response: A case study of a plus-energy dwelling,” </w:t>
          </w:r>
          <w:r>
            <w:rPr>
              <w:i/>
              <w:iCs/>
            </w:rPr>
            <w:t>Appl Energy</w:t>
          </w:r>
          <w:r>
            <w:t>, vol. 214, pp. 191–204, Mar. 2018, doi: 10.1016/j.apenergy.2018.01.086.</w:t>
          </w:r>
        </w:p>
        <w:p w14:paraId="167CAF7A" w14:textId="77777777" w:rsidR="001E7ECF" w:rsidRDefault="001E7ECF">
          <w:pPr>
            <w:autoSpaceDE w:val="0"/>
            <w:autoSpaceDN w:val="0"/>
            <w:ind w:hanging="640"/>
            <w:divId w:val="329060989"/>
          </w:pPr>
          <w:r>
            <w:t>[116]</w:t>
          </w:r>
          <w:r>
            <w:tab/>
            <w:t xml:space="preserve">V. Arabzadeh, B. Alimohammadisagvand, J. Jokisalo, and K. Siren, “A novel cost-optimizing demand response control for a heat pump heated residential building,” </w:t>
          </w:r>
          <w:r>
            <w:rPr>
              <w:i/>
              <w:iCs/>
            </w:rPr>
            <w:t>Build Simul</w:t>
          </w:r>
          <w:r>
            <w:t>, vol. 11, no. 3, pp. 533–547, Jun. 2018, doi: 10.1007/s12273-017-0425-5.</w:t>
          </w:r>
        </w:p>
        <w:p w14:paraId="48649EE8" w14:textId="77777777" w:rsidR="001E7ECF" w:rsidRDefault="001E7ECF">
          <w:pPr>
            <w:autoSpaceDE w:val="0"/>
            <w:autoSpaceDN w:val="0"/>
            <w:ind w:hanging="640"/>
            <w:divId w:val="1410616401"/>
          </w:pPr>
          <w:r>
            <w:t>[117]</w:t>
          </w:r>
          <w:r>
            <w:tab/>
            <w:t xml:space="preserve">W. J. N. Turner, I. S. Walker, and J. Roux, “Peak load reductions: Electric load shifting with mechanical pre-cooling of residential buildings with low thermal mass,” </w:t>
          </w:r>
          <w:r>
            <w:rPr>
              <w:i/>
              <w:iCs/>
            </w:rPr>
            <w:t>Energy</w:t>
          </w:r>
          <w:r>
            <w:t>, vol. 82, pp. 1057–1067, Mar. 2015, doi: 10.1016/j.energy.2015.02.011.</w:t>
          </w:r>
        </w:p>
        <w:p w14:paraId="5730FDFA" w14:textId="77777777" w:rsidR="001E7ECF" w:rsidRDefault="001E7ECF">
          <w:pPr>
            <w:autoSpaceDE w:val="0"/>
            <w:autoSpaceDN w:val="0"/>
            <w:ind w:hanging="640"/>
            <w:divId w:val="1565143354"/>
          </w:pPr>
          <w:r>
            <w:t>[118]</w:t>
          </w:r>
          <w:r>
            <w:tab/>
            <w:t xml:space="preserve">M. Ali, A. Safdarian, and M. Lehtonen, “Demand response potential of residential HVAC loads considering users preferences,” in </w:t>
          </w:r>
          <w:r>
            <w:rPr>
              <w:i/>
              <w:iCs/>
            </w:rPr>
            <w:t>IEEE PES Innovative Smart Grid Technologies Conference Europe</w:t>
          </w:r>
          <w:r>
            <w:t>, IEEE Computer Society, Jan. 2015. doi: 10.1109/ISGTEurope.2014.7028883.</w:t>
          </w:r>
        </w:p>
        <w:p w14:paraId="0D8C358B" w14:textId="77777777" w:rsidR="001E7ECF" w:rsidRDefault="001E7ECF">
          <w:pPr>
            <w:autoSpaceDE w:val="0"/>
            <w:autoSpaceDN w:val="0"/>
            <w:ind w:hanging="640"/>
            <w:divId w:val="632903173"/>
          </w:pPr>
          <w:r>
            <w:t>[119]</w:t>
          </w:r>
          <w:r>
            <w:tab/>
            <w:t xml:space="preserve">B. Alimohammadisagvand, S. Alam, M. Ali, M. Degefa, J. Jokisalo, and K. Sirén, “Influence of energy demand response actions on thermal comfort and energy cost in electrically heated residential houses,” </w:t>
          </w:r>
          <w:r>
            <w:rPr>
              <w:i/>
              <w:iCs/>
            </w:rPr>
            <w:t>Indoor and Built Environment</w:t>
          </w:r>
          <w:r>
            <w:t>, vol. 26, no. 3, pp. 298–316, Sep. 2017, doi: 10.1177/1420326X15608514.</w:t>
          </w:r>
        </w:p>
        <w:p w14:paraId="56EEC12E" w14:textId="77777777" w:rsidR="001E7ECF" w:rsidRDefault="001E7ECF">
          <w:pPr>
            <w:autoSpaceDE w:val="0"/>
            <w:autoSpaceDN w:val="0"/>
            <w:ind w:hanging="640"/>
            <w:divId w:val="689330918"/>
          </w:pPr>
          <w:r>
            <w:t>[120]</w:t>
          </w:r>
          <w:r>
            <w:tab/>
            <w:t xml:space="preserve">B. Alimohammadisagvand, J. Jokisalo, S. Kilpeläinen, M. Ali, and K. Sirén, “Cost-optimal thermal energy storage system for a residential building with heat pump heating and demand response control,” </w:t>
          </w:r>
          <w:r>
            <w:rPr>
              <w:i/>
              <w:iCs/>
            </w:rPr>
            <w:t>Appl Energy</w:t>
          </w:r>
          <w:r>
            <w:t>, vol. 174, pp. 275–287, Jul. 2016, doi: 10.1016/j.apenergy.2016.04.013.</w:t>
          </w:r>
        </w:p>
        <w:p w14:paraId="2075D795" w14:textId="77777777" w:rsidR="001E7ECF" w:rsidRDefault="001E7ECF">
          <w:pPr>
            <w:autoSpaceDE w:val="0"/>
            <w:autoSpaceDN w:val="0"/>
            <w:ind w:hanging="640"/>
            <w:divId w:val="1142579604"/>
          </w:pPr>
          <w:r>
            <w:t>[121]</w:t>
          </w:r>
          <w:r>
            <w:tab/>
            <w:t xml:space="preserve">C. Arkar and S. Medved, “Free cooling of a building using PCM heat storage integrated into the ventilation system,” </w:t>
          </w:r>
          <w:r>
            <w:rPr>
              <w:i/>
              <w:iCs/>
            </w:rPr>
            <w:t>Solar Energy</w:t>
          </w:r>
          <w:r>
            <w:t>, vol. 81, no. 9, pp. 1078–1087, Sep. 2007, doi: 10.1016/j.solener.2007.01.010.</w:t>
          </w:r>
        </w:p>
        <w:p w14:paraId="63DC28BF" w14:textId="77777777" w:rsidR="001E7ECF" w:rsidRDefault="001E7ECF">
          <w:pPr>
            <w:autoSpaceDE w:val="0"/>
            <w:autoSpaceDN w:val="0"/>
            <w:ind w:hanging="640"/>
            <w:divId w:val="331180245"/>
          </w:pPr>
          <w:r>
            <w:t>[122]</w:t>
          </w:r>
          <w:r>
            <w:tab/>
            <w:t xml:space="preserve">F. Ahmed, M. Mahmood, A. Waqas, N. Ahmad, and M. Ali, “Thermal analysis of macro-encapsulated phase change material coupled with domestic gas heater for building heating,” </w:t>
          </w:r>
          <w:r>
            <w:rPr>
              <w:i/>
              <w:iCs/>
            </w:rPr>
            <w:t>Sustainable Energy Technologies and Assessments</w:t>
          </w:r>
          <w:r>
            <w:t>, vol. 47, p. 101533, Oct. 2021, doi: 10.1016/j.seta.2021.101533.</w:t>
          </w:r>
        </w:p>
        <w:p w14:paraId="10141B61" w14:textId="77777777" w:rsidR="001E7ECF" w:rsidRDefault="001E7ECF">
          <w:pPr>
            <w:autoSpaceDE w:val="0"/>
            <w:autoSpaceDN w:val="0"/>
            <w:ind w:hanging="640"/>
            <w:divId w:val="1402867015"/>
          </w:pPr>
          <w:r>
            <w:t>[123]</w:t>
          </w:r>
          <w:r>
            <w:tab/>
            <w:t xml:space="preserve">X. Chen, Q. Zhang, Z. J. Zhai, and X. Ma, “Potential of ventilation systems with thermal energy storage using PCMs applied to air conditioned buildings,” </w:t>
          </w:r>
          <w:r>
            <w:rPr>
              <w:i/>
              <w:iCs/>
            </w:rPr>
            <w:t>Renew Energy</w:t>
          </w:r>
          <w:r>
            <w:t>, vol. 138, pp. 39–53, Aug. 2019, doi: 10.1016/j.renene.2019.01.026.</w:t>
          </w:r>
        </w:p>
        <w:p w14:paraId="6E6B129B" w14:textId="77777777" w:rsidR="001E7ECF" w:rsidRDefault="001E7ECF">
          <w:pPr>
            <w:autoSpaceDE w:val="0"/>
            <w:autoSpaceDN w:val="0"/>
            <w:ind w:hanging="640"/>
            <w:divId w:val="1865241798"/>
          </w:pPr>
          <w:r>
            <w:t>[124]</w:t>
          </w:r>
          <w:r>
            <w:tab/>
            <w:t xml:space="preserve">C. K. Halford and R. F. Boehm, “Modeling of phase change material peak load shifting,” </w:t>
          </w:r>
          <w:r>
            <w:rPr>
              <w:i/>
              <w:iCs/>
            </w:rPr>
            <w:t>Energy Build</w:t>
          </w:r>
          <w:r>
            <w:t>, vol. 39, no. 3, pp. 298–305, Mar. 2007, doi: 10.1016/j.enbuild.2006.07.005.</w:t>
          </w:r>
        </w:p>
        <w:p w14:paraId="1CB5B142" w14:textId="77777777" w:rsidR="001E7ECF" w:rsidRDefault="001E7ECF">
          <w:pPr>
            <w:autoSpaceDE w:val="0"/>
            <w:autoSpaceDN w:val="0"/>
            <w:ind w:hanging="640"/>
            <w:divId w:val="1357655435"/>
          </w:pPr>
          <w:r>
            <w:t>[125]</w:t>
          </w:r>
          <w:r>
            <w:tab/>
            <w:t xml:space="preserve">J. Kośny, A. Fallahi, N. Shukla, E. Kossecka, and R. Ahbari, “Thermal load mitigation and passive cooling in residential attics containing PCM-enhanced insulations,” </w:t>
          </w:r>
          <w:r>
            <w:rPr>
              <w:i/>
              <w:iCs/>
            </w:rPr>
            <w:t>Solar Energy</w:t>
          </w:r>
          <w:r>
            <w:t>, vol. 108, pp. 164–177, Oct. 2014, doi: 10.1016/j.solener.2014.05.007.</w:t>
          </w:r>
        </w:p>
        <w:p w14:paraId="015DE8A7" w14:textId="77777777" w:rsidR="001E7ECF" w:rsidRDefault="001E7ECF">
          <w:pPr>
            <w:autoSpaceDE w:val="0"/>
            <w:autoSpaceDN w:val="0"/>
            <w:ind w:hanging="640"/>
            <w:divId w:val="1037048319"/>
          </w:pPr>
          <w:r>
            <w:t>[126]</w:t>
          </w:r>
          <w:r>
            <w:tab/>
            <w:t xml:space="preserve">R. Barzin, J. J. J. Chen, B. R. Young, and M. M. Farid, “Application of PCM underfloor heating in combination with PCM wallboards for space heating using price based control system,” </w:t>
          </w:r>
          <w:r>
            <w:rPr>
              <w:i/>
              <w:iCs/>
            </w:rPr>
            <w:t>Appl Energy</w:t>
          </w:r>
          <w:r>
            <w:t>, vol. 148, pp. 39–48, Jun. 2015, doi: 10.1016/j.apenergy.2015.03.027.</w:t>
          </w:r>
        </w:p>
        <w:p w14:paraId="0AB30093" w14:textId="77777777" w:rsidR="001E7ECF" w:rsidRDefault="001E7ECF">
          <w:pPr>
            <w:autoSpaceDE w:val="0"/>
            <w:autoSpaceDN w:val="0"/>
            <w:ind w:hanging="640"/>
            <w:divId w:val="1395348225"/>
          </w:pPr>
          <w:r>
            <w:t>[127]</w:t>
          </w:r>
          <w:r>
            <w:tab/>
            <w:t xml:space="preserve">M. T. Plytaria, C. Tzivanidis, E. Bellos, and K. A. Antonopoulos, “Energetic investigation of solar assisted heat pump underfloor heating systems with and without phase change materials,” </w:t>
          </w:r>
          <w:r>
            <w:rPr>
              <w:i/>
              <w:iCs/>
            </w:rPr>
            <w:t>Energy Convers Manag</w:t>
          </w:r>
          <w:r>
            <w:t>, vol. 173, pp. 626–639, Oct. 2018, doi: 10.1016/j.enconman.2018.08.010.</w:t>
          </w:r>
        </w:p>
        <w:p w14:paraId="1029B9D5" w14:textId="77777777" w:rsidR="001E7ECF" w:rsidRDefault="001E7ECF">
          <w:pPr>
            <w:autoSpaceDE w:val="0"/>
            <w:autoSpaceDN w:val="0"/>
            <w:ind w:hanging="640"/>
            <w:divId w:val="2074621670"/>
          </w:pPr>
          <w:r>
            <w:t>[128]</w:t>
          </w:r>
          <w:r>
            <w:tab/>
            <w:t xml:space="preserve">K. Muruganantham, P. Phelan, P. Horwath, D. Ludlam, and T. McDonald, “Experimental investigation of a bio-based phase-change material to improve building energy performance,” in </w:t>
          </w:r>
          <w:r>
            <w:rPr>
              <w:i/>
              <w:iCs/>
            </w:rPr>
            <w:t>ASME 2010 4th International Conference on Energy Sustainability, ES 2010</w:t>
          </w:r>
          <w:r>
            <w:t>, American Society of Mechanical Engineers Digital Collection, Dec. 2010, pp. 979–984. doi: 10.1115/ES2010-90035.</w:t>
          </w:r>
        </w:p>
        <w:p w14:paraId="2BCAE8B9" w14:textId="77777777" w:rsidR="001E7ECF" w:rsidRDefault="001E7ECF">
          <w:pPr>
            <w:autoSpaceDE w:val="0"/>
            <w:autoSpaceDN w:val="0"/>
            <w:ind w:hanging="640"/>
            <w:divId w:val="647393559"/>
          </w:pPr>
          <w:r>
            <w:t>[129]</w:t>
          </w:r>
          <w:r>
            <w:tab/>
            <w:t xml:space="preserve">F. Ascione, N. Bianco, R. F. De Masi, M. Mastellone, and G. Peter Vanoli, “Phase change materials for reducing cooling energy demand and improving indoor comfort: A step-by-step retrofit of a Mediterranean educational building,” </w:t>
          </w:r>
          <w:r>
            <w:rPr>
              <w:i/>
              <w:iCs/>
            </w:rPr>
            <w:t>Energies (Basel)</w:t>
          </w:r>
          <w:r>
            <w:t>, vol. 12, no. 19, p. 3661, Sep. 2019, doi: 10.3390/en12193661.</w:t>
          </w:r>
        </w:p>
        <w:p w14:paraId="224ED637" w14:textId="77777777" w:rsidR="001E7ECF" w:rsidRDefault="001E7ECF">
          <w:pPr>
            <w:autoSpaceDE w:val="0"/>
            <w:autoSpaceDN w:val="0"/>
            <w:ind w:hanging="640"/>
            <w:divId w:val="559681146"/>
          </w:pPr>
          <w:r>
            <w:t>[130]</w:t>
          </w:r>
          <w:r>
            <w:tab/>
            <w:t xml:space="preserve">K. Peippo, P. Kauranen, and P. D. Lund, “A multicomponent PCM wall optimized for passive solar heating,” </w:t>
          </w:r>
          <w:r>
            <w:rPr>
              <w:i/>
              <w:iCs/>
            </w:rPr>
            <w:t>Energy Build</w:t>
          </w:r>
          <w:r>
            <w:t>, vol. 17, no. 4, pp. 259–270, Jan. 1991, doi: 10.1016/0378-7788(91)90009-R.</w:t>
          </w:r>
        </w:p>
        <w:p w14:paraId="457CC55F" w14:textId="77777777" w:rsidR="001E7ECF" w:rsidRDefault="001E7ECF">
          <w:pPr>
            <w:autoSpaceDE w:val="0"/>
            <w:autoSpaceDN w:val="0"/>
            <w:ind w:hanging="640"/>
            <w:divId w:val="2079132116"/>
          </w:pPr>
          <w:r>
            <w:t>[131]</w:t>
          </w:r>
          <w:r>
            <w:tab/>
            <w:t xml:space="preserve">R. Barzin, J. J. J. Chen, B. R. Young, and M. M. Farid, “Peak load shifting with energy storage and price-based control system,” </w:t>
          </w:r>
          <w:r>
            <w:rPr>
              <w:i/>
              <w:iCs/>
            </w:rPr>
            <w:t>Energy</w:t>
          </w:r>
          <w:r>
            <w:t>, vol. 92, pp. 505–514, Dec. 2015, doi: 10.1016/j.energy.2015.05.144.</w:t>
          </w:r>
        </w:p>
        <w:p w14:paraId="5EACB759" w14:textId="77777777" w:rsidR="001E7ECF" w:rsidRDefault="001E7ECF">
          <w:pPr>
            <w:autoSpaceDE w:val="0"/>
            <w:autoSpaceDN w:val="0"/>
            <w:ind w:hanging="640"/>
            <w:divId w:val="623078273"/>
          </w:pPr>
          <w:r>
            <w:t>[132]</w:t>
          </w:r>
          <w:r>
            <w:tab/>
            <w:t xml:space="preserve">N. H. Abu-Hamdeh, A. A. Melaibari, T. S. Alquthami, A. Khoshaim, H. F. Oztop, and A. Karimipour, “Efficacy of incorporating PCM into the building envelope on the energy saving and AHU power usage in winter,” </w:t>
          </w:r>
          <w:r>
            <w:rPr>
              <w:i/>
              <w:iCs/>
            </w:rPr>
            <w:t>Sustainable Energy Technologies and Assessments</w:t>
          </w:r>
          <w:r>
            <w:t>, vol. 43, p. 100969, Feb. 2021, doi: 10.1016/j.seta.2020.100969.</w:t>
          </w:r>
        </w:p>
        <w:p w14:paraId="2302ADCC" w14:textId="77777777" w:rsidR="001E7ECF" w:rsidRDefault="001E7ECF">
          <w:pPr>
            <w:autoSpaceDE w:val="0"/>
            <w:autoSpaceDN w:val="0"/>
            <w:ind w:hanging="640"/>
            <w:divId w:val="1692026795"/>
          </w:pPr>
          <w:r>
            <w:t>[133]</w:t>
          </w:r>
          <w:r>
            <w:tab/>
            <w:t xml:space="preserve">Y. Hu, P. K. Heiselberg, and T. S. Larsen, “Demand control strategies of a pcm enhanced ventilation system for residential buildings,” </w:t>
          </w:r>
          <w:r>
            <w:rPr>
              <w:i/>
              <w:iCs/>
            </w:rPr>
            <w:t>Applied Sciences (Switzerland)</w:t>
          </w:r>
          <w:r>
            <w:t>, vol. 10, no. 12, p. 4336, Jun. 2020, doi: 10.3390/app10124336.</w:t>
          </w:r>
        </w:p>
        <w:p w14:paraId="38D22421" w14:textId="77777777" w:rsidR="001E7ECF" w:rsidRDefault="001E7ECF">
          <w:pPr>
            <w:autoSpaceDE w:val="0"/>
            <w:autoSpaceDN w:val="0"/>
            <w:ind w:hanging="640"/>
            <w:divId w:val="2012828104"/>
          </w:pPr>
          <w:r>
            <w:t>[134]</w:t>
          </w:r>
          <w:r>
            <w:tab/>
            <w:t xml:space="preserve">P. Devaux and M. M. Farid, “Benefits of PCM underfloor heating with PCM wallboards for space heating in winter,” </w:t>
          </w:r>
          <w:r>
            <w:rPr>
              <w:i/>
              <w:iCs/>
            </w:rPr>
            <w:t>Appl Energy</w:t>
          </w:r>
          <w:r>
            <w:t>, vol. 191, pp. 593–602, 2017, doi: 10.1016/j.apenergy.2017.01.060.</w:t>
          </w:r>
        </w:p>
        <w:p w14:paraId="70C0E897" w14:textId="77777777" w:rsidR="001E7ECF" w:rsidRDefault="001E7ECF">
          <w:pPr>
            <w:autoSpaceDE w:val="0"/>
            <w:autoSpaceDN w:val="0"/>
            <w:ind w:hanging="640"/>
            <w:divId w:val="33698850"/>
          </w:pPr>
          <w:r>
            <w:t>[135]</w:t>
          </w:r>
          <w:r>
            <w:tab/>
            <w:t xml:space="preserve">M. Zhang, M. A. Medina, and J. B. King, “Development of a thermally enhanced frame wall with phase-change materials for on-peak air conditioning demand reduction and energy savings in residential buildings,” </w:t>
          </w:r>
          <w:r>
            <w:rPr>
              <w:i/>
              <w:iCs/>
            </w:rPr>
            <w:t>Int J Energy Res</w:t>
          </w:r>
          <w:r>
            <w:t>, vol. 29, no. 9, pp. 795–809, Jul. 2005, doi: 10.1002/er.1082.</w:t>
          </w:r>
        </w:p>
        <w:p w14:paraId="33A7EA8F" w14:textId="77777777" w:rsidR="001E7ECF" w:rsidRDefault="001E7ECF">
          <w:pPr>
            <w:autoSpaceDE w:val="0"/>
            <w:autoSpaceDN w:val="0"/>
            <w:ind w:hanging="640"/>
            <w:divId w:val="412317331"/>
          </w:pPr>
          <w:r>
            <w:t>[136]</w:t>
          </w:r>
          <w:r>
            <w:tab/>
            <w:t xml:space="preserve">T. Kondo and T. Ibamoto, “Research on thermal storage using rock wool phase-change material ceiling board,” in </w:t>
          </w:r>
          <w:r>
            <w:rPr>
              <w:i/>
              <w:iCs/>
            </w:rPr>
            <w:t>ASHRAE Transactions</w:t>
          </w:r>
          <w:r>
            <w:t>, 2006, pp. 526–531.</w:t>
          </w:r>
        </w:p>
        <w:p w14:paraId="4BDE339C" w14:textId="77777777" w:rsidR="001E7ECF" w:rsidRDefault="001E7ECF">
          <w:pPr>
            <w:autoSpaceDE w:val="0"/>
            <w:autoSpaceDN w:val="0"/>
            <w:ind w:hanging="640"/>
            <w:divId w:val="257908172"/>
          </w:pPr>
          <w:r>
            <w:t>[137]</w:t>
          </w:r>
          <w:r>
            <w:tab/>
            <w:t xml:space="preserve">N. Zhu, S. Wang, Z. Ma, and Y. Sun, “Energy performance and optimal control of air-conditioned buildings with envelopes enhanced by phase change materials,” </w:t>
          </w:r>
          <w:r>
            <w:rPr>
              <w:i/>
              <w:iCs/>
            </w:rPr>
            <w:t>Energy Convers Manag</w:t>
          </w:r>
          <w:r>
            <w:t>, vol. 52, no. 10, pp. 3197–3205, Sep. 2011, doi: 10.1016/j.enconman.2011.05.011.</w:t>
          </w:r>
        </w:p>
        <w:p w14:paraId="266EC256" w14:textId="77777777" w:rsidR="001E7ECF" w:rsidRDefault="001E7ECF">
          <w:pPr>
            <w:autoSpaceDE w:val="0"/>
            <w:autoSpaceDN w:val="0"/>
            <w:ind w:hanging="640"/>
            <w:divId w:val="1851680504"/>
          </w:pPr>
          <w:r>
            <w:t>[138]</w:t>
          </w:r>
          <w:r>
            <w:tab/>
            <w:t xml:space="preserve">M. Yamaha and S. Misaki, “The evaluation of peak shaving by a thermal storage system using phase-change materials in air distribution systems,” </w:t>
          </w:r>
          <w:r>
            <w:rPr>
              <w:i/>
              <w:iCs/>
            </w:rPr>
            <w:t>HVAC and R Research</w:t>
          </w:r>
          <w:r>
            <w:t>, vol. 12, pp. 861–869, 2006, doi: 10.1080/10789669.2006.10391213.</w:t>
          </w:r>
        </w:p>
        <w:p w14:paraId="02222ED8" w14:textId="77777777" w:rsidR="001E7ECF" w:rsidRDefault="001E7ECF">
          <w:pPr>
            <w:autoSpaceDE w:val="0"/>
            <w:autoSpaceDN w:val="0"/>
            <w:ind w:hanging="640"/>
            <w:divId w:val="1542522045"/>
          </w:pPr>
          <w:r>
            <w:t>[139]</w:t>
          </w:r>
          <w:r>
            <w:tab/>
            <w:t xml:space="preserve">V. V. Tyagi, A. K. Pandey, D. Buddhi, and R. Kothari, “Thermal performance assessment of encapsulated PCM based thermal management system to reduce peak energy demand in buildings,” </w:t>
          </w:r>
          <w:r>
            <w:rPr>
              <w:i/>
              <w:iCs/>
            </w:rPr>
            <w:t>Energy Build</w:t>
          </w:r>
          <w:r>
            <w:t>, vol. 117, pp. 44–52, 2016, doi: 10.1016/j.enbuild.2016.01.042.</w:t>
          </w:r>
        </w:p>
        <w:p w14:paraId="746BC086" w14:textId="77777777" w:rsidR="001E7ECF" w:rsidRDefault="001E7ECF">
          <w:pPr>
            <w:autoSpaceDE w:val="0"/>
            <w:autoSpaceDN w:val="0"/>
            <w:ind w:hanging="640"/>
            <w:divId w:val="1427458090"/>
          </w:pPr>
          <w:r>
            <w:t>[140]</w:t>
          </w:r>
          <w:r>
            <w:tab/>
            <w:t xml:space="preserve">N. Chaiyat, “Energy and economic analysis of a building air-conditioner with a phase change material (PCM),” </w:t>
          </w:r>
          <w:r>
            <w:rPr>
              <w:i/>
              <w:iCs/>
            </w:rPr>
            <w:t>Energy Convers Manag</w:t>
          </w:r>
          <w:r>
            <w:t>, vol. 94, pp. 150–158, 2015, doi: 10.1016/j.enconman.2015.01.068.</w:t>
          </w:r>
        </w:p>
        <w:p w14:paraId="64C5CD64" w14:textId="77777777" w:rsidR="001E7ECF" w:rsidRDefault="001E7ECF">
          <w:pPr>
            <w:autoSpaceDE w:val="0"/>
            <w:autoSpaceDN w:val="0"/>
            <w:ind w:hanging="640"/>
            <w:divId w:val="577440378"/>
          </w:pPr>
          <w:r>
            <w:t>[141]</w:t>
          </w:r>
          <w:r>
            <w:tab/>
            <w:t xml:space="preserve">N. Chaiyat and T. Kiatsiriroat, “Energy reduction of building air-conditioner with phase change material in Thailand,” </w:t>
          </w:r>
          <w:r>
            <w:rPr>
              <w:i/>
              <w:iCs/>
            </w:rPr>
            <w:t>Case Studies in Thermal Engineering</w:t>
          </w:r>
          <w:r>
            <w:t>, vol. 4, pp. 175–186, 2014, doi: 10.1016/j.csite.2014.09.006.</w:t>
          </w:r>
        </w:p>
        <w:p w14:paraId="136557B6" w14:textId="77777777" w:rsidR="001E7ECF" w:rsidRDefault="001E7ECF">
          <w:pPr>
            <w:autoSpaceDE w:val="0"/>
            <w:autoSpaceDN w:val="0"/>
            <w:ind w:hanging="640"/>
            <w:divId w:val="9141557"/>
          </w:pPr>
          <w:r>
            <w:t>[142]</w:t>
          </w:r>
          <w:r>
            <w:tab/>
            <w:t xml:space="preserve">F. Bruno, N. H. S. Tay, and M. Belusko, “Minimising energy usage for domestic cooling with off-peak PCM storage,” </w:t>
          </w:r>
          <w:r>
            <w:rPr>
              <w:i/>
              <w:iCs/>
            </w:rPr>
            <w:t>Energy Build</w:t>
          </w:r>
          <w:r>
            <w:t>, vol. 76, pp. 347–353, Jun. 2014, doi: 10.1016/j.enbuild.2014.02.069.</w:t>
          </w:r>
        </w:p>
        <w:p w14:paraId="31E2A78D" w14:textId="77777777" w:rsidR="001E7ECF" w:rsidRDefault="001E7ECF">
          <w:pPr>
            <w:autoSpaceDE w:val="0"/>
            <w:autoSpaceDN w:val="0"/>
            <w:ind w:hanging="640"/>
            <w:divId w:val="31930155"/>
          </w:pPr>
          <w:r>
            <w:t>[143]</w:t>
          </w:r>
          <w:r>
            <w:tab/>
            <w:t xml:space="preserve">A. Real, V. García, L. Domenech, J. Renau, N. Montés, and F. Sánchez, “Improvement of a heat pump based HVAC system with PCM thermal storage for cold accumulation and heat dissipation,” </w:t>
          </w:r>
          <w:r>
            <w:rPr>
              <w:i/>
              <w:iCs/>
            </w:rPr>
            <w:t>Energy Build</w:t>
          </w:r>
          <w:r>
            <w:t>, vol. 83, pp. 108–116, 2014, doi: 10.1016/j.enbuild.2014.04.029.</w:t>
          </w:r>
        </w:p>
        <w:p w14:paraId="5F429C2B" w14:textId="77777777" w:rsidR="001E7ECF" w:rsidRDefault="001E7ECF">
          <w:pPr>
            <w:autoSpaceDE w:val="0"/>
            <w:autoSpaceDN w:val="0"/>
            <w:ind w:hanging="640"/>
            <w:divId w:val="2005695299"/>
          </w:pPr>
          <w:r>
            <w:t>[144]</w:t>
          </w:r>
          <w:r>
            <w:tab/>
            <w:t xml:space="preserve">S. Jaber and S. Ajib, “Novel cooling unit using PCM for residential application,” </w:t>
          </w:r>
          <w:r>
            <w:rPr>
              <w:i/>
              <w:iCs/>
            </w:rPr>
            <w:t>International Journal of Refrigeration</w:t>
          </w:r>
          <w:r>
            <w:t>, 2012, doi: 10.1016/j.ijrefrig.2012.03.023.</w:t>
          </w:r>
        </w:p>
        <w:p w14:paraId="196E168F" w14:textId="77777777" w:rsidR="001E7ECF" w:rsidRDefault="001E7ECF">
          <w:pPr>
            <w:autoSpaceDE w:val="0"/>
            <w:autoSpaceDN w:val="0"/>
            <w:ind w:hanging="640"/>
            <w:divId w:val="1628777158"/>
          </w:pPr>
          <w:r>
            <w:t>[145]</w:t>
          </w:r>
          <w:r>
            <w:tab/>
            <w:t xml:space="preserve">J. Y. Long and D. S. Zhu, “Numerical and experimental study on heat pump water heater with PCM for thermal storage,” </w:t>
          </w:r>
          <w:r>
            <w:rPr>
              <w:i/>
              <w:iCs/>
            </w:rPr>
            <w:t>Energy Build</w:t>
          </w:r>
          <w:r>
            <w:t>, vol. 40, no. 4, pp. 666–672, Jan. 2008, doi: 10.1016/j.enbuild.2007.05.001.</w:t>
          </w:r>
        </w:p>
        <w:p w14:paraId="2F6425DF" w14:textId="77777777" w:rsidR="001E7ECF" w:rsidRDefault="001E7ECF">
          <w:pPr>
            <w:autoSpaceDE w:val="0"/>
            <w:autoSpaceDN w:val="0"/>
            <w:ind w:hanging="640"/>
            <w:divId w:val="360136147"/>
          </w:pPr>
          <w:r>
            <w:t>[146]</w:t>
          </w:r>
          <w:r>
            <w:tab/>
            <w:t xml:space="preserve">D. Zou </w:t>
          </w:r>
          <w:r>
            <w:rPr>
              <w:i/>
              <w:iCs/>
            </w:rPr>
            <w:t>et al.</w:t>
          </w:r>
          <w:r>
            <w:t xml:space="preserve">, “Experimental research of an air-source heat pump water heater using water-PCM for heat storage,” </w:t>
          </w:r>
          <w:r>
            <w:rPr>
              <w:i/>
              <w:iCs/>
            </w:rPr>
            <w:t>Appl Energy</w:t>
          </w:r>
          <w:r>
            <w:t>, vol. 206, pp. 784–792, Nov. 2017, doi: 10.1016/j.apenergy.2017.08.209.</w:t>
          </w:r>
        </w:p>
        <w:p w14:paraId="300D9F26" w14:textId="77777777" w:rsidR="001E7ECF" w:rsidRDefault="001E7ECF">
          <w:pPr>
            <w:autoSpaceDE w:val="0"/>
            <w:autoSpaceDN w:val="0"/>
            <w:ind w:hanging="640"/>
            <w:divId w:val="1625573673"/>
          </w:pPr>
          <w:r>
            <w:t>[147]</w:t>
          </w:r>
          <w:r>
            <w:tab/>
            <w:t xml:space="preserve">P. Moreno, C. Solé, A. Castell, and L. F. Cabeza, “The use of phase change materials in domestic heat pump and air-conditioning systems for short term storage: A review,” </w:t>
          </w:r>
          <w:r>
            <w:rPr>
              <w:i/>
              <w:iCs/>
            </w:rPr>
            <w:t>Renewable and Sustainable Energy Reviews</w:t>
          </w:r>
          <w:r>
            <w:t>, vol. 39, pp. 1–13, 2014, doi: 10.1016/j.rser.2014.07.062.</w:t>
          </w:r>
        </w:p>
        <w:p w14:paraId="159F450E" w14:textId="77777777" w:rsidR="001E7ECF" w:rsidRDefault="001E7ECF">
          <w:pPr>
            <w:autoSpaceDE w:val="0"/>
            <w:autoSpaceDN w:val="0"/>
            <w:ind w:hanging="640"/>
            <w:divId w:val="1325477075"/>
          </w:pPr>
          <w:r>
            <w:t>[148]</w:t>
          </w:r>
          <w:r>
            <w:tab/>
            <w:t xml:space="preserve">G. Gholamibozanjani and M. Farid, “A comparison between passive and active PCM systems applied to buildings,” </w:t>
          </w:r>
          <w:r>
            <w:rPr>
              <w:i/>
              <w:iCs/>
            </w:rPr>
            <w:t>Renew Energy</w:t>
          </w:r>
          <w:r>
            <w:t>, vol. 162, pp. 112–123, Dec. 2020, doi: 10.1016/j.renene.2020.08.007.</w:t>
          </w:r>
        </w:p>
        <w:p w14:paraId="1A28F22B" w14:textId="77777777" w:rsidR="001E7ECF" w:rsidRDefault="001E7ECF">
          <w:pPr>
            <w:autoSpaceDE w:val="0"/>
            <w:autoSpaceDN w:val="0"/>
            <w:ind w:hanging="640"/>
            <w:divId w:val="747775277"/>
          </w:pPr>
          <w:r>
            <w:t>[149]</w:t>
          </w:r>
          <w:r>
            <w:tab/>
            <w:t xml:space="preserve">S. Takeda, K. Nagano, T. Mochida, and K. Shimakura, “Development of a ventilation system utilizing thermal energy storage for granules containing phase change material,” </w:t>
          </w:r>
          <w:r>
            <w:rPr>
              <w:i/>
              <w:iCs/>
            </w:rPr>
            <w:t>Solar Energy</w:t>
          </w:r>
          <w:r>
            <w:t>, vol. 77, no. 3, pp. 329–338, Sep. 2004, doi: 10.1016/j.solener.2004.04.014.</w:t>
          </w:r>
        </w:p>
        <w:p w14:paraId="2FDF2B6C" w14:textId="77777777" w:rsidR="001E7ECF" w:rsidRDefault="001E7ECF">
          <w:pPr>
            <w:autoSpaceDE w:val="0"/>
            <w:autoSpaceDN w:val="0"/>
            <w:ind w:hanging="640"/>
            <w:divId w:val="1142893623"/>
          </w:pPr>
          <w:r>
            <w:t>[150]</w:t>
          </w:r>
          <w:r>
            <w:tab/>
            <w:t xml:space="preserve">K. Nagano, S. Takeda, T. Mochida, K. Shimakura, and T. Nakamura, “Study of a floor supply air conditioning system using granular phase change material to augment building mass thermal storage - Heat response in small scale experiments,” </w:t>
          </w:r>
          <w:r>
            <w:rPr>
              <w:i/>
              <w:iCs/>
            </w:rPr>
            <w:t>Energy Build</w:t>
          </w:r>
          <w:r>
            <w:t>, vol. 38, no. 5, pp. 436–446, May 2006, doi: 10.1016/j.enbuild.2005.07.010.</w:t>
          </w:r>
        </w:p>
        <w:p w14:paraId="1F9192DF" w14:textId="77777777" w:rsidR="001E7ECF" w:rsidRDefault="001E7ECF">
          <w:pPr>
            <w:autoSpaceDE w:val="0"/>
            <w:autoSpaceDN w:val="0"/>
            <w:ind w:hanging="640"/>
            <w:divId w:val="1038698736"/>
          </w:pPr>
          <w:r>
            <w:t>[151]</w:t>
          </w:r>
          <w:r>
            <w:tab/>
            <w:t xml:space="preserve">F. Sehar, S. Rahman, and M. Pipattanasomporn, “Impacts of ice storage on electrical energy consumptions in office buildings,” </w:t>
          </w:r>
          <w:r>
            <w:rPr>
              <w:i/>
              <w:iCs/>
            </w:rPr>
            <w:t>Energy Build</w:t>
          </w:r>
          <w:r>
            <w:t>, vol. 51, pp. 255–262, Aug. 2012, doi: 10.1016/j.enbuild.2012.05.002.</w:t>
          </w:r>
        </w:p>
        <w:p w14:paraId="2EBC372D" w14:textId="77777777" w:rsidR="001E7ECF" w:rsidRDefault="001E7ECF">
          <w:pPr>
            <w:autoSpaceDE w:val="0"/>
            <w:autoSpaceDN w:val="0"/>
            <w:ind w:hanging="640"/>
            <w:divId w:val="959993796"/>
          </w:pPr>
          <w:r>
            <w:t>[152]</w:t>
          </w:r>
          <w:r>
            <w:tab/>
            <w:t xml:space="preserve">S. Sanaye and A. Shirazi, “Thermo-economic optimization of an ice thermal energy storage system for air-conditioning applications,” </w:t>
          </w:r>
          <w:r>
            <w:rPr>
              <w:i/>
              <w:iCs/>
            </w:rPr>
            <w:t>Energy Build</w:t>
          </w:r>
          <w:r>
            <w:t>, vol. 60, pp. 100–109, May 2013, doi: 10.1016/j.enbuild.2012.12.040.</w:t>
          </w:r>
        </w:p>
        <w:p w14:paraId="059D7BBD" w14:textId="77777777" w:rsidR="001E7ECF" w:rsidRDefault="001E7ECF">
          <w:pPr>
            <w:autoSpaceDE w:val="0"/>
            <w:autoSpaceDN w:val="0"/>
            <w:ind w:hanging="640"/>
            <w:divId w:val="762800964"/>
          </w:pPr>
          <w:r>
            <w:t>[153]</w:t>
          </w:r>
          <w:r>
            <w:tab/>
            <w:t xml:space="preserve">O. G. Pop, L. Fechete Tutunaru, F. Bode, A. C. Abrudan, and M. C. Balan, “Energy efficiency of PCM integrated in fresh air cooling systems in different climatic conditions,” </w:t>
          </w:r>
          <w:r>
            <w:rPr>
              <w:i/>
              <w:iCs/>
            </w:rPr>
            <w:t>Appl Energy</w:t>
          </w:r>
          <w:r>
            <w:t>, vol. 212, pp. 976–996, Feb. 2018, doi: 10.1016/j.apenergy.2017.12.122.</w:t>
          </w:r>
        </w:p>
        <w:p w14:paraId="05A0B298" w14:textId="77777777" w:rsidR="001E7ECF" w:rsidRDefault="001E7ECF">
          <w:pPr>
            <w:autoSpaceDE w:val="0"/>
            <w:autoSpaceDN w:val="0"/>
            <w:ind w:hanging="640"/>
            <w:divId w:val="871651987"/>
          </w:pPr>
          <w:r>
            <w:t>[154]</w:t>
          </w:r>
          <w:r>
            <w:tab/>
            <w:t>S. Sultan, J. Hirschey, K. Gluesenkamp, and S. Graham, “Analysis of Residential Time-of-Use Utility Rate Structures and Economic Implications for Thermal Energy Storage,” 2021, pp. 1–10. Accessed: Aug. 31, 2021. [Online]. Available: https://docs.lib.purdue.edu/cgi/viewcontent.cgi?article=1369&amp;context=ihpbc</w:t>
          </w:r>
        </w:p>
        <w:p w14:paraId="00F015CA" w14:textId="77777777" w:rsidR="001E7ECF" w:rsidRDefault="001E7ECF">
          <w:pPr>
            <w:autoSpaceDE w:val="0"/>
            <w:autoSpaceDN w:val="0"/>
            <w:ind w:hanging="640"/>
            <w:divId w:val="1239945577"/>
          </w:pPr>
          <w:r>
            <w:t>[155]</w:t>
          </w:r>
          <w:r>
            <w:tab/>
            <w:t xml:space="preserve">K. Kaygusuz and T. Ayhan, “Experimental and theoretical investigation of combined solar heat pump system for residential heating,” </w:t>
          </w:r>
          <w:r>
            <w:rPr>
              <w:i/>
              <w:iCs/>
            </w:rPr>
            <w:t>Energy Convers Manag</w:t>
          </w:r>
          <w:r>
            <w:t>, 1999, doi: 10.1016/S0196-8904(99)00026-6.</w:t>
          </w:r>
        </w:p>
        <w:p w14:paraId="15808C13" w14:textId="77777777" w:rsidR="001E7ECF" w:rsidRDefault="001E7ECF">
          <w:pPr>
            <w:autoSpaceDE w:val="0"/>
            <w:autoSpaceDN w:val="0"/>
            <w:ind w:hanging="640"/>
            <w:divId w:val="4207716"/>
          </w:pPr>
          <w:r>
            <w:t>[156]</w:t>
          </w:r>
          <w:r>
            <w:tab/>
            <w:t xml:space="preserve">Y. Hu, P. K. Heiselberg, C. Drivsholm, A. S. Søvsø, P. J. C. Vogler-Finck, and K. Kronby, “Experimental and numerical study of PCM storage integrated with HVAC system for energy flexibility,” </w:t>
          </w:r>
          <w:r>
            <w:rPr>
              <w:i/>
              <w:iCs/>
            </w:rPr>
            <w:t>Energy Build</w:t>
          </w:r>
          <w:r>
            <w:t>, p. 111651, Nov. 2021, doi: 10.1016/j.enbuild.2021.111651.</w:t>
          </w:r>
        </w:p>
        <w:p w14:paraId="7F8A7663" w14:textId="77777777" w:rsidR="001E7ECF" w:rsidRDefault="001E7ECF">
          <w:pPr>
            <w:autoSpaceDE w:val="0"/>
            <w:autoSpaceDN w:val="0"/>
            <w:ind w:hanging="640"/>
            <w:divId w:val="1844054664"/>
          </w:pPr>
          <w:r>
            <w:t>[157]</w:t>
          </w:r>
          <w:r>
            <w:tab/>
            <w:t xml:space="preserve">G. Gholamibozanjani and M. Farid, “Application of an active PCM storage system into a building for heating/cooling load reduction,” </w:t>
          </w:r>
          <w:r>
            <w:rPr>
              <w:i/>
              <w:iCs/>
            </w:rPr>
            <w:t>Energy</w:t>
          </w:r>
          <w:r>
            <w:t>, vol. 210, p. 118572, Nov. 2020, doi: 10.1016/j.energy.2020.118572.</w:t>
          </w:r>
        </w:p>
        <w:p w14:paraId="7DECB639" w14:textId="77777777" w:rsidR="001E7ECF" w:rsidRDefault="001E7ECF">
          <w:pPr>
            <w:autoSpaceDE w:val="0"/>
            <w:autoSpaceDN w:val="0"/>
            <w:ind w:hanging="640"/>
            <w:divId w:val="301354895"/>
          </w:pPr>
          <w:r>
            <w:t>[158]</w:t>
          </w:r>
          <w:r>
            <w:tab/>
            <w:t xml:space="preserve">A. Real, V. García, L. Domenech, J. Renau, N. Montés, and F. Sánchez, “Improvement of a heat pump based HVAC system with PCM thermal storage for cold accumulation and heat dissipation,” </w:t>
          </w:r>
          <w:r>
            <w:rPr>
              <w:i/>
              <w:iCs/>
            </w:rPr>
            <w:t>Energy Build</w:t>
          </w:r>
          <w:r>
            <w:t>, vol. 83, pp. 108–116, 2014, doi: 10.1016/j.enbuild.2014.04.029.</w:t>
          </w:r>
        </w:p>
        <w:p w14:paraId="7D17B3D8" w14:textId="77777777" w:rsidR="001E7ECF" w:rsidRDefault="001E7ECF">
          <w:pPr>
            <w:autoSpaceDE w:val="0"/>
            <w:autoSpaceDN w:val="0"/>
            <w:ind w:hanging="640"/>
            <w:divId w:val="1280718268"/>
          </w:pPr>
          <w:r>
            <w:t>[159]</w:t>
          </w:r>
          <w:r>
            <w:tab/>
            <w:t>U.S. Energy Information Administration - EIA, “U.S. Energy Information Administration - EIA - Independent Statistics and Analysis.” https://www.eia.gov/todayinenergy/detail.php?id=44556 (accessed Apr. 25, 2022).</w:t>
          </w:r>
        </w:p>
        <w:p w14:paraId="115B7183" w14:textId="77777777" w:rsidR="001E7ECF" w:rsidRDefault="001E7ECF">
          <w:pPr>
            <w:autoSpaceDE w:val="0"/>
            <w:autoSpaceDN w:val="0"/>
            <w:ind w:hanging="640"/>
            <w:divId w:val="311104242"/>
          </w:pPr>
          <w:r>
            <w:t>[160]</w:t>
          </w:r>
          <w:r>
            <w:tab/>
            <w:t xml:space="preserve">A. Waqas and S. Kumar, “Utilization of latent heat storage unit for comfort ventilation of buildings in hot and dry climates,” </w:t>
          </w:r>
          <w:r>
            <w:rPr>
              <w:i/>
              <w:iCs/>
            </w:rPr>
            <w:t>Int J Green Energy</w:t>
          </w:r>
          <w:r>
            <w:t>, vol. 8, no. 1, pp. 1–24, 2011, doi: 10.1080/15435075.2010.529406.</w:t>
          </w:r>
        </w:p>
        <w:p w14:paraId="7C1E74CB" w14:textId="77777777" w:rsidR="001E7ECF" w:rsidRDefault="001E7ECF">
          <w:pPr>
            <w:autoSpaceDE w:val="0"/>
            <w:autoSpaceDN w:val="0"/>
            <w:ind w:hanging="640"/>
            <w:divId w:val="1357147850"/>
          </w:pPr>
          <w:r>
            <w:t>[161]</w:t>
          </w:r>
          <w:r>
            <w:tab/>
            <w:t xml:space="preserve">G. Evola, L. Marletta, and F. Sicurella, “A methodology for investigating the effectiveness of PCM wallboards for summer thermal comfort in buildings,” </w:t>
          </w:r>
          <w:r>
            <w:rPr>
              <w:i/>
              <w:iCs/>
            </w:rPr>
            <w:t>Build Environ</w:t>
          </w:r>
          <w:r>
            <w:t>, vol. 59, pp. 517–527, Jan. 2013, doi: 10.1016/j.buildenv.2012.09.021.</w:t>
          </w:r>
        </w:p>
        <w:p w14:paraId="37739784" w14:textId="77777777" w:rsidR="001E7ECF" w:rsidRDefault="001E7ECF">
          <w:pPr>
            <w:autoSpaceDE w:val="0"/>
            <w:autoSpaceDN w:val="0"/>
            <w:ind w:hanging="640"/>
            <w:divId w:val="1643927270"/>
          </w:pPr>
          <w:r>
            <w:t>[162]</w:t>
          </w:r>
          <w:r>
            <w:tab/>
            <w:t xml:space="preserve">M. Alam, H. Jamil, J. Sanjayan, and J. Wilson, “Energy saving potential of phase change materials in major Australian cities,” </w:t>
          </w:r>
          <w:r>
            <w:rPr>
              <w:i/>
              <w:iCs/>
            </w:rPr>
            <w:t>Energy Build</w:t>
          </w:r>
          <w:r>
            <w:t>, vol. 78, pp. 192–201, Aug. 2014, doi: 10.1016/j.enbuild.2014.04.027.</w:t>
          </w:r>
        </w:p>
        <w:p w14:paraId="688881E3" w14:textId="77777777" w:rsidR="001E7ECF" w:rsidRDefault="001E7ECF">
          <w:pPr>
            <w:autoSpaceDE w:val="0"/>
            <w:autoSpaceDN w:val="0"/>
            <w:ind w:hanging="640"/>
            <w:divId w:val="1627081155"/>
          </w:pPr>
          <w:r>
            <w:t>[163]</w:t>
          </w:r>
          <w:r>
            <w:tab/>
            <w:t xml:space="preserve">J. Lei, J. Yang, and E. H. Yang, “Energy performance of building envelopes integrated with phase change materials for cooling load reduction in tropical Singapore,” </w:t>
          </w:r>
          <w:r>
            <w:rPr>
              <w:i/>
              <w:iCs/>
            </w:rPr>
            <w:t>Appl Energy</w:t>
          </w:r>
          <w:r>
            <w:t>, vol. 162, pp. 207–217, Jan. 2016, doi: 10.1016/j.apenergy.2015.10.031.</w:t>
          </w:r>
        </w:p>
        <w:p w14:paraId="57EBC09F" w14:textId="77777777" w:rsidR="001E7ECF" w:rsidRDefault="001E7ECF">
          <w:pPr>
            <w:autoSpaceDE w:val="0"/>
            <w:autoSpaceDN w:val="0"/>
            <w:ind w:hanging="640"/>
            <w:divId w:val="1740444717"/>
          </w:pPr>
          <w:r>
            <w:t>[164]</w:t>
          </w:r>
          <w:r>
            <w:tab/>
            <w:t xml:space="preserve">M. Saffari, A. de Gracia, C. Fernández, and L. F. Cabeza, “Simulation-based optimization of PCM melting temperature to improve the energy performance in buildings,” </w:t>
          </w:r>
          <w:r>
            <w:rPr>
              <w:i/>
              <w:iCs/>
            </w:rPr>
            <w:t>Appl Energy</w:t>
          </w:r>
          <w:r>
            <w:t>, vol. 202, pp. 420–434, Sep. 2017, doi: 10.1016/j.apenergy.2017.05.107.</w:t>
          </w:r>
        </w:p>
        <w:p w14:paraId="0A4987D4" w14:textId="77777777" w:rsidR="001E7ECF" w:rsidRDefault="001E7ECF">
          <w:pPr>
            <w:autoSpaceDE w:val="0"/>
            <w:autoSpaceDN w:val="0"/>
            <w:ind w:hanging="640"/>
            <w:divId w:val="206381035"/>
          </w:pPr>
          <w:r>
            <w:t>[165]</w:t>
          </w:r>
          <w:r>
            <w:tab/>
            <w:t xml:space="preserve">E. Markarian and F. Fazelpour, “Multi-objective optimization of energy performance of a building considering different configurations and types of PCM,” </w:t>
          </w:r>
          <w:r>
            <w:rPr>
              <w:i/>
              <w:iCs/>
            </w:rPr>
            <w:t>Solar Energy</w:t>
          </w:r>
          <w:r>
            <w:t>, vol. 191, pp. 481–496, Oct. 2019, doi: 10.1016/j.solener.2019.09.003.</w:t>
          </w:r>
        </w:p>
        <w:p w14:paraId="41EC915A" w14:textId="77777777" w:rsidR="001E7ECF" w:rsidRDefault="001E7ECF">
          <w:pPr>
            <w:autoSpaceDE w:val="0"/>
            <w:autoSpaceDN w:val="0"/>
            <w:ind w:hanging="640"/>
            <w:divId w:val="217405471"/>
          </w:pPr>
          <w:r>
            <w:t>[166]</w:t>
          </w:r>
          <w:r>
            <w:tab/>
            <w:t xml:space="preserve">U. Berardi and S. Soudian, “Experimental investigation of latent heat thermal energy storage using PCMs with different melting temperatures for building retrofit,” </w:t>
          </w:r>
          <w:r>
            <w:rPr>
              <w:i/>
              <w:iCs/>
            </w:rPr>
            <w:t>Energy Build</w:t>
          </w:r>
          <w:r>
            <w:t>, vol. 185, pp. 180–195, Feb. 2019, doi: 10.1016/j.enbuild.2018.12.016.</w:t>
          </w:r>
        </w:p>
        <w:p w14:paraId="2B911286" w14:textId="77777777" w:rsidR="001E7ECF" w:rsidRDefault="001E7ECF">
          <w:pPr>
            <w:autoSpaceDE w:val="0"/>
            <w:autoSpaceDN w:val="0"/>
            <w:ind w:hanging="640"/>
            <w:divId w:val="1316106640"/>
          </w:pPr>
          <w:r>
            <w:t>[167]</w:t>
          </w:r>
          <w:r>
            <w:tab/>
            <w:t xml:space="preserve">M. Prabhakar, M. Saffari, A. de Gracia, and L. F. Cabeza, “Improving the energy efficiency of passive PCM system using controlled natural ventilation,” </w:t>
          </w:r>
          <w:r>
            <w:rPr>
              <w:i/>
              <w:iCs/>
            </w:rPr>
            <w:t>Energy Build</w:t>
          </w:r>
          <w:r>
            <w:t>, vol. 228, p. 110483, Dec. 2020, doi: 10.1016/j.enbuild.2020.110483.</w:t>
          </w:r>
        </w:p>
        <w:p w14:paraId="77805693" w14:textId="77777777" w:rsidR="001E7ECF" w:rsidRDefault="001E7ECF">
          <w:pPr>
            <w:autoSpaceDE w:val="0"/>
            <w:autoSpaceDN w:val="0"/>
            <w:ind w:hanging="640"/>
            <w:divId w:val="1802915330"/>
          </w:pPr>
          <w:r>
            <w:t>[168]</w:t>
          </w:r>
          <w:r>
            <w:tab/>
            <w:t xml:space="preserve">C. Piselli, M. Prabhakar, A. de Gracia, M. Saffari, A. L. Pisello, and L. F. Cabeza, “Optimal control of natural ventilation as passive cooling strategy for improving the energy performance of building envelope with PCM integration,” </w:t>
          </w:r>
          <w:r>
            <w:rPr>
              <w:i/>
              <w:iCs/>
            </w:rPr>
            <w:t>Renew Energy</w:t>
          </w:r>
          <w:r>
            <w:t>, vol. 162, pp. 171–181, Dec. 2020, doi: 10.1016/j.renene.2020.07.043.</w:t>
          </w:r>
        </w:p>
        <w:p w14:paraId="11863293" w14:textId="77777777" w:rsidR="001E7ECF" w:rsidRDefault="001E7ECF">
          <w:pPr>
            <w:autoSpaceDE w:val="0"/>
            <w:autoSpaceDN w:val="0"/>
            <w:ind w:hanging="640"/>
            <w:divId w:val="1326587322"/>
          </w:pPr>
          <w:r>
            <w:t>[169]</w:t>
          </w:r>
          <w:r>
            <w:tab/>
            <w:t xml:space="preserve">M. Arıcı, F. Bilgin, S. Nižetić, and H. Karabay, “PCM integrated to external building walls: An optimization study on maximum activation of latent heat,” </w:t>
          </w:r>
          <w:r>
            <w:rPr>
              <w:i/>
              <w:iCs/>
            </w:rPr>
            <w:t>Appl Therm Eng</w:t>
          </w:r>
          <w:r>
            <w:t>, vol. 165, p. 114560, Jan. 2020, doi: 10.1016/j.applthermaleng.2019.114560.</w:t>
          </w:r>
        </w:p>
        <w:p w14:paraId="644EFDE7" w14:textId="77777777" w:rsidR="001E7ECF" w:rsidRDefault="001E7ECF">
          <w:pPr>
            <w:autoSpaceDE w:val="0"/>
            <w:autoSpaceDN w:val="0"/>
            <w:ind w:hanging="640"/>
            <w:divId w:val="106241922"/>
          </w:pPr>
          <w:r>
            <w:t>[170]</w:t>
          </w:r>
          <w:r>
            <w:tab/>
            <w:t xml:space="preserve">N. Zhu, R. Deng, P. Hu, F. Lei, L. Xu, and Z. Jiang, “Coupling optimization study of key influencing factors on PCM trombe wall for year thermal management,” </w:t>
          </w:r>
          <w:r>
            <w:rPr>
              <w:i/>
              <w:iCs/>
            </w:rPr>
            <w:t>Energy</w:t>
          </w:r>
          <w:r>
            <w:t>, vol. 236, p. 121470, Dec. 2021, doi: 10.1016/j.energy.2021.121470.</w:t>
          </w:r>
        </w:p>
        <w:p w14:paraId="456F7237" w14:textId="77777777" w:rsidR="001E7ECF" w:rsidRDefault="001E7ECF">
          <w:pPr>
            <w:autoSpaceDE w:val="0"/>
            <w:autoSpaceDN w:val="0"/>
            <w:ind w:hanging="640"/>
            <w:divId w:val="1575823819"/>
          </w:pPr>
          <w:r>
            <w:t>[171]</w:t>
          </w:r>
          <w:r>
            <w:tab/>
            <w:t xml:space="preserve">A. Alkhwildi, R. Elhashmi, and A. Chiasson, “Parametric modeling and simulation of Low temperature energy storage for cold-climate multi-family residences using a geothermal heat pump system with integrated phase change material storage tank,” </w:t>
          </w:r>
          <w:r>
            <w:rPr>
              <w:i/>
              <w:iCs/>
            </w:rPr>
            <w:t>Geothermics</w:t>
          </w:r>
          <w:r>
            <w:t>, vol. 86, p. 101864, Jul. 2020, doi: 10.1016/j.geothermics.2020.101864.</w:t>
          </w:r>
        </w:p>
        <w:p w14:paraId="5F7D8604" w14:textId="77777777" w:rsidR="001E7ECF" w:rsidRDefault="001E7ECF">
          <w:pPr>
            <w:autoSpaceDE w:val="0"/>
            <w:autoSpaceDN w:val="0"/>
            <w:ind w:hanging="640"/>
            <w:divId w:val="1792433164"/>
          </w:pPr>
          <w:r>
            <w:t>[172]</w:t>
          </w:r>
          <w:r>
            <w:tab/>
            <w:t xml:space="preserve">X. Jin </w:t>
          </w:r>
          <w:r>
            <w:rPr>
              <w:i/>
              <w:iCs/>
            </w:rPr>
            <w:t>et al.</w:t>
          </w:r>
          <w:r>
            <w:t xml:space="preserve">, “Experimental investigation of the novel melting point modified Phase–Change material for heat pump latent heat thermal energy storage application,” </w:t>
          </w:r>
          <w:r>
            <w:rPr>
              <w:i/>
              <w:iCs/>
            </w:rPr>
            <w:t>Energy</w:t>
          </w:r>
          <w:r>
            <w:t>, vol. 216, p. 119191, Feb. 2021, doi: 10.1016/j.energy.2020.119191.</w:t>
          </w:r>
        </w:p>
        <w:p w14:paraId="6D8B1FB7" w14:textId="77777777" w:rsidR="001E7ECF" w:rsidRDefault="001E7ECF">
          <w:pPr>
            <w:autoSpaceDE w:val="0"/>
            <w:autoSpaceDN w:val="0"/>
            <w:ind w:hanging="640"/>
            <w:divId w:val="1509831085"/>
          </w:pPr>
          <w:r>
            <w:t>[173]</w:t>
          </w:r>
          <w:r>
            <w:tab/>
            <w:t xml:space="preserve">Z. Han, M. Zheng, F. Kong, F. Wang, Z. Li, and T. Bai, “Numerical simulation of solar assisted ground-source heat pump heating system with latent heat energy storage in severely cold area,” </w:t>
          </w:r>
          <w:r>
            <w:rPr>
              <w:i/>
              <w:iCs/>
            </w:rPr>
            <w:t>Appl Therm Eng</w:t>
          </w:r>
          <w:r>
            <w:t>, vol. 28, no. 11–12, pp. 1427–1436, Aug. 2008, doi: 10.1016/j.applthermaleng.2007.09.013.</w:t>
          </w:r>
        </w:p>
        <w:p w14:paraId="0D4CAEA3" w14:textId="77777777" w:rsidR="001E7ECF" w:rsidRDefault="001E7ECF">
          <w:pPr>
            <w:autoSpaceDE w:val="0"/>
            <w:autoSpaceDN w:val="0"/>
            <w:ind w:hanging="640"/>
            <w:divId w:val="1160734188"/>
          </w:pPr>
          <w:r>
            <w:t>[174]</w:t>
          </w:r>
          <w:r>
            <w:tab/>
            <w:t xml:space="preserve">M. Yamaguchi </w:t>
          </w:r>
          <w:r>
            <w:rPr>
              <w:i/>
              <w:iCs/>
            </w:rPr>
            <w:t>et al.</w:t>
          </w:r>
          <w:r>
            <w:t xml:space="preserve">, “Heat Storage-Type Floor Heating System with Heat Pump Driven by Discount Electricity Supplied at Night,” </w:t>
          </w:r>
          <w:r>
            <w:rPr>
              <w:i/>
              <w:iCs/>
            </w:rPr>
            <w:t>KAGAKU KOGAKU RONBUNSHU</w:t>
          </w:r>
          <w:r>
            <w:t>, vol. 21, no. 5, pp. 853–858, 1995, doi: 10.1252/kakoronbunshu.21.853.</w:t>
          </w:r>
        </w:p>
        <w:p w14:paraId="51D46021" w14:textId="77777777" w:rsidR="001E7ECF" w:rsidRDefault="001E7ECF">
          <w:pPr>
            <w:autoSpaceDE w:val="0"/>
            <w:autoSpaceDN w:val="0"/>
            <w:ind w:hanging="640"/>
            <w:divId w:val="981932639"/>
          </w:pPr>
          <w:r>
            <w:t>[175]</w:t>
          </w:r>
          <w:r>
            <w:tab/>
            <w:t xml:space="preserve">H. Benli, “Energetic performance analysis of a ground-source heat pump system with latent heat storage for a greenhouse heating,” in </w:t>
          </w:r>
          <w:r>
            <w:rPr>
              <w:i/>
              <w:iCs/>
            </w:rPr>
            <w:t>Energy Conversion and Management</w:t>
          </w:r>
          <w:r>
            <w:t>, Pergamon, Jan. 2011, pp. 581–589. doi: 10.1016/j.enconman.2010.07.033.</w:t>
          </w:r>
        </w:p>
        <w:p w14:paraId="5B78C5AD" w14:textId="77777777" w:rsidR="001E7ECF" w:rsidRDefault="001E7ECF">
          <w:pPr>
            <w:autoSpaceDE w:val="0"/>
            <w:autoSpaceDN w:val="0"/>
            <w:ind w:hanging="640"/>
            <w:divId w:val="1063530613"/>
          </w:pPr>
          <w:r>
            <w:t>[176]</w:t>
          </w:r>
          <w:r>
            <w:tab/>
            <w:t xml:space="preserve">N. J. Kelly, P. G. Tuohy, and A. D. Hawkes, “Performance assessment of tariff-based air source heat pump load shifting in a UK detached dwelling featuring phase change-enhanced buffering,” </w:t>
          </w:r>
          <w:r>
            <w:rPr>
              <w:i/>
              <w:iCs/>
            </w:rPr>
            <w:t>Appl Therm Eng</w:t>
          </w:r>
          <w:r>
            <w:t>, vol. 71, no. 2, pp. 809–820, Oct. 2014, doi: 10.1016/j.applthermaleng.2013.12.019.</w:t>
          </w:r>
        </w:p>
        <w:p w14:paraId="43446912" w14:textId="77777777" w:rsidR="001E7ECF" w:rsidRDefault="001E7ECF">
          <w:pPr>
            <w:autoSpaceDE w:val="0"/>
            <w:autoSpaceDN w:val="0"/>
            <w:ind w:hanging="640"/>
            <w:divId w:val="2103331924"/>
          </w:pPr>
          <w:r>
            <w:t>[177]</w:t>
          </w:r>
          <w:r>
            <w:tab/>
            <w:t xml:space="preserve">T. Kumirai, J. Dirker, and J. Meyer, “Experimental analysis for thermal storage performance of three types of plate encapsulated phase change materials in air heat exchangers for ventilation applications,” </w:t>
          </w:r>
          <w:r>
            <w:rPr>
              <w:i/>
              <w:iCs/>
            </w:rPr>
            <w:t>Journal of Building Engineering</w:t>
          </w:r>
          <w:r>
            <w:t>, vol. 22, pp. 75–89, Mar. 2019, doi: 10.1016/J.JOBE.2018.11.016.</w:t>
          </w:r>
        </w:p>
        <w:p w14:paraId="327FAE9B" w14:textId="77777777" w:rsidR="001E7ECF" w:rsidRDefault="001E7ECF">
          <w:pPr>
            <w:autoSpaceDE w:val="0"/>
            <w:autoSpaceDN w:val="0"/>
            <w:ind w:hanging="640"/>
            <w:divId w:val="1630087527"/>
          </w:pPr>
          <w:r>
            <w:t>[178]</w:t>
          </w:r>
          <w:r>
            <w:tab/>
            <w:t xml:space="preserve">M. Alam, P. X. W. Zou, J. Sanjayan, and S. Ramakrishnan, “Energy saving performance assessment and lessons learned from the operation of an active phase change materials system in a multi-storey building in Melbourne,” </w:t>
          </w:r>
          <w:r>
            <w:rPr>
              <w:i/>
              <w:iCs/>
            </w:rPr>
            <w:t>Appl Energy</w:t>
          </w:r>
          <w:r>
            <w:t>, vol. 238, pp. 1582–1595, Mar. 2019, doi: 10.1016/j.apenergy.2019.01.116.</w:t>
          </w:r>
        </w:p>
        <w:p w14:paraId="675A4CB1" w14:textId="77777777" w:rsidR="001E7ECF" w:rsidRDefault="001E7ECF">
          <w:pPr>
            <w:autoSpaceDE w:val="0"/>
            <w:autoSpaceDN w:val="0"/>
            <w:ind w:hanging="640"/>
            <w:divId w:val="1883057798"/>
          </w:pPr>
          <w:r>
            <w:t>[179]</w:t>
          </w:r>
          <w:r>
            <w:tab/>
            <w:t xml:space="preserve">S. Takeda, K. Nagano, T. Mochida, and K. Shimakura, “Development of a ventilation system utilizing thermal energy storage for granules containing phase change material,” </w:t>
          </w:r>
          <w:r>
            <w:rPr>
              <w:i/>
              <w:iCs/>
            </w:rPr>
            <w:t>Solar Energy</w:t>
          </w:r>
          <w:r>
            <w:t>, vol. 77, no. 3, pp. 329–338, Sep. 2004, doi: 10.1016/j.solener.2004.04.014.</w:t>
          </w:r>
        </w:p>
        <w:p w14:paraId="0E3D2115" w14:textId="77777777" w:rsidR="001E7ECF" w:rsidRDefault="001E7ECF">
          <w:pPr>
            <w:autoSpaceDE w:val="0"/>
            <w:autoSpaceDN w:val="0"/>
            <w:ind w:hanging="640"/>
            <w:divId w:val="1380664827"/>
          </w:pPr>
          <w:r>
            <w:t>[180]</w:t>
          </w:r>
          <w:r>
            <w:tab/>
            <w:t>S. Koebrich, E. Chen, T. Bowen, S. Forrester, and T. Tian, “2017 Renewable Energy Data Book Including Data and Trends for Energy Storage and Electric Vehicles,” 2017. doi: DOE/GO-102019-5113.</w:t>
          </w:r>
        </w:p>
        <w:p w14:paraId="5A2AE2FE" w14:textId="77777777" w:rsidR="001E7ECF" w:rsidRDefault="001E7ECF">
          <w:pPr>
            <w:autoSpaceDE w:val="0"/>
            <w:autoSpaceDN w:val="0"/>
            <w:ind w:hanging="640"/>
            <w:divId w:val="1267343813"/>
          </w:pPr>
          <w:r>
            <w:t>[181]</w:t>
          </w:r>
          <w:r>
            <w:tab/>
            <w:t xml:space="preserve">G. R. Newsham and B. G. Bowker, “The effect of utility time-varying pricing and load control strategies on residential summer peak electricity use: A review,” </w:t>
          </w:r>
          <w:r>
            <w:rPr>
              <w:i/>
              <w:iCs/>
            </w:rPr>
            <w:t>Energy Policy</w:t>
          </w:r>
          <w:r>
            <w:t>, vol. 38, no. 7, pp. 3289–3296, Jul. 2010, doi: 10.1016/j.enpol.2010.01.027.</w:t>
          </w:r>
        </w:p>
        <w:p w14:paraId="3A53053D" w14:textId="77777777" w:rsidR="001E7ECF" w:rsidRDefault="001E7ECF">
          <w:pPr>
            <w:autoSpaceDE w:val="0"/>
            <w:autoSpaceDN w:val="0"/>
            <w:ind w:hanging="640"/>
            <w:divId w:val="94400923"/>
          </w:pPr>
          <w:r>
            <w:t>[182]</w:t>
          </w:r>
          <w:r>
            <w:tab/>
            <w:t xml:space="preserve">I. Dincer, S. Dost, and X. Li, “Thermal energy storage applications from an energy saving perspective,” </w:t>
          </w:r>
          <w:r>
            <w:rPr>
              <w:i/>
              <w:iCs/>
            </w:rPr>
            <w:t>International Journal of Global Energy Issues</w:t>
          </w:r>
          <w:r>
            <w:t>, vol. 9, no. 4, pp. 351–364, 1997, doi: 10.1504/IJGEI.1997.063347.</w:t>
          </w:r>
        </w:p>
        <w:p w14:paraId="1DFCBC45" w14:textId="77777777" w:rsidR="001E7ECF" w:rsidRDefault="001E7ECF">
          <w:pPr>
            <w:autoSpaceDE w:val="0"/>
            <w:autoSpaceDN w:val="0"/>
            <w:ind w:hanging="640"/>
            <w:divId w:val="1754282096"/>
          </w:pPr>
          <w:r>
            <w:t>[183]</w:t>
          </w:r>
          <w:r>
            <w:tab/>
            <w:t xml:space="preserve">N. Soares, J. J. Costa, A. R. Gaspar, and P. Santos, “Review of passive PCM latent heat thermal energy storage systems towards buildings’ energy efficiency,” </w:t>
          </w:r>
          <w:r>
            <w:rPr>
              <w:i/>
              <w:iCs/>
            </w:rPr>
            <w:t>Energy Build</w:t>
          </w:r>
          <w:r>
            <w:t>, vol. 59, pp. 82–103, 2013, doi: 10.1016/j.enbuild.2012.12.042.</w:t>
          </w:r>
        </w:p>
        <w:p w14:paraId="03CF6502" w14:textId="77777777" w:rsidR="001E7ECF" w:rsidRDefault="001E7ECF">
          <w:pPr>
            <w:autoSpaceDE w:val="0"/>
            <w:autoSpaceDN w:val="0"/>
            <w:ind w:hanging="640"/>
            <w:divId w:val="715743580"/>
          </w:pPr>
          <w:r>
            <w:t>[184]</w:t>
          </w:r>
          <w:r>
            <w:tab/>
            <w:t xml:space="preserve">S. Sonnick </w:t>
          </w:r>
          <w:r>
            <w:rPr>
              <w:i/>
              <w:iCs/>
            </w:rPr>
            <w:t>et al.</w:t>
          </w:r>
          <w:r>
            <w:t xml:space="preserve">, “Passive room conditioning using phase change materials—Demonstration of a long-term real size experiment,” </w:t>
          </w:r>
          <w:r>
            <w:rPr>
              <w:i/>
              <w:iCs/>
            </w:rPr>
            <w:t>Int J Energy Res</w:t>
          </w:r>
          <w:r>
            <w:t>, Apr. 2020, doi: 10.1002/er.5406.</w:t>
          </w:r>
        </w:p>
        <w:p w14:paraId="4662AB35" w14:textId="77777777" w:rsidR="001E7ECF" w:rsidRDefault="001E7ECF">
          <w:pPr>
            <w:autoSpaceDE w:val="0"/>
            <w:autoSpaceDN w:val="0"/>
            <w:ind w:hanging="640"/>
            <w:divId w:val="779496114"/>
          </w:pPr>
          <w:r>
            <w:t>[185]</w:t>
          </w:r>
          <w:r>
            <w:tab/>
            <w:t xml:space="preserve">R. Arivazhagan </w:t>
          </w:r>
          <w:r>
            <w:rPr>
              <w:i/>
              <w:iCs/>
            </w:rPr>
            <w:t>et al.</w:t>
          </w:r>
          <w:r>
            <w:t xml:space="preserve">, “Review on performance assessment of phase change materials in buildings for thermal management through passive approach,” </w:t>
          </w:r>
          <w:r>
            <w:rPr>
              <w:i/>
              <w:iCs/>
            </w:rPr>
            <w:t>Mater Today Proc</w:t>
          </w:r>
          <w:r>
            <w:t>, vol. 22, pp. 419–431, Jan. 2020, doi: 10.1016/j.matpr.2019.07.616.</w:t>
          </w:r>
        </w:p>
        <w:p w14:paraId="524EF3E8" w14:textId="77777777" w:rsidR="001E7ECF" w:rsidRDefault="001E7ECF">
          <w:pPr>
            <w:autoSpaceDE w:val="0"/>
            <w:autoSpaceDN w:val="0"/>
            <w:ind w:hanging="640"/>
            <w:divId w:val="1910723887"/>
          </w:pPr>
          <w:r>
            <w:t>[186]</w:t>
          </w:r>
          <w:r>
            <w:tab/>
            <w:t xml:space="preserve">M. Liu, W. Saman, and F. Bruno, “Review on storage materials and thermal performance enhancement techniques for high temperature phase change thermal storage systems,” </w:t>
          </w:r>
          <w:r>
            <w:rPr>
              <w:i/>
              <w:iCs/>
            </w:rPr>
            <w:t>Renewable and Sustainable Energy Reviews</w:t>
          </w:r>
          <w:r>
            <w:t>, vol. 16, no. 4. Pergamon, pp. 2118–2132, May 2012. doi: 10.1016/j.rser.2012.01.020.</w:t>
          </w:r>
        </w:p>
        <w:p w14:paraId="39EFFB73" w14:textId="77777777" w:rsidR="001E7ECF" w:rsidRDefault="001E7ECF">
          <w:pPr>
            <w:autoSpaceDE w:val="0"/>
            <w:autoSpaceDN w:val="0"/>
            <w:ind w:hanging="640"/>
            <w:divId w:val="2092964984"/>
          </w:pPr>
          <w:r>
            <w:t>[187]</w:t>
          </w:r>
          <w:r>
            <w:tab/>
            <w:t xml:space="preserve">“F-Chart Software: Engineering Equation Solver.” </w:t>
          </w:r>
        </w:p>
        <w:p w14:paraId="468E4165" w14:textId="77777777" w:rsidR="001E7ECF" w:rsidRDefault="001E7ECF">
          <w:pPr>
            <w:autoSpaceDE w:val="0"/>
            <w:autoSpaceDN w:val="0"/>
            <w:ind w:hanging="640"/>
            <w:divId w:val="932595411"/>
          </w:pPr>
          <w:r>
            <w:t>[188]</w:t>
          </w:r>
          <w:r>
            <w:tab/>
            <w:t>B. Goetzler, M. Guernsey, and T. Kassuga, “Grid-Interactive Efficient Buildings Technical Report Series: HVAC; Water Heating; Appliances; and Refrigeration,” 2019. Accessed: May 19, 2021. [Online]. Available: http://www.osti.gov/servlets/purl/1577966/%0Ahttp://files/87/Neukomm et al. - 2019 - Grid-Interactive Efficient Buildings Technical Rep.pdf</w:t>
          </w:r>
        </w:p>
        <w:p w14:paraId="5A6F98A1" w14:textId="77777777" w:rsidR="001E7ECF" w:rsidRDefault="001E7ECF">
          <w:pPr>
            <w:autoSpaceDE w:val="0"/>
            <w:autoSpaceDN w:val="0"/>
            <w:ind w:hanging="640"/>
            <w:divId w:val="642580792"/>
          </w:pPr>
          <w:r>
            <w:t>[189]</w:t>
          </w:r>
          <w:r>
            <w:tab/>
            <w:t>Center for Sustainable Systems, “Residential Buildings Factsheet,” 2021. Accessed: Jun. 16, 2022. [Online]. Available: https://css.umich.edu/publications/factsheets/built-environment/residential-buildings-factsheet</w:t>
          </w:r>
        </w:p>
        <w:p w14:paraId="063F49A2" w14:textId="77777777" w:rsidR="001E7ECF" w:rsidRDefault="001E7ECF">
          <w:pPr>
            <w:autoSpaceDE w:val="0"/>
            <w:autoSpaceDN w:val="0"/>
            <w:ind w:hanging="640"/>
            <w:divId w:val="1457722842"/>
          </w:pPr>
          <w:r>
            <w:t>[190]</w:t>
          </w:r>
          <w:r>
            <w:tab/>
            <w:t xml:space="preserve">U.S. Energy Information Administration - EIA, “Nearly 90% of U.S. households used air conditioning in 2020,” </w:t>
          </w:r>
          <w:r>
            <w:rPr>
              <w:i/>
              <w:iCs/>
            </w:rPr>
            <w:t>Residential Energy Consumption Survey</w:t>
          </w:r>
          <w:r>
            <w:t>. https://www.eia.gov/todayinenergy/detail.php?id=52558&amp;src=%E2%80%B9%20Consumption%20%20%20%20%20%20Residential%20Energy%20Consumption%20Survey%20(RECS)-b1 (accessed Jun. 16, 2022).</w:t>
          </w:r>
        </w:p>
        <w:p w14:paraId="44F889F8" w14:textId="77777777" w:rsidR="001E7ECF" w:rsidRDefault="001E7ECF">
          <w:pPr>
            <w:autoSpaceDE w:val="0"/>
            <w:autoSpaceDN w:val="0"/>
            <w:ind w:hanging="640"/>
            <w:divId w:val="1559439519"/>
          </w:pPr>
          <w:r>
            <w:t>[191]</w:t>
          </w:r>
          <w:r>
            <w:tab/>
            <w:t>M. Sarkar, “How American Homes Vary By the Year They Were Built; How American Homes Vary By the Year They Were Built,” Washington, DC, 2011. Accessed: May 19, 2021. [Online]. Available: http://www.census.gov/const/www/charindex.html</w:t>
          </w:r>
        </w:p>
        <w:p w14:paraId="0DD1B8D4" w14:textId="77777777" w:rsidR="001E7ECF" w:rsidRDefault="001E7ECF">
          <w:pPr>
            <w:autoSpaceDE w:val="0"/>
            <w:autoSpaceDN w:val="0"/>
            <w:ind w:hanging="640"/>
            <w:divId w:val="1654748288"/>
          </w:pPr>
          <w:r>
            <w:t>[192]</w:t>
          </w:r>
          <w:r>
            <w:tab/>
            <w:t xml:space="preserve">A. Waqas and S. Kumar, “Phase change material (Pcm)-based solar air heating system for residential space heating in winter,” </w:t>
          </w:r>
          <w:r>
            <w:rPr>
              <w:i/>
              <w:iCs/>
            </w:rPr>
            <w:t>Int J Green Energy</w:t>
          </w:r>
          <w:r>
            <w:t>, vol. 10, no. 4, pp. 402–426, 2013, doi: 10.1080/15435075.2012.673518.</w:t>
          </w:r>
        </w:p>
        <w:p w14:paraId="41AC464D" w14:textId="77777777" w:rsidR="001E7ECF" w:rsidRDefault="001E7ECF">
          <w:pPr>
            <w:autoSpaceDE w:val="0"/>
            <w:autoSpaceDN w:val="0"/>
            <w:ind w:hanging="640"/>
            <w:divId w:val="213467736"/>
          </w:pPr>
          <w:r>
            <w:t>[193]</w:t>
          </w:r>
          <w:r>
            <w:tab/>
            <w:t xml:space="preserve">A. Waqas, M. Ali, and Z. Ud Din, “Performance analysis of phase-change material storage unit for both heating and cooling of buildings,” </w:t>
          </w:r>
          <w:r>
            <w:rPr>
              <w:i/>
              <w:iCs/>
            </w:rPr>
            <w:t>International Journal of Sustainable Energy</w:t>
          </w:r>
          <w:r>
            <w:t>, vol. 36, no. 4, pp. 379–397, Apr. 2017, doi: 10.1080/14786451.2015.1018832.</w:t>
          </w:r>
        </w:p>
        <w:p w14:paraId="0911D50A" w14:textId="77777777" w:rsidR="001E7ECF" w:rsidRDefault="001E7ECF">
          <w:pPr>
            <w:autoSpaceDE w:val="0"/>
            <w:autoSpaceDN w:val="0"/>
            <w:ind w:hanging="640"/>
            <w:divId w:val="1468164057"/>
          </w:pPr>
          <w:r>
            <w:t>[194]</w:t>
          </w:r>
          <w:r>
            <w:tab/>
            <w:t xml:space="preserve">E. Markarian and F. Fazelpour, “Multi-objective optimization of energy performance of a building considering different configurations and types of PCM,” </w:t>
          </w:r>
          <w:r>
            <w:rPr>
              <w:i/>
              <w:iCs/>
            </w:rPr>
            <w:t>Solar Energy</w:t>
          </w:r>
          <w:r>
            <w:t>, vol. 191, pp. 481–496, Oct. 2019, doi: 10.1016/J.SOLENER.2019.09.003.</w:t>
          </w:r>
        </w:p>
        <w:p w14:paraId="0C2684AD" w14:textId="77777777" w:rsidR="001E7ECF" w:rsidRDefault="001E7ECF">
          <w:pPr>
            <w:autoSpaceDE w:val="0"/>
            <w:autoSpaceDN w:val="0"/>
            <w:ind w:hanging="640"/>
            <w:divId w:val="598803007"/>
          </w:pPr>
          <w:r>
            <w:t>[195]</w:t>
          </w:r>
          <w:r>
            <w:tab/>
            <w:t>M. C. Baecheler, J. Williamson, T. Gilbride, P. Cole, M. Hefty, and P. M. Love, “Guide to determining climate regions by county,” 2010. Accessed: Jan. 12, 2022. [Online]. Available: www.buildingamerica.gov</w:t>
          </w:r>
        </w:p>
        <w:p w14:paraId="3CBCA27C" w14:textId="77777777" w:rsidR="001E7ECF" w:rsidRDefault="001E7ECF">
          <w:pPr>
            <w:autoSpaceDE w:val="0"/>
            <w:autoSpaceDN w:val="0"/>
            <w:ind w:hanging="640"/>
            <w:divId w:val="727191743"/>
          </w:pPr>
          <w:r>
            <w:t>[196]</w:t>
          </w:r>
          <w:r>
            <w:tab/>
            <w:t>“NSRDB | TMY.” https://nsrdb.nrel.gov/data-sets/tmy (accessed Aug. 09, 2022).</w:t>
          </w:r>
        </w:p>
        <w:p w14:paraId="2BB24D62" w14:textId="77777777" w:rsidR="001E7ECF" w:rsidRDefault="001E7ECF">
          <w:pPr>
            <w:autoSpaceDE w:val="0"/>
            <w:autoSpaceDN w:val="0"/>
            <w:ind w:hanging="640"/>
            <w:divId w:val="2046902391"/>
          </w:pPr>
          <w:r>
            <w:t>[197]</w:t>
          </w:r>
          <w:r>
            <w:tab/>
            <w:t xml:space="preserve">X. X. Zhang, Y. F. Fan, X. M. Tao, and K. L. Yick, “Crystallization and prevention of supercooling of microencapsulated n-alkanes,” </w:t>
          </w:r>
          <w:r>
            <w:rPr>
              <w:i/>
              <w:iCs/>
            </w:rPr>
            <w:t>J Colloid Interface Sci</w:t>
          </w:r>
          <w:r>
            <w:t>, vol. 281, no. 2, pp. 299–306, Jan. 2005, doi: 10.1016/J.JCIS.2004.08.046.</w:t>
          </w:r>
        </w:p>
        <w:p w14:paraId="724F7660" w14:textId="77777777" w:rsidR="001E7ECF" w:rsidRDefault="001E7ECF">
          <w:pPr>
            <w:autoSpaceDE w:val="0"/>
            <w:autoSpaceDN w:val="0"/>
            <w:ind w:hanging="640"/>
            <w:divId w:val="1034117269"/>
          </w:pPr>
          <w:r>
            <w:t>[198]</w:t>
          </w:r>
          <w:r>
            <w:tab/>
            <w:t xml:space="preserve">K. El Omari, Y. Le Guer, and P. Bruel, “Analysis of micro-dispersed PCM-composite boards behavior in a building’s wall for different seasons,” </w:t>
          </w:r>
          <w:r>
            <w:rPr>
              <w:i/>
              <w:iCs/>
            </w:rPr>
            <w:t>Journal of Building Engineering</w:t>
          </w:r>
          <w:r>
            <w:t>, vol. 7, pp. 361–371, Sep. 2016, doi: 10.1016/J.JOBE.2016.07.013.</w:t>
          </w:r>
        </w:p>
        <w:p w14:paraId="6D7D2F8B" w14:textId="77777777" w:rsidR="001E7ECF" w:rsidRDefault="001E7ECF">
          <w:pPr>
            <w:autoSpaceDE w:val="0"/>
            <w:autoSpaceDN w:val="0"/>
            <w:ind w:hanging="640"/>
            <w:divId w:val="1525358686"/>
          </w:pPr>
          <w:r>
            <w:t>[199]</w:t>
          </w:r>
          <w:r>
            <w:tab/>
            <w:t xml:space="preserve">B. Cui, J. Dong, J. Munk, N. Mao, and T. Kuruganti, “A simplified regression building thermal model of detached two-floor house in U.S. for virtual energy storage control,” </w:t>
          </w:r>
          <w:r>
            <w:rPr>
              <w:i/>
              <w:iCs/>
            </w:rPr>
            <w:t>International High Performance Buildings Conference</w:t>
          </w:r>
          <w:r>
            <w:t>, Jul. 2018, Accessed: Mar. 07, 2023. [Online]. Available: https://docs.lib.purdue.edu/ihpbc/284</w:t>
          </w:r>
        </w:p>
        <w:p w14:paraId="7695CC46" w14:textId="77777777" w:rsidR="001E7ECF" w:rsidRDefault="001E7ECF">
          <w:pPr>
            <w:autoSpaceDE w:val="0"/>
            <w:autoSpaceDN w:val="0"/>
            <w:ind w:hanging="640"/>
            <w:divId w:val="1033847280"/>
          </w:pPr>
          <w:r>
            <w:t>[200]</w:t>
          </w:r>
          <w:r>
            <w:tab/>
            <w:t>“Prototype Building Models | Building Energy Codes Program.” https://www.energycodes.gov/prototype-building-models#Residential (accessed Mar. 07, 2023).</w:t>
          </w:r>
        </w:p>
        <w:p w14:paraId="6BCA7F1B" w14:textId="77777777" w:rsidR="001E7ECF" w:rsidRDefault="001E7ECF">
          <w:pPr>
            <w:autoSpaceDE w:val="0"/>
            <w:autoSpaceDN w:val="0"/>
            <w:ind w:hanging="640"/>
            <w:divId w:val="732120234"/>
          </w:pPr>
          <w:r>
            <w:t>[201]</w:t>
          </w:r>
          <w:r>
            <w:tab/>
            <w:t>“Climate and Average Weather Year Round in Houston, Texas, United States.” https://weatherspark.com/y/9247/Average-Weather-in-Houston-Texas-United-States-Year-Round (accessed Jan. 24, 2023).</w:t>
          </w:r>
        </w:p>
        <w:p w14:paraId="527B1B61" w14:textId="77777777" w:rsidR="001E7ECF" w:rsidRDefault="001E7ECF">
          <w:pPr>
            <w:autoSpaceDE w:val="0"/>
            <w:autoSpaceDN w:val="0"/>
            <w:ind w:hanging="640"/>
            <w:divId w:val="1162233959"/>
          </w:pPr>
          <w:r>
            <w:t>[202]</w:t>
          </w:r>
          <w:r>
            <w:tab/>
            <w:t xml:space="preserve">F. Li, B. Sun, C. Zhang, and C. Liu, “A hybrid optimization-based scheduling strategy for combined cooling, heating, and power system with thermal energy storage,” </w:t>
          </w:r>
          <w:r>
            <w:rPr>
              <w:i/>
              <w:iCs/>
            </w:rPr>
            <w:t>Energy</w:t>
          </w:r>
          <w:r>
            <w:t>, vol. 188, p. 115948, Dec. 2019, doi: 10.1016/J.ENERGY.2019.115948.</w:t>
          </w:r>
        </w:p>
        <w:p w14:paraId="57D639B8" w14:textId="77777777" w:rsidR="001E7ECF" w:rsidRDefault="001E7ECF">
          <w:pPr>
            <w:autoSpaceDE w:val="0"/>
            <w:autoSpaceDN w:val="0"/>
            <w:ind w:hanging="640"/>
            <w:divId w:val="1005936888"/>
          </w:pPr>
          <w:r>
            <w:t>[203]</w:t>
          </w:r>
          <w:r>
            <w:tab/>
            <w:t xml:space="preserve">N. H. Abu-Hamdeh, R. A. R. Bantan, and R. I. Hatamleh, “Carbon dioxide reduction using passive technique of incorporating phase change materials into envelopes: A case study of climate data from Saudi Arabia,” </w:t>
          </w:r>
          <w:r>
            <w:rPr>
              <w:i/>
              <w:iCs/>
            </w:rPr>
            <w:t>J Energy Storage</w:t>
          </w:r>
          <w:r>
            <w:t>, vol. 49, p. 104153, May 2022, doi: 10.1016/J.EST.2022.104153.</w:t>
          </w:r>
        </w:p>
        <w:p w14:paraId="50712DBF" w14:textId="77777777" w:rsidR="001E7ECF" w:rsidRDefault="001E7ECF">
          <w:pPr>
            <w:autoSpaceDE w:val="0"/>
            <w:autoSpaceDN w:val="0"/>
            <w:ind w:hanging="640"/>
            <w:divId w:val="934898894"/>
          </w:pPr>
          <w:r>
            <w:t>[204]</w:t>
          </w:r>
          <w:r>
            <w:tab/>
            <w:t xml:space="preserve">S. Mousavi, M. Gijón-Rivera, C. I. Rivera-Solorio, and C. Godoy Rangel, “Energy, comfort, and environmental assessment of passive techniques integrated into low-energy residential buildings in semi-arid climate,” </w:t>
          </w:r>
          <w:r>
            <w:rPr>
              <w:i/>
              <w:iCs/>
            </w:rPr>
            <w:t>Energy Build</w:t>
          </w:r>
          <w:r>
            <w:t>, vol. 263, p. 112053, May 2022, doi: 10.1016/J.ENBUILD.2022.112053.</w:t>
          </w:r>
        </w:p>
        <w:p w14:paraId="20F4D36D" w14:textId="77777777" w:rsidR="001E7ECF" w:rsidRDefault="001E7ECF">
          <w:pPr>
            <w:autoSpaceDE w:val="0"/>
            <w:autoSpaceDN w:val="0"/>
            <w:ind w:hanging="640"/>
            <w:divId w:val="871698075"/>
          </w:pPr>
          <w:r>
            <w:t>[205]</w:t>
          </w:r>
          <w:r>
            <w:tab/>
            <w:t xml:space="preserve">M. Arıcı, F. Bilgin, M. Krajčík, S. Nižetić, and H. Karabay, “Energy saving and CO2 reduction potential of external building walls containing two layers of phase change material,” </w:t>
          </w:r>
          <w:r>
            <w:rPr>
              <w:i/>
              <w:iCs/>
            </w:rPr>
            <w:t>Energy</w:t>
          </w:r>
          <w:r>
            <w:t>, p. 124010, Apr. 2022, doi: 10.1016/J.ENERGY.2022.124010.</w:t>
          </w:r>
        </w:p>
        <w:p w14:paraId="6B5FCAAC" w14:textId="77777777" w:rsidR="001E7ECF" w:rsidRDefault="001E7ECF">
          <w:pPr>
            <w:autoSpaceDE w:val="0"/>
            <w:autoSpaceDN w:val="0"/>
            <w:ind w:hanging="640"/>
            <w:divId w:val="1862625406"/>
          </w:pPr>
          <w:r>
            <w:t>[206]</w:t>
          </w:r>
          <w:r>
            <w:tab/>
            <w:t xml:space="preserve">N. Farouk, M. A. El-Rahman, M. Sharifpur, and W. Guo, “Assessment of CO2 emissions associated with HVAC system in buildings equipped with phase change materials,” </w:t>
          </w:r>
          <w:r>
            <w:rPr>
              <w:i/>
              <w:iCs/>
            </w:rPr>
            <w:t>Journal of Building Engineering</w:t>
          </w:r>
          <w:r>
            <w:t>, vol. 51, p. 104236, Jul. 2022, doi: 10.1016/J.JOBE.2022.104236.</w:t>
          </w:r>
        </w:p>
        <w:p w14:paraId="54EF0CAA" w14:textId="77777777" w:rsidR="001E7ECF" w:rsidRDefault="001E7ECF">
          <w:pPr>
            <w:autoSpaceDE w:val="0"/>
            <w:autoSpaceDN w:val="0"/>
            <w:ind w:hanging="640"/>
            <w:divId w:val="1214272654"/>
          </w:pPr>
          <w:r>
            <w:t>[207]</w:t>
          </w:r>
          <w:r>
            <w:tab/>
            <w:t xml:space="preserve">R. Renaldi, A. Kiprakis, and D. Friedrich, “An optimisation framework for thermal energy storage integration in a residential heat pump heating system,” </w:t>
          </w:r>
          <w:r>
            <w:rPr>
              <w:i/>
              <w:iCs/>
            </w:rPr>
            <w:t>Appl Energy</w:t>
          </w:r>
          <w:r>
            <w:t>, vol. 186, pp. 520–529, Jan. 2017, doi: 10.1016/J.APENERGY.2016.02.067.</w:t>
          </w:r>
        </w:p>
        <w:p w14:paraId="71C5AA0D" w14:textId="77777777" w:rsidR="001E7ECF" w:rsidRDefault="001E7ECF">
          <w:pPr>
            <w:autoSpaceDE w:val="0"/>
            <w:autoSpaceDN w:val="0"/>
            <w:ind w:hanging="640"/>
            <w:divId w:val="2098548961"/>
          </w:pPr>
          <w:r>
            <w:t>[208]</w:t>
          </w:r>
          <w:r>
            <w:tab/>
            <w:t xml:space="preserve">P. Arce, M. Medrano, A. Gil, E. Oró, and L. F. Cabeza, “Overview of thermal energy storage (TES) potential energy savings and climate change mitigation in Spain and Europe,” </w:t>
          </w:r>
          <w:r>
            <w:rPr>
              <w:i/>
              <w:iCs/>
            </w:rPr>
            <w:t>Appl Energy</w:t>
          </w:r>
          <w:r>
            <w:t>, vol. 88, no. 8, pp. 2764–2774, Aug. 2011, doi: 10.1016/J.APENERGY.2011.01.067.</w:t>
          </w:r>
        </w:p>
        <w:p w14:paraId="47199BD3" w14:textId="77777777" w:rsidR="001E7ECF" w:rsidRDefault="001E7ECF">
          <w:pPr>
            <w:autoSpaceDE w:val="0"/>
            <w:autoSpaceDN w:val="0"/>
            <w:ind w:hanging="640"/>
            <w:divId w:val="1676766192"/>
          </w:pPr>
          <w:r>
            <w:t>[209]</w:t>
          </w:r>
          <w:r>
            <w:tab/>
            <w:t xml:space="preserve">D. Fischer, H. M.-R. and S. E. Reviews, and undefined 2017, “On heat pumps in smart grids: A review,” </w:t>
          </w:r>
          <w:r>
            <w:rPr>
              <w:i/>
              <w:iCs/>
            </w:rPr>
            <w:t>Elsevier</w:t>
          </w:r>
          <w:r>
            <w:t>, Accessed: Nov. 21, 2022. [Online]. Available: https://www.sciencedirect.com/science/article/pii/S1364032116309418?casa_token=Qh18EGJLZLwAAAAA:vpcm3J1pwdEV8U5QYm_IU7cE3i4I6Wuv_Zp3WoY2Sf95l1BAIPqXKo95rW9jIkSZs6zNmasuGQ</w:t>
          </w:r>
        </w:p>
        <w:p w14:paraId="3C7BC518" w14:textId="77777777" w:rsidR="001E7ECF" w:rsidRDefault="001E7ECF">
          <w:pPr>
            <w:autoSpaceDE w:val="0"/>
            <w:autoSpaceDN w:val="0"/>
            <w:ind w:hanging="640"/>
            <w:divId w:val="2047562013"/>
          </w:pPr>
          <w:r>
            <w:t>[210]</w:t>
          </w:r>
          <w:r>
            <w:tab/>
            <w:t xml:space="preserve">K. Siler-Evans, I. L. Azevedo, M. G. Morgan, and J. Apt, “Regional variations in the health, environmental, and climate benefits of wind and solar generation,” </w:t>
          </w:r>
          <w:r>
            <w:rPr>
              <w:i/>
              <w:iCs/>
            </w:rPr>
            <w:t>Proc Natl Acad Sci U S A</w:t>
          </w:r>
          <w:r>
            <w:t>, vol. 110, no. 29, pp. 11768–11773, Jul. 2013, doi: 10.1073/PNAS.1221978110.</w:t>
          </w:r>
        </w:p>
        <w:p w14:paraId="73450295" w14:textId="77777777" w:rsidR="001E7ECF" w:rsidRDefault="001E7ECF">
          <w:pPr>
            <w:autoSpaceDE w:val="0"/>
            <w:autoSpaceDN w:val="0"/>
            <w:ind w:hanging="640"/>
            <w:divId w:val="1412703891"/>
          </w:pPr>
          <w:r>
            <w:t>[211]</w:t>
          </w:r>
          <w:r>
            <w:tab/>
            <w:t xml:space="preserve">D. S. Callaway, M. Fowlie, and G. McCormick, “Location, location, location: The variable value of renewable energy and demand-side efficiency resources,” </w:t>
          </w:r>
          <w:r>
            <w:rPr>
              <w:i/>
              <w:iCs/>
            </w:rPr>
            <w:t>J Assoc Environ Resour Econ</w:t>
          </w:r>
          <w:r>
            <w:t>, vol. 5, no. 1, pp. 39–75, Jan. 2018, doi: 10.1086/694179.</w:t>
          </w:r>
        </w:p>
        <w:p w14:paraId="3980F84E" w14:textId="77777777" w:rsidR="001E7ECF" w:rsidRDefault="001E7ECF">
          <w:pPr>
            <w:autoSpaceDE w:val="0"/>
            <w:autoSpaceDN w:val="0"/>
            <w:ind w:hanging="640"/>
            <w:divId w:val="1590655814"/>
          </w:pPr>
          <w:r>
            <w:t>[212]</w:t>
          </w:r>
          <w:r>
            <w:tab/>
            <w:t xml:space="preserve">B. Cui </w:t>
          </w:r>
          <w:r>
            <w:rPr>
              <w:i/>
              <w:iCs/>
            </w:rPr>
            <w:t>et al.</w:t>
          </w:r>
          <w:r>
            <w:t xml:space="preserve">, “A simplified regression building thermal modelling method for detached two- floor house in U.S.,” in </w:t>
          </w:r>
          <w:r>
            <w:rPr>
              <w:i/>
              <w:iCs/>
            </w:rPr>
            <w:t>International High Performance Buildings Conference</w:t>
          </w:r>
          <w:r>
            <w:t>, 2018. [Online]. Available: https://docs.lib.purdue.edu/ihpbc/284</w:t>
          </w:r>
        </w:p>
        <w:p w14:paraId="23C28AA6" w14:textId="77777777" w:rsidR="001E7ECF" w:rsidRDefault="001E7ECF">
          <w:pPr>
            <w:autoSpaceDE w:val="0"/>
            <w:autoSpaceDN w:val="0"/>
            <w:ind w:hanging="640"/>
            <w:divId w:val="1551922212"/>
          </w:pPr>
          <w:r>
            <w:t>[213]</w:t>
          </w:r>
          <w:r>
            <w:tab/>
            <w:t xml:space="preserve">B. Cui, J. Munk, R. Jackson, D. Fugate, and M. Starke, “Building thermal model development of typical house in U.S. for virtual storage control of aggregated building loads based on limited available information,” in </w:t>
          </w:r>
          <w:r>
            <w:rPr>
              <w:i/>
              <w:iCs/>
            </w:rPr>
            <w:t>PROCEEDINGS OF ECOS 2017 - THE 30TH INTERNATIONAL CONFERENCE ON EFFICIENCY, COST, OPTIMIZATION, SIMULATION AND ENVIRONMENTAL IMPACT OF ENERGY SYSTEMS</w:t>
          </w:r>
          <w:r>
            <w:t>, 2012. [Online]. Available: http://energy.gov/downloads/doe-public-access-plan</w:t>
          </w:r>
        </w:p>
        <w:p w14:paraId="794DD2A0" w14:textId="77777777" w:rsidR="001E7ECF" w:rsidRDefault="001E7ECF">
          <w:pPr>
            <w:autoSpaceDE w:val="0"/>
            <w:autoSpaceDN w:val="0"/>
            <w:ind w:hanging="640"/>
            <w:divId w:val="584530070"/>
          </w:pPr>
          <w:r>
            <w:t>[214]</w:t>
          </w:r>
          <w:r>
            <w:tab/>
            <w:t xml:space="preserve">B. Cui </w:t>
          </w:r>
          <w:r>
            <w:rPr>
              <w:i/>
              <w:iCs/>
            </w:rPr>
            <w:t>et al.</w:t>
          </w:r>
          <w:r>
            <w:t xml:space="preserve">, “A hybrid building thermal modeling approach for predicting temperatures in typical, detached, two-story houses,” </w:t>
          </w:r>
          <w:r>
            <w:rPr>
              <w:i/>
              <w:iCs/>
            </w:rPr>
            <w:t>Appl Energy</w:t>
          </w:r>
          <w:r>
            <w:t>, vol. 236, pp. 101–116, Feb. 2019, doi: 10.1016/J.APENERGY.2018.11.077.</w:t>
          </w:r>
        </w:p>
        <w:p w14:paraId="3996398A" w14:textId="77777777" w:rsidR="001E7ECF" w:rsidRDefault="001E7ECF">
          <w:pPr>
            <w:autoSpaceDE w:val="0"/>
            <w:autoSpaceDN w:val="0"/>
            <w:ind w:hanging="640"/>
            <w:divId w:val="1549564818"/>
          </w:pPr>
          <w:r>
            <w:t>[215]</w:t>
          </w:r>
          <w:r>
            <w:tab/>
            <w:t>J. Hirschey, “Investigation of Inorganic Salt Hydrate Phase Change Materials for Thermal Energy Storage Integrated into Heat Pump Systems,” 2022. Accessed: May 04, 2023. [Online]. Available: https://smartech.gatech.edu/handle/1853/70179</w:t>
          </w:r>
        </w:p>
        <w:p w14:paraId="532A2EE2" w14:textId="77777777" w:rsidR="001E7ECF" w:rsidRDefault="001E7ECF">
          <w:pPr>
            <w:autoSpaceDE w:val="0"/>
            <w:autoSpaceDN w:val="0"/>
            <w:ind w:hanging="640"/>
            <w:divId w:val="1335718984"/>
          </w:pPr>
          <w:r>
            <w:t>[216]</w:t>
          </w:r>
          <w:r>
            <w:tab/>
            <w:t xml:space="preserve">C. Zhang, W. Gang, X. Xu, L. Li, and J. Wang, “Modelling, experimental test, and design of an active air permeable wall by utilizing the low-grade exhaust air,” </w:t>
          </w:r>
          <w:r>
            <w:rPr>
              <w:i/>
              <w:iCs/>
            </w:rPr>
            <w:t>Appl Energy</w:t>
          </w:r>
          <w:r>
            <w:t>, vol. 240, pp. 730–743, Apr. 2019, doi: 10.1016/J.APENERGY.2019.02.087.</w:t>
          </w:r>
        </w:p>
        <w:p w14:paraId="14558672" w14:textId="77777777" w:rsidR="001E7ECF" w:rsidRDefault="001E7ECF">
          <w:pPr>
            <w:autoSpaceDE w:val="0"/>
            <w:autoSpaceDN w:val="0"/>
            <w:ind w:hanging="640"/>
            <w:divId w:val="494340284"/>
          </w:pPr>
          <w:r>
            <w:t>[217]</w:t>
          </w:r>
          <w:r>
            <w:tab/>
            <w:t xml:space="preserve">M. Hu, F. Xiao, J. B. Jørgensen, and R. Li, “Price-responsive model predictive control of floor heating systems for demand response using building thermal mass,” </w:t>
          </w:r>
          <w:r>
            <w:rPr>
              <w:i/>
              <w:iCs/>
            </w:rPr>
            <w:t>Appl Therm Eng</w:t>
          </w:r>
          <w:r>
            <w:t>, vol. 153, pp. 316–329, May 2019, doi: 10.1016/J.APPLTHERMALENG.2019.02.107.</w:t>
          </w:r>
        </w:p>
        <w:p w14:paraId="30137DEF" w14:textId="77777777" w:rsidR="001E7ECF" w:rsidRDefault="001E7ECF">
          <w:pPr>
            <w:autoSpaceDE w:val="0"/>
            <w:autoSpaceDN w:val="0"/>
            <w:ind w:hanging="640"/>
            <w:divId w:val="814638752"/>
          </w:pPr>
          <w:r>
            <w:t>[218]</w:t>
          </w:r>
          <w:r>
            <w:tab/>
            <w:t xml:space="preserve">M. Hu, F. Xiao, J. B. Jørgensen, and S. Wang, “Frequency control of air conditioners in response to real-time dynamic electricity prices in smart grids,” </w:t>
          </w:r>
          <w:r>
            <w:rPr>
              <w:i/>
              <w:iCs/>
            </w:rPr>
            <w:t>Appl Energy</w:t>
          </w:r>
          <w:r>
            <w:t>, vol. 242, pp. 92–106, May 2019, doi: 10.1016/J.APENERGY.2019.03.127.</w:t>
          </w:r>
        </w:p>
        <w:p w14:paraId="76D30E57" w14:textId="77777777" w:rsidR="001E7ECF" w:rsidRDefault="001E7ECF">
          <w:pPr>
            <w:autoSpaceDE w:val="0"/>
            <w:autoSpaceDN w:val="0"/>
            <w:ind w:hanging="640"/>
            <w:divId w:val="594049151"/>
          </w:pPr>
          <w:r>
            <w:t>[219]</w:t>
          </w:r>
          <w:r>
            <w:tab/>
            <w:t xml:space="preserve">B. Cui, D. ce Gao, F. Xiao, and S. Wang, “Model-based optimal design of active cool thermal energy storage for maximal life-cycle cost saving from demand management in commercial buildings,” </w:t>
          </w:r>
          <w:r>
            <w:rPr>
              <w:i/>
              <w:iCs/>
            </w:rPr>
            <w:t>Appl Energy</w:t>
          </w:r>
          <w:r>
            <w:t>, vol. 201, pp. 382–396, Sep. 2017, doi: 10.1016/J.APENERGY.2016.12.035.</w:t>
          </w:r>
        </w:p>
        <w:p w14:paraId="19DA1B9D" w14:textId="77777777" w:rsidR="001E7ECF" w:rsidRDefault="001E7ECF">
          <w:pPr>
            <w:autoSpaceDE w:val="0"/>
            <w:autoSpaceDN w:val="0"/>
            <w:ind w:hanging="640"/>
            <w:divId w:val="1253203024"/>
          </w:pPr>
          <w:r>
            <w:t>[220]</w:t>
          </w:r>
          <w:r>
            <w:tab/>
            <w:t xml:space="preserve">E. Di Giuseppe, M. D’Orazio, and C. Di Perna, “Thermal and Filtration Performance Assessment of a Dynamic Insulation System,” </w:t>
          </w:r>
          <w:r>
            <w:rPr>
              <w:i/>
              <w:iCs/>
            </w:rPr>
            <w:t>Energy Procedia</w:t>
          </w:r>
          <w:r>
            <w:t>, vol. 78, pp. 513–518, Nov. 2015, doi: 10.1016/J.EGYPRO.2015.11.721.</w:t>
          </w:r>
        </w:p>
        <w:p w14:paraId="5F622130" w14:textId="77777777" w:rsidR="001E7ECF" w:rsidRDefault="001E7ECF">
          <w:pPr>
            <w:autoSpaceDE w:val="0"/>
            <w:autoSpaceDN w:val="0"/>
            <w:ind w:hanging="640"/>
            <w:divId w:val="236744828"/>
          </w:pPr>
          <w:r>
            <w:t>[221]</w:t>
          </w:r>
          <w:r>
            <w:tab/>
            <w:t xml:space="preserve">S. Wang and X. Xu, “Parameter estimation of internal thermal mass of building dynamic models using genetic algorithm,” </w:t>
          </w:r>
          <w:r>
            <w:rPr>
              <w:i/>
              <w:iCs/>
            </w:rPr>
            <w:t>Energy Convers Manag</w:t>
          </w:r>
          <w:r>
            <w:t>, vol. 47, no. 13–14, pp. 1927–1941, Aug. 2006, doi: 10.1016/J.ENCONMAN.2005.09.011.</w:t>
          </w:r>
        </w:p>
        <w:p w14:paraId="52A00F65" w14:textId="77777777" w:rsidR="001E7ECF" w:rsidRDefault="001E7ECF">
          <w:pPr>
            <w:autoSpaceDE w:val="0"/>
            <w:autoSpaceDN w:val="0"/>
            <w:ind w:hanging="640"/>
            <w:divId w:val="2139370458"/>
          </w:pPr>
          <w:r>
            <w:t>[222]</w:t>
          </w:r>
          <w:r>
            <w:tab/>
            <w:t xml:space="preserve">X. Xu and S. Wang, “A simplified dynamic model for existing buildings using CTF and thermal network models,” </w:t>
          </w:r>
          <w:r>
            <w:rPr>
              <w:i/>
              <w:iCs/>
            </w:rPr>
            <w:t>International Journal of Thermal Sciences</w:t>
          </w:r>
          <w:r>
            <w:t>, vol. 47, no. 9, pp. 1249–1262, Sep. 2008, doi: 10.1016/J.IJTHERMALSCI.2007.10.011.</w:t>
          </w:r>
        </w:p>
        <w:p w14:paraId="617B712D" w14:textId="77777777" w:rsidR="001E7ECF" w:rsidRDefault="001E7ECF">
          <w:pPr>
            <w:autoSpaceDE w:val="0"/>
            <w:autoSpaceDN w:val="0"/>
            <w:ind w:hanging="640"/>
            <w:divId w:val="1131745157"/>
          </w:pPr>
          <w:r>
            <w:t>[223]</w:t>
          </w:r>
          <w:r>
            <w:tab/>
            <w:t xml:space="preserve">A. Kusiak, M. Li, and F. Tang, “Modeling and optimization of HVAC energy consumption,” </w:t>
          </w:r>
          <w:r>
            <w:rPr>
              <w:i/>
              <w:iCs/>
            </w:rPr>
            <w:t>Appl Energy</w:t>
          </w:r>
          <w:r>
            <w:t>, vol. 87, no. 10, pp. 3092–3102, Oct. 2010, doi: 10.1016/J.APENERGY.2010.04.008.</w:t>
          </w:r>
        </w:p>
        <w:p w14:paraId="57B1C33B" w14:textId="77777777" w:rsidR="001E7ECF" w:rsidRDefault="001E7ECF">
          <w:pPr>
            <w:autoSpaceDE w:val="0"/>
            <w:autoSpaceDN w:val="0"/>
            <w:ind w:hanging="640"/>
            <w:divId w:val="2095398190"/>
          </w:pPr>
          <w:r>
            <w:t>[224]</w:t>
          </w:r>
          <w:r>
            <w:tab/>
            <w:t>Spyder, “Spyder | The Scientific Python Development Environment,” 2022. https://www.spyder-ide.org (accessed May 04, 2023).</w:t>
          </w:r>
        </w:p>
        <w:p w14:paraId="599BA040" w14:textId="77777777" w:rsidR="001E7ECF" w:rsidRDefault="001E7ECF">
          <w:pPr>
            <w:autoSpaceDE w:val="0"/>
            <w:autoSpaceDN w:val="0"/>
            <w:ind w:hanging="640"/>
            <w:divId w:val="845947354"/>
          </w:pPr>
          <w:r>
            <w:t>[225]</w:t>
          </w:r>
          <w:r>
            <w:tab/>
            <w:t>“Benchmark Datasets for Buildings.” https://bbd.labworks.org/project/bbd (accessed May 05, 2023).</w:t>
          </w:r>
        </w:p>
        <w:p w14:paraId="425F8DB8" w14:textId="77777777" w:rsidR="001E7ECF" w:rsidRDefault="001E7ECF">
          <w:pPr>
            <w:autoSpaceDE w:val="0"/>
            <w:autoSpaceDN w:val="0"/>
            <w:ind w:hanging="640"/>
            <w:divId w:val="919943667"/>
          </w:pPr>
          <w:r>
            <w:t>[226]</w:t>
          </w:r>
          <w:r>
            <w:tab/>
            <w:t xml:space="preserve">C. Ermel, M. V. A. Bianchi, A. P. Cardoso, and P. S. Schneider, “Thermal storage integrated into air-source heat pumps to leverage building electrification: A systematic literature review,” </w:t>
          </w:r>
          <w:r>
            <w:rPr>
              <w:i/>
              <w:iCs/>
            </w:rPr>
            <w:t>Appl Therm Eng</w:t>
          </w:r>
          <w:r>
            <w:t>, vol. 215, p. 118975, Oct. 2022, doi: 10.1016/J.APPLTHERMALENG.2022.118975.</w:t>
          </w:r>
        </w:p>
        <w:p w14:paraId="3E7D9446" w14:textId="66CC96D8" w:rsidR="00B17E5F" w:rsidRPr="00322E56" w:rsidRDefault="001E7ECF" w:rsidP="00847985">
          <w:pPr>
            <w:rPr>
              <w:rFonts w:cs="Times New Roman"/>
            </w:rPr>
          </w:pPr>
          <w:r>
            <w:t> </w:t>
          </w:r>
        </w:p>
      </w:sdtContent>
    </w:sdt>
    <w:p w14:paraId="72AE20F6" w14:textId="77777777" w:rsidR="00B17E5F" w:rsidRPr="00322E56" w:rsidRDefault="00B17E5F">
      <w:pPr>
        <w:spacing w:line="240" w:lineRule="auto"/>
        <w:rPr>
          <w:rFonts w:cs="Times New Roman"/>
          <w:b/>
          <w:bCs/>
          <w:caps/>
          <w:sz w:val="28"/>
        </w:rPr>
      </w:pPr>
      <w:r w:rsidRPr="00322E56">
        <w:rPr>
          <w:rFonts w:cs="Times New Roman"/>
        </w:rPr>
        <w:br w:type="page"/>
      </w:r>
    </w:p>
    <w:p w14:paraId="1D336DE9" w14:textId="77777777" w:rsidR="00B17E5F" w:rsidRPr="00322E56" w:rsidRDefault="00B17E5F" w:rsidP="006D7F32">
      <w:pPr>
        <w:pStyle w:val="Heading1"/>
        <w:rPr>
          <w:rFonts w:cs="Times New Roman"/>
        </w:rPr>
      </w:pPr>
      <w:bookmarkStart w:id="345" w:name="_Toc140399928"/>
      <w:r w:rsidRPr="00322E56">
        <w:rPr>
          <w:rFonts w:cs="Times New Roman"/>
        </w:rPr>
        <w:t>APPENDIX</w:t>
      </w:r>
      <w:bookmarkEnd w:id="345"/>
    </w:p>
    <w:p w14:paraId="078328C5" w14:textId="3D129D9B" w:rsidR="002C5FB9" w:rsidRDefault="002C5FB9" w:rsidP="00102B67">
      <w:pPr>
        <w:pStyle w:val="Heading2"/>
        <w:rPr>
          <w:rFonts w:cs="Times New Roman"/>
        </w:rPr>
      </w:pPr>
      <w:bookmarkStart w:id="346" w:name="_Toc140399929"/>
      <w:r>
        <w:rPr>
          <w:rFonts w:cs="Times New Roman"/>
        </w:rPr>
        <w:t>Appendix A: HP-TES configurations review</w:t>
      </w:r>
      <w:bookmarkEnd w:id="346"/>
    </w:p>
    <w:p w14:paraId="7D46715D" w14:textId="1FABB1E4" w:rsidR="00084FBF" w:rsidRPr="00084FBF" w:rsidRDefault="00AC43ED" w:rsidP="00AC43ED">
      <w:pPr>
        <w:pStyle w:val="Heading3"/>
      </w:pPr>
      <w:bookmarkStart w:id="347" w:name="_Toc140399930"/>
      <w:r>
        <w:t>Comparative Analysis</w:t>
      </w:r>
      <w:bookmarkEnd w:id="347"/>
    </w:p>
    <w:p w14:paraId="4C04E6BE" w14:textId="77777777" w:rsidR="00AC43ED" w:rsidRDefault="00AC43ED" w:rsidP="00AC43ED">
      <w:pPr>
        <w:keepNext/>
        <w:ind w:firstLine="0"/>
      </w:pPr>
      <w:r>
        <w:rPr>
          <w:noProof/>
        </w:rPr>
        <w:drawing>
          <wp:inline distT="0" distB="0" distL="0" distR="0" wp14:anchorId="1C88AF9E" wp14:editId="0A63215C">
            <wp:extent cx="5486400" cy="2327910"/>
            <wp:effectExtent l="0" t="0" r="0" b="0"/>
            <wp:docPr id="1076" name="Picture 107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 name="Picture 1076" descr="Chart, scatter chart&#10;&#10;Description automatically generated"/>
                    <pic:cNvPicPr/>
                  </pic:nvPicPr>
                  <pic:blipFill>
                    <a:blip r:embed="rId129"/>
                    <a:stretch>
                      <a:fillRect/>
                    </a:stretch>
                  </pic:blipFill>
                  <pic:spPr>
                    <a:xfrm>
                      <a:off x="0" y="0"/>
                      <a:ext cx="5486400" cy="2327910"/>
                    </a:xfrm>
                    <a:prstGeom prst="rect">
                      <a:avLst/>
                    </a:prstGeom>
                  </pic:spPr>
                </pic:pic>
              </a:graphicData>
            </a:graphic>
          </wp:inline>
        </w:drawing>
      </w:r>
    </w:p>
    <w:p w14:paraId="281BFBED" w14:textId="7C31F116" w:rsidR="002C5FB9" w:rsidRDefault="00AC43ED" w:rsidP="00AC43ED">
      <w:pPr>
        <w:pStyle w:val="Caption"/>
        <w:ind w:firstLine="0"/>
        <w:jc w:val="center"/>
      </w:pPr>
      <w:bookmarkStart w:id="348" w:name="_Toc140403964"/>
      <w:r>
        <w:t xml:space="preserve">Figure </w:t>
      </w:r>
      <w:fldSimple w:instr=" SEQ Figure \* ARABIC ">
        <w:r w:rsidR="00A5526B">
          <w:rPr>
            <w:noProof/>
          </w:rPr>
          <w:t>98</w:t>
        </w:r>
      </w:fldSimple>
      <w:r>
        <w:t>: Historical trend of PCMs</w:t>
      </w:r>
      <w:r>
        <w:rPr>
          <w:noProof/>
        </w:rPr>
        <w:t xml:space="preserve"> for HP-TES</w:t>
      </w:r>
      <w:bookmarkEnd w:id="348"/>
    </w:p>
    <w:p w14:paraId="1FF7CA3F" w14:textId="77777777" w:rsidR="00084FBF" w:rsidRDefault="00084FBF" w:rsidP="00084FBF">
      <w:pPr>
        <w:ind w:firstLine="0"/>
      </w:pPr>
    </w:p>
    <w:p w14:paraId="3330991D" w14:textId="77777777" w:rsidR="00AC43ED" w:rsidRDefault="00AC43ED" w:rsidP="00AC43ED">
      <w:pPr>
        <w:keepNext/>
        <w:ind w:firstLine="0"/>
      </w:pPr>
      <w:r>
        <w:rPr>
          <w:noProof/>
        </w:rPr>
        <w:drawing>
          <wp:inline distT="0" distB="0" distL="0" distR="0" wp14:anchorId="2D4E3E7C" wp14:editId="7F5DE10C">
            <wp:extent cx="5486400" cy="2069465"/>
            <wp:effectExtent l="0" t="0" r="0" b="635"/>
            <wp:docPr id="1075" name="Picture 107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 name="Picture 1075" descr="Chart, scatter chart&#10;&#10;Description automatically generated"/>
                    <pic:cNvPicPr/>
                  </pic:nvPicPr>
                  <pic:blipFill>
                    <a:blip r:embed="rId130"/>
                    <a:stretch>
                      <a:fillRect/>
                    </a:stretch>
                  </pic:blipFill>
                  <pic:spPr>
                    <a:xfrm>
                      <a:off x="0" y="0"/>
                      <a:ext cx="5486400" cy="2069465"/>
                    </a:xfrm>
                    <a:prstGeom prst="rect">
                      <a:avLst/>
                    </a:prstGeom>
                  </pic:spPr>
                </pic:pic>
              </a:graphicData>
            </a:graphic>
          </wp:inline>
        </w:drawing>
      </w:r>
    </w:p>
    <w:p w14:paraId="7D01FA60" w14:textId="08B3FA4E" w:rsidR="00084FBF" w:rsidRDefault="00AC43ED" w:rsidP="00AC43ED">
      <w:pPr>
        <w:pStyle w:val="Caption"/>
        <w:jc w:val="center"/>
      </w:pPr>
      <w:bookmarkStart w:id="349" w:name="_Toc140403965"/>
      <w:r>
        <w:t xml:space="preserve">Figure </w:t>
      </w:r>
      <w:fldSimple w:instr=" SEQ Figure \* ARABIC ">
        <w:r w:rsidR="00A5526B">
          <w:rPr>
            <w:noProof/>
          </w:rPr>
          <w:t>99</w:t>
        </w:r>
      </w:fldSimple>
      <w:r>
        <w:t>: Historical trend of HP-TES research with TES type</w:t>
      </w:r>
      <w:bookmarkEnd w:id="349"/>
    </w:p>
    <w:p w14:paraId="400DFB2D" w14:textId="77777777" w:rsidR="00AC43ED" w:rsidRPr="00AC43ED" w:rsidRDefault="00AC43ED" w:rsidP="00AC43ED"/>
    <w:p w14:paraId="3BE5EFCB" w14:textId="7F2D010E" w:rsidR="00AC43ED" w:rsidRDefault="00AC43ED" w:rsidP="00AC43ED">
      <w:pPr>
        <w:pStyle w:val="Heading3"/>
      </w:pPr>
      <w:bookmarkStart w:id="350" w:name="_Toc140399931"/>
      <w:r>
        <w:t>Payback Period</w:t>
      </w:r>
      <w:bookmarkEnd w:id="350"/>
    </w:p>
    <w:p w14:paraId="5AE92B53" w14:textId="77777777" w:rsidR="00AC43ED" w:rsidRDefault="00AC43ED" w:rsidP="00AC43ED">
      <w:pPr>
        <w:keepNext/>
        <w:ind w:firstLine="0"/>
        <w:jc w:val="center"/>
      </w:pPr>
      <w:r>
        <w:rPr>
          <w:noProof/>
        </w:rPr>
        <w:drawing>
          <wp:inline distT="0" distB="0" distL="0" distR="0" wp14:anchorId="372B8172" wp14:editId="1B11C630">
            <wp:extent cx="5461000" cy="2654300"/>
            <wp:effectExtent l="0" t="0" r="0" b="0"/>
            <wp:docPr id="1082" name="Picture 108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 name="Picture 1082" descr="Chart, scatter chart&#10;&#10;Description automatically generated"/>
                    <pic:cNvPicPr/>
                  </pic:nvPicPr>
                  <pic:blipFill>
                    <a:blip r:embed="rId131"/>
                    <a:stretch>
                      <a:fillRect/>
                    </a:stretch>
                  </pic:blipFill>
                  <pic:spPr>
                    <a:xfrm>
                      <a:off x="0" y="0"/>
                      <a:ext cx="5461000" cy="2654300"/>
                    </a:xfrm>
                    <a:prstGeom prst="rect">
                      <a:avLst/>
                    </a:prstGeom>
                  </pic:spPr>
                </pic:pic>
              </a:graphicData>
            </a:graphic>
          </wp:inline>
        </w:drawing>
      </w:r>
    </w:p>
    <w:p w14:paraId="7EEFB6FA" w14:textId="53AF6E2C" w:rsidR="00AC43ED" w:rsidRDefault="00AC43ED" w:rsidP="00AC43ED">
      <w:pPr>
        <w:pStyle w:val="Caption"/>
        <w:jc w:val="center"/>
      </w:pPr>
      <w:bookmarkStart w:id="351" w:name="_Toc140403966"/>
      <w:r>
        <w:t xml:space="preserve">Figure </w:t>
      </w:r>
      <w:fldSimple w:instr=" SEQ Figure \* ARABIC ">
        <w:r w:rsidR="00A5526B">
          <w:rPr>
            <w:noProof/>
          </w:rPr>
          <w:t>100</w:t>
        </w:r>
      </w:fldSimple>
      <w:r>
        <w:t>: Payback period comparison against configurations</w:t>
      </w:r>
      <w:bookmarkEnd w:id="351"/>
    </w:p>
    <w:p w14:paraId="276F1685" w14:textId="77777777" w:rsidR="00AC43ED" w:rsidRDefault="00AC43ED" w:rsidP="00AC43ED">
      <w:pPr>
        <w:ind w:firstLine="0"/>
        <w:jc w:val="center"/>
      </w:pPr>
    </w:p>
    <w:p w14:paraId="2AD89536" w14:textId="77777777" w:rsidR="00AC43ED" w:rsidRDefault="00AC43ED" w:rsidP="00AC43ED">
      <w:pPr>
        <w:keepNext/>
        <w:ind w:firstLine="0"/>
        <w:jc w:val="center"/>
      </w:pPr>
      <w:r>
        <w:rPr>
          <w:noProof/>
        </w:rPr>
        <w:drawing>
          <wp:inline distT="0" distB="0" distL="0" distR="0" wp14:anchorId="777CF1B8" wp14:editId="0F52236C">
            <wp:extent cx="5295900" cy="2794000"/>
            <wp:effectExtent l="0" t="0" r="0" b="0"/>
            <wp:docPr id="1083" name="Picture 108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 name="Picture 1083" descr="Chart, scatter chart&#10;&#10;Description automatically generated"/>
                    <pic:cNvPicPr/>
                  </pic:nvPicPr>
                  <pic:blipFill>
                    <a:blip r:embed="rId132"/>
                    <a:stretch>
                      <a:fillRect/>
                    </a:stretch>
                  </pic:blipFill>
                  <pic:spPr>
                    <a:xfrm>
                      <a:off x="0" y="0"/>
                      <a:ext cx="5295900" cy="2794000"/>
                    </a:xfrm>
                    <a:prstGeom prst="rect">
                      <a:avLst/>
                    </a:prstGeom>
                  </pic:spPr>
                </pic:pic>
              </a:graphicData>
            </a:graphic>
          </wp:inline>
        </w:drawing>
      </w:r>
    </w:p>
    <w:p w14:paraId="3749FC65" w14:textId="05130E85" w:rsidR="00AC43ED" w:rsidRDefault="00AC43ED" w:rsidP="00AC43ED">
      <w:pPr>
        <w:pStyle w:val="Caption"/>
        <w:jc w:val="center"/>
      </w:pPr>
      <w:bookmarkStart w:id="352" w:name="_Toc140403967"/>
      <w:r>
        <w:t xml:space="preserve">Figure </w:t>
      </w:r>
      <w:fldSimple w:instr=" SEQ Figure \* ARABIC ">
        <w:r w:rsidR="00A5526B">
          <w:rPr>
            <w:noProof/>
          </w:rPr>
          <w:t>101</w:t>
        </w:r>
      </w:fldSimple>
      <w:r>
        <w:t xml:space="preserve">: </w:t>
      </w:r>
      <w:r w:rsidRPr="00226AF4">
        <w:t xml:space="preserve">Payback period comparison against </w:t>
      </w:r>
      <w:r>
        <w:t>application</w:t>
      </w:r>
      <w:bookmarkEnd w:id="352"/>
    </w:p>
    <w:p w14:paraId="6241BB9D" w14:textId="77777777" w:rsidR="00AC43ED" w:rsidRDefault="00AC43ED" w:rsidP="00AC43ED">
      <w:pPr>
        <w:ind w:firstLine="0"/>
        <w:jc w:val="center"/>
      </w:pPr>
    </w:p>
    <w:p w14:paraId="03EF26EB" w14:textId="2D528E80" w:rsidR="00AC43ED" w:rsidRDefault="00AC43ED" w:rsidP="00AC43ED">
      <w:pPr>
        <w:pStyle w:val="Heading3"/>
      </w:pPr>
      <w:bookmarkStart w:id="353" w:name="_Toc140399932"/>
      <w:r>
        <w:t>Load Shifting</w:t>
      </w:r>
      <w:bookmarkEnd w:id="353"/>
      <w:r>
        <w:t xml:space="preserve"> </w:t>
      </w:r>
    </w:p>
    <w:p w14:paraId="0297402F" w14:textId="77777777" w:rsidR="00EC5EEC" w:rsidRDefault="00AC43ED" w:rsidP="00EC5EEC">
      <w:pPr>
        <w:keepNext/>
        <w:ind w:firstLine="0"/>
        <w:jc w:val="center"/>
      </w:pPr>
      <w:r>
        <w:rPr>
          <w:noProof/>
        </w:rPr>
        <w:drawing>
          <wp:inline distT="0" distB="0" distL="0" distR="0" wp14:anchorId="4352E726" wp14:editId="5E7A7F7C">
            <wp:extent cx="5016500" cy="2806700"/>
            <wp:effectExtent l="0" t="0" r="0" b="0"/>
            <wp:docPr id="1084" name="Picture 108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 name="Picture 1084" descr="Chart, scatter chart&#10;&#10;Description automatically generated"/>
                    <pic:cNvPicPr/>
                  </pic:nvPicPr>
                  <pic:blipFill>
                    <a:blip r:embed="rId133"/>
                    <a:stretch>
                      <a:fillRect/>
                    </a:stretch>
                  </pic:blipFill>
                  <pic:spPr>
                    <a:xfrm>
                      <a:off x="0" y="0"/>
                      <a:ext cx="5016500" cy="2806700"/>
                    </a:xfrm>
                    <a:prstGeom prst="rect">
                      <a:avLst/>
                    </a:prstGeom>
                  </pic:spPr>
                </pic:pic>
              </a:graphicData>
            </a:graphic>
          </wp:inline>
        </w:drawing>
      </w:r>
    </w:p>
    <w:p w14:paraId="2E4FC6EA" w14:textId="16B0442B" w:rsidR="00AC43ED" w:rsidRDefault="00EC5EEC" w:rsidP="00EC5EEC">
      <w:pPr>
        <w:pStyle w:val="Caption"/>
        <w:jc w:val="center"/>
      </w:pPr>
      <w:bookmarkStart w:id="354" w:name="_Toc140403968"/>
      <w:r>
        <w:t xml:space="preserve">Figure </w:t>
      </w:r>
      <w:fldSimple w:instr=" SEQ Figure \* ARABIC ">
        <w:r w:rsidR="00A5526B">
          <w:rPr>
            <w:noProof/>
          </w:rPr>
          <w:t>102</w:t>
        </w:r>
      </w:fldSimple>
      <w:r>
        <w:t>: Load shifting</w:t>
      </w:r>
      <w:r w:rsidRPr="00EA230E">
        <w:t xml:space="preserve"> comparison against application</w:t>
      </w:r>
      <w:bookmarkEnd w:id="354"/>
    </w:p>
    <w:p w14:paraId="701012FB" w14:textId="77777777" w:rsidR="00AC43ED" w:rsidRDefault="00AC43ED" w:rsidP="00AC43ED">
      <w:pPr>
        <w:ind w:firstLine="0"/>
        <w:jc w:val="center"/>
      </w:pPr>
    </w:p>
    <w:p w14:paraId="02BB8A36" w14:textId="77777777" w:rsidR="00EC5EEC" w:rsidRDefault="00EC5EEC" w:rsidP="00EC5EEC">
      <w:pPr>
        <w:keepNext/>
        <w:ind w:firstLine="0"/>
        <w:jc w:val="center"/>
      </w:pPr>
      <w:r>
        <w:rPr>
          <w:noProof/>
        </w:rPr>
        <w:drawing>
          <wp:inline distT="0" distB="0" distL="0" distR="0" wp14:anchorId="40F06445" wp14:editId="61437B03">
            <wp:extent cx="5080000" cy="2641600"/>
            <wp:effectExtent l="0" t="0" r="0" b="0"/>
            <wp:docPr id="192" name="Picture 192" descr="Chart, bar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descr="Chart, bar chart, scatter chart&#10;&#10;Description automatically generated"/>
                    <pic:cNvPicPr/>
                  </pic:nvPicPr>
                  <pic:blipFill>
                    <a:blip r:embed="rId134"/>
                    <a:stretch>
                      <a:fillRect/>
                    </a:stretch>
                  </pic:blipFill>
                  <pic:spPr>
                    <a:xfrm>
                      <a:off x="0" y="0"/>
                      <a:ext cx="5080000" cy="2641600"/>
                    </a:xfrm>
                    <a:prstGeom prst="rect">
                      <a:avLst/>
                    </a:prstGeom>
                  </pic:spPr>
                </pic:pic>
              </a:graphicData>
            </a:graphic>
          </wp:inline>
        </w:drawing>
      </w:r>
    </w:p>
    <w:p w14:paraId="43B8608C" w14:textId="08A6CD78" w:rsidR="00AC43ED" w:rsidRDefault="00EC5EEC" w:rsidP="00EC5EEC">
      <w:pPr>
        <w:pStyle w:val="Caption"/>
        <w:jc w:val="center"/>
      </w:pPr>
      <w:bookmarkStart w:id="355" w:name="_Toc140403969"/>
      <w:r>
        <w:t xml:space="preserve">Figure </w:t>
      </w:r>
      <w:fldSimple w:instr=" SEQ Figure \* ARABIC ">
        <w:r w:rsidR="00A5526B">
          <w:rPr>
            <w:noProof/>
          </w:rPr>
          <w:t>103</w:t>
        </w:r>
      </w:fldSimple>
      <w:r>
        <w:t>: Load shifting</w:t>
      </w:r>
      <w:r w:rsidRPr="007324AB">
        <w:t xml:space="preserve"> comparison against </w:t>
      </w:r>
      <w:r>
        <w:t>configuration</w:t>
      </w:r>
      <w:bookmarkEnd w:id="355"/>
    </w:p>
    <w:p w14:paraId="09389AAB" w14:textId="77777777" w:rsidR="00EC5EEC" w:rsidRPr="00AC43ED" w:rsidRDefault="00EC5EEC" w:rsidP="00AC43ED">
      <w:pPr>
        <w:ind w:firstLine="0"/>
        <w:jc w:val="center"/>
      </w:pPr>
    </w:p>
    <w:p w14:paraId="1E2B5B70" w14:textId="77777777" w:rsidR="00AC43ED" w:rsidRDefault="00AC43ED" w:rsidP="00AC43ED">
      <w:pPr>
        <w:pStyle w:val="Heading3"/>
      </w:pPr>
      <w:bookmarkStart w:id="356" w:name="_Toc140399933"/>
      <w:r>
        <w:t>Demand Impact</w:t>
      </w:r>
      <w:bookmarkEnd w:id="356"/>
      <w:r>
        <w:t xml:space="preserve"> </w:t>
      </w:r>
    </w:p>
    <w:p w14:paraId="78228D9F" w14:textId="77777777" w:rsidR="00EC5EEC" w:rsidRDefault="00EC5EEC" w:rsidP="00EC5EEC">
      <w:pPr>
        <w:keepNext/>
        <w:ind w:firstLine="0"/>
        <w:jc w:val="center"/>
      </w:pPr>
      <w:r>
        <w:rPr>
          <w:noProof/>
        </w:rPr>
        <w:drawing>
          <wp:inline distT="0" distB="0" distL="0" distR="0" wp14:anchorId="7FF3A22A" wp14:editId="1E57980E">
            <wp:extent cx="5120640" cy="2669013"/>
            <wp:effectExtent l="0" t="0" r="0" b="0"/>
            <wp:docPr id="193" name="Picture 19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descr="Chart, scatter chart&#10;&#10;Description automatically generated"/>
                    <pic:cNvPicPr/>
                  </pic:nvPicPr>
                  <pic:blipFill>
                    <a:blip r:embed="rId135"/>
                    <a:stretch>
                      <a:fillRect/>
                    </a:stretch>
                  </pic:blipFill>
                  <pic:spPr>
                    <a:xfrm>
                      <a:off x="0" y="0"/>
                      <a:ext cx="5120640" cy="2669013"/>
                    </a:xfrm>
                    <a:prstGeom prst="rect">
                      <a:avLst/>
                    </a:prstGeom>
                  </pic:spPr>
                </pic:pic>
              </a:graphicData>
            </a:graphic>
          </wp:inline>
        </w:drawing>
      </w:r>
    </w:p>
    <w:p w14:paraId="1677E1C7" w14:textId="0036AE6F" w:rsidR="00AC43ED" w:rsidRDefault="00EC5EEC" w:rsidP="00EC5EEC">
      <w:pPr>
        <w:pStyle w:val="Caption"/>
        <w:jc w:val="center"/>
      </w:pPr>
      <w:bookmarkStart w:id="357" w:name="_Toc140403970"/>
      <w:r>
        <w:t xml:space="preserve">Figure </w:t>
      </w:r>
      <w:fldSimple w:instr=" SEQ Figure \* ARABIC ">
        <w:r w:rsidR="00A5526B">
          <w:rPr>
            <w:noProof/>
          </w:rPr>
          <w:t>104</w:t>
        </w:r>
      </w:fldSimple>
      <w:r>
        <w:t>: Demand Impact</w:t>
      </w:r>
      <w:r w:rsidRPr="00050A08">
        <w:t xml:space="preserve"> comparison against application</w:t>
      </w:r>
      <w:bookmarkEnd w:id="357"/>
    </w:p>
    <w:p w14:paraId="40BB4278" w14:textId="77777777" w:rsidR="00EC5EEC" w:rsidRDefault="00EC5EEC" w:rsidP="00AC43ED">
      <w:pPr>
        <w:ind w:firstLine="0"/>
        <w:jc w:val="center"/>
      </w:pPr>
    </w:p>
    <w:p w14:paraId="51CCAED7" w14:textId="77777777" w:rsidR="00EC5EEC" w:rsidRDefault="00EC5EEC" w:rsidP="00EC5EEC">
      <w:pPr>
        <w:keepNext/>
        <w:ind w:firstLine="0"/>
        <w:jc w:val="center"/>
      </w:pPr>
      <w:r>
        <w:rPr>
          <w:noProof/>
        </w:rPr>
        <w:drawing>
          <wp:inline distT="0" distB="0" distL="0" distR="0" wp14:anchorId="4C9BBECC" wp14:editId="0DF385BC">
            <wp:extent cx="5029200" cy="2857500"/>
            <wp:effectExtent l="0" t="0" r="0" b="0"/>
            <wp:docPr id="194" name="Picture 19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Chart, scatter chart&#10;&#10;Description automatically generated"/>
                    <pic:cNvPicPr/>
                  </pic:nvPicPr>
                  <pic:blipFill>
                    <a:blip r:embed="rId136"/>
                    <a:stretch>
                      <a:fillRect/>
                    </a:stretch>
                  </pic:blipFill>
                  <pic:spPr>
                    <a:xfrm>
                      <a:off x="0" y="0"/>
                      <a:ext cx="5029200" cy="2857500"/>
                    </a:xfrm>
                    <a:prstGeom prst="rect">
                      <a:avLst/>
                    </a:prstGeom>
                  </pic:spPr>
                </pic:pic>
              </a:graphicData>
            </a:graphic>
          </wp:inline>
        </w:drawing>
      </w:r>
    </w:p>
    <w:p w14:paraId="5B5913DB" w14:textId="23AED853" w:rsidR="00EC5EEC" w:rsidRDefault="00EC5EEC" w:rsidP="00EC5EEC">
      <w:pPr>
        <w:pStyle w:val="Caption"/>
        <w:jc w:val="center"/>
      </w:pPr>
      <w:bookmarkStart w:id="358" w:name="_Toc140403971"/>
      <w:r>
        <w:t xml:space="preserve">Figure </w:t>
      </w:r>
      <w:fldSimple w:instr=" SEQ Figure \* ARABIC ">
        <w:r w:rsidR="00A5526B">
          <w:rPr>
            <w:noProof/>
          </w:rPr>
          <w:t>105</w:t>
        </w:r>
      </w:fldSimple>
      <w:r>
        <w:t>: Demand Impact</w:t>
      </w:r>
      <w:r w:rsidRPr="005A18CB">
        <w:t xml:space="preserve"> comparison against </w:t>
      </w:r>
      <w:r>
        <w:t>climate zone</w:t>
      </w:r>
      <w:bookmarkEnd w:id="358"/>
    </w:p>
    <w:p w14:paraId="2B989E78" w14:textId="77777777" w:rsidR="00EC5EEC" w:rsidRPr="00AC43ED" w:rsidRDefault="00EC5EEC" w:rsidP="00AC43ED">
      <w:pPr>
        <w:ind w:firstLine="0"/>
        <w:jc w:val="center"/>
      </w:pPr>
    </w:p>
    <w:p w14:paraId="6E78A443" w14:textId="77777777" w:rsidR="00AC43ED" w:rsidRDefault="00AC43ED" w:rsidP="00AC43ED">
      <w:pPr>
        <w:pStyle w:val="Heading3"/>
      </w:pPr>
      <w:bookmarkStart w:id="359" w:name="_Toc140399934"/>
      <w:r>
        <w:t>Energy Savings</w:t>
      </w:r>
      <w:bookmarkEnd w:id="359"/>
      <w:r>
        <w:t xml:space="preserve"> </w:t>
      </w:r>
    </w:p>
    <w:p w14:paraId="7286270F" w14:textId="77777777" w:rsidR="00EC5EEC" w:rsidRDefault="00EC5EEC" w:rsidP="00EC5EEC">
      <w:pPr>
        <w:keepNext/>
        <w:ind w:firstLine="0"/>
        <w:jc w:val="center"/>
      </w:pPr>
      <w:r>
        <w:rPr>
          <w:noProof/>
        </w:rPr>
        <w:drawing>
          <wp:inline distT="0" distB="0" distL="0" distR="0" wp14:anchorId="619CCFBF" wp14:editId="57DACB65">
            <wp:extent cx="4953000" cy="2794000"/>
            <wp:effectExtent l="0" t="0" r="0" b="0"/>
            <wp:docPr id="198" name="Picture 19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descr="Chart, scatter chart&#10;&#10;Description automatically generated"/>
                    <pic:cNvPicPr/>
                  </pic:nvPicPr>
                  <pic:blipFill>
                    <a:blip r:embed="rId137"/>
                    <a:stretch>
                      <a:fillRect/>
                    </a:stretch>
                  </pic:blipFill>
                  <pic:spPr>
                    <a:xfrm>
                      <a:off x="0" y="0"/>
                      <a:ext cx="4953000" cy="2794000"/>
                    </a:xfrm>
                    <a:prstGeom prst="rect">
                      <a:avLst/>
                    </a:prstGeom>
                  </pic:spPr>
                </pic:pic>
              </a:graphicData>
            </a:graphic>
          </wp:inline>
        </w:drawing>
      </w:r>
    </w:p>
    <w:p w14:paraId="4D8EB1A0" w14:textId="44BE6317" w:rsidR="00AC43ED" w:rsidRDefault="00EC5EEC" w:rsidP="00EC5EEC">
      <w:pPr>
        <w:pStyle w:val="Caption"/>
        <w:jc w:val="center"/>
      </w:pPr>
      <w:bookmarkStart w:id="360" w:name="_Toc140403972"/>
      <w:r>
        <w:t xml:space="preserve">Figure </w:t>
      </w:r>
      <w:fldSimple w:instr=" SEQ Figure \* ARABIC ">
        <w:r w:rsidR="00A5526B">
          <w:rPr>
            <w:noProof/>
          </w:rPr>
          <w:t>106</w:t>
        </w:r>
      </w:fldSimple>
      <w:r>
        <w:t>: Energy savings</w:t>
      </w:r>
      <w:r w:rsidRPr="00353C30">
        <w:t xml:space="preserve"> comparison against application</w:t>
      </w:r>
      <w:bookmarkEnd w:id="360"/>
    </w:p>
    <w:p w14:paraId="4D9312D9" w14:textId="77777777" w:rsidR="00EC5EEC" w:rsidRDefault="00EC5EEC" w:rsidP="00AC43ED">
      <w:pPr>
        <w:ind w:firstLine="0"/>
        <w:jc w:val="center"/>
      </w:pPr>
    </w:p>
    <w:p w14:paraId="7005713C" w14:textId="77777777" w:rsidR="00EC5EEC" w:rsidRDefault="00EC5EEC" w:rsidP="00EC5EEC">
      <w:pPr>
        <w:keepNext/>
        <w:ind w:firstLine="0"/>
        <w:jc w:val="center"/>
      </w:pPr>
      <w:r>
        <w:rPr>
          <w:noProof/>
        </w:rPr>
        <w:drawing>
          <wp:inline distT="0" distB="0" distL="0" distR="0" wp14:anchorId="57EEAD38" wp14:editId="7A781289">
            <wp:extent cx="5105400" cy="2819400"/>
            <wp:effectExtent l="0" t="0" r="0" b="0"/>
            <wp:docPr id="199" name="Picture 19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Chart, scatter chart&#10;&#10;Description automatically generated"/>
                    <pic:cNvPicPr/>
                  </pic:nvPicPr>
                  <pic:blipFill>
                    <a:blip r:embed="rId138"/>
                    <a:stretch>
                      <a:fillRect/>
                    </a:stretch>
                  </pic:blipFill>
                  <pic:spPr>
                    <a:xfrm>
                      <a:off x="0" y="0"/>
                      <a:ext cx="5105400" cy="2819400"/>
                    </a:xfrm>
                    <a:prstGeom prst="rect">
                      <a:avLst/>
                    </a:prstGeom>
                  </pic:spPr>
                </pic:pic>
              </a:graphicData>
            </a:graphic>
          </wp:inline>
        </w:drawing>
      </w:r>
    </w:p>
    <w:p w14:paraId="20112EE7" w14:textId="73E4163E" w:rsidR="00EC5EEC" w:rsidRDefault="00EC5EEC" w:rsidP="00EC5EEC">
      <w:pPr>
        <w:pStyle w:val="Caption"/>
        <w:jc w:val="center"/>
      </w:pPr>
      <w:bookmarkStart w:id="361" w:name="_Toc140403973"/>
      <w:r>
        <w:t xml:space="preserve">Figure </w:t>
      </w:r>
      <w:fldSimple w:instr=" SEQ Figure \* ARABIC ">
        <w:r w:rsidR="00A5526B">
          <w:rPr>
            <w:noProof/>
          </w:rPr>
          <w:t>107</w:t>
        </w:r>
      </w:fldSimple>
      <w:r>
        <w:t>: Energy savings</w:t>
      </w:r>
      <w:r w:rsidRPr="00F01EE3">
        <w:t xml:space="preserve"> comparison against </w:t>
      </w:r>
      <w:r>
        <w:t>PCM type</w:t>
      </w:r>
      <w:bookmarkEnd w:id="361"/>
    </w:p>
    <w:p w14:paraId="4F36FF7A" w14:textId="77777777" w:rsidR="00EC5EEC" w:rsidRPr="00AC43ED" w:rsidRDefault="00EC5EEC" w:rsidP="00AC43ED">
      <w:pPr>
        <w:ind w:firstLine="0"/>
        <w:jc w:val="center"/>
      </w:pPr>
    </w:p>
    <w:p w14:paraId="11BFD9FC" w14:textId="005F98E1" w:rsidR="00AC43ED" w:rsidRDefault="00AC43ED" w:rsidP="00AC43ED">
      <w:pPr>
        <w:pStyle w:val="Heading3"/>
      </w:pPr>
      <w:bookmarkStart w:id="362" w:name="_Toc140399935"/>
      <w:r>
        <w:t>Utility Cost Savings</w:t>
      </w:r>
      <w:bookmarkEnd w:id="362"/>
    </w:p>
    <w:p w14:paraId="4320A9BE" w14:textId="77777777" w:rsidR="00EC5EEC" w:rsidRDefault="00EC5EEC" w:rsidP="00EC5EEC">
      <w:pPr>
        <w:keepNext/>
        <w:ind w:firstLine="0"/>
        <w:jc w:val="center"/>
      </w:pPr>
      <w:r>
        <w:rPr>
          <w:noProof/>
        </w:rPr>
        <w:drawing>
          <wp:inline distT="0" distB="0" distL="0" distR="0" wp14:anchorId="6170497D" wp14:editId="2BC023EB">
            <wp:extent cx="5016500" cy="2870200"/>
            <wp:effectExtent l="0" t="0" r="0" b="0"/>
            <wp:docPr id="200" name="Picture 20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descr="Chart, scatter chart&#10;&#10;Description automatically generated"/>
                    <pic:cNvPicPr/>
                  </pic:nvPicPr>
                  <pic:blipFill>
                    <a:blip r:embed="rId139"/>
                    <a:stretch>
                      <a:fillRect/>
                    </a:stretch>
                  </pic:blipFill>
                  <pic:spPr>
                    <a:xfrm>
                      <a:off x="0" y="0"/>
                      <a:ext cx="5016500" cy="2870200"/>
                    </a:xfrm>
                    <a:prstGeom prst="rect">
                      <a:avLst/>
                    </a:prstGeom>
                  </pic:spPr>
                </pic:pic>
              </a:graphicData>
            </a:graphic>
          </wp:inline>
        </w:drawing>
      </w:r>
    </w:p>
    <w:p w14:paraId="3D6380D7" w14:textId="723032D4" w:rsidR="00AC43ED" w:rsidRDefault="00EC5EEC" w:rsidP="00EC5EEC">
      <w:pPr>
        <w:pStyle w:val="Caption"/>
        <w:jc w:val="center"/>
      </w:pPr>
      <w:bookmarkStart w:id="363" w:name="_Toc140403974"/>
      <w:r>
        <w:t xml:space="preserve">Figure </w:t>
      </w:r>
      <w:fldSimple w:instr=" SEQ Figure \* ARABIC ">
        <w:r w:rsidR="00A5526B">
          <w:rPr>
            <w:noProof/>
          </w:rPr>
          <w:t>108</w:t>
        </w:r>
      </w:fldSimple>
      <w:r>
        <w:t>: Utility cost</w:t>
      </w:r>
      <w:r w:rsidRPr="00DE2440">
        <w:t xml:space="preserve"> comparison against </w:t>
      </w:r>
      <w:r>
        <w:t>climate zone</w:t>
      </w:r>
      <w:bookmarkEnd w:id="363"/>
    </w:p>
    <w:p w14:paraId="68F835A9" w14:textId="77777777" w:rsidR="00EC5EEC" w:rsidRDefault="00EC5EEC" w:rsidP="00AC43ED">
      <w:pPr>
        <w:ind w:firstLine="0"/>
        <w:jc w:val="center"/>
      </w:pPr>
    </w:p>
    <w:p w14:paraId="59ECAD89" w14:textId="77777777" w:rsidR="00EC5EEC" w:rsidRDefault="00EC5EEC" w:rsidP="00EC5EEC">
      <w:pPr>
        <w:keepNext/>
        <w:ind w:firstLine="0"/>
        <w:jc w:val="center"/>
      </w:pPr>
      <w:r>
        <w:rPr>
          <w:noProof/>
        </w:rPr>
        <w:drawing>
          <wp:inline distT="0" distB="0" distL="0" distR="0" wp14:anchorId="7091C8A6" wp14:editId="23CB6E2C">
            <wp:extent cx="5016500" cy="2806700"/>
            <wp:effectExtent l="0" t="0" r="0" b="0"/>
            <wp:docPr id="201" name="Picture 20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descr="Chart, scatter chart&#10;&#10;Description automatically generated"/>
                    <pic:cNvPicPr/>
                  </pic:nvPicPr>
                  <pic:blipFill>
                    <a:blip r:embed="rId140"/>
                    <a:stretch>
                      <a:fillRect/>
                    </a:stretch>
                  </pic:blipFill>
                  <pic:spPr>
                    <a:xfrm>
                      <a:off x="0" y="0"/>
                      <a:ext cx="5016500" cy="2806700"/>
                    </a:xfrm>
                    <a:prstGeom prst="rect">
                      <a:avLst/>
                    </a:prstGeom>
                  </pic:spPr>
                </pic:pic>
              </a:graphicData>
            </a:graphic>
          </wp:inline>
        </w:drawing>
      </w:r>
    </w:p>
    <w:p w14:paraId="5CDA8976" w14:textId="1E9068FB" w:rsidR="00EC5EEC" w:rsidRDefault="00EC5EEC" w:rsidP="00EC5EEC">
      <w:pPr>
        <w:pStyle w:val="Caption"/>
        <w:jc w:val="center"/>
      </w:pPr>
      <w:bookmarkStart w:id="364" w:name="_Toc140403975"/>
      <w:r>
        <w:t xml:space="preserve">Figure </w:t>
      </w:r>
      <w:fldSimple w:instr=" SEQ Figure \* ARABIC ">
        <w:r w:rsidR="00A5526B">
          <w:rPr>
            <w:noProof/>
          </w:rPr>
          <w:t>109</w:t>
        </w:r>
      </w:fldSimple>
      <w:r>
        <w:t xml:space="preserve">: </w:t>
      </w:r>
      <w:r w:rsidRPr="001B0B82">
        <w:t xml:space="preserve">Utility cost comparison against </w:t>
      </w:r>
      <w:r>
        <w:t>TES type</w:t>
      </w:r>
      <w:bookmarkEnd w:id="364"/>
    </w:p>
    <w:p w14:paraId="1076974D" w14:textId="35981D15" w:rsidR="002C5FB9" w:rsidRDefault="002C5FB9">
      <w:pPr>
        <w:spacing w:before="0" w:line="240" w:lineRule="auto"/>
        <w:ind w:firstLine="0"/>
        <w:jc w:val="left"/>
      </w:pPr>
    </w:p>
    <w:p w14:paraId="590C56E3" w14:textId="6583CB20" w:rsidR="00B17E5F" w:rsidRPr="00322E56" w:rsidRDefault="002C5FB9" w:rsidP="002C5FB9">
      <w:pPr>
        <w:pStyle w:val="Heading2"/>
        <w:ind w:firstLine="0"/>
        <w:rPr>
          <w:rFonts w:cs="Times New Roman"/>
        </w:rPr>
      </w:pPr>
      <w:bookmarkStart w:id="365" w:name="_Toc140399936"/>
      <w:r>
        <w:rPr>
          <w:rFonts w:cs="Times New Roman"/>
        </w:rPr>
        <w:t xml:space="preserve">Appendix B: </w:t>
      </w:r>
      <w:r w:rsidR="00B17E5F" w:rsidRPr="00322E56">
        <w:rPr>
          <w:rFonts w:cs="Times New Roman"/>
        </w:rPr>
        <w:t>Alabama case study analysis</w:t>
      </w:r>
      <w:bookmarkEnd w:id="365"/>
    </w:p>
    <w:p w14:paraId="496E3B19" w14:textId="77777777" w:rsidR="00B17E5F" w:rsidRPr="00322E56" w:rsidRDefault="00B17E5F" w:rsidP="00847985">
      <w:pPr>
        <w:spacing w:after="160" w:line="259" w:lineRule="auto"/>
        <w:rPr>
          <w:rFonts w:eastAsia="Calibri" w:cs="Times New Roman"/>
          <w:szCs w:val="22"/>
        </w:rPr>
      </w:pPr>
    </w:p>
    <w:p w14:paraId="24DE18DB" w14:textId="77777777" w:rsidR="00B17E5F" w:rsidRPr="00322E56" w:rsidRDefault="00B17E5F" w:rsidP="00847985">
      <w:pPr>
        <w:keepNext/>
        <w:spacing w:after="160" w:line="259" w:lineRule="auto"/>
        <w:rPr>
          <w:rFonts w:cs="Times New Roman"/>
        </w:rPr>
      </w:pPr>
      <w:r w:rsidRPr="00322E56">
        <w:rPr>
          <w:rFonts w:eastAsia="Calibri" w:cs="Times New Roman"/>
          <w:noProof/>
          <w:szCs w:val="22"/>
        </w:rPr>
        <w:drawing>
          <wp:inline distT="0" distB="0" distL="0" distR="0" wp14:anchorId="145F001E" wp14:editId="1B943812">
            <wp:extent cx="5943600" cy="2668270"/>
            <wp:effectExtent l="0" t="0" r="0" b="0"/>
            <wp:docPr id="1035" name="Picture 1035">
              <a:extLst xmlns:a="http://schemas.openxmlformats.org/drawingml/2006/main">
                <a:ext uri="{FF2B5EF4-FFF2-40B4-BE49-F238E27FC236}">
                  <a16:creationId xmlns:a16="http://schemas.microsoft.com/office/drawing/2014/main" id="{2F7812C3-AF34-4476-B871-744C8EB14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2F7812C3-AF34-4476-B871-744C8EB14639}"/>
                        </a:ext>
                      </a:extLst>
                    </pic:cNvPr>
                    <pic:cNvPicPr>
                      <a:picLocks noChangeAspect="1"/>
                    </pic:cNvPicPr>
                  </pic:nvPicPr>
                  <pic:blipFill>
                    <a:blip r:embed="rId141"/>
                    <a:stretch>
                      <a:fillRect/>
                    </a:stretch>
                  </pic:blipFill>
                  <pic:spPr>
                    <a:xfrm>
                      <a:off x="0" y="0"/>
                      <a:ext cx="5943600" cy="2668270"/>
                    </a:xfrm>
                    <a:prstGeom prst="rect">
                      <a:avLst/>
                    </a:prstGeom>
                  </pic:spPr>
                </pic:pic>
              </a:graphicData>
            </a:graphic>
          </wp:inline>
        </w:drawing>
      </w:r>
    </w:p>
    <w:p w14:paraId="776C5D2D" w14:textId="2B9B54C3" w:rsidR="00B17E5F" w:rsidRPr="00322E56" w:rsidRDefault="00B17E5F" w:rsidP="00847985">
      <w:pPr>
        <w:pStyle w:val="Caption"/>
        <w:jc w:val="center"/>
        <w:rPr>
          <w:rFonts w:cs="Times New Roman"/>
        </w:rPr>
      </w:pPr>
      <w:bookmarkStart w:id="366" w:name="_Toc140403976"/>
      <w:r w:rsidRPr="00322E56">
        <w:rPr>
          <w:rFonts w:cs="Times New Roman"/>
        </w:rPr>
        <w:t xml:space="preserve">Figure </w:t>
      </w:r>
      <w:r w:rsidRPr="00322E56">
        <w:rPr>
          <w:rFonts w:cs="Times New Roman"/>
        </w:rPr>
        <w:fldChar w:fldCharType="begin"/>
      </w:r>
      <w:r w:rsidRPr="00322E56">
        <w:rPr>
          <w:rFonts w:cs="Times New Roman"/>
        </w:rPr>
        <w:instrText xml:space="preserve"> SEQ Figure \* ARABIC </w:instrText>
      </w:r>
      <w:r w:rsidRPr="00322E56">
        <w:rPr>
          <w:rFonts w:cs="Times New Roman"/>
        </w:rPr>
        <w:fldChar w:fldCharType="separate"/>
      </w:r>
      <w:r w:rsidR="00A5526B">
        <w:rPr>
          <w:rFonts w:cs="Times New Roman"/>
          <w:noProof/>
        </w:rPr>
        <w:t>110</w:t>
      </w:r>
      <w:r w:rsidRPr="00322E56">
        <w:rPr>
          <w:rFonts w:cs="Times New Roman"/>
        </w:rPr>
        <w:fldChar w:fldCharType="end"/>
      </w:r>
      <w:r w:rsidRPr="00322E56">
        <w:rPr>
          <w:rFonts w:cs="Times New Roman"/>
        </w:rPr>
        <w:t>: Alabama Ambient TMY</w:t>
      </w:r>
      <w:bookmarkEnd w:id="366"/>
    </w:p>
    <w:p w14:paraId="133F7C77" w14:textId="77777777" w:rsidR="00B17E5F" w:rsidRPr="00322E56" w:rsidRDefault="00B17E5F" w:rsidP="00102B67">
      <w:pPr>
        <w:pStyle w:val="Heading3"/>
        <w:rPr>
          <w:rFonts w:cs="Times New Roman"/>
        </w:rPr>
      </w:pPr>
      <w:bookmarkStart w:id="367" w:name="_Toc140399937"/>
      <w:r w:rsidRPr="00322E56">
        <w:rPr>
          <w:rFonts w:cs="Times New Roman"/>
        </w:rPr>
        <w:t>Payback Period</w:t>
      </w:r>
      <w:bookmarkEnd w:id="367"/>
    </w:p>
    <w:p w14:paraId="0596911D" w14:textId="77777777" w:rsidR="00B17E5F" w:rsidRPr="00322E56" w:rsidRDefault="00B17E5F" w:rsidP="00847985">
      <w:pPr>
        <w:spacing w:after="160" w:line="259" w:lineRule="auto"/>
        <w:rPr>
          <w:rFonts w:eastAsia="Calibri" w:cs="Times New Roman"/>
          <w:szCs w:val="22"/>
        </w:rPr>
      </w:pPr>
      <m:oMathPara>
        <m:oMath>
          <m:r>
            <w:rPr>
              <w:rFonts w:ascii="Cambria Math" w:eastAsia="Calibri" w:hAnsi="Cambria Math" w:cs="Times New Roman"/>
              <w:szCs w:val="22"/>
            </w:rPr>
            <m:t>Cost of TES System=  Payback year  * </m:t>
          </m:r>
          <m:d>
            <m:dPr>
              <m:begChr m:val="["/>
              <m:endChr m:val="]"/>
              <m:ctrlPr>
                <w:rPr>
                  <w:rFonts w:ascii="Cambria Math" w:eastAsia="Calibri" w:hAnsi="Cambria Math" w:cs="Times New Roman"/>
                  <w:i/>
                  <w:iCs/>
                  <w:szCs w:val="22"/>
                </w:rPr>
              </m:ctrlPr>
            </m:dPr>
            <m:e>
              <m:sSub>
                <m:sSubPr>
                  <m:ctrlPr>
                    <w:rPr>
                      <w:rFonts w:ascii="Cambria Math" w:eastAsia="Calibri" w:hAnsi="Cambria Math" w:cs="Times New Roman"/>
                      <w:i/>
                      <w:iCs/>
                      <w:szCs w:val="22"/>
                    </w:rPr>
                  </m:ctrlPr>
                </m:sSubPr>
                <m:e>
                  <m:r>
                    <w:rPr>
                      <w:rFonts w:ascii="Cambria Math" w:eastAsia="Calibri" w:hAnsi="Cambria Math" w:cs="Times New Roman"/>
                      <w:szCs w:val="22"/>
                    </w:rPr>
                    <m:t> Year Saving</m:t>
                  </m:r>
                </m:e>
                <m:sub>
                  <m:r>
                    <w:rPr>
                      <w:rFonts w:ascii="Cambria Math" w:eastAsia="Calibri" w:hAnsi="Cambria Math" w:cs="Times New Roman"/>
                      <w:szCs w:val="22"/>
                    </w:rPr>
                    <m:t>Customer</m:t>
                  </m:r>
                </m:sub>
              </m:sSub>
              <m:r>
                <m:rPr>
                  <m:nor/>
                </m:rPr>
                <w:rPr>
                  <w:rFonts w:eastAsia="Calibri" w:cs="Times New Roman"/>
                  <w:szCs w:val="22"/>
                </w:rPr>
                <m:t> </m:t>
              </m:r>
              <m:r>
                <w:rPr>
                  <w:rFonts w:ascii="Cambria Math" w:eastAsia="Calibri" w:hAnsi="Cambria Math" w:cs="Times New Roman"/>
                  <w:szCs w:val="22"/>
                </w:rPr>
                <m:t>+</m:t>
              </m:r>
              <m:f>
                <m:fPr>
                  <m:ctrlPr>
                    <w:rPr>
                      <w:rFonts w:ascii="Cambria Math" w:eastAsia="Calibri" w:hAnsi="Cambria Math" w:cs="Times New Roman"/>
                      <w:i/>
                      <w:iCs/>
                      <w:szCs w:val="22"/>
                    </w:rPr>
                  </m:ctrlPr>
                </m:fPr>
                <m:num>
                  <m:r>
                    <w:rPr>
                      <w:rFonts w:ascii="Cambria Math" w:eastAsia="Calibri" w:hAnsi="Cambria Math" w:cs="Times New Roman"/>
                      <w:szCs w:val="22"/>
                    </w:rPr>
                    <m:t>$</m:t>
                  </m:r>
                </m:num>
                <m:den>
                  <m:sSub>
                    <m:sSubPr>
                      <m:ctrlPr>
                        <w:rPr>
                          <w:rFonts w:ascii="Cambria Math" w:eastAsia="Calibri" w:hAnsi="Cambria Math" w:cs="Times New Roman"/>
                          <w:i/>
                          <w:iCs/>
                          <w:szCs w:val="22"/>
                        </w:rPr>
                      </m:ctrlPr>
                    </m:sSubPr>
                    <m:e>
                      <m:r>
                        <w:rPr>
                          <w:rFonts w:ascii="Cambria Math" w:eastAsia="Calibri" w:hAnsi="Cambria Math" w:cs="Times New Roman"/>
                          <w:szCs w:val="22"/>
                        </w:rPr>
                        <m:t>kWh</m:t>
                      </m:r>
                    </m:e>
                    <m:sub>
                      <m:r>
                        <w:rPr>
                          <w:rFonts w:ascii="Cambria Math" w:eastAsia="Calibri" w:hAnsi="Cambria Math" w:cs="Times New Roman"/>
                          <w:szCs w:val="22"/>
                        </w:rPr>
                        <m:t>year</m:t>
                      </m:r>
                    </m:sub>
                  </m:sSub>
                </m:den>
              </m:f>
              <m:r>
                <w:rPr>
                  <w:rFonts w:ascii="Cambria Math" w:eastAsia="Calibri" w:hAnsi="Cambria Math" w:cs="Times New Roman"/>
                  <w:szCs w:val="22"/>
                </w:rPr>
                <m:t>*</m:t>
              </m:r>
              <m:sSub>
                <m:sSubPr>
                  <m:ctrlPr>
                    <w:rPr>
                      <w:rFonts w:ascii="Cambria Math" w:eastAsia="Calibri" w:hAnsi="Cambria Math" w:cs="Times New Roman"/>
                      <w:i/>
                      <w:iCs/>
                      <w:szCs w:val="22"/>
                    </w:rPr>
                  </m:ctrlPr>
                </m:sSubPr>
                <m:e>
                  <m:r>
                    <w:rPr>
                      <w:rFonts w:ascii="Cambria Math" w:eastAsia="Calibri" w:hAnsi="Cambria Math" w:cs="Times New Roman"/>
                      <w:szCs w:val="22"/>
                    </w:rPr>
                    <m:t>Energy</m:t>
                  </m:r>
                </m:e>
                <m:sub>
                  <m:r>
                    <w:rPr>
                      <w:rFonts w:ascii="Cambria Math" w:eastAsia="Calibri" w:hAnsi="Cambria Math" w:cs="Times New Roman"/>
                      <w:szCs w:val="22"/>
                    </w:rPr>
                    <m:t>saving,year</m:t>
                  </m:r>
                </m:sub>
              </m:sSub>
              <m:r>
                <m:rPr>
                  <m:nor/>
                </m:rPr>
                <w:rPr>
                  <w:rFonts w:eastAsia="Calibri" w:cs="Times New Roman"/>
                  <w:szCs w:val="22"/>
                </w:rPr>
                <m:t> </m:t>
              </m:r>
              <m:r>
                <w:rPr>
                  <w:rFonts w:ascii="Cambria Math" w:eastAsia="Calibri" w:hAnsi="Cambria Math" w:cs="Times New Roman"/>
                  <w:szCs w:val="22"/>
                </w:rPr>
                <m:t>+</m:t>
              </m:r>
              <m:f>
                <m:fPr>
                  <m:ctrlPr>
                    <w:rPr>
                      <w:rFonts w:ascii="Cambria Math" w:eastAsia="Calibri" w:hAnsi="Cambria Math" w:cs="Times New Roman"/>
                      <w:i/>
                      <w:iCs/>
                      <w:szCs w:val="22"/>
                    </w:rPr>
                  </m:ctrlPr>
                </m:fPr>
                <m:num>
                  <m:r>
                    <w:rPr>
                      <w:rFonts w:ascii="Cambria Math" w:eastAsia="Calibri" w:hAnsi="Cambria Math" w:cs="Times New Roman"/>
                      <w:szCs w:val="22"/>
                    </w:rPr>
                    <m:t>$</m:t>
                  </m:r>
                </m:num>
                <m:den>
                  <m:sSub>
                    <m:sSubPr>
                      <m:ctrlPr>
                        <w:rPr>
                          <w:rFonts w:ascii="Cambria Math" w:eastAsia="Calibri" w:hAnsi="Cambria Math" w:cs="Times New Roman"/>
                          <w:i/>
                          <w:iCs/>
                          <w:szCs w:val="22"/>
                        </w:rPr>
                      </m:ctrlPr>
                    </m:sSubPr>
                    <m:e>
                      <m:r>
                        <w:rPr>
                          <w:rFonts w:ascii="Cambria Math" w:eastAsia="Calibri" w:hAnsi="Cambria Math" w:cs="Times New Roman"/>
                          <w:szCs w:val="22"/>
                        </w:rPr>
                        <m:t>kWh</m:t>
                      </m:r>
                    </m:e>
                    <m:sub>
                      <m:r>
                        <w:rPr>
                          <w:rFonts w:ascii="Cambria Math" w:eastAsia="Calibri" w:hAnsi="Cambria Math" w:cs="Times New Roman"/>
                          <w:szCs w:val="22"/>
                        </w:rPr>
                        <m:t>peak,year</m:t>
                      </m:r>
                    </m:sub>
                  </m:sSub>
                </m:den>
              </m:f>
              <m:r>
                <w:rPr>
                  <w:rFonts w:ascii="Cambria Math" w:eastAsia="Calibri" w:hAnsi="Cambria Math" w:cs="Times New Roman"/>
                  <w:szCs w:val="22"/>
                </w:rPr>
                <m:t>* </m:t>
              </m:r>
              <m:sSub>
                <m:sSubPr>
                  <m:ctrlPr>
                    <w:rPr>
                      <w:rFonts w:ascii="Cambria Math" w:eastAsia="Calibri" w:hAnsi="Cambria Math" w:cs="Times New Roman"/>
                      <w:i/>
                      <w:iCs/>
                      <w:szCs w:val="22"/>
                    </w:rPr>
                  </m:ctrlPr>
                </m:sSubPr>
                <m:e>
                  <m:r>
                    <w:rPr>
                      <w:rFonts w:ascii="Cambria Math" w:eastAsia="Calibri" w:hAnsi="Cambria Math" w:cs="Times New Roman"/>
                      <w:szCs w:val="22"/>
                    </w:rPr>
                    <m:t>Peak </m:t>
                  </m:r>
                </m:e>
                <m:sub>
                  <m:r>
                    <w:rPr>
                      <w:rFonts w:ascii="Cambria Math" w:eastAsia="Calibri" w:hAnsi="Cambria Math" w:cs="Times New Roman"/>
                      <w:szCs w:val="22"/>
                    </w:rPr>
                    <m:t>reducation,year</m:t>
                  </m:r>
                </m:sub>
              </m:sSub>
              <m:r>
                <m:rPr>
                  <m:nor/>
                </m:rPr>
                <w:rPr>
                  <w:rFonts w:eastAsia="Calibri" w:cs="Times New Roman"/>
                  <w:szCs w:val="22"/>
                </w:rPr>
                <m:t> </m:t>
              </m:r>
            </m:e>
          </m:d>
        </m:oMath>
      </m:oMathPara>
    </w:p>
    <w:p w14:paraId="7C49BBA1" w14:textId="77777777" w:rsidR="00B17E5F" w:rsidRPr="00322E56" w:rsidRDefault="00000000" w:rsidP="00847985">
      <w:pPr>
        <w:spacing w:after="160" w:line="259" w:lineRule="auto"/>
        <w:rPr>
          <w:rFonts w:eastAsia="Calibri" w:cs="Times New Roman"/>
          <w:szCs w:val="22"/>
        </w:rPr>
      </w:pPr>
      <m:oMath>
        <m:f>
          <m:fPr>
            <m:ctrlPr>
              <w:rPr>
                <w:rFonts w:ascii="Cambria Math" w:eastAsia="Calibri" w:hAnsi="Cambria Math" w:cs="Times New Roman"/>
                <w:i/>
                <w:iCs/>
                <w:szCs w:val="22"/>
              </w:rPr>
            </m:ctrlPr>
          </m:fPr>
          <m:num>
            <m:r>
              <w:rPr>
                <w:rFonts w:ascii="Cambria Math" w:eastAsia="Calibri" w:hAnsi="Cambria Math" w:cs="Times New Roman"/>
                <w:szCs w:val="22"/>
              </w:rPr>
              <m:t>$</m:t>
            </m:r>
          </m:num>
          <m:den>
            <m:r>
              <w:rPr>
                <w:rFonts w:ascii="Cambria Math" w:eastAsia="Calibri" w:hAnsi="Cambria Math" w:cs="Times New Roman"/>
                <w:szCs w:val="22"/>
              </w:rPr>
              <m:t>kWh</m:t>
            </m:r>
          </m:den>
        </m:f>
      </m:oMath>
      <w:r w:rsidR="00B17E5F" w:rsidRPr="00322E56">
        <w:rPr>
          <w:rFonts w:eastAsia="Calibri" w:cs="Times New Roman"/>
          <w:szCs w:val="22"/>
        </w:rPr>
        <w:t xml:space="preserve"> = </w:t>
      </w:r>
      <w:r w:rsidR="00B17E5F">
        <w:rPr>
          <w:rFonts w:eastAsia="Calibri" w:cs="Times New Roman"/>
          <w:szCs w:val="22"/>
        </w:rPr>
        <w:t>T</w:t>
      </w:r>
      <w:r w:rsidR="00B17E5F" w:rsidRPr="00322E56">
        <w:rPr>
          <w:rFonts w:eastAsia="Calibri" w:cs="Times New Roman"/>
          <w:szCs w:val="22"/>
        </w:rPr>
        <w:t xml:space="preserve">he dollar value for reducing the total energy consumption  </w:t>
      </w:r>
    </w:p>
    <w:p w14:paraId="33B0153D" w14:textId="77777777" w:rsidR="00B17E5F" w:rsidRPr="00322E56" w:rsidRDefault="00B17E5F" w:rsidP="00847985">
      <w:pPr>
        <w:spacing w:after="160" w:line="259" w:lineRule="auto"/>
        <w:rPr>
          <w:rFonts w:eastAsia="Calibri" w:cs="Times New Roman"/>
          <w:szCs w:val="22"/>
        </w:rPr>
      </w:pPr>
      <w:r w:rsidRPr="00322E56">
        <w:rPr>
          <w:rFonts w:eastAsia="Calibri" w:cs="Times New Roman"/>
          <w:i/>
          <w:iCs/>
          <w:szCs w:val="22"/>
        </w:rPr>
        <w:t>This will equate to the rebate’s provided by the government.</w:t>
      </w:r>
    </w:p>
    <w:p w14:paraId="052B817B" w14:textId="77777777" w:rsidR="00B17E5F" w:rsidRPr="00322E56" w:rsidRDefault="00000000" w:rsidP="00847985">
      <w:pPr>
        <w:spacing w:after="160" w:line="259" w:lineRule="auto"/>
        <w:rPr>
          <w:rFonts w:eastAsia="Calibri" w:cs="Times New Roman"/>
          <w:szCs w:val="22"/>
        </w:rPr>
      </w:pPr>
      <m:oMath>
        <m:f>
          <m:fPr>
            <m:ctrlPr>
              <w:rPr>
                <w:rFonts w:ascii="Cambria Math" w:eastAsia="Calibri" w:hAnsi="Cambria Math" w:cs="Times New Roman"/>
                <w:i/>
                <w:iCs/>
                <w:szCs w:val="22"/>
              </w:rPr>
            </m:ctrlPr>
          </m:fPr>
          <m:num>
            <m:r>
              <w:rPr>
                <w:rFonts w:ascii="Cambria Math" w:eastAsia="Calibri" w:hAnsi="Cambria Math" w:cs="Times New Roman"/>
                <w:szCs w:val="22"/>
              </w:rPr>
              <m:t>$</m:t>
            </m:r>
          </m:num>
          <m:den>
            <m:sSub>
              <m:sSubPr>
                <m:ctrlPr>
                  <w:rPr>
                    <w:rFonts w:ascii="Cambria Math" w:eastAsia="Calibri" w:hAnsi="Cambria Math" w:cs="Times New Roman"/>
                    <w:i/>
                    <w:iCs/>
                    <w:szCs w:val="22"/>
                  </w:rPr>
                </m:ctrlPr>
              </m:sSubPr>
              <m:e>
                <m:r>
                  <w:rPr>
                    <w:rFonts w:ascii="Cambria Math" w:eastAsia="Calibri" w:hAnsi="Cambria Math" w:cs="Times New Roman"/>
                    <w:szCs w:val="22"/>
                  </w:rPr>
                  <m:t>kWh</m:t>
                </m:r>
              </m:e>
              <m:sub>
                <m:r>
                  <w:rPr>
                    <w:rFonts w:ascii="Cambria Math" w:eastAsia="Calibri" w:hAnsi="Cambria Math" w:cs="Times New Roman"/>
                    <w:szCs w:val="22"/>
                  </w:rPr>
                  <m:t>peak</m:t>
                </m:r>
              </m:sub>
            </m:sSub>
          </m:den>
        </m:f>
      </m:oMath>
      <w:r w:rsidR="00B17E5F" w:rsidRPr="00322E56">
        <w:rPr>
          <w:rFonts w:eastAsia="Calibri" w:cs="Times New Roman"/>
          <w:szCs w:val="22"/>
        </w:rPr>
        <w:t xml:space="preserve"> = </w:t>
      </w:r>
      <w:r w:rsidR="00B17E5F">
        <w:rPr>
          <w:rFonts w:eastAsia="Calibri" w:cs="Times New Roman"/>
          <w:szCs w:val="22"/>
        </w:rPr>
        <w:t>T</w:t>
      </w:r>
      <w:r w:rsidR="00B17E5F" w:rsidRPr="00322E56">
        <w:rPr>
          <w:rFonts w:eastAsia="Calibri" w:cs="Times New Roman"/>
          <w:szCs w:val="22"/>
        </w:rPr>
        <w:t>he dollar value benefit to utilities for reducing peak demand</w:t>
      </w:r>
    </w:p>
    <w:p w14:paraId="711307A0" w14:textId="77777777" w:rsidR="00B17E5F" w:rsidRDefault="00B17E5F" w:rsidP="00407C42">
      <w:pPr>
        <w:spacing w:after="160" w:line="259" w:lineRule="auto"/>
        <w:rPr>
          <w:rFonts w:eastAsia="Calibri" w:cs="Times New Roman"/>
          <w:i/>
          <w:iCs/>
          <w:szCs w:val="22"/>
        </w:rPr>
      </w:pPr>
      <w:r>
        <w:rPr>
          <w:rFonts w:eastAsia="Calibri" w:cs="Times New Roman"/>
          <w:szCs w:val="22"/>
        </w:rPr>
        <w:t>U</w:t>
      </w:r>
      <w:r w:rsidRPr="00322E56">
        <w:rPr>
          <w:rFonts w:eastAsia="Calibri" w:cs="Times New Roman"/>
          <w:szCs w:val="22"/>
        </w:rPr>
        <w:t>s</w:t>
      </w:r>
      <w:r>
        <w:rPr>
          <w:rFonts w:eastAsia="Calibri" w:cs="Times New Roman"/>
          <w:szCs w:val="22"/>
        </w:rPr>
        <w:t>ing</w:t>
      </w:r>
      <w:r w:rsidRPr="00322E56">
        <w:rPr>
          <w:rFonts w:eastAsia="Calibri" w:cs="Times New Roman"/>
          <w:szCs w:val="22"/>
        </w:rPr>
        <w:t xml:space="preserve"> monthly savings for </w:t>
      </w:r>
      <w:r>
        <w:rPr>
          <w:rFonts w:eastAsia="Calibri" w:cs="Times New Roman"/>
          <w:szCs w:val="22"/>
        </w:rPr>
        <w:t xml:space="preserve">utility </w:t>
      </w:r>
      <w:r w:rsidRPr="00322E56">
        <w:rPr>
          <w:rFonts w:eastAsia="Calibri" w:cs="Times New Roman"/>
          <w:szCs w:val="22"/>
        </w:rPr>
        <w:t>customer</w:t>
      </w:r>
      <w:r>
        <w:rPr>
          <w:rFonts w:eastAsia="Calibri" w:cs="Times New Roman"/>
          <w:szCs w:val="22"/>
        </w:rPr>
        <w:t xml:space="preserve"> only</w:t>
      </w:r>
      <w:r w:rsidRPr="00322E56">
        <w:rPr>
          <w:rFonts w:eastAsia="Calibri" w:cs="Times New Roman"/>
          <w:szCs w:val="22"/>
        </w:rPr>
        <w:t xml:space="preserve">: The cost of TES system to have a 5 years </w:t>
      </w:r>
      <w:r>
        <w:rPr>
          <w:rFonts w:eastAsia="Calibri" w:cs="Times New Roman"/>
          <w:szCs w:val="22"/>
        </w:rPr>
        <w:t>pay</w:t>
      </w:r>
      <w:r w:rsidRPr="00322E56">
        <w:rPr>
          <w:rFonts w:eastAsia="Calibri" w:cs="Times New Roman"/>
          <w:szCs w:val="22"/>
        </w:rPr>
        <w:t xml:space="preserve">back period in Alabama should have a capital cost of </w:t>
      </w:r>
      <w:r w:rsidRPr="00322E56">
        <w:rPr>
          <w:rFonts w:eastAsia="Calibri" w:cs="Times New Roman"/>
          <w:i/>
          <w:iCs/>
          <w:szCs w:val="22"/>
        </w:rPr>
        <w:t>$840.75 for a 92 MJ unit.</w:t>
      </w:r>
    </w:p>
    <w:p w14:paraId="167A4986" w14:textId="5C54D0F3" w:rsidR="002C5FB9" w:rsidRDefault="002C5FB9">
      <w:pPr>
        <w:spacing w:before="0" w:line="240" w:lineRule="auto"/>
        <w:ind w:firstLine="0"/>
        <w:jc w:val="left"/>
        <w:rPr>
          <w:rFonts w:eastAsia="Calibri"/>
        </w:rPr>
      </w:pPr>
      <w:r>
        <w:rPr>
          <w:rFonts w:eastAsia="Calibri"/>
        </w:rPr>
        <w:br w:type="page"/>
      </w:r>
    </w:p>
    <w:p w14:paraId="3B1D790A" w14:textId="4425477E" w:rsidR="00084FBF" w:rsidRDefault="002C5FB9" w:rsidP="00084FBF">
      <w:pPr>
        <w:pStyle w:val="Heading2"/>
        <w:rPr>
          <w:rFonts w:eastAsia="Calibri"/>
        </w:rPr>
      </w:pPr>
      <w:bookmarkStart w:id="368" w:name="_Toc140399938"/>
      <w:r>
        <w:rPr>
          <w:rFonts w:eastAsia="Calibri"/>
        </w:rPr>
        <w:t>Appendix C: HP Analysis on California Case Study</w:t>
      </w:r>
      <w:bookmarkEnd w:id="368"/>
    </w:p>
    <w:p w14:paraId="5AD4334C" w14:textId="77777777" w:rsidR="00084FBF" w:rsidRPr="00084FBF" w:rsidRDefault="00084FBF" w:rsidP="00084FBF">
      <w:pPr>
        <w:rPr>
          <w:rFonts w:eastAsia="Calibri"/>
        </w:rPr>
      </w:pPr>
    </w:p>
    <w:p w14:paraId="6592E6D0" w14:textId="77777777" w:rsidR="00084FBF" w:rsidRDefault="00084FBF" w:rsidP="00084FBF">
      <w:pPr>
        <w:keepNext/>
        <w:ind w:firstLine="0"/>
        <w:jc w:val="center"/>
      </w:pPr>
      <w:r>
        <w:rPr>
          <w:noProof/>
        </w:rPr>
        <w:drawing>
          <wp:inline distT="0" distB="0" distL="0" distR="0" wp14:anchorId="6A2D501B" wp14:editId="174AF84E">
            <wp:extent cx="4731721" cy="2743200"/>
            <wp:effectExtent l="0" t="0" r="5715" b="0"/>
            <wp:docPr id="1059" name="Picture 105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 name="Picture 1059" descr="Chart&#10;&#10;Description automatically generated"/>
                    <pic:cNvPicPr/>
                  </pic:nvPicPr>
                  <pic:blipFill>
                    <a:blip r:embed="rId142"/>
                    <a:stretch>
                      <a:fillRect/>
                    </a:stretch>
                  </pic:blipFill>
                  <pic:spPr>
                    <a:xfrm>
                      <a:off x="0" y="0"/>
                      <a:ext cx="4731721" cy="2743200"/>
                    </a:xfrm>
                    <a:prstGeom prst="rect">
                      <a:avLst/>
                    </a:prstGeom>
                  </pic:spPr>
                </pic:pic>
              </a:graphicData>
            </a:graphic>
          </wp:inline>
        </w:drawing>
      </w:r>
    </w:p>
    <w:p w14:paraId="59072BA8" w14:textId="3E1F70FC" w:rsidR="002C5FB9" w:rsidRDefault="00084FBF" w:rsidP="00084FBF">
      <w:pPr>
        <w:pStyle w:val="Caption"/>
        <w:jc w:val="center"/>
      </w:pPr>
      <w:bookmarkStart w:id="369" w:name="_Toc140403977"/>
      <w:r>
        <w:t xml:space="preserve">Figure </w:t>
      </w:r>
      <w:fldSimple w:instr=" SEQ Figure \* ARABIC ">
        <w:r w:rsidR="00A5526B">
          <w:rPr>
            <w:noProof/>
          </w:rPr>
          <w:t>111</w:t>
        </w:r>
      </w:fldSimple>
      <w:r>
        <w:t>: HP-TES Normal mode COP</w:t>
      </w:r>
      <w:bookmarkEnd w:id="369"/>
    </w:p>
    <w:p w14:paraId="0DB9C894" w14:textId="77777777" w:rsidR="00084FBF" w:rsidRDefault="00084FBF" w:rsidP="00084FBF">
      <w:pPr>
        <w:keepNext/>
        <w:ind w:firstLine="0"/>
        <w:jc w:val="center"/>
      </w:pPr>
      <w:r>
        <w:rPr>
          <w:noProof/>
        </w:rPr>
        <w:drawing>
          <wp:inline distT="0" distB="0" distL="0" distR="0" wp14:anchorId="2D86F9CB" wp14:editId="49C64F7A">
            <wp:extent cx="4702629" cy="2743200"/>
            <wp:effectExtent l="0" t="0" r="0" b="0"/>
            <wp:docPr id="1065" name="Picture 106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 name="Picture 1065" descr="Chart, line chart&#10;&#10;Description automatically generated"/>
                    <pic:cNvPicPr/>
                  </pic:nvPicPr>
                  <pic:blipFill>
                    <a:blip r:embed="rId143"/>
                    <a:stretch>
                      <a:fillRect/>
                    </a:stretch>
                  </pic:blipFill>
                  <pic:spPr>
                    <a:xfrm>
                      <a:off x="0" y="0"/>
                      <a:ext cx="4702629" cy="2743200"/>
                    </a:xfrm>
                    <a:prstGeom prst="rect">
                      <a:avLst/>
                    </a:prstGeom>
                  </pic:spPr>
                </pic:pic>
              </a:graphicData>
            </a:graphic>
          </wp:inline>
        </w:drawing>
      </w:r>
    </w:p>
    <w:p w14:paraId="5C3012C3" w14:textId="79D066A0" w:rsidR="00084FBF" w:rsidRDefault="00084FBF" w:rsidP="00084FBF">
      <w:pPr>
        <w:pStyle w:val="Caption"/>
        <w:jc w:val="center"/>
        <w:rPr>
          <w:rFonts w:eastAsia="Calibri"/>
        </w:rPr>
      </w:pPr>
      <w:bookmarkStart w:id="370" w:name="_Toc140403978"/>
      <w:r>
        <w:t xml:space="preserve">Figure </w:t>
      </w:r>
      <w:fldSimple w:instr=" SEQ Figure \* ARABIC ">
        <w:r w:rsidR="00A5526B">
          <w:rPr>
            <w:noProof/>
          </w:rPr>
          <w:t>112</w:t>
        </w:r>
      </w:fldSimple>
      <w:r>
        <w:t xml:space="preserve">: </w:t>
      </w:r>
      <w:r w:rsidRPr="00EC2934">
        <w:t xml:space="preserve">HP-TES Charging </w:t>
      </w:r>
      <w:r>
        <w:t xml:space="preserve">mode </w:t>
      </w:r>
      <w:r w:rsidRPr="00EC2934">
        <w:t>COP</w:t>
      </w:r>
      <w:bookmarkEnd w:id="370"/>
    </w:p>
    <w:p w14:paraId="64A69DA5" w14:textId="6D153CCE" w:rsidR="002C5FB9" w:rsidRDefault="002C5FB9">
      <w:pPr>
        <w:spacing w:before="0" w:line="240" w:lineRule="auto"/>
        <w:ind w:firstLine="0"/>
        <w:jc w:val="left"/>
        <w:rPr>
          <w:rFonts w:eastAsia="Calibri"/>
        </w:rPr>
      </w:pPr>
      <w:r>
        <w:rPr>
          <w:rFonts w:eastAsia="Calibri"/>
        </w:rPr>
        <w:br w:type="page"/>
      </w:r>
    </w:p>
    <w:p w14:paraId="079AB113" w14:textId="3F1D4B3F" w:rsidR="002C5FB9" w:rsidRDefault="002C5FB9" w:rsidP="002C5FB9">
      <w:pPr>
        <w:pStyle w:val="Heading2"/>
        <w:ind w:firstLine="0"/>
        <w:rPr>
          <w:rFonts w:eastAsia="Calibri"/>
        </w:rPr>
      </w:pPr>
      <w:bookmarkStart w:id="371" w:name="_Toc140399939"/>
      <w:r>
        <w:rPr>
          <w:rFonts w:eastAsia="Calibri"/>
        </w:rPr>
        <w:t>Appendix D: HP-TES Technoeconomic Analysis</w:t>
      </w:r>
      <w:bookmarkEnd w:id="371"/>
    </w:p>
    <w:p w14:paraId="633DC605" w14:textId="77777777" w:rsidR="002C5FB9" w:rsidRDefault="002C5FB9" w:rsidP="002C5FB9">
      <w:pPr>
        <w:rPr>
          <w:rFonts w:eastAsia="Calibri"/>
        </w:rPr>
      </w:pPr>
    </w:p>
    <w:p w14:paraId="51734CB3" w14:textId="77777777" w:rsidR="002C5FB9" w:rsidRDefault="002C5FB9" w:rsidP="002C5FB9">
      <w:pPr>
        <w:keepNext/>
      </w:pPr>
      <w:r>
        <w:rPr>
          <w:noProof/>
        </w:rPr>
        <w:drawing>
          <wp:inline distT="0" distB="0" distL="0" distR="0" wp14:anchorId="2B5143B3" wp14:editId="679EF87A">
            <wp:extent cx="4572000" cy="2289962"/>
            <wp:effectExtent l="0" t="0" r="0" b="0"/>
            <wp:docPr id="1067" name="Picture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4572000" cy="2289962"/>
                    </a:xfrm>
                    <a:prstGeom prst="rect">
                      <a:avLst/>
                    </a:prstGeom>
                    <a:noFill/>
                  </pic:spPr>
                </pic:pic>
              </a:graphicData>
            </a:graphic>
          </wp:inline>
        </w:drawing>
      </w:r>
    </w:p>
    <w:p w14:paraId="4F52560E" w14:textId="3D587E52" w:rsidR="002C5FB9" w:rsidRDefault="002C5FB9" w:rsidP="002C5FB9">
      <w:pPr>
        <w:pStyle w:val="Caption"/>
        <w:ind w:firstLine="0"/>
        <w:jc w:val="center"/>
      </w:pPr>
      <w:bookmarkStart w:id="372" w:name="_Toc140403979"/>
      <w:r>
        <w:t xml:space="preserve">Figure </w:t>
      </w:r>
      <w:fldSimple w:instr=" SEQ Figure \* ARABIC ">
        <w:r w:rsidR="00A5526B">
          <w:rPr>
            <w:noProof/>
          </w:rPr>
          <w:t>113</w:t>
        </w:r>
      </w:fldSimple>
      <w:r>
        <w:t xml:space="preserve">: </w:t>
      </w:r>
      <w:r w:rsidRPr="006E4737">
        <w:t xml:space="preserve">Electric Consumption of </w:t>
      </w:r>
      <w:r>
        <w:t>Winter</w:t>
      </w:r>
      <w:r w:rsidRPr="006E4737">
        <w:t xml:space="preserve"> Typical week in Baltimore, MD</w:t>
      </w:r>
      <w:bookmarkEnd w:id="372"/>
    </w:p>
    <w:p w14:paraId="24BC2790" w14:textId="77777777" w:rsidR="002C5FB9" w:rsidRDefault="002C5FB9" w:rsidP="002C5FB9"/>
    <w:p w14:paraId="614675EF" w14:textId="77777777" w:rsidR="002C5FB9" w:rsidRDefault="002C5FB9" w:rsidP="002C5FB9">
      <w:pPr>
        <w:keepNext/>
      </w:pPr>
      <w:r>
        <w:rPr>
          <w:noProof/>
        </w:rPr>
        <w:drawing>
          <wp:inline distT="0" distB="0" distL="0" distR="0" wp14:anchorId="58AF40FA" wp14:editId="565C9CCC">
            <wp:extent cx="4572000" cy="2289962"/>
            <wp:effectExtent l="0" t="0" r="0" b="0"/>
            <wp:docPr id="1068" name="Picture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4572000" cy="2289962"/>
                    </a:xfrm>
                    <a:prstGeom prst="rect">
                      <a:avLst/>
                    </a:prstGeom>
                    <a:noFill/>
                  </pic:spPr>
                </pic:pic>
              </a:graphicData>
            </a:graphic>
          </wp:inline>
        </w:drawing>
      </w:r>
    </w:p>
    <w:p w14:paraId="67273B9F" w14:textId="1B241F7B" w:rsidR="002C5FB9" w:rsidRDefault="002C5FB9" w:rsidP="002C5FB9">
      <w:pPr>
        <w:pStyle w:val="Caption"/>
        <w:ind w:firstLine="0"/>
        <w:jc w:val="center"/>
      </w:pPr>
      <w:bookmarkStart w:id="373" w:name="_Toc140403980"/>
      <w:r>
        <w:t xml:space="preserve">Figure </w:t>
      </w:r>
      <w:fldSimple w:instr=" SEQ Figure \* ARABIC ">
        <w:r w:rsidR="00A5526B">
          <w:rPr>
            <w:noProof/>
          </w:rPr>
          <w:t>114</w:t>
        </w:r>
      </w:fldSimple>
      <w:r>
        <w:t xml:space="preserve">: Utility Cost </w:t>
      </w:r>
      <w:r w:rsidRPr="00946707">
        <w:t>of Winter Typical week in Baltimore, MD</w:t>
      </w:r>
      <w:bookmarkEnd w:id="373"/>
    </w:p>
    <w:p w14:paraId="67272EE2" w14:textId="77777777" w:rsidR="002C5FB9" w:rsidRDefault="002C5FB9" w:rsidP="002C5FB9"/>
    <w:p w14:paraId="653E720F" w14:textId="77777777" w:rsidR="002C5FB9" w:rsidRDefault="002C5FB9" w:rsidP="002C5FB9">
      <w:pPr>
        <w:keepNext/>
      </w:pPr>
      <w:r>
        <w:rPr>
          <w:noProof/>
        </w:rPr>
        <w:drawing>
          <wp:inline distT="0" distB="0" distL="0" distR="0" wp14:anchorId="39F8201E" wp14:editId="7EF4E8D9">
            <wp:extent cx="4572000" cy="2289962"/>
            <wp:effectExtent l="0" t="0" r="0" b="0"/>
            <wp:docPr id="1069" name="Picture 106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 name="Picture 1069" descr="Chart, line chart&#10;&#10;Description automatically generated"/>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4572000" cy="2289962"/>
                    </a:xfrm>
                    <a:prstGeom prst="rect">
                      <a:avLst/>
                    </a:prstGeom>
                    <a:noFill/>
                  </pic:spPr>
                </pic:pic>
              </a:graphicData>
            </a:graphic>
          </wp:inline>
        </w:drawing>
      </w:r>
    </w:p>
    <w:p w14:paraId="27AAA11D" w14:textId="37C337A6" w:rsidR="002C5FB9" w:rsidRDefault="002C5FB9" w:rsidP="002C5FB9">
      <w:pPr>
        <w:pStyle w:val="Caption"/>
        <w:ind w:firstLine="0"/>
        <w:jc w:val="center"/>
      </w:pPr>
      <w:bookmarkStart w:id="374" w:name="_Toc140403981"/>
      <w:r>
        <w:t xml:space="preserve">Figure </w:t>
      </w:r>
      <w:fldSimple w:instr=" SEQ Figure \* ARABIC ">
        <w:r w:rsidR="00A5526B">
          <w:rPr>
            <w:noProof/>
          </w:rPr>
          <w:t>115</w:t>
        </w:r>
      </w:fldSimple>
      <w:r>
        <w:t xml:space="preserve">: Grid Emissions </w:t>
      </w:r>
      <w:r w:rsidRPr="00113A8D">
        <w:t>of Winter Typical week in Baltimore, MD</w:t>
      </w:r>
      <w:bookmarkEnd w:id="374"/>
    </w:p>
    <w:p w14:paraId="57F38C15" w14:textId="77777777" w:rsidR="002C5FB9" w:rsidRDefault="002C5FB9" w:rsidP="002C5FB9"/>
    <w:p w14:paraId="3551E476" w14:textId="77777777" w:rsidR="002C5FB9" w:rsidRDefault="002C5FB9" w:rsidP="002C5FB9">
      <w:pPr>
        <w:keepNext/>
      </w:pPr>
      <w:r>
        <w:rPr>
          <w:noProof/>
        </w:rPr>
        <w:drawing>
          <wp:inline distT="0" distB="0" distL="0" distR="0" wp14:anchorId="1495D7C1" wp14:editId="5382B199">
            <wp:extent cx="4572000" cy="2289962"/>
            <wp:effectExtent l="0" t="0" r="0" b="0"/>
            <wp:docPr id="1070" name="Picture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4572000" cy="2289962"/>
                    </a:xfrm>
                    <a:prstGeom prst="rect">
                      <a:avLst/>
                    </a:prstGeom>
                    <a:noFill/>
                  </pic:spPr>
                </pic:pic>
              </a:graphicData>
            </a:graphic>
          </wp:inline>
        </w:drawing>
      </w:r>
    </w:p>
    <w:p w14:paraId="21B64CC0" w14:textId="6807CA60" w:rsidR="002C5FB9" w:rsidRPr="007834BD" w:rsidRDefault="002C5FB9" w:rsidP="002C5FB9">
      <w:pPr>
        <w:pStyle w:val="Caption"/>
        <w:ind w:firstLine="0"/>
        <w:jc w:val="center"/>
      </w:pPr>
      <w:bookmarkStart w:id="375" w:name="_Toc140403982"/>
      <w:r>
        <w:t xml:space="preserve">Figure </w:t>
      </w:r>
      <w:fldSimple w:instr=" SEQ Figure \* ARABIC ">
        <w:r w:rsidR="00A5526B">
          <w:rPr>
            <w:noProof/>
          </w:rPr>
          <w:t>116</w:t>
        </w:r>
      </w:fldSimple>
      <w:r>
        <w:t xml:space="preserve">: </w:t>
      </w:r>
      <w:r w:rsidRPr="002800AE">
        <w:t xml:space="preserve">Electric Consumption of Winter </w:t>
      </w:r>
      <w:r>
        <w:t>Extreme</w:t>
      </w:r>
      <w:r w:rsidRPr="002800AE">
        <w:t xml:space="preserve"> week in Baltimore, MD</w:t>
      </w:r>
      <w:bookmarkEnd w:id="375"/>
    </w:p>
    <w:p w14:paraId="69AB18F8" w14:textId="77777777" w:rsidR="002C5FB9" w:rsidRDefault="002C5FB9" w:rsidP="002C5FB9">
      <w:pPr>
        <w:spacing w:line="240" w:lineRule="auto"/>
        <w:ind w:firstLine="0"/>
        <w:rPr>
          <w:rFonts w:cs="Times New Roman"/>
          <w:b/>
          <w:bCs/>
          <w:iCs/>
          <w:szCs w:val="28"/>
        </w:rPr>
      </w:pPr>
    </w:p>
    <w:p w14:paraId="63E9DD46" w14:textId="77777777" w:rsidR="002C5FB9" w:rsidRDefault="002C5FB9" w:rsidP="002C5FB9">
      <w:pPr>
        <w:keepNext/>
        <w:spacing w:line="240" w:lineRule="auto"/>
        <w:ind w:firstLine="0"/>
        <w:jc w:val="center"/>
      </w:pPr>
      <w:r>
        <w:rPr>
          <w:rFonts w:cs="Times New Roman"/>
          <w:b/>
          <w:bCs/>
          <w:iCs/>
          <w:noProof/>
          <w:szCs w:val="28"/>
        </w:rPr>
        <w:drawing>
          <wp:inline distT="0" distB="0" distL="0" distR="0" wp14:anchorId="57E4140C" wp14:editId="63E1E58D">
            <wp:extent cx="4572000" cy="2289962"/>
            <wp:effectExtent l="0" t="0" r="0" b="0"/>
            <wp:docPr id="1073" name="Picture 107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 name="Picture 1073" descr="Chart, line chart&#10;&#10;Description automatically generated"/>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4572000" cy="2289962"/>
                    </a:xfrm>
                    <a:prstGeom prst="rect">
                      <a:avLst/>
                    </a:prstGeom>
                    <a:noFill/>
                  </pic:spPr>
                </pic:pic>
              </a:graphicData>
            </a:graphic>
          </wp:inline>
        </w:drawing>
      </w:r>
    </w:p>
    <w:p w14:paraId="1DDAB7F3" w14:textId="08237B57" w:rsidR="002C5FB9" w:rsidRDefault="002C5FB9" w:rsidP="002C5FB9">
      <w:pPr>
        <w:pStyle w:val="Caption"/>
        <w:ind w:firstLine="0"/>
        <w:jc w:val="center"/>
      </w:pPr>
      <w:bookmarkStart w:id="376" w:name="_Toc140403983"/>
      <w:r>
        <w:t xml:space="preserve">Figure </w:t>
      </w:r>
      <w:fldSimple w:instr=" SEQ Figure \* ARABIC ">
        <w:r w:rsidR="00A5526B">
          <w:rPr>
            <w:noProof/>
          </w:rPr>
          <w:t>117</w:t>
        </w:r>
      </w:fldSimple>
      <w:r>
        <w:t xml:space="preserve">: Utility Cost </w:t>
      </w:r>
      <w:r w:rsidRPr="00585145">
        <w:t>of Winter Extreme week in Baltimore, MD</w:t>
      </w:r>
      <w:bookmarkEnd w:id="376"/>
    </w:p>
    <w:p w14:paraId="6ACF9FDE" w14:textId="77777777" w:rsidR="002C5FB9" w:rsidRDefault="002C5FB9" w:rsidP="002C5FB9"/>
    <w:p w14:paraId="3A350980" w14:textId="77777777" w:rsidR="002C5FB9" w:rsidRDefault="002C5FB9" w:rsidP="002C5FB9">
      <w:pPr>
        <w:keepNext/>
        <w:ind w:firstLine="0"/>
        <w:jc w:val="center"/>
      </w:pPr>
      <w:r>
        <w:rPr>
          <w:noProof/>
        </w:rPr>
        <w:drawing>
          <wp:inline distT="0" distB="0" distL="0" distR="0" wp14:anchorId="6C304037" wp14:editId="121C70B3">
            <wp:extent cx="4572000" cy="2289962"/>
            <wp:effectExtent l="0" t="0" r="0" b="0"/>
            <wp:docPr id="1074" name="Picture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4572000" cy="2289962"/>
                    </a:xfrm>
                    <a:prstGeom prst="rect">
                      <a:avLst/>
                    </a:prstGeom>
                    <a:noFill/>
                  </pic:spPr>
                </pic:pic>
              </a:graphicData>
            </a:graphic>
          </wp:inline>
        </w:drawing>
      </w:r>
    </w:p>
    <w:p w14:paraId="1FBA4519" w14:textId="6CB39BA7" w:rsidR="002C5FB9" w:rsidRDefault="002C5FB9" w:rsidP="002C5FB9">
      <w:pPr>
        <w:pStyle w:val="Caption"/>
        <w:ind w:firstLine="0"/>
        <w:jc w:val="center"/>
      </w:pPr>
      <w:bookmarkStart w:id="377" w:name="_Toc140403984"/>
      <w:r>
        <w:t xml:space="preserve">Figure </w:t>
      </w:r>
      <w:fldSimple w:instr=" SEQ Figure \* ARABIC ">
        <w:r w:rsidR="00A5526B">
          <w:rPr>
            <w:noProof/>
          </w:rPr>
          <w:t>118</w:t>
        </w:r>
      </w:fldSimple>
      <w:r>
        <w:t xml:space="preserve">: Grid Emissions </w:t>
      </w:r>
      <w:r w:rsidRPr="00372BDD">
        <w:t>of Winter Extreme week in Baltimore, MD</w:t>
      </w:r>
      <w:bookmarkEnd w:id="377"/>
    </w:p>
    <w:p w14:paraId="47F9A281" w14:textId="77777777" w:rsidR="002C5FB9" w:rsidRDefault="002C5FB9" w:rsidP="002C5FB9">
      <w:pPr>
        <w:ind w:firstLine="0"/>
      </w:pPr>
    </w:p>
    <w:p w14:paraId="4EDC0135" w14:textId="77777777" w:rsidR="002C5FB9" w:rsidRDefault="002C5FB9" w:rsidP="002C5FB9">
      <w:pPr>
        <w:keepNext/>
      </w:pPr>
      <w:r>
        <w:rPr>
          <w:noProof/>
        </w:rPr>
        <w:drawing>
          <wp:inline distT="0" distB="0" distL="0" distR="0" wp14:anchorId="681C3A19" wp14:editId="1DEDBE54">
            <wp:extent cx="4572000" cy="2289962"/>
            <wp:effectExtent l="0" t="0" r="0" b="0"/>
            <wp:docPr id="1077" name="Picture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4572000" cy="2289962"/>
                    </a:xfrm>
                    <a:prstGeom prst="rect">
                      <a:avLst/>
                    </a:prstGeom>
                    <a:noFill/>
                  </pic:spPr>
                </pic:pic>
              </a:graphicData>
            </a:graphic>
          </wp:inline>
        </w:drawing>
      </w:r>
    </w:p>
    <w:p w14:paraId="69273FFE" w14:textId="16DEB469" w:rsidR="002C5FB9" w:rsidRDefault="002C5FB9" w:rsidP="002C5FB9">
      <w:pPr>
        <w:pStyle w:val="Caption"/>
      </w:pPr>
      <w:bookmarkStart w:id="378" w:name="_Toc140403985"/>
      <w:r>
        <w:t xml:space="preserve">Figure </w:t>
      </w:r>
      <w:fldSimple w:instr=" SEQ Figure \* ARABIC ">
        <w:r w:rsidR="00A5526B">
          <w:rPr>
            <w:noProof/>
          </w:rPr>
          <w:t>119</w:t>
        </w:r>
      </w:fldSimple>
      <w:r>
        <w:t>: Electric Consumption of Winter Typical week in Golden, CO</w:t>
      </w:r>
      <w:bookmarkEnd w:id="378"/>
    </w:p>
    <w:p w14:paraId="21CEE923" w14:textId="77777777" w:rsidR="002C5FB9" w:rsidRDefault="002C5FB9" w:rsidP="002C5FB9"/>
    <w:p w14:paraId="19D2B2D7" w14:textId="77777777" w:rsidR="002C5FB9" w:rsidRDefault="002C5FB9" w:rsidP="002C5FB9">
      <w:pPr>
        <w:keepNext/>
      </w:pPr>
      <w:r>
        <w:rPr>
          <w:noProof/>
        </w:rPr>
        <w:drawing>
          <wp:inline distT="0" distB="0" distL="0" distR="0" wp14:anchorId="44AB6FE9" wp14:editId="7FF11DD9">
            <wp:extent cx="4572000" cy="2289962"/>
            <wp:effectExtent l="0" t="0" r="0" b="0"/>
            <wp:docPr id="1058" name="Picture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4572000" cy="2289962"/>
                    </a:xfrm>
                    <a:prstGeom prst="rect">
                      <a:avLst/>
                    </a:prstGeom>
                    <a:noFill/>
                  </pic:spPr>
                </pic:pic>
              </a:graphicData>
            </a:graphic>
          </wp:inline>
        </w:drawing>
      </w:r>
    </w:p>
    <w:p w14:paraId="4323B4C0" w14:textId="1C699C7D" w:rsidR="002C5FB9" w:rsidRDefault="002C5FB9" w:rsidP="002C5FB9">
      <w:pPr>
        <w:pStyle w:val="Caption"/>
      </w:pPr>
      <w:bookmarkStart w:id="379" w:name="_Toc140403986"/>
      <w:r>
        <w:t xml:space="preserve">Figure </w:t>
      </w:r>
      <w:fldSimple w:instr=" SEQ Figure \* ARABIC ">
        <w:r w:rsidR="00A5526B">
          <w:rPr>
            <w:noProof/>
          </w:rPr>
          <w:t>120</w:t>
        </w:r>
      </w:fldSimple>
      <w:r>
        <w:t xml:space="preserve">: Utility Cost </w:t>
      </w:r>
      <w:r w:rsidRPr="00E8614E">
        <w:t>of Winter Typical week in Golden, CO</w:t>
      </w:r>
      <w:bookmarkEnd w:id="379"/>
    </w:p>
    <w:p w14:paraId="4BDA1100" w14:textId="77777777" w:rsidR="002C5FB9" w:rsidRPr="00D34B5E" w:rsidRDefault="002C5FB9" w:rsidP="002C5FB9"/>
    <w:p w14:paraId="07CB1262" w14:textId="77777777" w:rsidR="002C5FB9" w:rsidRDefault="002C5FB9" w:rsidP="002C5FB9">
      <w:pPr>
        <w:keepNext/>
      </w:pPr>
      <w:r>
        <w:rPr>
          <w:noProof/>
        </w:rPr>
        <w:drawing>
          <wp:inline distT="0" distB="0" distL="0" distR="0" wp14:anchorId="601316B9" wp14:editId="575BB203">
            <wp:extent cx="4572000" cy="2289962"/>
            <wp:effectExtent l="0" t="0" r="0" b="0"/>
            <wp:docPr id="1078" name="Picture 107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 name="Picture 1078" descr="Chart, line chart&#10;&#10;Description automatically generated"/>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4572000" cy="2289962"/>
                    </a:xfrm>
                    <a:prstGeom prst="rect">
                      <a:avLst/>
                    </a:prstGeom>
                    <a:noFill/>
                  </pic:spPr>
                </pic:pic>
              </a:graphicData>
            </a:graphic>
          </wp:inline>
        </w:drawing>
      </w:r>
    </w:p>
    <w:p w14:paraId="148CE3DD" w14:textId="0E6FB082" w:rsidR="002C5FB9" w:rsidRDefault="002C5FB9" w:rsidP="002C5FB9">
      <w:pPr>
        <w:pStyle w:val="Caption"/>
      </w:pPr>
      <w:bookmarkStart w:id="380" w:name="_Toc140403987"/>
      <w:r>
        <w:t xml:space="preserve">Figure </w:t>
      </w:r>
      <w:fldSimple w:instr=" SEQ Figure \* ARABIC ">
        <w:r w:rsidR="00A5526B">
          <w:rPr>
            <w:noProof/>
          </w:rPr>
          <w:t>121</w:t>
        </w:r>
      </w:fldSimple>
      <w:r>
        <w:t xml:space="preserve">: Grid Emissions </w:t>
      </w:r>
      <w:r w:rsidRPr="00CB72EC">
        <w:t>of Winter Typical week in Golden, CO</w:t>
      </w:r>
      <w:bookmarkEnd w:id="380"/>
    </w:p>
    <w:p w14:paraId="7C0E59D7" w14:textId="77777777" w:rsidR="002C5FB9" w:rsidRDefault="002C5FB9" w:rsidP="002C5FB9"/>
    <w:p w14:paraId="4D999506" w14:textId="77777777" w:rsidR="002C5FB9" w:rsidRDefault="002C5FB9" w:rsidP="002C5FB9">
      <w:pPr>
        <w:keepNext/>
      </w:pPr>
      <w:r>
        <w:rPr>
          <w:noProof/>
        </w:rPr>
        <w:drawing>
          <wp:inline distT="0" distB="0" distL="0" distR="0" wp14:anchorId="73C91220" wp14:editId="03C94B31">
            <wp:extent cx="4572000" cy="2289962"/>
            <wp:effectExtent l="0" t="0" r="0" b="0"/>
            <wp:docPr id="1079" name="Picture 107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 name="Picture 1079" descr="Chart, line chart&#10;&#10;Description automatically generated"/>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4572000" cy="2289962"/>
                    </a:xfrm>
                    <a:prstGeom prst="rect">
                      <a:avLst/>
                    </a:prstGeom>
                    <a:noFill/>
                  </pic:spPr>
                </pic:pic>
              </a:graphicData>
            </a:graphic>
          </wp:inline>
        </w:drawing>
      </w:r>
    </w:p>
    <w:p w14:paraId="17F6F434" w14:textId="664D0223" w:rsidR="002C5FB9" w:rsidRDefault="002C5FB9" w:rsidP="002C5FB9">
      <w:pPr>
        <w:pStyle w:val="Caption"/>
      </w:pPr>
      <w:bookmarkStart w:id="381" w:name="_Toc140403988"/>
      <w:r>
        <w:t xml:space="preserve">Figure </w:t>
      </w:r>
      <w:fldSimple w:instr=" SEQ Figure \* ARABIC ">
        <w:r w:rsidR="00A5526B">
          <w:rPr>
            <w:noProof/>
          </w:rPr>
          <w:t>122</w:t>
        </w:r>
      </w:fldSimple>
      <w:r>
        <w:t xml:space="preserve">: </w:t>
      </w:r>
      <w:r w:rsidRPr="00E01E93">
        <w:t xml:space="preserve">Electric Consumption of Winter </w:t>
      </w:r>
      <w:r>
        <w:t>Extreme</w:t>
      </w:r>
      <w:r w:rsidRPr="00E01E93">
        <w:t xml:space="preserve"> week in Golden, CO</w:t>
      </w:r>
      <w:bookmarkEnd w:id="381"/>
    </w:p>
    <w:p w14:paraId="78032D61" w14:textId="77777777" w:rsidR="002C5FB9" w:rsidRDefault="002C5FB9" w:rsidP="002C5FB9"/>
    <w:p w14:paraId="2CF0CED0" w14:textId="77777777" w:rsidR="002C5FB9" w:rsidRDefault="002C5FB9" w:rsidP="002C5FB9">
      <w:pPr>
        <w:keepNext/>
      </w:pPr>
      <w:r>
        <w:rPr>
          <w:noProof/>
        </w:rPr>
        <w:drawing>
          <wp:inline distT="0" distB="0" distL="0" distR="0" wp14:anchorId="5C564A20" wp14:editId="756697B8">
            <wp:extent cx="4572000" cy="2289962"/>
            <wp:effectExtent l="0" t="0" r="0" b="0"/>
            <wp:docPr id="1080" name="Picture 108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 name="Picture 1080" descr="Chart, line chart&#10;&#10;Description automatically generated"/>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4572000" cy="2289962"/>
                    </a:xfrm>
                    <a:prstGeom prst="rect">
                      <a:avLst/>
                    </a:prstGeom>
                    <a:noFill/>
                  </pic:spPr>
                </pic:pic>
              </a:graphicData>
            </a:graphic>
          </wp:inline>
        </w:drawing>
      </w:r>
    </w:p>
    <w:p w14:paraId="2D3ABCAF" w14:textId="7230611B" w:rsidR="002C5FB9" w:rsidRDefault="002C5FB9" w:rsidP="002C5FB9">
      <w:pPr>
        <w:pStyle w:val="Caption"/>
      </w:pPr>
      <w:bookmarkStart w:id="382" w:name="_Toc140403989"/>
      <w:r>
        <w:t xml:space="preserve">Figure </w:t>
      </w:r>
      <w:fldSimple w:instr=" SEQ Figure \* ARABIC ">
        <w:r w:rsidR="00A5526B">
          <w:rPr>
            <w:noProof/>
          </w:rPr>
          <w:t>123</w:t>
        </w:r>
      </w:fldSimple>
      <w:r>
        <w:t xml:space="preserve">: Utility Cost </w:t>
      </w:r>
      <w:r w:rsidRPr="00172D79">
        <w:t>of Winter Extreme week in Golden, CO</w:t>
      </w:r>
      <w:bookmarkEnd w:id="382"/>
    </w:p>
    <w:p w14:paraId="4165451D" w14:textId="77777777" w:rsidR="002C5FB9" w:rsidRDefault="002C5FB9" w:rsidP="002C5FB9"/>
    <w:p w14:paraId="65194492" w14:textId="77777777" w:rsidR="002C5FB9" w:rsidRDefault="002C5FB9" w:rsidP="002C5FB9">
      <w:pPr>
        <w:keepNext/>
      </w:pPr>
      <w:r>
        <w:rPr>
          <w:noProof/>
        </w:rPr>
        <w:drawing>
          <wp:inline distT="0" distB="0" distL="0" distR="0" wp14:anchorId="7BD775D6" wp14:editId="13D086A9">
            <wp:extent cx="4572000" cy="2289962"/>
            <wp:effectExtent l="0" t="0" r="0" b="0"/>
            <wp:docPr id="1081" name="Picture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4572000" cy="2289962"/>
                    </a:xfrm>
                    <a:prstGeom prst="rect">
                      <a:avLst/>
                    </a:prstGeom>
                    <a:noFill/>
                  </pic:spPr>
                </pic:pic>
              </a:graphicData>
            </a:graphic>
          </wp:inline>
        </w:drawing>
      </w:r>
    </w:p>
    <w:p w14:paraId="1568897B" w14:textId="2320F8C5" w:rsidR="002C5FB9" w:rsidRDefault="002C5FB9" w:rsidP="002C5FB9">
      <w:pPr>
        <w:pStyle w:val="Caption"/>
      </w:pPr>
      <w:bookmarkStart w:id="383" w:name="_Toc140403990"/>
      <w:r>
        <w:t xml:space="preserve">Figure </w:t>
      </w:r>
      <w:fldSimple w:instr=" SEQ Figure \* ARABIC ">
        <w:r w:rsidR="00A5526B">
          <w:rPr>
            <w:noProof/>
          </w:rPr>
          <w:t>124</w:t>
        </w:r>
      </w:fldSimple>
      <w:r>
        <w:t xml:space="preserve">: Grid Emissions </w:t>
      </w:r>
      <w:r w:rsidRPr="007163E0">
        <w:t>of Winter Extreme week in Golden, CO</w:t>
      </w:r>
      <w:bookmarkEnd w:id="383"/>
    </w:p>
    <w:p w14:paraId="666EF17F" w14:textId="77777777" w:rsidR="002C5FB9" w:rsidRDefault="002C5FB9" w:rsidP="002C5FB9"/>
    <w:p w14:paraId="49338FB8" w14:textId="77777777" w:rsidR="002C5FB9" w:rsidRDefault="002C5FB9" w:rsidP="002C5FB9">
      <w:pPr>
        <w:keepNext/>
      </w:pPr>
      <w:r>
        <w:rPr>
          <w:noProof/>
        </w:rPr>
        <w:drawing>
          <wp:inline distT="0" distB="0" distL="0" distR="0" wp14:anchorId="41CAB4DF" wp14:editId="1889A0B0">
            <wp:extent cx="4572000" cy="2289962"/>
            <wp:effectExtent l="0" t="0" r="0" b="0"/>
            <wp:docPr id="1085" name="Picture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4572000" cy="2289962"/>
                    </a:xfrm>
                    <a:prstGeom prst="rect">
                      <a:avLst/>
                    </a:prstGeom>
                    <a:noFill/>
                  </pic:spPr>
                </pic:pic>
              </a:graphicData>
            </a:graphic>
          </wp:inline>
        </w:drawing>
      </w:r>
    </w:p>
    <w:p w14:paraId="5A1D65FA" w14:textId="6ECDF38A" w:rsidR="002C5FB9" w:rsidRDefault="002C5FB9" w:rsidP="002C5FB9">
      <w:pPr>
        <w:pStyle w:val="Caption"/>
        <w:ind w:firstLine="0"/>
        <w:jc w:val="center"/>
      </w:pPr>
      <w:bookmarkStart w:id="384" w:name="_Toc140403991"/>
      <w:r>
        <w:t xml:space="preserve">Figure </w:t>
      </w:r>
      <w:fldSimple w:instr=" SEQ Figure \* ARABIC ">
        <w:r w:rsidR="00A5526B">
          <w:rPr>
            <w:noProof/>
          </w:rPr>
          <w:t>125</w:t>
        </w:r>
      </w:fldSimple>
      <w:r>
        <w:t xml:space="preserve">: </w:t>
      </w:r>
      <w:r w:rsidRPr="009B397C">
        <w:t>Electric Consumption of Summer</w:t>
      </w:r>
      <w:r>
        <w:t xml:space="preserve"> Extreme</w:t>
      </w:r>
      <w:r w:rsidRPr="009B397C">
        <w:t xml:space="preserve"> week in Sacramento, CA</w:t>
      </w:r>
      <w:bookmarkEnd w:id="384"/>
    </w:p>
    <w:p w14:paraId="34DE0362" w14:textId="77777777" w:rsidR="002C5FB9" w:rsidRDefault="002C5FB9" w:rsidP="002C5FB9"/>
    <w:p w14:paraId="44349F18" w14:textId="77777777" w:rsidR="002C5FB9" w:rsidRDefault="002C5FB9" w:rsidP="002C5FB9">
      <w:pPr>
        <w:keepNext/>
      </w:pPr>
      <w:r>
        <w:rPr>
          <w:noProof/>
        </w:rPr>
        <w:drawing>
          <wp:inline distT="0" distB="0" distL="0" distR="0" wp14:anchorId="72E632F6" wp14:editId="043DFBF6">
            <wp:extent cx="4572000" cy="2289962"/>
            <wp:effectExtent l="0" t="0" r="0" b="0"/>
            <wp:docPr id="1086" name="Picture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4572000" cy="2289962"/>
                    </a:xfrm>
                    <a:prstGeom prst="rect">
                      <a:avLst/>
                    </a:prstGeom>
                    <a:noFill/>
                  </pic:spPr>
                </pic:pic>
              </a:graphicData>
            </a:graphic>
          </wp:inline>
        </w:drawing>
      </w:r>
    </w:p>
    <w:p w14:paraId="31C8230D" w14:textId="1E6B97AF" w:rsidR="002C5FB9" w:rsidRDefault="002C5FB9" w:rsidP="002C5FB9">
      <w:pPr>
        <w:pStyle w:val="Caption"/>
      </w:pPr>
      <w:bookmarkStart w:id="385" w:name="_Toc140403992"/>
      <w:r>
        <w:t xml:space="preserve">Figure </w:t>
      </w:r>
      <w:fldSimple w:instr=" SEQ Figure \* ARABIC ">
        <w:r w:rsidR="00A5526B">
          <w:rPr>
            <w:noProof/>
          </w:rPr>
          <w:t>126</w:t>
        </w:r>
      </w:fldSimple>
      <w:r>
        <w:t xml:space="preserve">: Utility Cost </w:t>
      </w:r>
      <w:r w:rsidRPr="00030534">
        <w:t>of Summer Extreme week in Sacramento, CA</w:t>
      </w:r>
      <w:bookmarkEnd w:id="385"/>
    </w:p>
    <w:p w14:paraId="65F58090" w14:textId="77777777" w:rsidR="002C5FB9" w:rsidRDefault="002C5FB9" w:rsidP="002C5FB9"/>
    <w:p w14:paraId="16520229" w14:textId="77777777" w:rsidR="002C5FB9" w:rsidRDefault="002C5FB9" w:rsidP="002C5FB9">
      <w:pPr>
        <w:keepNext/>
      </w:pPr>
      <w:r>
        <w:rPr>
          <w:noProof/>
        </w:rPr>
        <w:drawing>
          <wp:inline distT="0" distB="0" distL="0" distR="0" wp14:anchorId="58F7B1C1" wp14:editId="316B2B74">
            <wp:extent cx="4572000" cy="2289962"/>
            <wp:effectExtent l="0" t="0" r="0" b="0"/>
            <wp:docPr id="1087" name="Picture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4572000" cy="2289962"/>
                    </a:xfrm>
                    <a:prstGeom prst="rect">
                      <a:avLst/>
                    </a:prstGeom>
                    <a:noFill/>
                  </pic:spPr>
                </pic:pic>
              </a:graphicData>
            </a:graphic>
          </wp:inline>
        </w:drawing>
      </w:r>
    </w:p>
    <w:p w14:paraId="63299D4F" w14:textId="2C1D3FE6" w:rsidR="002C5FB9" w:rsidRDefault="002C5FB9" w:rsidP="002C5FB9">
      <w:pPr>
        <w:pStyle w:val="Caption"/>
      </w:pPr>
      <w:bookmarkStart w:id="386" w:name="_Toc140403993"/>
      <w:r>
        <w:t xml:space="preserve">Figure </w:t>
      </w:r>
      <w:fldSimple w:instr=" SEQ Figure \* ARABIC ">
        <w:r w:rsidR="00A5526B">
          <w:rPr>
            <w:noProof/>
          </w:rPr>
          <w:t>127</w:t>
        </w:r>
      </w:fldSimple>
      <w:r>
        <w:t xml:space="preserve">: Grid Emissions </w:t>
      </w:r>
      <w:r w:rsidRPr="003E43DF">
        <w:t>of Summer Extreme week in Sacramento, CA</w:t>
      </w:r>
      <w:bookmarkEnd w:id="386"/>
    </w:p>
    <w:p w14:paraId="4E84C54D" w14:textId="77777777" w:rsidR="002C5FB9" w:rsidRDefault="002C5FB9" w:rsidP="002C5FB9">
      <w:pPr>
        <w:ind w:firstLine="0"/>
      </w:pPr>
    </w:p>
    <w:p w14:paraId="56920080" w14:textId="77777777" w:rsidR="002C5FB9" w:rsidRDefault="002C5FB9" w:rsidP="002C5FB9">
      <w:pPr>
        <w:keepNext/>
      </w:pPr>
      <w:r>
        <w:rPr>
          <w:noProof/>
        </w:rPr>
        <w:drawing>
          <wp:inline distT="0" distB="0" distL="0" distR="0" wp14:anchorId="776EE205" wp14:editId="73E1D4B2">
            <wp:extent cx="4572000" cy="2289962"/>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4572000" cy="2289962"/>
                    </a:xfrm>
                    <a:prstGeom prst="rect">
                      <a:avLst/>
                    </a:prstGeom>
                    <a:noFill/>
                  </pic:spPr>
                </pic:pic>
              </a:graphicData>
            </a:graphic>
          </wp:inline>
        </w:drawing>
      </w:r>
    </w:p>
    <w:p w14:paraId="3A2A0D0F" w14:textId="57689575" w:rsidR="002C5FB9" w:rsidRDefault="002C5FB9" w:rsidP="002C5FB9">
      <w:pPr>
        <w:pStyle w:val="Caption"/>
      </w:pPr>
      <w:bookmarkStart w:id="387" w:name="_Toc140403994"/>
      <w:r>
        <w:t xml:space="preserve">Figure </w:t>
      </w:r>
      <w:fldSimple w:instr=" SEQ Figure \* ARABIC ">
        <w:r w:rsidR="00A5526B">
          <w:rPr>
            <w:noProof/>
          </w:rPr>
          <w:t>128</w:t>
        </w:r>
      </w:fldSimple>
      <w:r>
        <w:t xml:space="preserve">: </w:t>
      </w:r>
      <w:r w:rsidRPr="0052355F">
        <w:t>Electric Consumption of Winter</w:t>
      </w:r>
      <w:r>
        <w:t xml:space="preserve"> Extreme</w:t>
      </w:r>
      <w:r w:rsidRPr="0052355F">
        <w:t xml:space="preserve"> week in Sacramento, CA</w:t>
      </w:r>
      <w:bookmarkEnd w:id="387"/>
    </w:p>
    <w:p w14:paraId="7A43DB20" w14:textId="77777777" w:rsidR="002C5FB9" w:rsidRDefault="002C5FB9" w:rsidP="002C5FB9"/>
    <w:p w14:paraId="183A634C" w14:textId="77777777" w:rsidR="002C5FB9" w:rsidRDefault="002C5FB9" w:rsidP="002C5FB9">
      <w:pPr>
        <w:keepNext/>
      </w:pPr>
      <w:r>
        <w:rPr>
          <w:noProof/>
        </w:rPr>
        <w:drawing>
          <wp:inline distT="0" distB="0" distL="0" distR="0" wp14:anchorId="39A9ACAC" wp14:editId="3D520DA3">
            <wp:extent cx="4572000" cy="2289962"/>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4572000" cy="2289962"/>
                    </a:xfrm>
                    <a:prstGeom prst="rect">
                      <a:avLst/>
                    </a:prstGeom>
                    <a:noFill/>
                  </pic:spPr>
                </pic:pic>
              </a:graphicData>
            </a:graphic>
          </wp:inline>
        </w:drawing>
      </w:r>
    </w:p>
    <w:p w14:paraId="13001A14" w14:textId="6F2C585D" w:rsidR="002C5FB9" w:rsidRDefault="002C5FB9" w:rsidP="002C5FB9">
      <w:pPr>
        <w:pStyle w:val="Caption"/>
      </w:pPr>
      <w:bookmarkStart w:id="388" w:name="_Toc140403995"/>
      <w:r>
        <w:t xml:space="preserve">Figure </w:t>
      </w:r>
      <w:fldSimple w:instr=" SEQ Figure \* ARABIC ">
        <w:r w:rsidR="00A5526B">
          <w:rPr>
            <w:noProof/>
          </w:rPr>
          <w:t>129</w:t>
        </w:r>
      </w:fldSimple>
      <w:r>
        <w:t xml:space="preserve">: Utility Cost </w:t>
      </w:r>
      <w:r w:rsidRPr="00E208EF">
        <w:t>of Winter Extreme week in Sacramento, CA</w:t>
      </w:r>
      <w:bookmarkEnd w:id="388"/>
    </w:p>
    <w:p w14:paraId="05F51EFA" w14:textId="77777777" w:rsidR="002C5FB9" w:rsidRDefault="002C5FB9" w:rsidP="002C5FB9"/>
    <w:p w14:paraId="27B208A8" w14:textId="77777777" w:rsidR="002C5FB9" w:rsidRDefault="002C5FB9" w:rsidP="002C5FB9">
      <w:pPr>
        <w:keepNext/>
      </w:pPr>
      <w:r>
        <w:rPr>
          <w:noProof/>
        </w:rPr>
        <w:drawing>
          <wp:inline distT="0" distB="0" distL="0" distR="0" wp14:anchorId="0FE2072D" wp14:editId="6D39FE78">
            <wp:extent cx="4572000" cy="2289962"/>
            <wp:effectExtent l="0" t="0" r="0" b="0"/>
            <wp:docPr id="197" name="Picture 19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Chart, line chart&#10;&#10;Description automatically generated"/>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4572000" cy="2289962"/>
                    </a:xfrm>
                    <a:prstGeom prst="rect">
                      <a:avLst/>
                    </a:prstGeom>
                    <a:noFill/>
                  </pic:spPr>
                </pic:pic>
              </a:graphicData>
            </a:graphic>
          </wp:inline>
        </w:drawing>
      </w:r>
    </w:p>
    <w:p w14:paraId="7402D278" w14:textId="18E1CD32" w:rsidR="002C5FB9" w:rsidRPr="007A2901" w:rsidRDefault="002C5FB9" w:rsidP="002C5FB9">
      <w:pPr>
        <w:pStyle w:val="Caption"/>
      </w:pPr>
      <w:bookmarkStart w:id="389" w:name="_Toc140403996"/>
      <w:r>
        <w:t xml:space="preserve">Figure </w:t>
      </w:r>
      <w:fldSimple w:instr=" SEQ Figure \* ARABIC ">
        <w:r w:rsidR="00A5526B">
          <w:rPr>
            <w:noProof/>
          </w:rPr>
          <w:t>130</w:t>
        </w:r>
      </w:fldSimple>
      <w:r>
        <w:t xml:space="preserve">: Grid Emissions </w:t>
      </w:r>
      <w:r w:rsidRPr="008211EF">
        <w:t>of Winter Extreme week in Sacramento, CA</w:t>
      </w:r>
      <w:bookmarkEnd w:id="389"/>
    </w:p>
    <w:p w14:paraId="6E411298" w14:textId="77777777" w:rsidR="002C5FB9" w:rsidRPr="002C5FB9" w:rsidRDefault="002C5FB9" w:rsidP="002C5FB9">
      <w:pPr>
        <w:rPr>
          <w:rFonts w:eastAsia="Calibri"/>
        </w:rPr>
      </w:pPr>
    </w:p>
    <w:p w14:paraId="02186AF5" w14:textId="77777777" w:rsidR="00B17E5F" w:rsidRPr="00322E56" w:rsidRDefault="00B17E5F">
      <w:pPr>
        <w:spacing w:line="240" w:lineRule="auto"/>
        <w:rPr>
          <w:rFonts w:cs="Times New Roman"/>
          <w:b/>
          <w:bCs/>
          <w:caps/>
          <w:sz w:val="28"/>
          <w:szCs w:val="28"/>
        </w:rPr>
      </w:pPr>
      <w:bookmarkStart w:id="390" w:name="_Toc289175845"/>
      <w:r w:rsidRPr="00322E56">
        <w:rPr>
          <w:rFonts w:cs="Times New Roman"/>
          <w:szCs w:val="28"/>
        </w:rPr>
        <w:br w:type="page"/>
      </w:r>
    </w:p>
    <w:p w14:paraId="7DCBE6C8" w14:textId="77777777" w:rsidR="00B17E5F" w:rsidRPr="00322E56" w:rsidRDefault="00B17E5F" w:rsidP="005E54E2">
      <w:pPr>
        <w:pStyle w:val="Heading1"/>
        <w:rPr>
          <w:rFonts w:cs="Times New Roman"/>
          <w:szCs w:val="28"/>
        </w:rPr>
      </w:pPr>
      <w:bookmarkStart w:id="391" w:name="_Toc140399940"/>
      <w:r w:rsidRPr="00322E56">
        <w:rPr>
          <w:rFonts w:cs="Times New Roman"/>
          <w:szCs w:val="28"/>
        </w:rPr>
        <w:t>VITA</w:t>
      </w:r>
      <w:bookmarkEnd w:id="390"/>
      <w:bookmarkEnd w:id="391"/>
    </w:p>
    <w:p w14:paraId="12618631" w14:textId="77777777" w:rsidR="00B17E5F" w:rsidRPr="00322E56" w:rsidRDefault="00B17E5F" w:rsidP="005E54E2">
      <w:pPr>
        <w:rPr>
          <w:rFonts w:cs="Times New Roman"/>
        </w:rPr>
      </w:pPr>
    </w:p>
    <w:p w14:paraId="386E8FB5" w14:textId="11599CDE" w:rsidR="00A658AC" w:rsidRPr="00A658AC" w:rsidRDefault="00A658AC" w:rsidP="00A658AC">
      <w:pPr>
        <w:rPr>
          <w:rFonts w:cs="Times New Roman"/>
        </w:rPr>
      </w:pPr>
      <w:r w:rsidRPr="00A658AC">
        <w:rPr>
          <w:rFonts w:cs="Times New Roman"/>
        </w:rPr>
        <w:t>Ph.D. has taught me patience, perseverance, and purposefulness</w:t>
      </w:r>
      <w:r>
        <w:rPr>
          <w:rFonts w:cs="Times New Roman"/>
        </w:rPr>
        <w:t>!!</w:t>
      </w:r>
    </w:p>
    <w:p w14:paraId="048BDF1C" w14:textId="77777777" w:rsidR="00A658AC" w:rsidRPr="00A658AC" w:rsidRDefault="00A658AC" w:rsidP="00A658AC">
      <w:pPr>
        <w:rPr>
          <w:rFonts w:cs="Times New Roman"/>
        </w:rPr>
      </w:pPr>
      <w:r w:rsidRPr="00A658AC">
        <w:rPr>
          <w:rFonts w:cs="Times New Roman"/>
        </w:rPr>
        <w:t xml:space="preserve">It led me to question myself, my existence, and my passions. I am so many things today that I wouldn’t be without my doctoral program. </w:t>
      </w:r>
    </w:p>
    <w:p w14:paraId="04FAEC2C" w14:textId="09787249" w:rsidR="00A658AC" w:rsidRPr="00A658AC" w:rsidRDefault="00A658AC" w:rsidP="00A658AC">
      <w:pPr>
        <w:rPr>
          <w:rFonts w:cs="Times New Roman"/>
        </w:rPr>
      </w:pPr>
      <w:r w:rsidRPr="00A658AC">
        <w:rPr>
          <w:rFonts w:cs="Times New Roman"/>
        </w:rPr>
        <w:t>I didn’t know this when I took a flight from Islamabad, Pakistan to join Bredesen Center (7430 miles to be exact) on July 26th, 2018</w:t>
      </w:r>
      <w:r>
        <w:rPr>
          <w:rFonts w:cs="Times New Roman"/>
        </w:rPr>
        <w:t>.</w:t>
      </w:r>
      <w:r w:rsidRPr="00A658AC">
        <w:rPr>
          <w:rFonts w:cs="Times New Roman"/>
        </w:rPr>
        <w:t xml:space="preserve"> “Brutal yet beautiful” sums up my journey. I still remember the despair because of loneliness, the anxiety because of imposter syndrome, and the numbness from often burning myself out. But I also remember the excitement and enthusiasm of new experiences and achievements. </w:t>
      </w:r>
    </w:p>
    <w:p w14:paraId="294313E6" w14:textId="77777777" w:rsidR="00A658AC" w:rsidRPr="00A658AC" w:rsidRDefault="00A658AC" w:rsidP="00A658AC">
      <w:pPr>
        <w:rPr>
          <w:rFonts w:cs="Times New Roman"/>
        </w:rPr>
      </w:pPr>
      <w:r w:rsidRPr="00A658AC">
        <w:rPr>
          <w:rFonts w:cs="Times New Roman"/>
        </w:rPr>
        <w:t xml:space="preserve">While adjusting to a new life, I found many amazing learning opportunities. </w:t>
      </w:r>
    </w:p>
    <w:p w14:paraId="0D5F3613" w14:textId="77777777" w:rsidR="00A658AC" w:rsidRPr="00A658AC" w:rsidRDefault="00A658AC" w:rsidP="00A658AC">
      <w:pPr>
        <w:rPr>
          <w:rFonts w:cs="Times New Roman"/>
        </w:rPr>
      </w:pPr>
      <w:r w:rsidRPr="00A658AC">
        <w:rPr>
          <w:rFonts w:cs="Times New Roman"/>
        </w:rPr>
        <w:t xml:space="preserve">From the very first day, I was interested in exploring practical solutions to use my work beyond the scientific world. I took many courses to increase my knowledge about policy, science outreach, and entrepreneurship. Participated in programs and even won awards. From getting best student paper nominations to being awarded a 2023 UTK volunteer of distinction, I want to credit all of my achievements to my most amazing advisor for his guidance, and kindness. </w:t>
      </w:r>
    </w:p>
    <w:p w14:paraId="5FFE7290" w14:textId="77777777" w:rsidR="00A658AC" w:rsidRDefault="00A658AC" w:rsidP="00A658AC">
      <w:pPr>
        <w:rPr>
          <w:rFonts w:cs="Times New Roman"/>
        </w:rPr>
      </w:pPr>
      <w:r w:rsidRPr="00A658AC">
        <w:rPr>
          <w:rFonts w:cs="Times New Roman"/>
        </w:rPr>
        <w:t xml:space="preserve">As of May 2023, I am interviewing a clean energy consultancy company as an Energy Analyst. I hope to continue creating a broader impact through my work, as a researcher, as a writer, and as a future mentor. </w:t>
      </w:r>
    </w:p>
    <w:p w14:paraId="2F1BB755" w14:textId="1913FF47" w:rsidR="00A658AC" w:rsidRPr="00322E56" w:rsidRDefault="00A658AC" w:rsidP="00A658AC">
      <w:pPr>
        <w:rPr>
          <w:rFonts w:cs="Times New Roman"/>
        </w:rPr>
      </w:pPr>
      <w:r w:rsidRPr="00A658AC">
        <w:rPr>
          <w:rFonts w:cs="Times New Roman"/>
        </w:rPr>
        <w:t>Th</w:t>
      </w:r>
      <w:r>
        <w:rPr>
          <w:rFonts w:cs="Times New Roman"/>
        </w:rPr>
        <w:t>e th</w:t>
      </w:r>
      <w:r w:rsidRPr="00A658AC">
        <w:rPr>
          <w:rFonts w:cs="Times New Roman"/>
        </w:rPr>
        <w:t>ings I am truly passionate about, Ph.D. has taught me this too</w:t>
      </w:r>
      <w:r>
        <w:rPr>
          <w:rFonts w:cs="Times New Roman"/>
        </w:rPr>
        <w:t>!!</w:t>
      </w:r>
    </w:p>
    <w:sectPr w:rsidR="00A658AC" w:rsidRPr="00322E56" w:rsidSect="001D4908">
      <w:footerReference w:type="default" r:id="rId162"/>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0CE21" w14:textId="77777777" w:rsidR="00E40D0D" w:rsidRDefault="00E40D0D" w:rsidP="005E54E2">
      <w:r>
        <w:separator/>
      </w:r>
    </w:p>
    <w:p w14:paraId="2F607BFD" w14:textId="77777777" w:rsidR="00E40D0D" w:rsidRDefault="00E40D0D" w:rsidP="005E54E2"/>
    <w:p w14:paraId="23817500" w14:textId="77777777" w:rsidR="00E40D0D" w:rsidRDefault="00E40D0D" w:rsidP="005E54E2"/>
    <w:p w14:paraId="38723D8B" w14:textId="77777777" w:rsidR="00E40D0D" w:rsidRDefault="00E40D0D" w:rsidP="005E54E2"/>
  </w:endnote>
  <w:endnote w:type="continuationSeparator" w:id="0">
    <w:p w14:paraId="208BDF6F" w14:textId="77777777" w:rsidR="00E40D0D" w:rsidRDefault="00E40D0D" w:rsidP="005E54E2">
      <w:r>
        <w:continuationSeparator/>
      </w:r>
    </w:p>
    <w:p w14:paraId="31077A85" w14:textId="77777777" w:rsidR="00E40D0D" w:rsidRDefault="00E40D0D" w:rsidP="005E54E2"/>
    <w:p w14:paraId="06F407F4" w14:textId="77777777" w:rsidR="00E40D0D" w:rsidRDefault="00E40D0D" w:rsidP="005E54E2"/>
    <w:p w14:paraId="5AE1C1A1" w14:textId="77777777" w:rsidR="00E40D0D" w:rsidRDefault="00E40D0D"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93CEC" w14:textId="77777777" w:rsidR="00B17E5F" w:rsidRDefault="00B17E5F">
    <w:pPr>
      <w:pStyle w:val="Footer"/>
      <w:jc w:val="right"/>
    </w:pPr>
    <w:r>
      <w:fldChar w:fldCharType="begin"/>
    </w:r>
    <w:r>
      <w:instrText xml:space="preserve"> PAGE   \* MERGEFORMAT </w:instrText>
    </w:r>
    <w:r>
      <w:fldChar w:fldCharType="separate"/>
    </w:r>
    <w:r>
      <w:rPr>
        <w:noProof/>
      </w:rPr>
      <w:t>13</w:t>
    </w:r>
    <w:r>
      <w:rPr>
        <w:noProof/>
      </w:rPr>
      <w:fldChar w:fldCharType="end"/>
    </w:r>
  </w:p>
  <w:p w14:paraId="01B31303" w14:textId="77777777" w:rsidR="00B17E5F" w:rsidRDefault="00B17E5F" w:rsidP="005E54E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6285C" w14:textId="77777777" w:rsidR="00387656" w:rsidRDefault="00387656">
    <w:pPr>
      <w:pStyle w:val="Footer"/>
      <w:jc w:val="right"/>
    </w:pPr>
    <w:r>
      <w:fldChar w:fldCharType="begin"/>
    </w:r>
    <w:r>
      <w:instrText xml:space="preserve"> PAGE   \* MERGEFORMAT </w:instrText>
    </w:r>
    <w:r>
      <w:fldChar w:fldCharType="separate"/>
    </w:r>
    <w:r w:rsidR="00394464">
      <w:rPr>
        <w:noProof/>
      </w:rPr>
      <w:t>13</w:t>
    </w:r>
    <w:r>
      <w:rPr>
        <w:noProof/>
      </w:rPr>
      <w:fldChar w:fldCharType="end"/>
    </w:r>
  </w:p>
  <w:p w14:paraId="43972006" w14:textId="77777777" w:rsidR="008F60C3" w:rsidRDefault="008F60C3"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B68ED5" w14:textId="77777777" w:rsidR="00E40D0D" w:rsidRDefault="00E40D0D" w:rsidP="005E54E2">
      <w:r>
        <w:separator/>
      </w:r>
    </w:p>
    <w:p w14:paraId="349276CB" w14:textId="77777777" w:rsidR="00E40D0D" w:rsidRDefault="00E40D0D" w:rsidP="005E54E2"/>
    <w:p w14:paraId="71E4156C" w14:textId="77777777" w:rsidR="00E40D0D" w:rsidRDefault="00E40D0D" w:rsidP="005E54E2"/>
    <w:p w14:paraId="5616BB9B" w14:textId="77777777" w:rsidR="00E40D0D" w:rsidRDefault="00E40D0D" w:rsidP="005E54E2"/>
  </w:footnote>
  <w:footnote w:type="continuationSeparator" w:id="0">
    <w:p w14:paraId="38BCC714" w14:textId="77777777" w:rsidR="00E40D0D" w:rsidRDefault="00E40D0D" w:rsidP="005E54E2">
      <w:r>
        <w:continuationSeparator/>
      </w:r>
    </w:p>
    <w:p w14:paraId="3D2E1F4F" w14:textId="77777777" w:rsidR="00E40D0D" w:rsidRDefault="00E40D0D" w:rsidP="005E54E2"/>
    <w:p w14:paraId="2D73F9C2" w14:textId="77777777" w:rsidR="00E40D0D" w:rsidRDefault="00E40D0D" w:rsidP="005E54E2"/>
    <w:p w14:paraId="55415C12" w14:textId="77777777" w:rsidR="00E40D0D" w:rsidRDefault="00E40D0D"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0189"/>
    <w:multiLevelType w:val="hybridMultilevel"/>
    <w:tmpl w:val="2E76AA6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A274A"/>
    <w:multiLevelType w:val="hybridMultilevel"/>
    <w:tmpl w:val="D256C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8B51C1"/>
    <w:multiLevelType w:val="hybridMultilevel"/>
    <w:tmpl w:val="4F4C8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0A76E0"/>
    <w:multiLevelType w:val="hybridMultilevel"/>
    <w:tmpl w:val="7EE0D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A916BA"/>
    <w:multiLevelType w:val="hybridMultilevel"/>
    <w:tmpl w:val="69B82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6A259F"/>
    <w:multiLevelType w:val="hybridMultilevel"/>
    <w:tmpl w:val="FF5E5CC2"/>
    <w:lvl w:ilvl="0" w:tplc="FB929210">
      <w:start w:val="1"/>
      <w:numFmt w:val="decimal"/>
      <w:pStyle w:val="Smallhead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D817FE"/>
    <w:multiLevelType w:val="hybridMultilevel"/>
    <w:tmpl w:val="A77EFC0C"/>
    <w:lvl w:ilvl="0" w:tplc="FFFFFFF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DEC60E6"/>
    <w:multiLevelType w:val="hybridMultilevel"/>
    <w:tmpl w:val="6038D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AE5E9E"/>
    <w:multiLevelType w:val="hybridMultilevel"/>
    <w:tmpl w:val="548CD6D2"/>
    <w:lvl w:ilvl="0" w:tplc="04090001">
      <w:start w:val="1"/>
      <w:numFmt w:val="bullet"/>
      <w:lvlText w:val=""/>
      <w:lvlJc w:val="left"/>
      <w:pPr>
        <w:ind w:left="3753" w:hanging="360"/>
      </w:pPr>
      <w:rPr>
        <w:rFonts w:ascii="Symbol" w:hAnsi="Symbol" w:hint="default"/>
      </w:rPr>
    </w:lvl>
    <w:lvl w:ilvl="1" w:tplc="04090003" w:tentative="1">
      <w:start w:val="1"/>
      <w:numFmt w:val="bullet"/>
      <w:lvlText w:val="o"/>
      <w:lvlJc w:val="left"/>
      <w:pPr>
        <w:ind w:left="4473" w:hanging="360"/>
      </w:pPr>
      <w:rPr>
        <w:rFonts w:ascii="Courier New" w:hAnsi="Courier New" w:cs="Courier New" w:hint="default"/>
      </w:rPr>
    </w:lvl>
    <w:lvl w:ilvl="2" w:tplc="04090005" w:tentative="1">
      <w:start w:val="1"/>
      <w:numFmt w:val="bullet"/>
      <w:lvlText w:val=""/>
      <w:lvlJc w:val="left"/>
      <w:pPr>
        <w:ind w:left="5193" w:hanging="360"/>
      </w:pPr>
      <w:rPr>
        <w:rFonts w:ascii="Wingdings" w:hAnsi="Wingdings" w:hint="default"/>
      </w:rPr>
    </w:lvl>
    <w:lvl w:ilvl="3" w:tplc="04090001" w:tentative="1">
      <w:start w:val="1"/>
      <w:numFmt w:val="bullet"/>
      <w:lvlText w:val=""/>
      <w:lvlJc w:val="left"/>
      <w:pPr>
        <w:ind w:left="5913" w:hanging="360"/>
      </w:pPr>
      <w:rPr>
        <w:rFonts w:ascii="Symbol" w:hAnsi="Symbol" w:hint="default"/>
      </w:rPr>
    </w:lvl>
    <w:lvl w:ilvl="4" w:tplc="04090003" w:tentative="1">
      <w:start w:val="1"/>
      <w:numFmt w:val="bullet"/>
      <w:lvlText w:val="o"/>
      <w:lvlJc w:val="left"/>
      <w:pPr>
        <w:ind w:left="6633" w:hanging="360"/>
      </w:pPr>
      <w:rPr>
        <w:rFonts w:ascii="Courier New" w:hAnsi="Courier New" w:cs="Courier New" w:hint="default"/>
      </w:rPr>
    </w:lvl>
    <w:lvl w:ilvl="5" w:tplc="04090005" w:tentative="1">
      <w:start w:val="1"/>
      <w:numFmt w:val="bullet"/>
      <w:lvlText w:val=""/>
      <w:lvlJc w:val="left"/>
      <w:pPr>
        <w:ind w:left="7353" w:hanging="360"/>
      </w:pPr>
      <w:rPr>
        <w:rFonts w:ascii="Wingdings" w:hAnsi="Wingdings" w:hint="default"/>
      </w:rPr>
    </w:lvl>
    <w:lvl w:ilvl="6" w:tplc="04090001" w:tentative="1">
      <w:start w:val="1"/>
      <w:numFmt w:val="bullet"/>
      <w:lvlText w:val=""/>
      <w:lvlJc w:val="left"/>
      <w:pPr>
        <w:ind w:left="8073" w:hanging="360"/>
      </w:pPr>
      <w:rPr>
        <w:rFonts w:ascii="Symbol" w:hAnsi="Symbol" w:hint="default"/>
      </w:rPr>
    </w:lvl>
    <w:lvl w:ilvl="7" w:tplc="04090003" w:tentative="1">
      <w:start w:val="1"/>
      <w:numFmt w:val="bullet"/>
      <w:lvlText w:val="o"/>
      <w:lvlJc w:val="left"/>
      <w:pPr>
        <w:ind w:left="8793" w:hanging="360"/>
      </w:pPr>
      <w:rPr>
        <w:rFonts w:ascii="Courier New" w:hAnsi="Courier New" w:cs="Courier New" w:hint="default"/>
      </w:rPr>
    </w:lvl>
    <w:lvl w:ilvl="8" w:tplc="04090005" w:tentative="1">
      <w:start w:val="1"/>
      <w:numFmt w:val="bullet"/>
      <w:lvlText w:val=""/>
      <w:lvlJc w:val="left"/>
      <w:pPr>
        <w:ind w:left="9513" w:hanging="360"/>
      </w:pPr>
      <w:rPr>
        <w:rFonts w:ascii="Wingdings" w:hAnsi="Wingdings" w:hint="default"/>
      </w:rPr>
    </w:lvl>
  </w:abstractNum>
  <w:abstractNum w:abstractNumId="9" w15:restartNumberingAfterBreak="0">
    <w:nsid w:val="2FFF1674"/>
    <w:multiLevelType w:val="hybridMultilevel"/>
    <w:tmpl w:val="46883F64"/>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0" w15:restartNumberingAfterBreak="0">
    <w:nsid w:val="30FC767C"/>
    <w:multiLevelType w:val="hybridMultilevel"/>
    <w:tmpl w:val="87868A58"/>
    <w:lvl w:ilvl="0" w:tplc="F7D690EC">
      <w:start w:val="1"/>
      <w:numFmt w:val="bullet"/>
      <w:lvlText w:val="•"/>
      <w:lvlJc w:val="left"/>
      <w:pPr>
        <w:tabs>
          <w:tab w:val="num" w:pos="720"/>
        </w:tabs>
        <w:ind w:left="720" w:hanging="360"/>
      </w:pPr>
      <w:rPr>
        <w:rFonts w:ascii="Arial" w:hAnsi="Arial" w:hint="default"/>
      </w:rPr>
    </w:lvl>
    <w:lvl w:ilvl="1" w:tplc="401A888E" w:tentative="1">
      <w:start w:val="1"/>
      <w:numFmt w:val="bullet"/>
      <w:lvlText w:val="•"/>
      <w:lvlJc w:val="left"/>
      <w:pPr>
        <w:tabs>
          <w:tab w:val="num" w:pos="1440"/>
        </w:tabs>
        <w:ind w:left="1440" w:hanging="360"/>
      </w:pPr>
      <w:rPr>
        <w:rFonts w:ascii="Arial" w:hAnsi="Arial" w:hint="default"/>
      </w:rPr>
    </w:lvl>
    <w:lvl w:ilvl="2" w:tplc="39BE81E2" w:tentative="1">
      <w:start w:val="1"/>
      <w:numFmt w:val="bullet"/>
      <w:lvlText w:val="•"/>
      <w:lvlJc w:val="left"/>
      <w:pPr>
        <w:tabs>
          <w:tab w:val="num" w:pos="2160"/>
        </w:tabs>
        <w:ind w:left="2160" w:hanging="360"/>
      </w:pPr>
      <w:rPr>
        <w:rFonts w:ascii="Arial" w:hAnsi="Arial" w:hint="default"/>
      </w:rPr>
    </w:lvl>
    <w:lvl w:ilvl="3" w:tplc="4E022BFC" w:tentative="1">
      <w:start w:val="1"/>
      <w:numFmt w:val="bullet"/>
      <w:lvlText w:val="•"/>
      <w:lvlJc w:val="left"/>
      <w:pPr>
        <w:tabs>
          <w:tab w:val="num" w:pos="2880"/>
        </w:tabs>
        <w:ind w:left="2880" w:hanging="360"/>
      </w:pPr>
      <w:rPr>
        <w:rFonts w:ascii="Arial" w:hAnsi="Arial" w:hint="default"/>
      </w:rPr>
    </w:lvl>
    <w:lvl w:ilvl="4" w:tplc="CA084844" w:tentative="1">
      <w:start w:val="1"/>
      <w:numFmt w:val="bullet"/>
      <w:lvlText w:val="•"/>
      <w:lvlJc w:val="left"/>
      <w:pPr>
        <w:tabs>
          <w:tab w:val="num" w:pos="3600"/>
        </w:tabs>
        <w:ind w:left="3600" w:hanging="360"/>
      </w:pPr>
      <w:rPr>
        <w:rFonts w:ascii="Arial" w:hAnsi="Arial" w:hint="default"/>
      </w:rPr>
    </w:lvl>
    <w:lvl w:ilvl="5" w:tplc="B75CD602" w:tentative="1">
      <w:start w:val="1"/>
      <w:numFmt w:val="bullet"/>
      <w:lvlText w:val="•"/>
      <w:lvlJc w:val="left"/>
      <w:pPr>
        <w:tabs>
          <w:tab w:val="num" w:pos="4320"/>
        </w:tabs>
        <w:ind w:left="4320" w:hanging="360"/>
      </w:pPr>
      <w:rPr>
        <w:rFonts w:ascii="Arial" w:hAnsi="Arial" w:hint="default"/>
      </w:rPr>
    </w:lvl>
    <w:lvl w:ilvl="6" w:tplc="AD3C517C" w:tentative="1">
      <w:start w:val="1"/>
      <w:numFmt w:val="bullet"/>
      <w:lvlText w:val="•"/>
      <w:lvlJc w:val="left"/>
      <w:pPr>
        <w:tabs>
          <w:tab w:val="num" w:pos="5040"/>
        </w:tabs>
        <w:ind w:left="5040" w:hanging="360"/>
      </w:pPr>
      <w:rPr>
        <w:rFonts w:ascii="Arial" w:hAnsi="Arial" w:hint="default"/>
      </w:rPr>
    </w:lvl>
    <w:lvl w:ilvl="7" w:tplc="578AD6FA" w:tentative="1">
      <w:start w:val="1"/>
      <w:numFmt w:val="bullet"/>
      <w:lvlText w:val="•"/>
      <w:lvlJc w:val="left"/>
      <w:pPr>
        <w:tabs>
          <w:tab w:val="num" w:pos="5760"/>
        </w:tabs>
        <w:ind w:left="5760" w:hanging="360"/>
      </w:pPr>
      <w:rPr>
        <w:rFonts w:ascii="Arial" w:hAnsi="Arial" w:hint="default"/>
      </w:rPr>
    </w:lvl>
    <w:lvl w:ilvl="8" w:tplc="B4F0CE3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B404A5B"/>
    <w:multiLevelType w:val="hybridMultilevel"/>
    <w:tmpl w:val="FB8E0C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C92C5C"/>
    <w:multiLevelType w:val="hybridMultilevel"/>
    <w:tmpl w:val="BAA25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9A32EC"/>
    <w:multiLevelType w:val="hybridMultilevel"/>
    <w:tmpl w:val="820C8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C22ACC"/>
    <w:multiLevelType w:val="hybridMultilevel"/>
    <w:tmpl w:val="02CC89C8"/>
    <w:lvl w:ilvl="0" w:tplc="68643D88">
      <w:start w:val="1"/>
      <w:numFmt w:val="bullet"/>
      <w:lvlText w:val="•"/>
      <w:lvlJc w:val="left"/>
      <w:pPr>
        <w:tabs>
          <w:tab w:val="num" w:pos="720"/>
        </w:tabs>
        <w:ind w:left="720" w:hanging="360"/>
      </w:pPr>
      <w:rPr>
        <w:rFonts w:ascii="Arial" w:hAnsi="Arial" w:hint="default"/>
      </w:rPr>
    </w:lvl>
    <w:lvl w:ilvl="1" w:tplc="D4C2C60C" w:tentative="1">
      <w:start w:val="1"/>
      <w:numFmt w:val="bullet"/>
      <w:lvlText w:val="•"/>
      <w:lvlJc w:val="left"/>
      <w:pPr>
        <w:tabs>
          <w:tab w:val="num" w:pos="1440"/>
        </w:tabs>
        <w:ind w:left="1440" w:hanging="360"/>
      </w:pPr>
      <w:rPr>
        <w:rFonts w:ascii="Arial" w:hAnsi="Arial" w:hint="default"/>
      </w:rPr>
    </w:lvl>
    <w:lvl w:ilvl="2" w:tplc="74D44DEA" w:tentative="1">
      <w:start w:val="1"/>
      <w:numFmt w:val="bullet"/>
      <w:lvlText w:val="•"/>
      <w:lvlJc w:val="left"/>
      <w:pPr>
        <w:tabs>
          <w:tab w:val="num" w:pos="2160"/>
        </w:tabs>
        <w:ind w:left="2160" w:hanging="360"/>
      </w:pPr>
      <w:rPr>
        <w:rFonts w:ascii="Arial" w:hAnsi="Arial" w:hint="default"/>
      </w:rPr>
    </w:lvl>
    <w:lvl w:ilvl="3" w:tplc="5E86A7C2" w:tentative="1">
      <w:start w:val="1"/>
      <w:numFmt w:val="bullet"/>
      <w:lvlText w:val="•"/>
      <w:lvlJc w:val="left"/>
      <w:pPr>
        <w:tabs>
          <w:tab w:val="num" w:pos="2880"/>
        </w:tabs>
        <w:ind w:left="2880" w:hanging="360"/>
      </w:pPr>
      <w:rPr>
        <w:rFonts w:ascii="Arial" w:hAnsi="Arial" w:hint="default"/>
      </w:rPr>
    </w:lvl>
    <w:lvl w:ilvl="4" w:tplc="4FBC5F18" w:tentative="1">
      <w:start w:val="1"/>
      <w:numFmt w:val="bullet"/>
      <w:lvlText w:val="•"/>
      <w:lvlJc w:val="left"/>
      <w:pPr>
        <w:tabs>
          <w:tab w:val="num" w:pos="3600"/>
        </w:tabs>
        <w:ind w:left="3600" w:hanging="360"/>
      </w:pPr>
      <w:rPr>
        <w:rFonts w:ascii="Arial" w:hAnsi="Arial" w:hint="default"/>
      </w:rPr>
    </w:lvl>
    <w:lvl w:ilvl="5" w:tplc="9DB4B29E" w:tentative="1">
      <w:start w:val="1"/>
      <w:numFmt w:val="bullet"/>
      <w:lvlText w:val="•"/>
      <w:lvlJc w:val="left"/>
      <w:pPr>
        <w:tabs>
          <w:tab w:val="num" w:pos="4320"/>
        </w:tabs>
        <w:ind w:left="4320" w:hanging="360"/>
      </w:pPr>
      <w:rPr>
        <w:rFonts w:ascii="Arial" w:hAnsi="Arial" w:hint="default"/>
      </w:rPr>
    </w:lvl>
    <w:lvl w:ilvl="6" w:tplc="D264CD4E" w:tentative="1">
      <w:start w:val="1"/>
      <w:numFmt w:val="bullet"/>
      <w:lvlText w:val="•"/>
      <w:lvlJc w:val="left"/>
      <w:pPr>
        <w:tabs>
          <w:tab w:val="num" w:pos="5040"/>
        </w:tabs>
        <w:ind w:left="5040" w:hanging="360"/>
      </w:pPr>
      <w:rPr>
        <w:rFonts w:ascii="Arial" w:hAnsi="Arial" w:hint="default"/>
      </w:rPr>
    </w:lvl>
    <w:lvl w:ilvl="7" w:tplc="C65E9D80" w:tentative="1">
      <w:start w:val="1"/>
      <w:numFmt w:val="bullet"/>
      <w:lvlText w:val="•"/>
      <w:lvlJc w:val="left"/>
      <w:pPr>
        <w:tabs>
          <w:tab w:val="num" w:pos="5760"/>
        </w:tabs>
        <w:ind w:left="5760" w:hanging="360"/>
      </w:pPr>
      <w:rPr>
        <w:rFonts w:ascii="Arial" w:hAnsi="Arial" w:hint="default"/>
      </w:rPr>
    </w:lvl>
    <w:lvl w:ilvl="8" w:tplc="E1F62C9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2016D5C"/>
    <w:multiLevelType w:val="hybridMultilevel"/>
    <w:tmpl w:val="F00C7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3D6016"/>
    <w:multiLevelType w:val="hybridMultilevel"/>
    <w:tmpl w:val="562A1B02"/>
    <w:lvl w:ilvl="0" w:tplc="FFFFFFFF">
      <w:start w:val="1"/>
      <w:numFmt w:val="decimal"/>
      <w:lvlText w:val="%1."/>
      <w:lvlJc w:val="left"/>
      <w:pPr>
        <w:ind w:left="360" w:hanging="360"/>
      </w:pPr>
      <w:rPr>
        <w:rFonts w:hint="default"/>
      </w:rPr>
    </w:lvl>
    <w:lvl w:ilvl="1" w:tplc="0409000F">
      <w:start w:val="1"/>
      <w:numFmt w:val="decimal"/>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50A105B8"/>
    <w:multiLevelType w:val="hybridMultilevel"/>
    <w:tmpl w:val="3CEA370E"/>
    <w:lvl w:ilvl="0" w:tplc="FFFFFFF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5A7F7E21"/>
    <w:multiLevelType w:val="multilevel"/>
    <w:tmpl w:val="086C7C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02E0B13"/>
    <w:multiLevelType w:val="hybridMultilevel"/>
    <w:tmpl w:val="250CC8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B63A37"/>
    <w:multiLevelType w:val="hybridMultilevel"/>
    <w:tmpl w:val="C19891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621BA7"/>
    <w:multiLevelType w:val="hybridMultilevel"/>
    <w:tmpl w:val="317E0F74"/>
    <w:lvl w:ilvl="0" w:tplc="04090001">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66A93605"/>
    <w:multiLevelType w:val="hybridMultilevel"/>
    <w:tmpl w:val="465A4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437BDE"/>
    <w:multiLevelType w:val="hybridMultilevel"/>
    <w:tmpl w:val="1AFED5E4"/>
    <w:lvl w:ilvl="0" w:tplc="477CC22E">
      <w:start w:val="194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797447"/>
    <w:multiLevelType w:val="hybridMultilevel"/>
    <w:tmpl w:val="3362B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EB4D9D"/>
    <w:multiLevelType w:val="hybridMultilevel"/>
    <w:tmpl w:val="9B50B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7595060">
    <w:abstractNumId w:val="25"/>
  </w:num>
  <w:num w:numId="2" w16cid:durableId="351228916">
    <w:abstractNumId w:val="3"/>
  </w:num>
  <w:num w:numId="3" w16cid:durableId="287663196">
    <w:abstractNumId w:val="1"/>
  </w:num>
  <w:num w:numId="4" w16cid:durableId="924261908">
    <w:abstractNumId w:val="19"/>
  </w:num>
  <w:num w:numId="5" w16cid:durableId="1277105530">
    <w:abstractNumId w:val="2"/>
  </w:num>
  <w:num w:numId="6" w16cid:durableId="1897158659">
    <w:abstractNumId w:val="0"/>
  </w:num>
  <w:num w:numId="7" w16cid:durableId="610212213">
    <w:abstractNumId w:val="8"/>
  </w:num>
  <w:num w:numId="8" w16cid:durableId="344328987">
    <w:abstractNumId w:val="7"/>
  </w:num>
  <w:num w:numId="9" w16cid:durableId="1277441241">
    <w:abstractNumId w:val="17"/>
  </w:num>
  <w:num w:numId="10" w16cid:durableId="720594058">
    <w:abstractNumId w:val="24"/>
  </w:num>
  <w:num w:numId="11" w16cid:durableId="1059017209">
    <w:abstractNumId w:val="16"/>
  </w:num>
  <w:num w:numId="12" w16cid:durableId="742336891">
    <w:abstractNumId w:val="6"/>
  </w:num>
  <w:num w:numId="13" w16cid:durableId="450169825">
    <w:abstractNumId w:val="21"/>
  </w:num>
  <w:num w:numId="14" w16cid:durableId="80296344">
    <w:abstractNumId w:val="5"/>
  </w:num>
  <w:num w:numId="15" w16cid:durableId="1622297605">
    <w:abstractNumId w:val="5"/>
    <w:lvlOverride w:ilvl="0">
      <w:startOverride w:val="1"/>
    </w:lvlOverride>
  </w:num>
  <w:num w:numId="16" w16cid:durableId="670914633">
    <w:abstractNumId w:val="5"/>
    <w:lvlOverride w:ilvl="0">
      <w:startOverride w:val="1"/>
    </w:lvlOverride>
  </w:num>
  <w:num w:numId="17" w16cid:durableId="1925069260">
    <w:abstractNumId w:val="10"/>
  </w:num>
  <w:num w:numId="18" w16cid:durableId="252445863">
    <w:abstractNumId w:val="14"/>
  </w:num>
  <w:num w:numId="19" w16cid:durableId="249629573">
    <w:abstractNumId w:val="4"/>
  </w:num>
  <w:num w:numId="20" w16cid:durableId="1501387250">
    <w:abstractNumId w:val="22"/>
  </w:num>
  <w:num w:numId="21" w16cid:durableId="1455296439">
    <w:abstractNumId w:val="18"/>
  </w:num>
  <w:num w:numId="22" w16cid:durableId="350956858">
    <w:abstractNumId w:val="13"/>
  </w:num>
  <w:num w:numId="23" w16cid:durableId="1258900754">
    <w:abstractNumId w:val="11"/>
  </w:num>
  <w:num w:numId="24" w16cid:durableId="1952473563">
    <w:abstractNumId w:val="12"/>
  </w:num>
  <w:num w:numId="25" w16cid:durableId="1940792381">
    <w:abstractNumId w:val="5"/>
    <w:lvlOverride w:ilvl="0">
      <w:startOverride w:val="1"/>
    </w:lvlOverride>
  </w:num>
  <w:num w:numId="26" w16cid:durableId="945578613">
    <w:abstractNumId w:val="5"/>
    <w:lvlOverride w:ilvl="0">
      <w:startOverride w:val="1"/>
    </w:lvlOverride>
  </w:num>
  <w:num w:numId="27" w16cid:durableId="1886942123">
    <w:abstractNumId w:val="5"/>
    <w:lvlOverride w:ilvl="0">
      <w:startOverride w:val="1"/>
    </w:lvlOverride>
  </w:num>
  <w:num w:numId="28" w16cid:durableId="679165855">
    <w:abstractNumId w:val="5"/>
    <w:lvlOverride w:ilvl="0">
      <w:startOverride w:val="1"/>
    </w:lvlOverride>
  </w:num>
  <w:num w:numId="29" w16cid:durableId="1994291680">
    <w:abstractNumId w:val="20"/>
  </w:num>
  <w:num w:numId="30" w16cid:durableId="862012297">
    <w:abstractNumId w:val="9"/>
  </w:num>
  <w:num w:numId="31" w16cid:durableId="1615594582">
    <w:abstractNumId w:val="15"/>
  </w:num>
  <w:num w:numId="32" w16cid:durableId="636762553">
    <w:abstractNumId w:val="23"/>
  </w:num>
  <w:num w:numId="33" w16cid:durableId="20147983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C87"/>
    <w:rsid w:val="000033A9"/>
    <w:rsid w:val="00003F6A"/>
    <w:rsid w:val="000057BB"/>
    <w:rsid w:val="000057FC"/>
    <w:rsid w:val="00010758"/>
    <w:rsid w:val="00011F6D"/>
    <w:rsid w:val="00014A3E"/>
    <w:rsid w:val="00014F04"/>
    <w:rsid w:val="000156E9"/>
    <w:rsid w:val="00015C83"/>
    <w:rsid w:val="000166A9"/>
    <w:rsid w:val="00020A88"/>
    <w:rsid w:val="0002546A"/>
    <w:rsid w:val="00031B0B"/>
    <w:rsid w:val="0003672C"/>
    <w:rsid w:val="00037432"/>
    <w:rsid w:val="00040EF6"/>
    <w:rsid w:val="000424F6"/>
    <w:rsid w:val="00043073"/>
    <w:rsid w:val="00043889"/>
    <w:rsid w:val="0005081C"/>
    <w:rsid w:val="00050C89"/>
    <w:rsid w:val="00050E36"/>
    <w:rsid w:val="00053495"/>
    <w:rsid w:val="00054BE4"/>
    <w:rsid w:val="000554D7"/>
    <w:rsid w:val="00056339"/>
    <w:rsid w:val="00057004"/>
    <w:rsid w:val="00060A6A"/>
    <w:rsid w:val="00065D33"/>
    <w:rsid w:val="00071FB8"/>
    <w:rsid w:val="00076072"/>
    <w:rsid w:val="000760AE"/>
    <w:rsid w:val="00076A95"/>
    <w:rsid w:val="00081727"/>
    <w:rsid w:val="000845B8"/>
    <w:rsid w:val="00084FBF"/>
    <w:rsid w:val="00085F63"/>
    <w:rsid w:val="00091713"/>
    <w:rsid w:val="0009451D"/>
    <w:rsid w:val="000962ED"/>
    <w:rsid w:val="000979BA"/>
    <w:rsid w:val="00097BA2"/>
    <w:rsid w:val="000A2557"/>
    <w:rsid w:val="000A28E4"/>
    <w:rsid w:val="000A508B"/>
    <w:rsid w:val="000A51E8"/>
    <w:rsid w:val="000B007C"/>
    <w:rsid w:val="000B2567"/>
    <w:rsid w:val="000B4DF4"/>
    <w:rsid w:val="000B57F0"/>
    <w:rsid w:val="000B5C42"/>
    <w:rsid w:val="000B7687"/>
    <w:rsid w:val="000B785B"/>
    <w:rsid w:val="000C142F"/>
    <w:rsid w:val="000C70FC"/>
    <w:rsid w:val="000C739E"/>
    <w:rsid w:val="000D0B9C"/>
    <w:rsid w:val="000D15B3"/>
    <w:rsid w:val="000D3D61"/>
    <w:rsid w:val="000D55B1"/>
    <w:rsid w:val="000E1109"/>
    <w:rsid w:val="000E3742"/>
    <w:rsid w:val="0010217F"/>
    <w:rsid w:val="00102B67"/>
    <w:rsid w:val="00103624"/>
    <w:rsid w:val="00103BA6"/>
    <w:rsid w:val="00106169"/>
    <w:rsid w:val="001116A6"/>
    <w:rsid w:val="00112F3F"/>
    <w:rsid w:val="00113B14"/>
    <w:rsid w:val="00115380"/>
    <w:rsid w:val="001159E9"/>
    <w:rsid w:val="00115D9E"/>
    <w:rsid w:val="0012096B"/>
    <w:rsid w:val="00121408"/>
    <w:rsid w:val="0012669E"/>
    <w:rsid w:val="001313A8"/>
    <w:rsid w:val="00131979"/>
    <w:rsid w:val="00132A13"/>
    <w:rsid w:val="00133908"/>
    <w:rsid w:val="00133F17"/>
    <w:rsid w:val="00142302"/>
    <w:rsid w:val="00142F59"/>
    <w:rsid w:val="0015713B"/>
    <w:rsid w:val="00160114"/>
    <w:rsid w:val="0017031F"/>
    <w:rsid w:val="00171AC8"/>
    <w:rsid w:val="00172339"/>
    <w:rsid w:val="00172AC9"/>
    <w:rsid w:val="001743E3"/>
    <w:rsid w:val="001765FB"/>
    <w:rsid w:val="00176A44"/>
    <w:rsid w:val="001772F2"/>
    <w:rsid w:val="001774C3"/>
    <w:rsid w:val="00185173"/>
    <w:rsid w:val="001854FB"/>
    <w:rsid w:val="00185A44"/>
    <w:rsid w:val="00186901"/>
    <w:rsid w:val="00186D5E"/>
    <w:rsid w:val="00192B24"/>
    <w:rsid w:val="00193642"/>
    <w:rsid w:val="0019452E"/>
    <w:rsid w:val="001962A0"/>
    <w:rsid w:val="001A0D0B"/>
    <w:rsid w:val="001A3AB1"/>
    <w:rsid w:val="001B1034"/>
    <w:rsid w:val="001B2725"/>
    <w:rsid w:val="001B3780"/>
    <w:rsid w:val="001B7F81"/>
    <w:rsid w:val="001C39F6"/>
    <w:rsid w:val="001C4FA3"/>
    <w:rsid w:val="001C66FE"/>
    <w:rsid w:val="001D2790"/>
    <w:rsid w:val="001D46DA"/>
    <w:rsid w:val="001D4908"/>
    <w:rsid w:val="001D68B0"/>
    <w:rsid w:val="001D6904"/>
    <w:rsid w:val="001D7974"/>
    <w:rsid w:val="001E3F4F"/>
    <w:rsid w:val="001E41C4"/>
    <w:rsid w:val="001E6548"/>
    <w:rsid w:val="001E6DCD"/>
    <w:rsid w:val="001E7ECF"/>
    <w:rsid w:val="001F0AF4"/>
    <w:rsid w:val="001F2991"/>
    <w:rsid w:val="001F2DC3"/>
    <w:rsid w:val="001F3414"/>
    <w:rsid w:val="001F4357"/>
    <w:rsid w:val="001F43C1"/>
    <w:rsid w:val="001F522F"/>
    <w:rsid w:val="00200D18"/>
    <w:rsid w:val="00201D4E"/>
    <w:rsid w:val="00206B7C"/>
    <w:rsid w:val="00207525"/>
    <w:rsid w:val="0021419F"/>
    <w:rsid w:val="00215C1D"/>
    <w:rsid w:val="0022210F"/>
    <w:rsid w:val="00236E6D"/>
    <w:rsid w:val="002429E5"/>
    <w:rsid w:val="00246AF3"/>
    <w:rsid w:val="00252E8E"/>
    <w:rsid w:val="002571B0"/>
    <w:rsid w:val="00260FBB"/>
    <w:rsid w:val="00261B12"/>
    <w:rsid w:val="0026529A"/>
    <w:rsid w:val="00270231"/>
    <w:rsid w:val="00272B37"/>
    <w:rsid w:val="00274DAD"/>
    <w:rsid w:val="00274DBA"/>
    <w:rsid w:val="00280CEF"/>
    <w:rsid w:val="00283179"/>
    <w:rsid w:val="0028392A"/>
    <w:rsid w:val="0028757A"/>
    <w:rsid w:val="00295679"/>
    <w:rsid w:val="00297A05"/>
    <w:rsid w:val="002A12F0"/>
    <w:rsid w:val="002A2E7D"/>
    <w:rsid w:val="002A3264"/>
    <w:rsid w:val="002B08A5"/>
    <w:rsid w:val="002B2AD4"/>
    <w:rsid w:val="002B4ECF"/>
    <w:rsid w:val="002B546E"/>
    <w:rsid w:val="002C0786"/>
    <w:rsid w:val="002C5905"/>
    <w:rsid w:val="002C5FB9"/>
    <w:rsid w:val="002D4A89"/>
    <w:rsid w:val="002D4BB4"/>
    <w:rsid w:val="002D7430"/>
    <w:rsid w:val="002E0C33"/>
    <w:rsid w:val="002E2492"/>
    <w:rsid w:val="002E5F14"/>
    <w:rsid w:val="002E7D57"/>
    <w:rsid w:val="002F1934"/>
    <w:rsid w:val="002F2897"/>
    <w:rsid w:val="002F6C76"/>
    <w:rsid w:val="0030441A"/>
    <w:rsid w:val="00304BD0"/>
    <w:rsid w:val="00304C65"/>
    <w:rsid w:val="003050D2"/>
    <w:rsid w:val="00307D77"/>
    <w:rsid w:val="00307E12"/>
    <w:rsid w:val="00311E2B"/>
    <w:rsid w:val="00313E9E"/>
    <w:rsid w:val="003150D5"/>
    <w:rsid w:val="003166A4"/>
    <w:rsid w:val="00320488"/>
    <w:rsid w:val="003206F1"/>
    <w:rsid w:val="00320F78"/>
    <w:rsid w:val="00322547"/>
    <w:rsid w:val="00322E56"/>
    <w:rsid w:val="003266D4"/>
    <w:rsid w:val="0032783F"/>
    <w:rsid w:val="00331D1E"/>
    <w:rsid w:val="00334400"/>
    <w:rsid w:val="003348A6"/>
    <w:rsid w:val="003357A8"/>
    <w:rsid w:val="00335A3D"/>
    <w:rsid w:val="00335B9C"/>
    <w:rsid w:val="00337EF1"/>
    <w:rsid w:val="00342A39"/>
    <w:rsid w:val="00350343"/>
    <w:rsid w:val="0035768F"/>
    <w:rsid w:val="0036072D"/>
    <w:rsid w:val="00360B3C"/>
    <w:rsid w:val="003610F9"/>
    <w:rsid w:val="0036251E"/>
    <w:rsid w:val="003677ED"/>
    <w:rsid w:val="00373919"/>
    <w:rsid w:val="003779A0"/>
    <w:rsid w:val="00377F61"/>
    <w:rsid w:val="0038005D"/>
    <w:rsid w:val="0038177C"/>
    <w:rsid w:val="003836EB"/>
    <w:rsid w:val="0038511E"/>
    <w:rsid w:val="00385A01"/>
    <w:rsid w:val="003860FB"/>
    <w:rsid w:val="00387024"/>
    <w:rsid w:val="00387656"/>
    <w:rsid w:val="00394464"/>
    <w:rsid w:val="00396102"/>
    <w:rsid w:val="003A21A7"/>
    <w:rsid w:val="003A5EEC"/>
    <w:rsid w:val="003A7D64"/>
    <w:rsid w:val="003B0CE6"/>
    <w:rsid w:val="003B11EB"/>
    <w:rsid w:val="003B1763"/>
    <w:rsid w:val="003B2FF5"/>
    <w:rsid w:val="003C02C0"/>
    <w:rsid w:val="003C070F"/>
    <w:rsid w:val="003C1575"/>
    <w:rsid w:val="003C314F"/>
    <w:rsid w:val="003C3867"/>
    <w:rsid w:val="003C38A7"/>
    <w:rsid w:val="003C3FA5"/>
    <w:rsid w:val="003C50CC"/>
    <w:rsid w:val="003C5C8F"/>
    <w:rsid w:val="003C7FC5"/>
    <w:rsid w:val="003D07F7"/>
    <w:rsid w:val="003D4E16"/>
    <w:rsid w:val="003D5275"/>
    <w:rsid w:val="003D5658"/>
    <w:rsid w:val="003D63DF"/>
    <w:rsid w:val="003D737F"/>
    <w:rsid w:val="003E1351"/>
    <w:rsid w:val="003E39E5"/>
    <w:rsid w:val="003E402A"/>
    <w:rsid w:val="003E5757"/>
    <w:rsid w:val="003E75C8"/>
    <w:rsid w:val="003F49A3"/>
    <w:rsid w:val="003F607C"/>
    <w:rsid w:val="003F7474"/>
    <w:rsid w:val="00401721"/>
    <w:rsid w:val="00401855"/>
    <w:rsid w:val="00404616"/>
    <w:rsid w:val="00404820"/>
    <w:rsid w:val="0040611A"/>
    <w:rsid w:val="00406664"/>
    <w:rsid w:val="00406F6E"/>
    <w:rsid w:val="004071E1"/>
    <w:rsid w:val="00407B6A"/>
    <w:rsid w:val="00407C42"/>
    <w:rsid w:val="00410689"/>
    <w:rsid w:val="00412A65"/>
    <w:rsid w:val="00414400"/>
    <w:rsid w:val="00416D80"/>
    <w:rsid w:val="00417005"/>
    <w:rsid w:val="00417BBE"/>
    <w:rsid w:val="00421CD4"/>
    <w:rsid w:val="00422932"/>
    <w:rsid w:val="00423EA7"/>
    <w:rsid w:val="00424BB6"/>
    <w:rsid w:val="00427289"/>
    <w:rsid w:val="00427555"/>
    <w:rsid w:val="00427833"/>
    <w:rsid w:val="00430817"/>
    <w:rsid w:val="00432CAE"/>
    <w:rsid w:val="004335E8"/>
    <w:rsid w:val="00433C01"/>
    <w:rsid w:val="00433C84"/>
    <w:rsid w:val="00434B3A"/>
    <w:rsid w:val="004402E3"/>
    <w:rsid w:val="0044196E"/>
    <w:rsid w:val="00447EF1"/>
    <w:rsid w:val="004519B2"/>
    <w:rsid w:val="004605ED"/>
    <w:rsid w:val="004673AB"/>
    <w:rsid w:val="00471D67"/>
    <w:rsid w:val="00472501"/>
    <w:rsid w:val="00474210"/>
    <w:rsid w:val="0047421B"/>
    <w:rsid w:val="00475E69"/>
    <w:rsid w:val="00480B96"/>
    <w:rsid w:val="0048303E"/>
    <w:rsid w:val="00485053"/>
    <w:rsid w:val="0049004B"/>
    <w:rsid w:val="004920F6"/>
    <w:rsid w:val="00497636"/>
    <w:rsid w:val="004A5446"/>
    <w:rsid w:val="004A67E8"/>
    <w:rsid w:val="004A700E"/>
    <w:rsid w:val="004A753F"/>
    <w:rsid w:val="004B1835"/>
    <w:rsid w:val="004B57F4"/>
    <w:rsid w:val="004C2071"/>
    <w:rsid w:val="004C3D65"/>
    <w:rsid w:val="004C4217"/>
    <w:rsid w:val="004C5A0D"/>
    <w:rsid w:val="004C6510"/>
    <w:rsid w:val="004C6F2C"/>
    <w:rsid w:val="004C706A"/>
    <w:rsid w:val="004D139B"/>
    <w:rsid w:val="004D2979"/>
    <w:rsid w:val="004D566A"/>
    <w:rsid w:val="004D6472"/>
    <w:rsid w:val="004E1791"/>
    <w:rsid w:val="004E1A99"/>
    <w:rsid w:val="004E1AE4"/>
    <w:rsid w:val="004E208F"/>
    <w:rsid w:val="004E3964"/>
    <w:rsid w:val="004E5803"/>
    <w:rsid w:val="004E63CF"/>
    <w:rsid w:val="004F6792"/>
    <w:rsid w:val="005006B3"/>
    <w:rsid w:val="005049EE"/>
    <w:rsid w:val="00510ACF"/>
    <w:rsid w:val="00514541"/>
    <w:rsid w:val="00521059"/>
    <w:rsid w:val="005251F3"/>
    <w:rsid w:val="00526151"/>
    <w:rsid w:val="00526CAD"/>
    <w:rsid w:val="005272CF"/>
    <w:rsid w:val="005325E9"/>
    <w:rsid w:val="0053598A"/>
    <w:rsid w:val="00536DC7"/>
    <w:rsid w:val="0054436C"/>
    <w:rsid w:val="00550C09"/>
    <w:rsid w:val="00552722"/>
    <w:rsid w:val="0055422F"/>
    <w:rsid w:val="005565EA"/>
    <w:rsid w:val="00557A2B"/>
    <w:rsid w:val="00563063"/>
    <w:rsid w:val="005645CA"/>
    <w:rsid w:val="00571488"/>
    <w:rsid w:val="0058126D"/>
    <w:rsid w:val="00583A04"/>
    <w:rsid w:val="00585DCB"/>
    <w:rsid w:val="00587942"/>
    <w:rsid w:val="005919CE"/>
    <w:rsid w:val="005925AA"/>
    <w:rsid w:val="0059529A"/>
    <w:rsid w:val="00597AD2"/>
    <w:rsid w:val="00597D3F"/>
    <w:rsid w:val="005A0097"/>
    <w:rsid w:val="005A159E"/>
    <w:rsid w:val="005B2D8E"/>
    <w:rsid w:val="005B3546"/>
    <w:rsid w:val="005B3AFA"/>
    <w:rsid w:val="005B79E9"/>
    <w:rsid w:val="005C141C"/>
    <w:rsid w:val="005C50B6"/>
    <w:rsid w:val="005D1829"/>
    <w:rsid w:val="005D7869"/>
    <w:rsid w:val="005E13E0"/>
    <w:rsid w:val="005E4912"/>
    <w:rsid w:val="005E54E2"/>
    <w:rsid w:val="005E6F1F"/>
    <w:rsid w:val="005F0214"/>
    <w:rsid w:val="005F428E"/>
    <w:rsid w:val="005F44D1"/>
    <w:rsid w:val="00600423"/>
    <w:rsid w:val="00603C13"/>
    <w:rsid w:val="00604BE3"/>
    <w:rsid w:val="0060528A"/>
    <w:rsid w:val="00606154"/>
    <w:rsid w:val="006101B5"/>
    <w:rsid w:val="00611B90"/>
    <w:rsid w:val="00613798"/>
    <w:rsid w:val="00614D01"/>
    <w:rsid w:val="00616C6A"/>
    <w:rsid w:val="006172EB"/>
    <w:rsid w:val="00620E3D"/>
    <w:rsid w:val="00621129"/>
    <w:rsid w:val="006241C2"/>
    <w:rsid w:val="00625086"/>
    <w:rsid w:val="00633508"/>
    <w:rsid w:val="00633916"/>
    <w:rsid w:val="00636683"/>
    <w:rsid w:val="00641268"/>
    <w:rsid w:val="00641D2B"/>
    <w:rsid w:val="00645E3A"/>
    <w:rsid w:val="006460BF"/>
    <w:rsid w:val="006512F7"/>
    <w:rsid w:val="00652687"/>
    <w:rsid w:val="0065375F"/>
    <w:rsid w:val="00654021"/>
    <w:rsid w:val="00656E54"/>
    <w:rsid w:val="00662D3E"/>
    <w:rsid w:val="006633A3"/>
    <w:rsid w:val="00663EF7"/>
    <w:rsid w:val="00665C7E"/>
    <w:rsid w:val="006667C8"/>
    <w:rsid w:val="00672DDD"/>
    <w:rsid w:val="00674D96"/>
    <w:rsid w:val="00676C91"/>
    <w:rsid w:val="00677463"/>
    <w:rsid w:val="006803C0"/>
    <w:rsid w:val="0068494D"/>
    <w:rsid w:val="00690B77"/>
    <w:rsid w:val="00693A93"/>
    <w:rsid w:val="00695F96"/>
    <w:rsid w:val="00697522"/>
    <w:rsid w:val="006A3C3F"/>
    <w:rsid w:val="006A6B3E"/>
    <w:rsid w:val="006B537C"/>
    <w:rsid w:val="006B6BE1"/>
    <w:rsid w:val="006C3491"/>
    <w:rsid w:val="006C3553"/>
    <w:rsid w:val="006C4000"/>
    <w:rsid w:val="006C4F45"/>
    <w:rsid w:val="006C621F"/>
    <w:rsid w:val="006C651A"/>
    <w:rsid w:val="006D2F7C"/>
    <w:rsid w:val="006D5EE8"/>
    <w:rsid w:val="006D67ED"/>
    <w:rsid w:val="006D7F32"/>
    <w:rsid w:val="006E3716"/>
    <w:rsid w:val="006E56E8"/>
    <w:rsid w:val="006E5B01"/>
    <w:rsid w:val="006F0007"/>
    <w:rsid w:val="006F48AC"/>
    <w:rsid w:val="006F5AA4"/>
    <w:rsid w:val="00703F8B"/>
    <w:rsid w:val="00711200"/>
    <w:rsid w:val="00722D9B"/>
    <w:rsid w:val="007230EF"/>
    <w:rsid w:val="0072397F"/>
    <w:rsid w:val="0072705D"/>
    <w:rsid w:val="00727250"/>
    <w:rsid w:val="00731922"/>
    <w:rsid w:val="00731ACB"/>
    <w:rsid w:val="007368AD"/>
    <w:rsid w:val="0074133D"/>
    <w:rsid w:val="00741418"/>
    <w:rsid w:val="00743B87"/>
    <w:rsid w:val="00744EBA"/>
    <w:rsid w:val="00745DF6"/>
    <w:rsid w:val="0075196D"/>
    <w:rsid w:val="0075519A"/>
    <w:rsid w:val="0075558C"/>
    <w:rsid w:val="00761EFA"/>
    <w:rsid w:val="0076422E"/>
    <w:rsid w:val="00764873"/>
    <w:rsid w:val="0076676F"/>
    <w:rsid w:val="00772C4D"/>
    <w:rsid w:val="007778DD"/>
    <w:rsid w:val="00781055"/>
    <w:rsid w:val="00781D1B"/>
    <w:rsid w:val="0078264C"/>
    <w:rsid w:val="00782912"/>
    <w:rsid w:val="007834BD"/>
    <w:rsid w:val="007865A6"/>
    <w:rsid w:val="00787617"/>
    <w:rsid w:val="00787CE9"/>
    <w:rsid w:val="00792AEE"/>
    <w:rsid w:val="00793E51"/>
    <w:rsid w:val="00795A22"/>
    <w:rsid w:val="00796693"/>
    <w:rsid w:val="007A0CEA"/>
    <w:rsid w:val="007A0F41"/>
    <w:rsid w:val="007A13A4"/>
    <w:rsid w:val="007A23B1"/>
    <w:rsid w:val="007A2901"/>
    <w:rsid w:val="007A7EF2"/>
    <w:rsid w:val="007B1E8B"/>
    <w:rsid w:val="007B2994"/>
    <w:rsid w:val="007B4BD4"/>
    <w:rsid w:val="007B7D11"/>
    <w:rsid w:val="007C7591"/>
    <w:rsid w:val="007D1B20"/>
    <w:rsid w:val="007D1C7E"/>
    <w:rsid w:val="007D5CD5"/>
    <w:rsid w:val="007D61B9"/>
    <w:rsid w:val="007E538E"/>
    <w:rsid w:val="007E5ABB"/>
    <w:rsid w:val="007E5E73"/>
    <w:rsid w:val="007E6AAE"/>
    <w:rsid w:val="007E6FF3"/>
    <w:rsid w:val="007F60DF"/>
    <w:rsid w:val="007F6AE9"/>
    <w:rsid w:val="00803136"/>
    <w:rsid w:val="00804D92"/>
    <w:rsid w:val="008074A4"/>
    <w:rsid w:val="008114AE"/>
    <w:rsid w:val="00811B7C"/>
    <w:rsid w:val="00815115"/>
    <w:rsid w:val="00822D91"/>
    <w:rsid w:val="00825933"/>
    <w:rsid w:val="00825D72"/>
    <w:rsid w:val="00826921"/>
    <w:rsid w:val="00826AA1"/>
    <w:rsid w:val="00826D54"/>
    <w:rsid w:val="00834CBF"/>
    <w:rsid w:val="00835E84"/>
    <w:rsid w:val="00836F89"/>
    <w:rsid w:val="00841A4B"/>
    <w:rsid w:val="00846459"/>
    <w:rsid w:val="00847985"/>
    <w:rsid w:val="00850A74"/>
    <w:rsid w:val="00850C87"/>
    <w:rsid w:val="0085603A"/>
    <w:rsid w:val="0085757D"/>
    <w:rsid w:val="00863435"/>
    <w:rsid w:val="00864954"/>
    <w:rsid w:val="0087117D"/>
    <w:rsid w:val="0087232F"/>
    <w:rsid w:val="00872827"/>
    <w:rsid w:val="0087349A"/>
    <w:rsid w:val="008736B7"/>
    <w:rsid w:val="00874508"/>
    <w:rsid w:val="0087532D"/>
    <w:rsid w:val="0088475A"/>
    <w:rsid w:val="008865B6"/>
    <w:rsid w:val="0088738E"/>
    <w:rsid w:val="0089340C"/>
    <w:rsid w:val="00893B2B"/>
    <w:rsid w:val="008944BC"/>
    <w:rsid w:val="008946BE"/>
    <w:rsid w:val="008949E3"/>
    <w:rsid w:val="00894F8B"/>
    <w:rsid w:val="00895DF4"/>
    <w:rsid w:val="008A1C3A"/>
    <w:rsid w:val="008A627B"/>
    <w:rsid w:val="008A7971"/>
    <w:rsid w:val="008B0A19"/>
    <w:rsid w:val="008B1A4D"/>
    <w:rsid w:val="008B5340"/>
    <w:rsid w:val="008B7409"/>
    <w:rsid w:val="008C2D8D"/>
    <w:rsid w:val="008C2F28"/>
    <w:rsid w:val="008D0A54"/>
    <w:rsid w:val="008D3E33"/>
    <w:rsid w:val="008D589C"/>
    <w:rsid w:val="008D59F7"/>
    <w:rsid w:val="008D64B0"/>
    <w:rsid w:val="008D7159"/>
    <w:rsid w:val="008E0BB3"/>
    <w:rsid w:val="008E67AC"/>
    <w:rsid w:val="008E7085"/>
    <w:rsid w:val="008E7E5F"/>
    <w:rsid w:val="008F2F75"/>
    <w:rsid w:val="008F4CBA"/>
    <w:rsid w:val="008F60C3"/>
    <w:rsid w:val="00904969"/>
    <w:rsid w:val="0090626C"/>
    <w:rsid w:val="009075C4"/>
    <w:rsid w:val="00911B73"/>
    <w:rsid w:val="00912D5C"/>
    <w:rsid w:val="009133F2"/>
    <w:rsid w:val="00913C3E"/>
    <w:rsid w:val="009162E7"/>
    <w:rsid w:val="0091763B"/>
    <w:rsid w:val="009235D2"/>
    <w:rsid w:val="00923F26"/>
    <w:rsid w:val="00924684"/>
    <w:rsid w:val="009254D6"/>
    <w:rsid w:val="0092669B"/>
    <w:rsid w:val="009300A5"/>
    <w:rsid w:val="0093163E"/>
    <w:rsid w:val="00936436"/>
    <w:rsid w:val="0093779F"/>
    <w:rsid w:val="0094037B"/>
    <w:rsid w:val="0094067E"/>
    <w:rsid w:val="0094272B"/>
    <w:rsid w:val="00942EA5"/>
    <w:rsid w:val="0095617F"/>
    <w:rsid w:val="009577C2"/>
    <w:rsid w:val="0096260D"/>
    <w:rsid w:val="00962DD4"/>
    <w:rsid w:val="009659D3"/>
    <w:rsid w:val="0096692D"/>
    <w:rsid w:val="00966BAC"/>
    <w:rsid w:val="00966F32"/>
    <w:rsid w:val="00975E37"/>
    <w:rsid w:val="00976942"/>
    <w:rsid w:val="00980940"/>
    <w:rsid w:val="00987EDD"/>
    <w:rsid w:val="00993B34"/>
    <w:rsid w:val="00995C2D"/>
    <w:rsid w:val="009A2ABE"/>
    <w:rsid w:val="009A6A2F"/>
    <w:rsid w:val="009B45D3"/>
    <w:rsid w:val="009B67AD"/>
    <w:rsid w:val="009C0AB1"/>
    <w:rsid w:val="009C120D"/>
    <w:rsid w:val="009C3B1A"/>
    <w:rsid w:val="009C5592"/>
    <w:rsid w:val="009C6111"/>
    <w:rsid w:val="009C755C"/>
    <w:rsid w:val="009C780F"/>
    <w:rsid w:val="009D08D9"/>
    <w:rsid w:val="009D37CC"/>
    <w:rsid w:val="009D54F8"/>
    <w:rsid w:val="009D666A"/>
    <w:rsid w:val="009D794C"/>
    <w:rsid w:val="009E1703"/>
    <w:rsid w:val="009E1D96"/>
    <w:rsid w:val="009E4BBD"/>
    <w:rsid w:val="009E6455"/>
    <w:rsid w:val="009E6D60"/>
    <w:rsid w:val="009E6D9F"/>
    <w:rsid w:val="009E7CA9"/>
    <w:rsid w:val="009F09CF"/>
    <w:rsid w:val="009F49C7"/>
    <w:rsid w:val="00A00B66"/>
    <w:rsid w:val="00A059AC"/>
    <w:rsid w:val="00A07496"/>
    <w:rsid w:val="00A1013D"/>
    <w:rsid w:val="00A10FA5"/>
    <w:rsid w:val="00A14258"/>
    <w:rsid w:val="00A14DEC"/>
    <w:rsid w:val="00A207F2"/>
    <w:rsid w:val="00A2084E"/>
    <w:rsid w:val="00A23FAB"/>
    <w:rsid w:val="00A25353"/>
    <w:rsid w:val="00A265F3"/>
    <w:rsid w:val="00A3090D"/>
    <w:rsid w:val="00A34A90"/>
    <w:rsid w:val="00A34F5F"/>
    <w:rsid w:val="00A36BE8"/>
    <w:rsid w:val="00A36D2C"/>
    <w:rsid w:val="00A37324"/>
    <w:rsid w:val="00A3753C"/>
    <w:rsid w:val="00A438C7"/>
    <w:rsid w:val="00A44098"/>
    <w:rsid w:val="00A46A68"/>
    <w:rsid w:val="00A50EE9"/>
    <w:rsid w:val="00A50F5A"/>
    <w:rsid w:val="00A53926"/>
    <w:rsid w:val="00A5526B"/>
    <w:rsid w:val="00A603A7"/>
    <w:rsid w:val="00A658AC"/>
    <w:rsid w:val="00A73683"/>
    <w:rsid w:val="00A73B09"/>
    <w:rsid w:val="00A73E2B"/>
    <w:rsid w:val="00A746DE"/>
    <w:rsid w:val="00A8340F"/>
    <w:rsid w:val="00A847CB"/>
    <w:rsid w:val="00A85F58"/>
    <w:rsid w:val="00A86F48"/>
    <w:rsid w:val="00A9042B"/>
    <w:rsid w:val="00A91B67"/>
    <w:rsid w:val="00A92583"/>
    <w:rsid w:val="00AA12C5"/>
    <w:rsid w:val="00AA2033"/>
    <w:rsid w:val="00AA3E0C"/>
    <w:rsid w:val="00AB0420"/>
    <w:rsid w:val="00AB0CB3"/>
    <w:rsid w:val="00AB6429"/>
    <w:rsid w:val="00AB7500"/>
    <w:rsid w:val="00AC2941"/>
    <w:rsid w:val="00AC3ED0"/>
    <w:rsid w:val="00AC43ED"/>
    <w:rsid w:val="00AC586E"/>
    <w:rsid w:val="00AC6881"/>
    <w:rsid w:val="00AD0A33"/>
    <w:rsid w:val="00AD31BE"/>
    <w:rsid w:val="00AD770F"/>
    <w:rsid w:val="00AE02CD"/>
    <w:rsid w:val="00AE0982"/>
    <w:rsid w:val="00AE52F1"/>
    <w:rsid w:val="00AE5DCE"/>
    <w:rsid w:val="00AE6ACB"/>
    <w:rsid w:val="00AE72D0"/>
    <w:rsid w:val="00AF10A4"/>
    <w:rsid w:val="00AF19D4"/>
    <w:rsid w:val="00AF2720"/>
    <w:rsid w:val="00AF2C39"/>
    <w:rsid w:val="00AF47D4"/>
    <w:rsid w:val="00AF5CBE"/>
    <w:rsid w:val="00AF6BF6"/>
    <w:rsid w:val="00AF700D"/>
    <w:rsid w:val="00B01C61"/>
    <w:rsid w:val="00B04236"/>
    <w:rsid w:val="00B04BDE"/>
    <w:rsid w:val="00B06B27"/>
    <w:rsid w:val="00B07524"/>
    <w:rsid w:val="00B113E7"/>
    <w:rsid w:val="00B17E5F"/>
    <w:rsid w:val="00B2290B"/>
    <w:rsid w:val="00B25167"/>
    <w:rsid w:val="00B25AF0"/>
    <w:rsid w:val="00B3401C"/>
    <w:rsid w:val="00B35B7C"/>
    <w:rsid w:val="00B3664F"/>
    <w:rsid w:val="00B36790"/>
    <w:rsid w:val="00B43932"/>
    <w:rsid w:val="00B46509"/>
    <w:rsid w:val="00B53C15"/>
    <w:rsid w:val="00B613B5"/>
    <w:rsid w:val="00B72B2C"/>
    <w:rsid w:val="00B747DD"/>
    <w:rsid w:val="00B74BDD"/>
    <w:rsid w:val="00B7746D"/>
    <w:rsid w:val="00B80307"/>
    <w:rsid w:val="00B8066D"/>
    <w:rsid w:val="00B82798"/>
    <w:rsid w:val="00B844C5"/>
    <w:rsid w:val="00B8501D"/>
    <w:rsid w:val="00B86839"/>
    <w:rsid w:val="00B90095"/>
    <w:rsid w:val="00B92536"/>
    <w:rsid w:val="00B960B9"/>
    <w:rsid w:val="00BA0250"/>
    <w:rsid w:val="00BA092E"/>
    <w:rsid w:val="00BA1C66"/>
    <w:rsid w:val="00BA3F5C"/>
    <w:rsid w:val="00BA43D9"/>
    <w:rsid w:val="00BA663E"/>
    <w:rsid w:val="00BB0231"/>
    <w:rsid w:val="00BC0719"/>
    <w:rsid w:val="00BC0732"/>
    <w:rsid w:val="00BD0DEA"/>
    <w:rsid w:val="00BD2603"/>
    <w:rsid w:val="00BD2E15"/>
    <w:rsid w:val="00BD3522"/>
    <w:rsid w:val="00BD43E6"/>
    <w:rsid w:val="00BD760B"/>
    <w:rsid w:val="00BD7BFD"/>
    <w:rsid w:val="00BE04E5"/>
    <w:rsid w:val="00BE2BA3"/>
    <w:rsid w:val="00BE5C00"/>
    <w:rsid w:val="00BF4814"/>
    <w:rsid w:val="00BF6FE8"/>
    <w:rsid w:val="00C03D1A"/>
    <w:rsid w:val="00C03D79"/>
    <w:rsid w:val="00C04DD8"/>
    <w:rsid w:val="00C06C34"/>
    <w:rsid w:val="00C0799A"/>
    <w:rsid w:val="00C10398"/>
    <w:rsid w:val="00C10A93"/>
    <w:rsid w:val="00C10DC0"/>
    <w:rsid w:val="00C11033"/>
    <w:rsid w:val="00C11D0D"/>
    <w:rsid w:val="00C20B90"/>
    <w:rsid w:val="00C26544"/>
    <w:rsid w:val="00C30D36"/>
    <w:rsid w:val="00C30D60"/>
    <w:rsid w:val="00C3114D"/>
    <w:rsid w:val="00C3597B"/>
    <w:rsid w:val="00C3703E"/>
    <w:rsid w:val="00C42B07"/>
    <w:rsid w:val="00C43A53"/>
    <w:rsid w:val="00C44DE0"/>
    <w:rsid w:val="00C450CC"/>
    <w:rsid w:val="00C45160"/>
    <w:rsid w:val="00C462AC"/>
    <w:rsid w:val="00C46742"/>
    <w:rsid w:val="00C4675D"/>
    <w:rsid w:val="00C470EB"/>
    <w:rsid w:val="00C509A2"/>
    <w:rsid w:val="00C509C3"/>
    <w:rsid w:val="00C50A17"/>
    <w:rsid w:val="00C51B9C"/>
    <w:rsid w:val="00C56C59"/>
    <w:rsid w:val="00C60480"/>
    <w:rsid w:val="00C64393"/>
    <w:rsid w:val="00C709B4"/>
    <w:rsid w:val="00C70EAE"/>
    <w:rsid w:val="00C711CD"/>
    <w:rsid w:val="00C71683"/>
    <w:rsid w:val="00C7436A"/>
    <w:rsid w:val="00C75EBB"/>
    <w:rsid w:val="00C75EFA"/>
    <w:rsid w:val="00C83B65"/>
    <w:rsid w:val="00C84C92"/>
    <w:rsid w:val="00C8657C"/>
    <w:rsid w:val="00C87EA6"/>
    <w:rsid w:val="00C902C6"/>
    <w:rsid w:val="00CA1077"/>
    <w:rsid w:val="00CA480C"/>
    <w:rsid w:val="00CB1088"/>
    <w:rsid w:val="00CB1A50"/>
    <w:rsid w:val="00CB2CB1"/>
    <w:rsid w:val="00CC3249"/>
    <w:rsid w:val="00CC38D6"/>
    <w:rsid w:val="00CC561B"/>
    <w:rsid w:val="00CD18BC"/>
    <w:rsid w:val="00CD1E7A"/>
    <w:rsid w:val="00CD3FDB"/>
    <w:rsid w:val="00CD4F5D"/>
    <w:rsid w:val="00CD50B5"/>
    <w:rsid w:val="00CD6EDD"/>
    <w:rsid w:val="00CD73A9"/>
    <w:rsid w:val="00CE3A3E"/>
    <w:rsid w:val="00CE3A92"/>
    <w:rsid w:val="00CE4D4B"/>
    <w:rsid w:val="00CE7DBF"/>
    <w:rsid w:val="00CF38D6"/>
    <w:rsid w:val="00CF60E1"/>
    <w:rsid w:val="00CF6889"/>
    <w:rsid w:val="00D04F4F"/>
    <w:rsid w:val="00D06F12"/>
    <w:rsid w:val="00D06F73"/>
    <w:rsid w:val="00D108CE"/>
    <w:rsid w:val="00D10F71"/>
    <w:rsid w:val="00D14B09"/>
    <w:rsid w:val="00D17FBE"/>
    <w:rsid w:val="00D20396"/>
    <w:rsid w:val="00D21EF3"/>
    <w:rsid w:val="00D30714"/>
    <w:rsid w:val="00D3073E"/>
    <w:rsid w:val="00D316B4"/>
    <w:rsid w:val="00D33F31"/>
    <w:rsid w:val="00D34A79"/>
    <w:rsid w:val="00D34B5E"/>
    <w:rsid w:val="00D408AD"/>
    <w:rsid w:val="00D40B3D"/>
    <w:rsid w:val="00D41205"/>
    <w:rsid w:val="00D46790"/>
    <w:rsid w:val="00D46A54"/>
    <w:rsid w:val="00D513A9"/>
    <w:rsid w:val="00D544D2"/>
    <w:rsid w:val="00D5581B"/>
    <w:rsid w:val="00D5708A"/>
    <w:rsid w:val="00D57200"/>
    <w:rsid w:val="00D64D42"/>
    <w:rsid w:val="00D6504C"/>
    <w:rsid w:val="00D677AA"/>
    <w:rsid w:val="00D73F4D"/>
    <w:rsid w:val="00D82E57"/>
    <w:rsid w:val="00D82FD9"/>
    <w:rsid w:val="00D832F8"/>
    <w:rsid w:val="00D83906"/>
    <w:rsid w:val="00D910A9"/>
    <w:rsid w:val="00D91C27"/>
    <w:rsid w:val="00D9363A"/>
    <w:rsid w:val="00D94F75"/>
    <w:rsid w:val="00D970F6"/>
    <w:rsid w:val="00DA6BA6"/>
    <w:rsid w:val="00DA7262"/>
    <w:rsid w:val="00DB094E"/>
    <w:rsid w:val="00DC0223"/>
    <w:rsid w:val="00DC1E53"/>
    <w:rsid w:val="00DC50EC"/>
    <w:rsid w:val="00DC5190"/>
    <w:rsid w:val="00DC5925"/>
    <w:rsid w:val="00DC60FA"/>
    <w:rsid w:val="00DD00C5"/>
    <w:rsid w:val="00DD00DE"/>
    <w:rsid w:val="00DD61A2"/>
    <w:rsid w:val="00DE09A7"/>
    <w:rsid w:val="00DE23AF"/>
    <w:rsid w:val="00DE31BB"/>
    <w:rsid w:val="00DE3B93"/>
    <w:rsid w:val="00DF1F5E"/>
    <w:rsid w:val="00DF3B9A"/>
    <w:rsid w:val="00DF64D1"/>
    <w:rsid w:val="00DF7C87"/>
    <w:rsid w:val="00E008C0"/>
    <w:rsid w:val="00E01184"/>
    <w:rsid w:val="00E056C6"/>
    <w:rsid w:val="00E05A76"/>
    <w:rsid w:val="00E07CC9"/>
    <w:rsid w:val="00E116F0"/>
    <w:rsid w:val="00E17598"/>
    <w:rsid w:val="00E23FA9"/>
    <w:rsid w:val="00E243A1"/>
    <w:rsid w:val="00E27E98"/>
    <w:rsid w:val="00E30DC4"/>
    <w:rsid w:val="00E3174F"/>
    <w:rsid w:val="00E3711A"/>
    <w:rsid w:val="00E3738A"/>
    <w:rsid w:val="00E40D0D"/>
    <w:rsid w:val="00E41BDE"/>
    <w:rsid w:val="00E459DC"/>
    <w:rsid w:val="00E54052"/>
    <w:rsid w:val="00E56618"/>
    <w:rsid w:val="00E579B9"/>
    <w:rsid w:val="00E608CD"/>
    <w:rsid w:val="00E61596"/>
    <w:rsid w:val="00E625C0"/>
    <w:rsid w:val="00E633BE"/>
    <w:rsid w:val="00E70196"/>
    <w:rsid w:val="00E72549"/>
    <w:rsid w:val="00E74CB5"/>
    <w:rsid w:val="00E813DE"/>
    <w:rsid w:val="00E817E1"/>
    <w:rsid w:val="00E82AF1"/>
    <w:rsid w:val="00E906CC"/>
    <w:rsid w:val="00E93C8E"/>
    <w:rsid w:val="00E9558C"/>
    <w:rsid w:val="00E95590"/>
    <w:rsid w:val="00E97F89"/>
    <w:rsid w:val="00EA2601"/>
    <w:rsid w:val="00EA2E17"/>
    <w:rsid w:val="00EA4109"/>
    <w:rsid w:val="00EA464C"/>
    <w:rsid w:val="00EA5199"/>
    <w:rsid w:val="00EB0D31"/>
    <w:rsid w:val="00EB48EF"/>
    <w:rsid w:val="00EB552B"/>
    <w:rsid w:val="00EB6578"/>
    <w:rsid w:val="00EB65B5"/>
    <w:rsid w:val="00EC25D9"/>
    <w:rsid w:val="00EC2BAA"/>
    <w:rsid w:val="00EC39CA"/>
    <w:rsid w:val="00EC5EEC"/>
    <w:rsid w:val="00EC72D7"/>
    <w:rsid w:val="00ED0697"/>
    <w:rsid w:val="00ED7A05"/>
    <w:rsid w:val="00EE036A"/>
    <w:rsid w:val="00EE2FA6"/>
    <w:rsid w:val="00EE334C"/>
    <w:rsid w:val="00EE53EA"/>
    <w:rsid w:val="00EE753C"/>
    <w:rsid w:val="00EF46AE"/>
    <w:rsid w:val="00EF4B0B"/>
    <w:rsid w:val="00F00169"/>
    <w:rsid w:val="00F01DAD"/>
    <w:rsid w:val="00F02153"/>
    <w:rsid w:val="00F058DF"/>
    <w:rsid w:val="00F063AE"/>
    <w:rsid w:val="00F0649A"/>
    <w:rsid w:val="00F067DC"/>
    <w:rsid w:val="00F15675"/>
    <w:rsid w:val="00F1758F"/>
    <w:rsid w:val="00F20459"/>
    <w:rsid w:val="00F21250"/>
    <w:rsid w:val="00F21BE6"/>
    <w:rsid w:val="00F21E2D"/>
    <w:rsid w:val="00F2398D"/>
    <w:rsid w:val="00F23FCD"/>
    <w:rsid w:val="00F25351"/>
    <w:rsid w:val="00F25876"/>
    <w:rsid w:val="00F26C23"/>
    <w:rsid w:val="00F310FA"/>
    <w:rsid w:val="00F313C2"/>
    <w:rsid w:val="00F33878"/>
    <w:rsid w:val="00F50480"/>
    <w:rsid w:val="00F50F1C"/>
    <w:rsid w:val="00F634A3"/>
    <w:rsid w:val="00F63D3A"/>
    <w:rsid w:val="00F653E3"/>
    <w:rsid w:val="00F66A80"/>
    <w:rsid w:val="00F7053F"/>
    <w:rsid w:val="00F70716"/>
    <w:rsid w:val="00F710F9"/>
    <w:rsid w:val="00F71ADC"/>
    <w:rsid w:val="00F749A7"/>
    <w:rsid w:val="00F7620F"/>
    <w:rsid w:val="00F80B33"/>
    <w:rsid w:val="00F84C62"/>
    <w:rsid w:val="00F87013"/>
    <w:rsid w:val="00F87F40"/>
    <w:rsid w:val="00F9369A"/>
    <w:rsid w:val="00F96436"/>
    <w:rsid w:val="00FA0AE4"/>
    <w:rsid w:val="00FA75A5"/>
    <w:rsid w:val="00FA7F87"/>
    <w:rsid w:val="00FB07E7"/>
    <w:rsid w:val="00FB1869"/>
    <w:rsid w:val="00FB4DBA"/>
    <w:rsid w:val="00FB4E1F"/>
    <w:rsid w:val="00FB667E"/>
    <w:rsid w:val="00FB7FA5"/>
    <w:rsid w:val="00FC17F2"/>
    <w:rsid w:val="00FC25C0"/>
    <w:rsid w:val="00FC31C5"/>
    <w:rsid w:val="00FC5388"/>
    <w:rsid w:val="00FC5A1B"/>
    <w:rsid w:val="00FC5A9F"/>
    <w:rsid w:val="00FD3E54"/>
    <w:rsid w:val="00FE3750"/>
    <w:rsid w:val="00FE552D"/>
    <w:rsid w:val="00FE65A8"/>
    <w:rsid w:val="00FF0510"/>
    <w:rsid w:val="00FF0EFD"/>
    <w:rsid w:val="00FF1665"/>
    <w:rsid w:val="00FF195C"/>
    <w:rsid w:val="00FF31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BE6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7F81"/>
    <w:pPr>
      <w:spacing w:before="120" w:line="360" w:lineRule="auto"/>
      <w:ind w:firstLine="432"/>
      <w:jc w:val="both"/>
    </w:pPr>
    <w:rPr>
      <w:rFonts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1D7974"/>
    <w:pPr>
      <w:keepNext/>
      <w:spacing w:before="240" w:after="60"/>
      <w:jc w:val="center"/>
      <w:outlineLvl w:val="1"/>
    </w:pPr>
    <w:rPr>
      <w:b/>
      <w:bCs/>
      <w:iCs/>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uiPriority w:val="35"/>
    <w:qFormat/>
    <w:rsid w:val="004C2071"/>
    <w:pPr>
      <w:keepNext/>
      <w:spacing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C04DD8"/>
    <w:pPr>
      <w:spacing w:after="120"/>
      <w:ind w:left="720" w:firstLine="720"/>
      <w:contextualSpacing/>
    </w:pPr>
    <w:rPr>
      <w:rFonts w:eastAsiaTheme="minorHAnsi" w:cstheme="minorBidi"/>
      <w:sz w:val="22"/>
      <w:szCs w:val="22"/>
    </w:rPr>
  </w:style>
  <w:style w:type="paragraph" w:customStyle="1" w:styleId="MDPI42tablebody">
    <w:name w:val="MDPI_4.2_table_body"/>
    <w:qFormat/>
    <w:rsid w:val="008D3E33"/>
    <w:pPr>
      <w:adjustRightInd w:val="0"/>
      <w:snapToGrid w:val="0"/>
      <w:spacing w:line="260" w:lineRule="atLeast"/>
      <w:jc w:val="center"/>
    </w:pPr>
    <w:rPr>
      <w:rFonts w:ascii="Palatino Linotype" w:hAnsi="Palatino Linotype"/>
      <w:snapToGrid w:val="0"/>
      <w:color w:val="000000"/>
      <w:lang w:eastAsia="de-DE" w:bidi="en-US"/>
    </w:rPr>
  </w:style>
  <w:style w:type="table" w:customStyle="1" w:styleId="TableGrid1">
    <w:name w:val="Table Grid1"/>
    <w:basedOn w:val="TableNormal"/>
    <w:next w:val="TableGrid"/>
    <w:uiPriority w:val="39"/>
    <w:rsid w:val="002D4A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151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D54F8"/>
    <w:rPr>
      <w:color w:val="605E5C"/>
      <w:shd w:val="clear" w:color="auto" w:fill="E1DFDD"/>
    </w:rPr>
  </w:style>
  <w:style w:type="paragraph" w:customStyle="1" w:styleId="li3">
    <w:name w:val="li3"/>
    <w:basedOn w:val="Normal"/>
    <w:rsid w:val="00031B0B"/>
    <w:pPr>
      <w:spacing w:before="100" w:beforeAutospacing="1" w:after="100" w:afterAutospacing="1" w:line="240" w:lineRule="auto"/>
    </w:pPr>
    <w:rPr>
      <w:rFonts w:ascii="Calibri" w:eastAsiaTheme="minorHAnsi" w:hAnsi="Calibri" w:cs="Calibri"/>
      <w:sz w:val="22"/>
      <w:szCs w:val="22"/>
    </w:rPr>
  </w:style>
  <w:style w:type="character" w:customStyle="1" w:styleId="s2">
    <w:name w:val="s2"/>
    <w:basedOn w:val="DefaultParagraphFont"/>
    <w:rsid w:val="00031B0B"/>
  </w:style>
  <w:style w:type="paragraph" w:styleId="BodyText3">
    <w:name w:val="Body Text 3"/>
    <w:basedOn w:val="Normal"/>
    <w:link w:val="BodyText3Char"/>
    <w:semiHidden/>
    <w:unhideWhenUsed/>
    <w:rsid w:val="00BD7BFD"/>
    <w:pPr>
      <w:spacing w:after="120"/>
    </w:pPr>
    <w:rPr>
      <w:sz w:val="16"/>
      <w:szCs w:val="16"/>
    </w:rPr>
  </w:style>
  <w:style w:type="character" w:customStyle="1" w:styleId="BodyText3Char">
    <w:name w:val="Body Text 3 Char"/>
    <w:basedOn w:val="DefaultParagraphFont"/>
    <w:link w:val="BodyText3"/>
    <w:semiHidden/>
    <w:rsid w:val="00BD7BFD"/>
    <w:rPr>
      <w:rFonts w:cs="Arial"/>
      <w:sz w:val="16"/>
      <w:szCs w:val="16"/>
    </w:rPr>
  </w:style>
  <w:style w:type="paragraph" w:styleId="NormalWeb">
    <w:name w:val="Normal (Web)"/>
    <w:basedOn w:val="Normal"/>
    <w:uiPriority w:val="99"/>
    <w:semiHidden/>
    <w:unhideWhenUsed/>
    <w:rsid w:val="00274DAD"/>
    <w:pPr>
      <w:spacing w:before="100" w:beforeAutospacing="1" w:after="100" w:afterAutospacing="1" w:line="240" w:lineRule="auto"/>
    </w:pPr>
    <w:rPr>
      <w:rFonts w:cs="Times New Roman"/>
    </w:rPr>
  </w:style>
  <w:style w:type="paragraph" w:customStyle="1" w:styleId="Els-table-text">
    <w:name w:val="Els-table-text"/>
    <w:rsid w:val="0085603A"/>
    <w:pPr>
      <w:spacing w:after="80" w:line="200" w:lineRule="exact"/>
    </w:pPr>
    <w:rPr>
      <w:rFonts w:eastAsia="SimSun"/>
      <w:sz w:val="16"/>
    </w:rPr>
  </w:style>
  <w:style w:type="paragraph" w:customStyle="1" w:styleId="Smallheading">
    <w:name w:val="Small heading"/>
    <w:basedOn w:val="ListParagraph"/>
    <w:link w:val="SmallheadingChar"/>
    <w:qFormat/>
    <w:rsid w:val="00CE7DBF"/>
    <w:pPr>
      <w:numPr>
        <w:numId w:val="14"/>
      </w:numPr>
    </w:pPr>
    <w:rPr>
      <w:i/>
      <w:iCs/>
      <w:lang w:val="en-GB"/>
    </w:rPr>
  </w:style>
  <w:style w:type="character" w:customStyle="1" w:styleId="ListParagraphChar">
    <w:name w:val="List Paragraph Char"/>
    <w:basedOn w:val="DefaultParagraphFont"/>
    <w:link w:val="ListParagraph"/>
    <w:uiPriority w:val="34"/>
    <w:rsid w:val="00CE7DBF"/>
    <w:rPr>
      <w:rFonts w:eastAsiaTheme="minorHAnsi" w:cstheme="minorBidi"/>
      <w:sz w:val="22"/>
      <w:szCs w:val="22"/>
    </w:rPr>
  </w:style>
  <w:style w:type="character" w:customStyle="1" w:styleId="SmallheadingChar">
    <w:name w:val="Small heading Char"/>
    <w:basedOn w:val="ListParagraphChar"/>
    <w:link w:val="Smallheading"/>
    <w:rsid w:val="00CE7DBF"/>
    <w:rPr>
      <w:rFonts w:eastAsiaTheme="minorHAnsi" w:cstheme="minorBidi"/>
      <w:i/>
      <w:iCs/>
      <w:sz w:val="22"/>
      <w:szCs w:val="22"/>
      <w:lang w:val="en-GB"/>
    </w:rPr>
  </w:style>
  <w:style w:type="paragraph" w:customStyle="1" w:styleId="m6628520296213050328msolistparagraph">
    <w:name w:val="m_6628520296213050328msolistparagraph"/>
    <w:basedOn w:val="Normal"/>
    <w:rsid w:val="00322E56"/>
    <w:pPr>
      <w:spacing w:before="100" w:beforeAutospacing="1" w:after="100" w:afterAutospacing="1" w:line="240" w:lineRule="auto"/>
    </w:pPr>
    <w:rPr>
      <w:rFonts w:cs="Times New Roman"/>
    </w:rPr>
  </w:style>
  <w:style w:type="character" w:styleId="CommentReference">
    <w:name w:val="annotation reference"/>
    <w:basedOn w:val="DefaultParagraphFont"/>
    <w:uiPriority w:val="99"/>
    <w:semiHidden/>
    <w:unhideWhenUsed/>
    <w:rsid w:val="00322E56"/>
    <w:rPr>
      <w:sz w:val="16"/>
      <w:szCs w:val="16"/>
    </w:rPr>
  </w:style>
  <w:style w:type="paragraph" w:styleId="CommentText">
    <w:name w:val="annotation text"/>
    <w:basedOn w:val="Normal"/>
    <w:link w:val="CommentTextChar"/>
    <w:uiPriority w:val="99"/>
    <w:unhideWhenUsed/>
    <w:rsid w:val="00322E56"/>
    <w:pPr>
      <w:spacing w:after="160" w:line="240" w:lineRule="auto"/>
    </w:pPr>
    <w:rPr>
      <w:rFonts w:eastAsiaTheme="minorHAnsi" w:cstheme="minorBidi"/>
      <w:sz w:val="20"/>
      <w:szCs w:val="20"/>
    </w:rPr>
  </w:style>
  <w:style w:type="character" w:customStyle="1" w:styleId="CommentTextChar">
    <w:name w:val="Comment Text Char"/>
    <w:basedOn w:val="DefaultParagraphFont"/>
    <w:link w:val="CommentText"/>
    <w:uiPriority w:val="99"/>
    <w:rsid w:val="00322E56"/>
    <w:rPr>
      <w:rFonts w:eastAsiaTheme="minorHAnsi" w:cstheme="minorBidi"/>
    </w:rPr>
  </w:style>
  <w:style w:type="paragraph" w:styleId="EndnoteText">
    <w:name w:val="endnote text"/>
    <w:basedOn w:val="Normal"/>
    <w:link w:val="EndnoteTextChar"/>
    <w:semiHidden/>
    <w:unhideWhenUsed/>
    <w:rsid w:val="00BF4814"/>
    <w:pPr>
      <w:spacing w:line="240" w:lineRule="auto"/>
    </w:pPr>
    <w:rPr>
      <w:sz w:val="20"/>
      <w:szCs w:val="20"/>
    </w:rPr>
  </w:style>
  <w:style w:type="character" w:customStyle="1" w:styleId="EndnoteTextChar">
    <w:name w:val="Endnote Text Char"/>
    <w:basedOn w:val="DefaultParagraphFont"/>
    <w:link w:val="EndnoteText"/>
    <w:semiHidden/>
    <w:rsid w:val="00BF4814"/>
    <w:rPr>
      <w:rFonts w:cs="Arial"/>
    </w:rPr>
  </w:style>
  <w:style w:type="character" w:styleId="EndnoteReference">
    <w:name w:val="endnote reference"/>
    <w:basedOn w:val="DefaultParagraphFont"/>
    <w:semiHidden/>
    <w:unhideWhenUsed/>
    <w:rsid w:val="00BF4814"/>
    <w:rPr>
      <w:vertAlign w:val="superscript"/>
    </w:rPr>
  </w:style>
  <w:style w:type="character" w:styleId="PlaceholderText">
    <w:name w:val="Placeholder Text"/>
    <w:basedOn w:val="DefaultParagraphFont"/>
    <w:uiPriority w:val="99"/>
    <w:semiHidden/>
    <w:rsid w:val="003C3FA5"/>
    <w:rPr>
      <w:color w:val="808080"/>
    </w:rPr>
  </w:style>
  <w:style w:type="paragraph" w:styleId="CommentSubject">
    <w:name w:val="annotation subject"/>
    <w:basedOn w:val="CommentText"/>
    <w:next w:val="CommentText"/>
    <w:link w:val="CommentSubjectChar"/>
    <w:semiHidden/>
    <w:unhideWhenUsed/>
    <w:rsid w:val="007D1B20"/>
    <w:pPr>
      <w:spacing w:after="0"/>
    </w:pPr>
    <w:rPr>
      <w:rFonts w:eastAsia="Times New Roman" w:cs="Arial"/>
      <w:b/>
      <w:bCs/>
    </w:rPr>
  </w:style>
  <w:style w:type="character" w:customStyle="1" w:styleId="CommentSubjectChar">
    <w:name w:val="Comment Subject Char"/>
    <w:basedOn w:val="CommentTextChar"/>
    <w:link w:val="CommentSubject"/>
    <w:semiHidden/>
    <w:rsid w:val="007D1B20"/>
    <w:rPr>
      <w:rFonts w:eastAsiaTheme="minorHAnsi" w:cs="Arial"/>
      <w:b/>
      <w:bCs/>
    </w:rPr>
  </w:style>
  <w:style w:type="paragraph" w:styleId="NoSpacing">
    <w:name w:val="No Spacing"/>
    <w:uiPriority w:val="1"/>
    <w:qFormat/>
    <w:rsid w:val="00D14B09"/>
    <w:pPr>
      <w:jc w:val="both"/>
    </w:pPr>
    <w:rPr>
      <w:rFonts w:cs="Arial"/>
      <w:sz w:val="24"/>
      <w:szCs w:val="24"/>
    </w:rPr>
  </w:style>
  <w:style w:type="paragraph" w:styleId="Revision">
    <w:name w:val="Revision"/>
    <w:hidden/>
    <w:uiPriority w:val="99"/>
    <w:semiHidden/>
    <w:rsid w:val="00B80307"/>
    <w:rPr>
      <w:rFonts w:cs="Arial"/>
      <w:sz w:val="24"/>
      <w:szCs w:val="24"/>
    </w:rPr>
  </w:style>
  <w:style w:type="table" w:styleId="PlainTable4">
    <w:name w:val="Plain Table 4"/>
    <w:basedOn w:val="TableNormal"/>
    <w:uiPriority w:val="44"/>
    <w:rsid w:val="0001075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1075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7609">
      <w:bodyDiv w:val="1"/>
      <w:marLeft w:val="0"/>
      <w:marRight w:val="0"/>
      <w:marTop w:val="0"/>
      <w:marBottom w:val="0"/>
      <w:divBdr>
        <w:top w:val="none" w:sz="0" w:space="0" w:color="auto"/>
        <w:left w:val="none" w:sz="0" w:space="0" w:color="auto"/>
        <w:bottom w:val="none" w:sz="0" w:space="0" w:color="auto"/>
        <w:right w:val="none" w:sz="0" w:space="0" w:color="auto"/>
      </w:divBdr>
    </w:div>
    <w:div w:id="30494458">
      <w:bodyDiv w:val="1"/>
      <w:marLeft w:val="0"/>
      <w:marRight w:val="0"/>
      <w:marTop w:val="0"/>
      <w:marBottom w:val="0"/>
      <w:divBdr>
        <w:top w:val="none" w:sz="0" w:space="0" w:color="auto"/>
        <w:left w:val="none" w:sz="0" w:space="0" w:color="auto"/>
        <w:bottom w:val="none" w:sz="0" w:space="0" w:color="auto"/>
        <w:right w:val="none" w:sz="0" w:space="0" w:color="auto"/>
      </w:divBdr>
      <w:divsChild>
        <w:div w:id="1378508186">
          <w:marLeft w:val="0"/>
          <w:marRight w:val="0"/>
          <w:marTop w:val="0"/>
          <w:marBottom w:val="0"/>
          <w:divBdr>
            <w:top w:val="none" w:sz="0" w:space="0" w:color="auto"/>
            <w:left w:val="none" w:sz="0" w:space="0" w:color="auto"/>
            <w:bottom w:val="none" w:sz="0" w:space="0" w:color="auto"/>
            <w:right w:val="none" w:sz="0" w:space="0" w:color="auto"/>
          </w:divBdr>
          <w:divsChild>
            <w:div w:id="184754143">
              <w:marLeft w:val="0"/>
              <w:marRight w:val="0"/>
              <w:marTop w:val="0"/>
              <w:marBottom w:val="0"/>
              <w:divBdr>
                <w:top w:val="none" w:sz="0" w:space="0" w:color="auto"/>
                <w:left w:val="none" w:sz="0" w:space="0" w:color="auto"/>
                <w:bottom w:val="none" w:sz="0" w:space="0" w:color="auto"/>
                <w:right w:val="none" w:sz="0" w:space="0" w:color="auto"/>
              </w:divBdr>
              <w:divsChild>
                <w:div w:id="191673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75896">
      <w:bodyDiv w:val="1"/>
      <w:marLeft w:val="0"/>
      <w:marRight w:val="0"/>
      <w:marTop w:val="0"/>
      <w:marBottom w:val="0"/>
      <w:divBdr>
        <w:top w:val="none" w:sz="0" w:space="0" w:color="auto"/>
        <w:left w:val="none" w:sz="0" w:space="0" w:color="auto"/>
        <w:bottom w:val="none" w:sz="0" w:space="0" w:color="auto"/>
        <w:right w:val="none" w:sz="0" w:space="0" w:color="auto"/>
      </w:divBdr>
    </w:div>
    <w:div w:id="225649911">
      <w:bodyDiv w:val="1"/>
      <w:marLeft w:val="0"/>
      <w:marRight w:val="0"/>
      <w:marTop w:val="0"/>
      <w:marBottom w:val="0"/>
      <w:divBdr>
        <w:top w:val="none" w:sz="0" w:space="0" w:color="auto"/>
        <w:left w:val="none" w:sz="0" w:space="0" w:color="auto"/>
        <w:bottom w:val="none" w:sz="0" w:space="0" w:color="auto"/>
        <w:right w:val="none" w:sz="0" w:space="0" w:color="auto"/>
      </w:divBdr>
    </w:div>
    <w:div w:id="251428335">
      <w:bodyDiv w:val="1"/>
      <w:marLeft w:val="0"/>
      <w:marRight w:val="0"/>
      <w:marTop w:val="0"/>
      <w:marBottom w:val="0"/>
      <w:divBdr>
        <w:top w:val="none" w:sz="0" w:space="0" w:color="auto"/>
        <w:left w:val="none" w:sz="0" w:space="0" w:color="auto"/>
        <w:bottom w:val="none" w:sz="0" w:space="0" w:color="auto"/>
        <w:right w:val="none" w:sz="0" w:space="0" w:color="auto"/>
      </w:divBdr>
    </w:div>
    <w:div w:id="286208175">
      <w:bodyDiv w:val="1"/>
      <w:marLeft w:val="0"/>
      <w:marRight w:val="0"/>
      <w:marTop w:val="0"/>
      <w:marBottom w:val="0"/>
      <w:divBdr>
        <w:top w:val="none" w:sz="0" w:space="0" w:color="auto"/>
        <w:left w:val="none" w:sz="0" w:space="0" w:color="auto"/>
        <w:bottom w:val="none" w:sz="0" w:space="0" w:color="auto"/>
        <w:right w:val="none" w:sz="0" w:space="0" w:color="auto"/>
      </w:divBdr>
    </w:div>
    <w:div w:id="336883524">
      <w:bodyDiv w:val="1"/>
      <w:marLeft w:val="0"/>
      <w:marRight w:val="0"/>
      <w:marTop w:val="0"/>
      <w:marBottom w:val="0"/>
      <w:divBdr>
        <w:top w:val="none" w:sz="0" w:space="0" w:color="auto"/>
        <w:left w:val="none" w:sz="0" w:space="0" w:color="auto"/>
        <w:bottom w:val="none" w:sz="0" w:space="0" w:color="auto"/>
        <w:right w:val="none" w:sz="0" w:space="0" w:color="auto"/>
      </w:divBdr>
      <w:divsChild>
        <w:div w:id="1173379395">
          <w:marLeft w:val="0"/>
          <w:marRight w:val="0"/>
          <w:marTop w:val="0"/>
          <w:marBottom w:val="0"/>
          <w:divBdr>
            <w:top w:val="none" w:sz="0" w:space="0" w:color="auto"/>
            <w:left w:val="none" w:sz="0" w:space="0" w:color="auto"/>
            <w:bottom w:val="none" w:sz="0" w:space="0" w:color="auto"/>
            <w:right w:val="none" w:sz="0" w:space="0" w:color="auto"/>
          </w:divBdr>
          <w:divsChild>
            <w:div w:id="464856405">
              <w:marLeft w:val="0"/>
              <w:marRight w:val="0"/>
              <w:marTop w:val="0"/>
              <w:marBottom w:val="0"/>
              <w:divBdr>
                <w:top w:val="none" w:sz="0" w:space="0" w:color="auto"/>
                <w:left w:val="none" w:sz="0" w:space="0" w:color="auto"/>
                <w:bottom w:val="none" w:sz="0" w:space="0" w:color="auto"/>
                <w:right w:val="none" w:sz="0" w:space="0" w:color="auto"/>
              </w:divBdr>
              <w:divsChild>
                <w:div w:id="92753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093832">
      <w:bodyDiv w:val="1"/>
      <w:marLeft w:val="0"/>
      <w:marRight w:val="0"/>
      <w:marTop w:val="0"/>
      <w:marBottom w:val="0"/>
      <w:divBdr>
        <w:top w:val="none" w:sz="0" w:space="0" w:color="auto"/>
        <w:left w:val="none" w:sz="0" w:space="0" w:color="auto"/>
        <w:bottom w:val="none" w:sz="0" w:space="0" w:color="auto"/>
        <w:right w:val="none" w:sz="0" w:space="0" w:color="auto"/>
      </w:divBdr>
    </w:div>
    <w:div w:id="419371692">
      <w:bodyDiv w:val="1"/>
      <w:marLeft w:val="0"/>
      <w:marRight w:val="0"/>
      <w:marTop w:val="0"/>
      <w:marBottom w:val="0"/>
      <w:divBdr>
        <w:top w:val="none" w:sz="0" w:space="0" w:color="auto"/>
        <w:left w:val="none" w:sz="0" w:space="0" w:color="auto"/>
        <w:bottom w:val="none" w:sz="0" w:space="0" w:color="auto"/>
        <w:right w:val="none" w:sz="0" w:space="0" w:color="auto"/>
      </w:divBdr>
    </w:div>
    <w:div w:id="420031054">
      <w:bodyDiv w:val="1"/>
      <w:marLeft w:val="0"/>
      <w:marRight w:val="0"/>
      <w:marTop w:val="0"/>
      <w:marBottom w:val="0"/>
      <w:divBdr>
        <w:top w:val="none" w:sz="0" w:space="0" w:color="auto"/>
        <w:left w:val="none" w:sz="0" w:space="0" w:color="auto"/>
        <w:bottom w:val="none" w:sz="0" w:space="0" w:color="auto"/>
        <w:right w:val="none" w:sz="0" w:space="0" w:color="auto"/>
      </w:divBdr>
      <w:divsChild>
        <w:div w:id="221989472">
          <w:marLeft w:val="0"/>
          <w:marRight w:val="0"/>
          <w:marTop w:val="0"/>
          <w:marBottom w:val="0"/>
          <w:divBdr>
            <w:top w:val="none" w:sz="0" w:space="0" w:color="auto"/>
            <w:left w:val="none" w:sz="0" w:space="0" w:color="auto"/>
            <w:bottom w:val="none" w:sz="0" w:space="0" w:color="auto"/>
            <w:right w:val="none" w:sz="0" w:space="0" w:color="auto"/>
          </w:divBdr>
        </w:div>
        <w:div w:id="1673141531">
          <w:marLeft w:val="0"/>
          <w:marRight w:val="0"/>
          <w:marTop w:val="0"/>
          <w:marBottom w:val="0"/>
          <w:divBdr>
            <w:top w:val="none" w:sz="0" w:space="0" w:color="auto"/>
            <w:left w:val="none" w:sz="0" w:space="0" w:color="auto"/>
            <w:bottom w:val="none" w:sz="0" w:space="0" w:color="auto"/>
            <w:right w:val="none" w:sz="0" w:space="0" w:color="auto"/>
          </w:divBdr>
          <w:divsChild>
            <w:div w:id="157824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95636">
      <w:bodyDiv w:val="1"/>
      <w:marLeft w:val="0"/>
      <w:marRight w:val="0"/>
      <w:marTop w:val="0"/>
      <w:marBottom w:val="0"/>
      <w:divBdr>
        <w:top w:val="none" w:sz="0" w:space="0" w:color="auto"/>
        <w:left w:val="none" w:sz="0" w:space="0" w:color="auto"/>
        <w:bottom w:val="none" w:sz="0" w:space="0" w:color="auto"/>
        <w:right w:val="none" w:sz="0" w:space="0" w:color="auto"/>
      </w:divBdr>
    </w:div>
    <w:div w:id="541525536">
      <w:bodyDiv w:val="1"/>
      <w:marLeft w:val="0"/>
      <w:marRight w:val="0"/>
      <w:marTop w:val="0"/>
      <w:marBottom w:val="0"/>
      <w:divBdr>
        <w:top w:val="none" w:sz="0" w:space="0" w:color="auto"/>
        <w:left w:val="none" w:sz="0" w:space="0" w:color="auto"/>
        <w:bottom w:val="none" w:sz="0" w:space="0" w:color="auto"/>
        <w:right w:val="none" w:sz="0" w:space="0" w:color="auto"/>
      </w:divBdr>
    </w:div>
    <w:div w:id="554968886">
      <w:bodyDiv w:val="1"/>
      <w:marLeft w:val="0"/>
      <w:marRight w:val="0"/>
      <w:marTop w:val="0"/>
      <w:marBottom w:val="0"/>
      <w:divBdr>
        <w:top w:val="none" w:sz="0" w:space="0" w:color="auto"/>
        <w:left w:val="none" w:sz="0" w:space="0" w:color="auto"/>
        <w:bottom w:val="none" w:sz="0" w:space="0" w:color="auto"/>
        <w:right w:val="none" w:sz="0" w:space="0" w:color="auto"/>
      </w:divBdr>
    </w:div>
    <w:div w:id="596787999">
      <w:bodyDiv w:val="1"/>
      <w:marLeft w:val="0"/>
      <w:marRight w:val="0"/>
      <w:marTop w:val="0"/>
      <w:marBottom w:val="0"/>
      <w:divBdr>
        <w:top w:val="none" w:sz="0" w:space="0" w:color="auto"/>
        <w:left w:val="none" w:sz="0" w:space="0" w:color="auto"/>
        <w:bottom w:val="none" w:sz="0" w:space="0" w:color="auto"/>
        <w:right w:val="none" w:sz="0" w:space="0" w:color="auto"/>
      </w:divBdr>
      <w:divsChild>
        <w:div w:id="35550307">
          <w:marLeft w:val="0"/>
          <w:marRight w:val="0"/>
          <w:marTop w:val="0"/>
          <w:marBottom w:val="0"/>
          <w:divBdr>
            <w:top w:val="none" w:sz="0" w:space="0" w:color="auto"/>
            <w:left w:val="none" w:sz="0" w:space="0" w:color="auto"/>
            <w:bottom w:val="none" w:sz="0" w:space="0" w:color="auto"/>
            <w:right w:val="none" w:sz="0" w:space="0" w:color="auto"/>
          </w:divBdr>
          <w:divsChild>
            <w:div w:id="348800125">
              <w:marLeft w:val="0"/>
              <w:marRight w:val="0"/>
              <w:marTop w:val="0"/>
              <w:marBottom w:val="0"/>
              <w:divBdr>
                <w:top w:val="none" w:sz="0" w:space="0" w:color="auto"/>
                <w:left w:val="none" w:sz="0" w:space="0" w:color="auto"/>
                <w:bottom w:val="none" w:sz="0" w:space="0" w:color="auto"/>
                <w:right w:val="none" w:sz="0" w:space="0" w:color="auto"/>
              </w:divBdr>
              <w:divsChild>
                <w:div w:id="183514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60502514">
      <w:bodyDiv w:val="1"/>
      <w:marLeft w:val="0"/>
      <w:marRight w:val="0"/>
      <w:marTop w:val="0"/>
      <w:marBottom w:val="0"/>
      <w:divBdr>
        <w:top w:val="none" w:sz="0" w:space="0" w:color="auto"/>
        <w:left w:val="none" w:sz="0" w:space="0" w:color="auto"/>
        <w:bottom w:val="none" w:sz="0" w:space="0" w:color="auto"/>
        <w:right w:val="none" w:sz="0" w:space="0" w:color="auto"/>
      </w:divBdr>
    </w:div>
    <w:div w:id="674381857">
      <w:bodyDiv w:val="1"/>
      <w:marLeft w:val="0"/>
      <w:marRight w:val="0"/>
      <w:marTop w:val="0"/>
      <w:marBottom w:val="0"/>
      <w:divBdr>
        <w:top w:val="none" w:sz="0" w:space="0" w:color="auto"/>
        <w:left w:val="none" w:sz="0" w:space="0" w:color="auto"/>
        <w:bottom w:val="none" w:sz="0" w:space="0" w:color="auto"/>
        <w:right w:val="none" w:sz="0" w:space="0" w:color="auto"/>
      </w:divBdr>
    </w:div>
    <w:div w:id="731199851">
      <w:bodyDiv w:val="1"/>
      <w:marLeft w:val="0"/>
      <w:marRight w:val="0"/>
      <w:marTop w:val="0"/>
      <w:marBottom w:val="0"/>
      <w:divBdr>
        <w:top w:val="none" w:sz="0" w:space="0" w:color="auto"/>
        <w:left w:val="none" w:sz="0" w:space="0" w:color="auto"/>
        <w:bottom w:val="none" w:sz="0" w:space="0" w:color="auto"/>
        <w:right w:val="none" w:sz="0" w:space="0" w:color="auto"/>
      </w:divBdr>
    </w:div>
    <w:div w:id="780494106">
      <w:bodyDiv w:val="1"/>
      <w:marLeft w:val="0"/>
      <w:marRight w:val="0"/>
      <w:marTop w:val="0"/>
      <w:marBottom w:val="0"/>
      <w:divBdr>
        <w:top w:val="none" w:sz="0" w:space="0" w:color="auto"/>
        <w:left w:val="none" w:sz="0" w:space="0" w:color="auto"/>
        <w:bottom w:val="none" w:sz="0" w:space="0" w:color="auto"/>
        <w:right w:val="none" w:sz="0" w:space="0" w:color="auto"/>
      </w:divBdr>
    </w:div>
    <w:div w:id="796724332">
      <w:bodyDiv w:val="1"/>
      <w:marLeft w:val="0"/>
      <w:marRight w:val="0"/>
      <w:marTop w:val="0"/>
      <w:marBottom w:val="0"/>
      <w:divBdr>
        <w:top w:val="none" w:sz="0" w:space="0" w:color="auto"/>
        <w:left w:val="none" w:sz="0" w:space="0" w:color="auto"/>
        <w:bottom w:val="none" w:sz="0" w:space="0" w:color="auto"/>
        <w:right w:val="none" w:sz="0" w:space="0" w:color="auto"/>
      </w:divBdr>
      <w:divsChild>
        <w:div w:id="453671071">
          <w:marLeft w:val="640"/>
          <w:marRight w:val="0"/>
          <w:marTop w:val="0"/>
          <w:marBottom w:val="0"/>
          <w:divBdr>
            <w:top w:val="none" w:sz="0" w:space="0" w:color="auto"/>
            <w:left w:val="none" w:sz="0" w:space="0" w:color="auto"/>
            <w:bottom w:val="none" w:sz="0" w:space="0" w:color="auto"/>
            <w:right w:val="none" w:sz="0" w:space="0" w:color="auto"/>
          </w:divBdr>
        </w:div>
        <w:div w:id="461843896">
          <w:marLeft w:val="640"/>
          <w:marRight w:val="0"/>
          <w:marTop w:val="0"/>
          <w:marBottom w:val="0"/>
          <w:divBdr>
            <w:top w:val="none" w:sz="0" w:space="0" w:color="auto"/>
            <w:left w:val="none" w:sz="0" w:space="0" w:color="auto"/>
            <w:bottom w:val="none" w:sz="0" w:space="0" w:color="auto"/>
            <w:right w:val="none" w:sz="0" w:space="0" w:color="auto"/>
          </w:divBdr>
        </w:div>
        <w:div w:id="2035692920">
          <w:marLeft w:val="640"/>
          <w:marRight w:val="0"/>
          <w:marTop w:val="0"/>
          <w:marBottom w:val="0"/>
          <w:divBdr>
            <w:top w:val="none" w:sz="0" w:space="0" w:color="auto"/>
            <w:left w:val="none" w:sz="0" w:space="0" w:color="auto"/>
            <w:bottom w:val="none" w:sz="0" w:space="0" w:color="auto"/>
            <w:right w:val="none" w:sz="0" w:space="0" w:color="auto"/>
          </w:divBdr>
        </w:div>
        <w:div w:id="1271088431">
          <w:marLeft w:val="640"/>
          <w:marRight w:val="0"/>
          <w:marTop w:val="0"/>
          <w:marBottom w:val="0"/>
          <w:divBdr>
            <w:top w:val="none" w:sz="0" w:space="0" w:color="auto"/>
            <w:left w:val="none" w:sz="0" w:space="0" w:color="auto"/>
            <w:bottom w:val="none" w:sz="0" w:space="0" w:color="auto"/>
            <w:right w:val="none" w:sz="0" w:space="0" w:color="auto"/>
          </w:divBdr>
        </w:div>
        <w:div w:id="653217299">
          <w:marLeft w:val="640"/>
          <w:marRight w:val="0"/>
          <w:marTop w:val="0"/>
          <w:marBottom w:val="0"/>
          <w:divBdr>
            <w:top w:val="none" w:sz="0" w:space="0" w:color="auto"/>
            <w:left w:val="none" w:sz="0" w:space="0" w:color="auto"/>
            <w:bottom w:val="none" w:sz="0" w:space="0" w:color="auto"/>
            <w:right w:val="none" w:sz="0" w:space="0" w:color="auto"/>
          </w:divBdr>
        </w:div>
        <w:div w:id="1533298247">
          <w:marLeft w:val="640"/>
          <w:marRight w:val="0"/>
          <w:marTop w:val="0"/>
          <w:marBottom w:val="0"/>
          <w:divBdr>
            <w:top w:val="none" w:sz="0" w:space="0" w:color="auto"/>
            <w:left w:val="none" w:sz="0" w:space="0" w:color="auto"/>
            <w:bottom w:val="none" w:sz="0" w:space="0" w:color="auto"/>
            <w:right w:val="none" w:sz="0" w:space="0" w:color="auto"/>
          </w:divBdr>
        </w:div>
        <w:div w:id="485051797">
          <w:marLeft w:val="640"/>
          <w:marRight w:val="0"/>
          <w:marTop w:val="0"/>
          <w:marBottom w:val="0"/>
          <w:divBdr>
            <w:top w:val="none" w:sz="0" w:space="0" w:color="auto"/>
            <w:left w:val="none" w:sz="0" w:space="0" w:color="auto"/>
            <w:bottom w:val="none" w:sz="0" w:space="0" w:color="auto"/>
            <w:right w:val="none" w:sz="0" w:space="0" w:color="auto"/>
          </w:divBdr>
        </w:div>
        <w:div w:id="1550335707">
          <w:marLeft w:val="640"/>
          <w:marRight w:val="0"/>
          <w:marTop w:val="0"/>
          <w:marBottom w:val="0"/>
          <w:divBdr>
            <w:top w:val="none" w:sz="0" w:space="0" w:color="auto"/>
            <w:left w:val="none" w:sz="0" w:space="0" w:color="auto"/>
            <w:bottom w:val="none" w:sz="0" w:space="0" w:color="auto"/>
            <w:right w:val="none" w:sz="0" w:space="0" w:color="auto"/>
          </w:divBdr>
        </w:div>
        <w:div w:id="1911191149">
          <w:marLeft w:val="640"/>
          <w:marRight w:val="0"/>
          <w:marTop w:val="0"/>
          <w:marBottom w:val="0"/>
          <w:divBdr>
            <w:top w:val="none" w:sz="0" w:space="0" w:color="auto"/>
            <w:left w:val="none" w:sz="0" w:space="0" w:color="auto"/>
            <w:bottom w:val="none" w:sz="0" w:space="0" w:color="auto"/>
            <w:right w:val="none" w:sz="0" w:space="0" w:color="auto"/>
          </w:divBdr>
        </w:div>
        <w:div w:id="1692103809">
          <w:marLeft w:val="640"/>
          <w:marRight w:val="0"/>
          <w:marTop w:val="0"/>
          <w:marBottom w:val="0"/>
          <w:divBdr>
            <w:top w:val="none" w:sz="0" w:space="0" w:color="auto"/>
            <w:left w:val="none" w:sz="0" w:space="0" w:color="auto"/>
            <w:bottom w:val="none" w:sz="0" w:space="0" w:color="auto"/>
            <w:right w:val="none" w:sz="0" w:space="0" w:color="auto"/>
          </w:divBdr>
        </w:div>
        <w:div w:id="330909122">
          <w:marLeft w:val="640"/>
          <w:marRight w:val="0"/>
          <w:marTop w:val="0"/>
          <w:marBottom w:val="0"/>
          <w:divBdr>
            <w:top w:val="none" w:sz="0" w:space="0" w:color="auto"/>
            <w:left w:val="none" w:sz="0" w:space="0" w:color="auto"/>
            <w:bottom w:val="none" w:sz="0" w:space="0" w:color="auto"/>
            <w:right w:val="none" w:sz="0" w:space="0" w:color="auto"/>
          </w:divBdr>
        </w:div>
        <w:div w:id="945894024">
          <w:marLeft w:val="640"/>
          <w:marRight w:val="0"/>
          <w:marTop w:val="0"/>
          <w:marBottom w:val="0"/>
          <w:divBdr>
            <w:top w:val="none" w:sz="0" w:space="0" w:color="auto"/>
            <w:left w:val="none" w:sz="0" w:space="0" w:color="auto"/>
            <w:bottom w:val="none" w:sz="0" w:space="0" w:color="auto"/>
            <w:right w:val="none" w:sz="0" w:space="0" w:color="auto"/>
          </w:divBdr>
        </w:div>
        <w:div w:id="332495745">
          <w:marLeft w:val="640"/>
          <w:marRight w:val="0"/>
          <w:marTop w:val="0"/>
          <w:marBottom w:val="0"/>
          <w:divBdr>
            <w:top w:val="none" w:sz="0" w:space="0" w:color="auto"/>
            <w:left w:val="none" w:sz="0" w:space="0" w:color="auto"/>
            <w:bottom w:val="none" w:sz="0" w:space="0" w:color="auto"/>
            <w:right w:val="none" w:sz="0" w:space="0" w:color="auto"/>
          </w:divBdr>
        </w:div>
        <w:div w:id="942803286">
          <w:marLeft w:val="640"/>
          <w:marRight w:val="0"/>
          <w:marTop w:val="0"/>
          <w:marBottom w:val="0"/>
          <w:divBdr>
            <w:top w:val="none" w:sz="0" w:space="0" w:color="auto"/>
            <w:left w:val="none" w:sz="0" w:space="0" w:color="auto"/>
            <w:bottom w:val="none" w:sz="0" w:space="0" w:color="auto"/>
            <w:right w:val="none" w:sz="0" w:space="0" w:color="auto"/>
          </w:divBdr>
        </w:div>
        <w:div w:id="1136407625">
          <w:marLeft w:val="640"/>
          <w:marRight w:val="0"/>
          <w:marTop w:val="0"/>
          <w:marBottom w:val="0"/>
          <w:divBdr>
            <w:top w:val="none" w:sz="0" w:space="0" w:color="auto"/>
            <w:left w:val="none" w:sz="0" w:space="0" w:color="auto"/>
            <w:bottom w:val="none" w:sz="0" w:space="0" w:color="auto"/>
            <w:right w:val="none" w:sz="0" w:space="0" w:color="auto"/>
          </w:divBdr>
        </w:div>
        <w:div w:id="2009096458">
          <w:marLeft w:val="640"/>
          <w:marRight w:val="0"/>
          <w:marTop w:val="0"/>
          <w:marBottom w:val="0"/>
          <w:divBdr>
            <w:top w:val="none" w:sz="0" w:space="0" w:color="auto"/>
            <w:left w:val="none" w:sz="0" w:space="0" w:color="auto"/>
            <w:bottom w:val="none" w:sz="0" w:space="0" w:color="auto"/>
            <w:right w:val="none" w:sz="0" w:space="0" w:color="auto"/>
          </w:divBdr>
        </w:div>
        <w:div w:id="1881941491">
          <w:marLeft w:val="640"/>
          <w:marRight w:val="0"/>
          <w:marTop w:val="0"/>
          <w:marBottom w:val="0"/>
          <w:divBdr>
            <w:top w:val="none" w:sz="0" w:space="0" w:color="auto"/>
            <w:left w:val="none" w:sz="0" w:space="0" w:color="auto"/>
            <w:bottom w:val="none" w:sz="0" w:space="0" w:color="auto"/>
            <w:right w:val="none" w:sz="0" w:space="0" w:color="auto"/>
          </w:divBdr>
        </w:div>
        <w:div w:id="1558974024">
          <w:marLeft w:val="640"/>
          <w:marRight w:val="0"/>
          <w:marTop w:val="0"/>
          <w:marBottom w:val="0"/>
          <w:divBdr>
            <w:top w:val="none" w:sz="0" w:space="0" w:color="auto"/>
            <w:left w:val="none" w:sz="0" w:space="0" w:color="auto"/>
            <w:bottom w:val="none" w:sz="0" w:space="0" w:color="auto"/>
            <w:right w:val="none" w:sz="0" w:space="0" w:color="auto"/>
          </w:divBdr>
        </w:div>
        <w:div w:id="1500385978">
          <w:marLeft w:val="640"/>
          <w:marRight w:val="0"/>
          <w:marTop w:val="0"/>
          <w:marBottom w:val="0"/>
          <w:divBdr>
            <w:top w:val="none" w:sz="0" w:space="0" w:color="auto"/>
            <w:left w:val="none" w:sz="0" w:space="0" w:color="auto"/>
            <w:bottom w:val="none" w:sz="0" w:space="0" w:color="auto"/>
            <w:right w:val="none" w:sz="0" w:space="0" w:color="auto"/>
          </w:divBdr>
        </w:div>
        <w:div w:id="2097898283">
          <w:marLeft w:val="640"/>
          <w:marRight w:val="0"/>
          <w:marTop w:val="0"/>
          <w:marBottom w:val="0"/>
          <w:divBdr>
            <w:top w:val="none" w:sz="0" w:space="0" w:color="auto"/>
            <w:left w:val="none" w:sz="0" w:space="0" w:color="auto"/>
            <w:bottom w:val="none" w:sz="0" w:space="0" w:color="auto"/>
            <w:right w:val="none" w:sz="0" w:space="0" w:color="auto"/>
          </w:divBdr>
        </w:div>
        <w:div w:id="366561336">
          <w:marLeft w:val="640"/>
          <w:marRight w:val="0"/>
          <w:marTop w:val="0"/>
          <w:marBottom w:val="0"/>
          <w:divBdr>
            <w:top w:val="none" w:sz="0" w:space="0" w:color="auto"/>
            <w:left w:val="none" w:sz="0" w:space="0" w:color="auto"/>
            <w:bottom w:val="none" w:sz="0" w:space="0" w:color="auto"/>
            <w:right w:val="none" w:sz="0" w:space="0" w:color="auto"/>
          </w:divBdr>
        </w:div>
        <w:div w:id="484977064">
          <w:marLeft w:val="640"/>
          <w:marRight w:val="0"/>
          <w:marTop w:val="0"/>
          <w:marBottom w:val="0"/>
          <w:divBdr>
            <w:top w:val="none" w:sz="0" w:space="0" w:color="auto"/>
            <w:left w:val="none" w:sz="0" w:space="0" w:color="auto"/>
            <w:bottom w:val="none" w:sz="0" w:space="0" w:color="auto"/>
            <w:right w:val="none" w:sz="0" w:space="0" w:color="auto"/>
          </w:divBdr>
        </w:div>
        <w:div w:id="625044905">
          <w:marLeft w:val="640"/>
          <w:marRight w:val="0"/>
          <w:marTop w:val="0"/>
          <w:marBottom w:val="0"/>
          <w:divBdr>
            <w:top w:val="none" w:sz="0" w:space="0" w:color="auto"/>
            <w:left w:val="none" w:sz="0" w:space="0" w:color="auto"/>
            <w:bottom w:val="none" w:sz="0" w:space="0" w:color="auto"/>
            <w:right w:val="none" w:sz="0" w:space="0" w:color="auto"/>
          </w:divBdr>
        </w:div>
        <w:div w:id="52851353">
          <w:marLeft w:val="640"/>
          <w:marRight w:val="0"/>
          <w:marTop w:val="0"/>
          <w:marBottom w:val="0"/>
          <w:divBdr>
            <w:top w:val="none" w:sz="0" w:space="0" w:color="auto"/>
            <w:left w:val="none" w:sz="0" w:space="0" w:color="auto"/>
            <w:bottom w:val="none" w:sz="0" w:space="0" w:color="auto"/>
            <w:right w:val="none" w:sz="0" w:space="0" w:color="auto"/>
          </w:divBdr>
        </w:div>
        <w:div w:id="2112818284">
          <w:marLeft w:val="640"/>
          <w:marRight w:val="0"/>
          <w:marTop w:val="0"/>
          <w:marBottom w:val="0"/>
          <w:divBdr>
            <w:top w:val="none" w:sz="0" w:space="0" w:color="auto"/>
            <w:left w:val="none" w:sz="0" w:space="0" w:color="auto"/>
            <w:bottom w:val="none" w:sz="0" w:space="0" w:color="auto"/>
            <w:right w:val="none" w:sz="0" w:space="0" w:color="auto"/>
          </w:divBdr>
        </w:div>
        <w:div w:id="497159033">
          <w:marLeft w:val="640"/>
          <w:marRight w:val="0"/>
          <w:marTop w:val="0"/>
          <w:marBottom w:val="0"/>
          <w:divBdr>
            <w:top w:val="none" w:sz="0" w:space="0" w:color="auto"/>
            <w:left w:val="none" w:sz="0" w:space="0" w:color="auto"/>
            <w:bottom w:val="none" w:sz="0" w:space="0" w:color="auto"/>
            <w:right w:val="none" w:sz="0" w:space="0" w:color="auto"/>
          </w:divBdr>
        </w:div>
        <w:div w:id="509376864">
          <w:marLeft w:val="640"/>
          <w:marRight w:val="0"/>
          <w:marTop w:val="0"/>
          <w:marBottom w:val="0"/>
          <w:divBdr>
            <w:top w:val="none" w:sz="0" w:space="0" w:color="auto"/>
            <w:left w:val="none" w:sz="0" w:space="0" w:color="auto"/>
            <w:bottom w:val="none" w:sz="0" w:space="0" w:color="auto"/>
            <w:right w:val="none" w:sz="0" w:space="0" w:color="auto"/>
          </w:divBdr>
        </w:div>
        <w:div w:id="139159215">
          <w:marLeft w:val="640"/>
          <w:marRight w:val="0"/>
          <w:marTop w:val="0"/>
          <w:marBottom w:val="0"/>
          <w:divBdr>
            <w:top w:val="none" w:sz="0" w:space="0" w:color="auto"/>
            <w:left w:val="none" w:sz="0" w:space="0" w:color="auto"/>
            <w:bottom w:val="none" w:sz="0" w:space="0" w:color="auto"/>
            <w:right w:val="none" w:sz="0" w:space="0" w:color="auto"/>
          </w:divBdr>
        </w:div>
        <w:div w:id="1778014821">
          <w:marLeft w:val="640"/>
          <w:marRight w:val="0"/>
          <w:marTop w:val="0"/>
          <w:marBottom w:val="0"/>
          <w:divBdr>
            <w:top w:val="none" w:sz="0" w:space="0" w:color="auto"/>
            <w:left w:val="none" w:sz="0" w:space="0" w:color="auto"/>
            <w:bottom w:val="none" w:sz="0" w:space="0" w:color="auto"/>
            <w:right w:val="none" w:sz="0" w:space="0" w:color="auto"/>
          </w:divBdr>
        </w:div>
        <w:div w:id="2078284134">
          <w:marLeft w:val="640"/>
          <w:marRight w:val="0"/>
          <w:marTop w:val="0"/>
          <w:marBottom w:val="0"/>
          <w:divBdr>
            <w:top w:val="none" w:sz="0" w:space="0" w:color="auto"/>
            <w:left w:val="none" w:sz="0" w:space="0" w:color="auto"/>
            <w:bottom w:val="none" w:sz="0" w:space="0" w:color="auto"/>
            <w:right w:val="none" w:sz="0" w:space="0" w:color="auto"/>
          </w:divBdr>
        </w:div>
        <w:div w:id="1554391050">
          <w:marLeft w:val="640"/>
          <w:marRight w:val="0"/>
          <w:marTop w:val="0"/>
          <w:marBottom w:val="0"/>
          <w:divBdr>
            <w:top w:val="none" w:sz="0" w:space="0" w:color="auto"/>
            <w:left w:val="none" w:sz="0" w:space="0" w:color="auto"/>
            <w:bottom w:val="none" w:sz="0" w:space="0" w:color="auto"/>
            <w:right w:val="none" w:sz="0" w:space="0" w:color="auto"/>
          </w:divBdr>
        </w:div>
        <w:div w:id="944927627">
          <w:marLeft w:val="640"/>
          <w:marRight w:val="0"/>
          <w:marTop w:val="0"/>
          <w:marBottom w:val="0"/>
          <w:divBdr>
            <w:top w:val="none" w:sz="0" w:space="0" w:color="auto"/>
            <w:left w:val="none" w:sz="0" w:space="0" w:color="auto"/>
            <w:bottom w:val="none" w:sz="0" w:space="0" w:color="auto"/>
            <w:right w:val="none" w:sz="0" w:space="0" w:color="auto"/>
          </w:divBdr>
        </w:div>
        <w:div w:id="998074630">
          <w:marLeft w:val="640"/>
          <w:marRight w:val="0"/>
          <w:marTop w:val="0"/>
          <w:marBottom w:val="0"/>
          <w:divBdr>
            <w:top w:val="none" w:sz="0" w:space="0" w:color="auto"/>
            <w:left w:val="none" w:sz="0" w:space="0" w:color="auto"/>
            <w:bottom w:val="none" w:sz="0" w:space="0" w:color="auto"/>
            <w:right w:val="none" w:sz="0" w:space="0" w:color="auto"/>
          </w:divBdr>
        </w:div>
        <w:div w:id="724451940">
          <w:marLeft w:val="640"/>
          <w:marRight w:val="0"/>
          <w:marTop w:val="0"/>
          <w:marBottom w:val="0"/>
          <w:divBdr>
            <w:top w:val="none" w:sz="0" w:space="0" w:color="auto"/>
            <w:left w:val="none" w:sz="0" w:space="0" w:color="auto"/>
            <w:bottom w:val="none" w:sz="0" w:space="0" w:color="auto"/>
            <w:right w:val="none" w:sz="0" w:space="0" w:color="auto"/>
          </w:divBdr>
        </w:div>
        <w:div w:id="162092603">
          <w:marLeft w:val="640"/>
          <w:marRight w:val="0"/>
          <w:marTop w:val="0"/>
          <w:marBottom w:val="0"/>
          <w:divBdr>
            <w:top w:val="none" w:sz="0" w:space="0" w:color="auto"/>
            <w:left w:val="none" w:sz="0" w:space="0" w:color="auto"/>
            <w:bottom w:val="none" w:sz="0" w:space="0" w:color="auto"/>
            <w:right w:val="none" w:sz="0" w:space="0" w:color="auto"/>
          </w:divBdr>
        </w:div>
        <w:div w:id="806706306">
          <w:marLeft w:val="640"/>
          <w:marRight w:val="0"/>
          <w:marTop w:val="0"/>
          <w:marBottom w:val="0"/>
          <w:divBdr>
            <w:top w:val="none" w:sz="0" w:space="0" w:color="auto"/>
            <w:left w:val="none" w:sz="0" w:space="0" w:color="auto"/>
            <w:bottom w:val="none" w:sz="0" w:space="0" w:color="auto"/>
            <w:right w:val="none" w:sz="0" w:space="0" w:color="auto"/>
          </w:divBdr>
        </w:div>
        <w:div w:id="387992461">
          <w:marLeft w:val="640"/>
          <w:marRight w:val="0"/>
          <w:marTop w:val="0"/>
          <w:marBottom w:val="0"/>
          <w:divBdr>
            <w:top w:val="none" w:sz="0" w:space="0" w:color="auto"/>
            <w:left w:val="none" w:sz="0" w:space="0" w:color="auto"/>
            <w:bottom w:val="none" w:sz="0" w:space="0" w:color="auto"/>
            <w:right w:val="none" w:sz="0" w:space="0" w:color="auto"/>
          </w:divBdr>
        </w:div>
        <w:div w:id="182327431">
          <w:marLeft w:val="640"/>
          <w:marRight w:val="0"/>
          <w:marTop w:val="0"/>
          <w:marBottom w:val="0"/>
          <w:divBdr>
            <w:top w:val="none" w:sz="0" w:space="0" w:color="auto"/>
            <w:left w:val="none" w:sz="0" w:space="0" w:color="auto"/>
            <w:bottom w:val="none" w:sz="0" w:space="0" w:color="auto"/>
            <w:right w:val="none" w:sz="0" w:space="0" w:color="auto"/>
          </w:divBdr>
        </w:div>
        <w:div w:id="260572612">
          <w:marLeft w:val="640"/>
          <w:marRight w:val="0"/>
          <w:marTop w:val="0"/>
          <w:marBottom w:val="0"/>
          <w:divBdr>
            <w:top w:val="none" w:sz="0" w:space="0" w:color="auto"/>
            <w:left w:val="none" w:sz="0" w:space="0" w:color="auto"/>
            <w:bottom w:val="none" w:sz="0" w:space="0" w:color="auto"/>
            <w:right w:val="none" w:sz="0" w:space="0" w:color="auto"/>
          </w:divBdr>
        </w:div>
        <w:div w:id="1145319524">
          <w:marLeft w:val="640"/>
          <w:marRight w:val="0"/>
          <w:marTop w:val="0"/>
          <w:marBottom w:val="0"/>
          <w:divBdr>
            <w:top w:val="none" w:sz="0" w:space="0" w:color="auto"/>
            <w:left w:val="none" w:sz="0" w:space="0" w:color="auto"/>
            <w:bottom w:val="none" w:sz="0" w:space="0" w:color="auto"/>
            <w:right w:val="none" w:sz="0" w:space="0" w:color="auto"/>
          </w:divBdr>
        </w:div>
        <w:div w:id="352388161">
          <w:marLeft w:val="640"/>
          <w:marRight w:val="0"/>
          <w:marTop w:val="0"/>
          <w:marBottom w:val="0"/>
          <w:divBdr>
            <w:top w:val="none" w:sz="0" w:space="0" w:color="auto"/>
            <w:left w:val="none" w:sz="0" w:space="0" w:color="auto"/>
            <w:bottom w:val="none" w:sz="0" w:space="0" w:color="auto"/>
            <w:right w:val="none" w:sz="0" w:space="0" w:color="auto"/>
          </w:divBdr>
        </w:div>
        <w:div w:id="1089080432">
          <w:marLeft w:val="640"/>
          <w:marRight w:val="0"/>
          <w:marTop w:val="0"/>
          <w:marBottom w:val="0"/>
          <w:divBdr>
            <w:top w:val="none" w:sz="0" w:space="0" w:color="auto"/>
            <w:left w:val="none" w:sz="0" w:space="0" w:color="auto"/>
            <w:bottom w:val="none" w:sz="0" w:space="0" w:color="auto"/>
            <w:right w:val="none" w:sz="0" w:space="0" w:color="auto"/>
          </w:divBdr>
        </w:div>
        <w:div w:id="795804430">
          <w:marLeft w:val="640"/>
          <w:marRight w:val="0"/>
          <w:marTop w:val="0"/>
          <w:marBottom w:val="0"/>
          <w:divBdr>
            <w:top w:val="none" w:sz="0" w:space="0" w:color="auto"/>
            <w:left w:val="none" w:sz="0" w:space="0" w:color="auto"/>
            <w:bottom w:val="none" w:sz="0" w:space="0" w:color="auto"/>
            <w:right w:val="none" w:sz="0" w:space="0" w:color="auto"/>
          </w:divBdr>
        </w:div>
        <w:div w:id="1268389237">
          <w:marLeft w:val="640"/>
          <w:marRight w:val="0"/>
          <w:marTop w:val="0"/>
          <w:marBottom w:val="0"/>
          <w:divBdr>
            <w:top w:val="none" w:sz="0" w:space="0" w:color="auto"/>
            <w:left w:val="none" w:sz="0" w:space="0" w:color="auto"/>
            <w:bottom w:val="none" w:sz="0" w:space="0" w:color="auto"/>
            <w:right w:val="none" w:sz="0" w:space="0" w:color="auto"/>
          </w:divBdr>
        </w:div>
        <w:div w:id="872841156">
          <w:marLeft w:val="640"/>
          <w:marRight w:val="0"/>
          <w:marTop w:val="0"/>
          <w:marBottom w:val="0"/>
          <w:divBdr>
            <w:top w:val="none" w:sz="0" w:space="0" w:color="auto"/>
            <w:left w:val="none" w:sz="0" w:space="0" w:color="auto"/>
            <w:bottom w:val="none" w:sz="0" w:space="0" w:color="auto"/>
            <w:right w:val="none" w:sz="0" w:space="0" w:color="auto"/>
          </w:divBdr>
        </w:div>
        <w:div w:id="703940985">
          <w:marLeft w:val="640"/>
          <w:marRight w:val="0"/>
          <w:marTop w:val="0"/>
          <w:marBottom w:val="0"/>
          <w:divBdr>
            <w:top w:val="none" w:sz="0" w:space="0" w:color="auto"/>
            <w:left w:val="none" w:sz="0" w:space="0" w:color="auto"/>
            <w:bottom w:val="none" w:sz="0" w:space="0" w:color="auto"/>
            <w:right w:val="none" w:sz="0" w:space="0" w:color="auto"/>
          </w:divBdr>
        </w:div>
        <w:div w:id="1170293599">
          <w:marLeft w:val="640"/>
          <w:marRight w:val="0"/>
          <w:marTop w:val="0"/>
          <w:marBottom w:val="0"/>
          <w:divBdr>
            <w:top w:val="none" w:sz="0" w:space="0" w:color="auto"/>
            <w:left w:val="none" w:sz="0" w:space="0" w:color="auto"/>
            <w:bottom w:val="none" w:sz="0" w:space="0" w:color="auto"/>
            <w:right w:val="none" w:sz="0" w:space="0" w:color="auto"/>
          </w:divBdr>
        </w:div>
        <w:div w:id="661742360">
          <w:marLeft w:val="640"/>
          <w:marRight w:val="0"/>
          <w:marTop w:val="0"/>
          <w:marBottom w:val="0"/>
          <w:divBdr>
            <w:top w:val="none" w:sz="0" w:space="0" w:color="auto"/>
            <w:left w:val="none" w:sz="0" w:space="0" w:color="auto"/>
            <w:bottom w:val="none" w:sz="0" w:space="0" w:color="auto"/>
            <w:right w:val="none" w:sz="0" w:space="0" w:color="auto"/>
          </w:divBdr>
        </w:div>
        <w:div w:id="819270169">
          <w:marLeft w:val="640"/>
          <w:marRight w:val="0"/>
          <w:marTop w:val="0"/>
          <w:marBottom w:val="0"/>
          <w:divBdr>
            <w:top w:val="none" w:sz="0" w:space="0" w:color="auto"/>
            <w:left w:val="none" w:sz="0" w:space="0" w:color="auto"/>
            <w:bottom w:val="none" w:sz="0" w:space="0" w:color="auto"/>
            <w:right w:val="none" w:sz="0" w:space="0" w:color="auto"/>
          </w:divBdr>
        </w:div>
        <w:div w:id="1357078429">
          <w:marLeft w:val="640"/>
          <w:marRight w:val="0"/>
          <w:marTop w:val="0"/>
          <w:marBottom w:val="0"/>
          <w:divBdr>
            <w:top w:val="none" w:sz="0" w:space="0" w:color="auto"/>
            <w:left w:val="none" w:sz="0" w:space="0" w:color="auto"/>
            <w:bottom w:val="none" w:sz="0" w:space="0" w:color="auto"/>
            <w:right w:val="none" w:sz="0" w:space="0" w:color="auto"/>
          </w:divBdr>
        </w:div>
        <w:div w:id="656155159">
          <w:marLeft w:val="640"/>
          <w:marRight w:val="0"/>
          <w:marTop w:val="0"/>
          <w:marBottom w:val="0"/>
          <w:divBdr>
            <w:top w:val="none" w:sz="0" w:space="0" w:color="auto"/>
            <w:left w:val="none" w:sz="0" w:space="0" w:color="auto"/>
            <w:bottom w:val="none" w:sz="0" w:space="0" w:color="auto"/>
            <w:right w:val="none" w:sz="0" w:space="0" w:color="auto"/>
          </w:divBdr>
        </w:div>
        <w:div w:id="1759709004">
          <w:marLeft w:val="640"/>
          <w:marRight w:val="0"/>
          <w:marTop w:val="0"/>
          <w:marBottom w:val="0"/>
          <w:divBdr>
            <w:top w:val="none" w:sz="0" w:space="0" w:color="auto"/>
            <w:left w:val="none" w:sz="0" w:space="0" w:color="auto"/>
            <w:bottom w:val="none" w:sz="0" w:space="0" w:color="auto"/>
            <w:right w:val="none" w:sz="0" w:space="0" w:color="auto"/>
          </w:divBdr>
        </w:div>
        <w:div w:id="1766226866">
          <w:marLeft w:val="640"/>
          <w:marRight w:val="0"/>
          <w:marTop w:val="0"/>
          <w:marBottom w:val="0"/>
          <w:divBdr>
            <w:top w:val="none" w:sz="0" w:space="0" w:color="auto"/>
            <w:left w:val="none" w:sz="0" w:space="0" w:color="auto"/>
            <w:bottom w:val="none" w:sz="0" w:space="0" w:color="auto"/>
            <w:right w:val="none" w:sz="0" w:space="0" w:color="auto"/>
          </w:divBdr>
        </w:div>
        <w:div w:id="433600744">
          <w:marLeft w:val="640"/>
          <w:marRight w:val="0"/>
          <w:marTop w:val="0"/>
          <w:marBottom w:val="0"/>
          <w:divBdr>
            <w:top w:val="none" w:sz="0" w:space="0" w:color="auto"/>
            <w:left w:val="none" w:sz="0" w:space="0" w:color="auto"/>
            <w:bottom w:val="none" w:sz="0" w:space="0" w:color="auto"/>
            <w:right w:val="none" w:sz="0" w:space="0" w:color="auto"/>
          </w:divBdr>
        </w:div>
        <w:div w:id="577977206">
          <w:marLeft w:val="640"/>
          <w:marRight w:val="0"/>
          <w:marTop w:val="0"/>
          <w:marBottom w:val="0"/>
          <w:divBdr>
            <w:top w:val="none" w:sz="0" w:space="0" w:color="auto"/>
            <w:left w:val="none" w:sz="0" w:space="0" w:color="auto"/>
            <w:bottom w:val="none" w:sz="0" w:space="0" w:color="auto"/>
            <w:right w:val="none" w:sz="0" w:space="0" w:color="auto"/>
          </w:divBdr>
        </w:div>
        <w:div w:id="1231886978">
          <w:marLeft w:val="640"/>
          <w:marRight w:val="0"/>
          <w:marTop w:val="0"/>
          <w:marBottom w:val="0"/>
          <w:divBdr>
            <w:top w:val="none" w:sz="0" w:space="0" w:color="auto"/>
            <w:left w:val="none" w:sz="0" w:space="0" w:color="auto"/>
            <w:bottom w:val="none" w:sz="0" w:space="0" w:color="auto"/>
            <w:right w:val="none" w:sz="0" w:space="0" w:color="auto"/>
          </w:divBdr>
        </w:div>
        <w:div w:id="2140415445">
          <w:marLeft w:val="640"/>
          <w:marRight w:val="0"/>
          <w:marTop w:val="0"/>
          <w:marBottom w:val="0"/>
          <w:divBdr>
            <w:top w:val="none" w:sz="0" w:space="0" w:color="auto"/>
            <w:left w:val="none" w:sz="0" w:space="0" w:color="auto"/>
            <w:bottom w:val="none" w:sz="0" w:space="0" w:color="auto"/>
            <w:right w:val="none" w:sz="0" w:space="0" w:color="auto"/>
          </w:divBdr>
        </w:div>
        <w:div w:id="1629966871">
          <w:marLeft w:val="640"/>
          <w:marRight w:val="0"/>
          <w:marTop w:val="0"/>
          <w:marBottom w:val="0"/>
          <w:divBdr>
            <w:top w:val="none" w:sz="0" w:space="0" w:color="auto"/>
            <w:left w:val="none" w:sz="0" w:space="0" w:color="auto"/>
            <w:bottom w:val="none" w:sz="0" w:space="0" w:color="auto"/>
            <w:right w:val="none" w:sz="0" w:space="0" w:color="auto"/>
          </w:divBdr>
        </w:div>
        <w:div w:id="1267077609">
          <w:marLeft w:val="640"/>
          <w:marRight w:val="0"/>
          <w:marTop w:val="0"/>
          <w:marBottom w:val="0"/>
          <w:divBdr>
            <w:top w:val="none" w:sz="0" w:space="0" w:color="auto"/>
            <w:left w:val="none" w:sz="0" w:space="0" w:color="auto"/>
            <w:bottom w:val="none" w:sz="0" w:space="0" w:color="auto"/>
            <w:right w:val="none" w:sz="0" w:space="0" w:color="auto"/>
          </w:divBdr>
        </w:div>
        <w:div w:id="533810597">
          <w:marLeft w:val="640"/>
          <w:marRight w:val="0"/>
          <w:marTop w:val="0"/>
          <w:marBottom w:val="0"/>
          <w:divBdr>
            <w:top w:val="none" w:sz="0" w:space="0" w:color="auto"/>
            <w:left w:val="none" w:sz="0" w:space="0" w:color="auto"/>
            <w:bottom w:val="none" w:sz="0" w:space="0" w:color="auto"/>
            <w:right w:val="none" w:sz="0" w:space="0" w:color="auto"/>
          </w:divBdr>
        </w:div>
        <w:div w:id="1156192290">
          <w:marLeft w:val="640"/>
          <w:marRight w:val="0"/>
          <w:marTop w:val="0"/>
          <w:marBottom w:val="0"/>
          <w:divBdr>
            <w:top w:val="none" w:sz="0" w:space="0" w:color="auto"/>
            <w:left w:val="none" w:sz="0" w:space="0" w:color="auto"/>
            <w:bottom w:val="none" w:sz="0" w:space="0" w:color="auto"/>
            <w:right w:val="none" w:sz="0" w:space="0" w:color="auto"/>
          </w:divBdr>
        </w:div>
        <w:div w:id="1675185448">
          <w:marLeft w:val="640"/>
          <w:marRight w:val="0"/>
          <w:marTop w:val="0"/>
          <w:marBottom w:val="0"/>
          <w:divBdr>
            <w:top w:val="none" w:sz="0" w:space="0" w:color="auto"/>
            <w:left w:val="none" w:sz="0" w:space="0" w:color="auto"/>
            <w:bottom w:val="none" w:sz="0" w:space="0" w:color="auto"/>
            <w:right w:val="none" w:sz="0" w:space="0" w:color="auto"/>
          </w:divBdr>
        </w:div>
        <w:div w:id="630939497">
          <w:marLeft w:val="640"/>
          <w:marRight w:val="0"/>
          <w:marTop w:val="0"/>
          <w:marBottom w:val="0"/>
          <w:divBdr>
            <w:top w:val="none" w:sz="0" w:space="0" w:color="auto"/>
            <w:left w:val="none" w:sz="0" w:space="0" w:color="auto"/>
            <w:bottom w:val="none" w:sz="0" w:space="0" w:color="auto"/>
            <w:right w:val="none" w:sz="0" w:space="0" w:color="auto"/>
          </w:divBdr>
        </w:div>
        <w:div w:id="1441493414">
          <w:marLeft w:val="640"/>
          <w:marRight w:val="0"/>
          <w:marTop w:val="0"/>
          <w:marBottom w:val="0"/>
          <w:divBdr>
            <w:top w:val="none" w:sz="0" w:space="0" w:color="auto"/>
            <w:left w:val="none" w:sz="0" w:space="0" w:color="auto"/>
            <w:bottom w:val="none" w:sz="0" w:space="0" w:color="auto"/>
            <w:right w:val="none" w:sz="0" w:space="0" w:color="auto"/>
          </w:divBdr>
        </w:div>
        <w:div w:id="480005370">
          <w:marLeft w:val="640"/>
          <w:marRight w:val="0"/>
          <w:marTop w:val="0"/>
          <w:marBottom w:val="0"/>
          <w:divBdr>
            <w:top w:val="none" w:sz="0" w:space="0" w:color="auto"/>
            <w:left w:val="none" w:sz="0" w:space="0" w:color="auto"/>
            <w:bottom w:val="none" w:sz="0" w:space="0" w:color="auto"/>
            <w:right w:val="none" w:sz="0" w:space="0" w:color="auto"/>
          </w:divBdr>
        </w:div>
        <w:div w:id="866984806">
          <w:marLeft w:val="640"/>
          <w:marRight w:val="0"/>
          <w:marTop w:val="0"/>
          <w:marBottom w:val="0"/>
          <w:divBdr>
            <w:top w:val="none" w:sz="0" w:space="0" w:color="auto"/>
            <w:left w:val="none" w:sz="0" w:space="0" w:color="auto"/>
            <w:bottom w:val="none" w:sz="0" w:space="0" w:color="auto"/>
            <w:right w:val="none" w:sz="0" w:space="0" w:color="auto"/>
          </w:divBdr>
        </w:div>
        <w:div w:id="124349145">
          <w:marLeft w:val="640"/>
          <w:marRight w:val="0"/>
          <w:marTop w:val="0"/>
          <w:marBottom w:val="0"/>
          <w:divBdr>
            <w:top w:val="none" w:sz="0" w:space="0" w:color="auto"/>
            <w:left w:val="none" w:sz="0" w:space="0" w:color="auto"/>
            <w:bottom w:val="none" w:sz="0" w:space="0" w:color="auto"/>
            <w:right w:val="none" w:sz="0" w:space="0" w:color="auto"/>
          </w:divBdr>
        </w:div>
        <w:div w:id="611520009">
          <w:marLeft w:val="640"/>
          <w:marRight w:val="0"/>
          <w:marTop w:val="0"/>
          <w:marBottom w:val="0"/>
          <w:divBdr>
            <w:top w:val="none" w:sz="0" w:space="0" w:color="auto"/>
            <w:left w:val="none" w:sz="0" w:space="0" w:color="auto"/>
            <w:bottom w:val="none" w:sz="0" w:space="0" w:color="auto"/>
            <w:right w:val="none" w:sz="0" w:space="0" w:color="auto"/>
          </w:divBdr>
        </w:div>
        <w:div w:id="1790009923">
          <w:marLeft w:val="640"/>
          <w:marRight w:val="0"/>
          <w:marTop w:val="0"/>
          <w:marBottom w:val="0"/>
          <w:divBdr>
            <w:top w:val="none" w:sz="0" w:space="0" w:color="auto"/>
            <w:left w:val="none" w:sz="0" w:space="0" w:color="auto"/>
            <w:bottom w:val="none" w:sz="0" w:space="0" w:color="auto"/>
            <w:right w:val="none" w:sz="0" w:space="0" w:color="auto"/>
          </w:divBdr>
        </w:div>
        <w:div w:id="929386120">
          <w:marLeft w:val="640"/>
          <w:marRight w:val="0"/>
          <w:marTop w:val="0"/>
          <w:marBottom w:val="0"/>
          <w:divBdr>
            <w:top w:val="none" w:sz="0" w:space="0" w:color="auto"/>
            <w:left w:val="none" w:sz="0" w:space="0" w:color="auto"/>
            <w:bottom w:val="none" w:sz="0" w:space="0" w:color="auto"/>
            <w:right w:val="none" w:sz="0" w:space="0" w:color="auto"/>
          </w:divBdr>
        </w:div>
        <w:div w:id="1460535593">
          <w:marLeft w:val="640"/>
          <w:marRight w:val="0"/>
          <w:marTop w:val="0"/>
          <w:marBottom w:val="0"/>
          <w:divBdr>
            <w:top w:val="none" w:sz="0" w:space="0" w:color="auto"/>
            <w:left w:val="none" w:sz="0" w:space="0" w:color="auto"/>
            <w:bottom w:val="none" w:sz="0" w:space="0" w:color="auto"/>
            <w:right w:val="none" w:sz="0" w:space="0" w:color="auto"/>
          </w:divBdr>
        </w:div>
        <w:div w:id="479659504">
          <w:marLeft w:val="640"/>
          <w:marRight w:val="0"/>
          <w:marTop w:val="0"/>
          <w:marBottom w:val="0"/>
          <w:divBdr>
            <w:top w:val="none" w:sz="0" w:space="0" w:color="auto"/>
            <w:left w:val="none" w:sz="0" w:space="0" w:color="auto"/>
            <w:bottom w:val="none" w:sz="0" w:space="0" w:color="auto"/>
            <w:right w:val="none" w:sz="0" w:space="0" w:color="auto"/>
          </w:divBdr>
        </w:div>
        <w:div w:id="1151629560">
          <w:marLeft w:val="640"/>
          <w:marRight w:val="0"/>
          <w:marTop w:val="0"/>
          <w:marBottom w:val="0"/>
          <w:divBdr>
            <w:top w:val="none" w:sz="0" w:space="0" w:color="auto"/>
            <w:left w:val="none" w:sz="0" w:space="0" w:color="auto"/>
            <w:bottom w:val="none" w:sz="0" w:space="0" w:color="auto"/>
            <w:right w:val="none" w:sz="0" w:space="0" w:color="auto"/>
          </w:divBdr>
        </w:div>
        <w:div w:id="1734230655">
          <w:marLeft w:val="640"/>
          <w:marRight w:val="0"/>
          <w:marTop w:val="0"/>
          <w:marBottom w:val="0"/>
          <w:divBdr>
            <w:top w:val="none" w:sz="0" w:space="0" w:color="auto"/>
            <w:left w:val="none" w:sz="0" w:space="0" w:color="auto"/>
            <w:bottom w:val="none" w:sz="0" w:space="0" w:color="auto"/>
            <w:right w:val="none" w:sz="0" w:space="0" w:color="auto"/>
          </w:divBdr>
        </w:div>
        <w:div w:id="223100460">
          <w:marLeft w:val="640"/>
          <w:marRight w:val="0"/>
          <w:marTop w:val="0"/>
          <w:marBottom w:val="0"/>
          <w:divBdr>
            <w:top w:val="none" w:sz="0" w:space="0" w:color="auto"/>
            <w:left w:val="none" w:sz="0" w:space="0" w:color="auto"/>
            <w:bottom w:val="none" w:sz="0" w:space="0" w:color="auto"/>
            <w:right w:val="none" w:sz="0" w:space="0" w:color="auto"/>
          </w:divBdr>
        </w:div>
        <w:div w:id="824203633">
          <w:marLeft w:val="640"/>
          <w:marRight w:val="0"/>
          <w:marTop w:val="0"/>
          <w:marBottom w:val="0"/>
          <w:divBdr>
            <w:top w:val="none" w:sz="0" w:space="0" w:color="auto"/>
            <w:left w:val="none" w:sz="0" w:space="0" w:color="auto"/>
            <w:bottom w:val="none" w:sz="0" w:space="0" w:color="auto"/>
            <w:right w:val="none" w:sz="0" w:space="0" w:color="auto"/>
          </w:divBdr>
        </w:div>
        <w:div w:id="1550023724">
          <w:marLeft w:val="640"/>
          <w:marRight w:val="0"/>
          <w:marTop w:val="0"/>
          <w:marBottom w:val="0"/>
          <w:divBdr>
            <w:top w:val="none" w:sz="0" w:space="0" w:color="auto"/>
            <w:left w:val="none" w:sz="0" w:space="0" w:color="auto"/>
            <w:bottom w:val="none" w:sz="0" w:space="0" w:color="auto"/>
            <w:right w:val="none" w:sz="0" w:space="0" w:color="auto"/>
          </w:divBdr>
        </w:div>
        <w:div w:id="1316761961">
          <w:marLeft w:val="640"/>
          <w:marRight w:val="0"/>
          <w:marTop w:val="0"/>
          <w:marBottom w:val="0"/>
          <w:divBdr>
            <w:top w:val="none" w:sz="0" w:space="0" w:color="auto"/>
            <w:left w:val="none" w:sz="0" w:space="0" w:color="auto"/>
            <w:bottom w:val="none" w:sz="0" w:space="0" w:color="auto"/>
            <w:right w:val="none" w:sz="0" w:space="0" w:color="auto"/>
          </w:divBdr>
        </w:div>
        <w:div w:id="432018034">
          <w:marLeft w:val="640"/>
          <w:marRight w:val="0"/>
          <w:marTop w:val="0"/>
          <w:marBottom w:val="0"/>
          <w:divBdr>
            <w:top w:val="none" w:sz="0" w:space="0" w:color="auto"/>
            <w:left w:val="none" w:sz="0" w:space="0" w:color="auto"/>
            <w:bottom w:val="none" w:sz="0" w:space="0" w:color="auto"/>
            <w:right w:val="none" w:sz="0" w:space="0" w:color="auto"/>
          </w:divBdr>
        </w:div>
        <w:div w:id="826820453">
          <w:marLeft w:val="640"/>
          <w:marRight w:val="0"/>
          <w:marTop w:val="0"/>
          <w:marBottom w:val="0"/>
          <w:divBdr>
            <w:top w:val="none" w:sz="0" w:space="0" w:color="auto"/>
            <w:left w:val="none" w:sz="0" w:space="0" w:color="auto"/>
            <w:bottom w:val="none" w:sz="0" w:space="0" w:color="auto"/>
            <w:right w:val="none" w:sz="0" w:space="0" w:color="auto"/>
          </w:divBdr>
        </w:div>
        <w:div w:id="371685711">
          <w:marLeft w:val="640"/>
          <w:marRight w:val="0"/>
          <w:marTop w:val="0"/>
          <w:marBottom w:val="0"/>
          <w:divBdr>
            <w:top w:val="none" w:sz="0" w:space="0" w:color="auto"/>
            <w:left w:val="none" w:sz="0" w:space="0" w:color="auto"/>
            <w:bottom w:val="none" w:sz="0" w:space="0" w:color="auto"/>
            <w:right w:val="none" w:sz="0" w:space="0" w:color="auto"/>
          </w:divBdr>
        </w:div>
        <w:div w:id="2066105619">
          <w:marLeft w:val="640"/>
          <w:marRight w:val="0"/>
          <w:marTop w:val="0"/>
          <w:marBottom w:val="0"/>
          <w:divBdr>
            <w:top w:val="none" w:sz="0" w:space="0" w:color="auto"/>
            <w:left w:val="none" w:sz="0" w:space="0" w:color="auto"/>
            <w:bottom w:val="none" w:sz="0" w:space="0" w:color="auto"/>
            <w:right w:val="none" w:sz="0" w:space="0" w:color="auto"/>
          </w:divBdr>
        </w:div>
        <w:div w:id="1938446023">
          <w:marLeft w:val="640"/>
          <w:marRight w:val="0"/>
          <w:marTop w:val="0"/>
          <w:marBottom w:val="0"/>
          <w:divBdr>
            <w:top w:val="none" w:sz="0" w:space="0" w:color="auto"/>
            <w:left w:val="none" w:sz="0" w:space="0" w:color="auto"/>
            <w:bottom w:val="none" w:sz="0" w:space="0" w:color="auto"/>
            <w:right w:val="none" w:sz="0" w:space="0" w:color="auto"/>
          </w:divBdr>
        </w:div>
        <w:div w:id="678199205">
          <w:marLeft w:val="640"/>
          <w:marRight w:val="0"/>
          <w:marTop w:val="0"/>
          <w:marBottom w:val="0"/>
          <w:divBdr>
            <w:top w:val="none" w:sz="0" w:space="0" w:color="auto"/>
            <w:left w:val="none" w:sz="0" w:space="0" w:color="auto"/>
            <w:bottom w:val="none" w:sz="0" w:space="0" w:color="auto"/>
            <w:right w:val="none" w:sz="0" w:space="0" w:color="auto"/>
          </w:divBdr>
        </w:div>
        <w:div w:id="2088109821">
          <w:marLeft w:val="640"/>
          <w:marRight w:val="0"/>
          <w:marTop w:val="0"/>
          <w:marBottom w:val="0"/>
          <w:divBdr>
            <w:top w:val="none" w:sz="0" w:space="0" w:color="auto"/>
            <w:left w:val="none" w:sz="0" w:space="0" w:color="auto"/>
            <w:bottom w:val="none" w:sz="0" w:space="0" w:color="auto"/>
            <w:right w:val="none" w:sz="0" w:space="0" w:color="auto"/>
          </w:divBdr>
        </w:div>
        <w:div w:id="286593412">
          <w:marLeft w:val="640"/>
          <w:marRight w:val="0"/>
          <w:marTop w:val="0"/>
          <w:marBottom w:val="0"/>
          <w:divBdr>
            <w:top w:val="none" w:sz="0" w:space="0" w:color="auto"/>
            <w:left w:val="none" w:sz="0" w:space="0" w:color="auto"/>
            <w:bottom w:val="none" w:sz="0" w:space="0" w:color="auto"/>
            <w:right w:val="none" w:sz="0" w:space="0" w:color="auto"/>
          </w:divBdr>
        </w:div>
        <w:div w:id="144901354">
          <w:marLeft w:val="640"/>
          <w:marRight w:val="0"/>
          <w:marTop w:val="0"/>
          <w:marBottom w:val="0"/>
          <w:divBdr>
            <w:top w:val="none" w:sz="0" w:space="0" w:color="auto"/>
            <w:left w:val="none" w:sz="0" w:space="0" w:color="auto"/>
            <w:bottom w:val="none" w:sz="0" w:space="0" w:color="auto"/>
            <w:right w:val="none" w:sz="0" w:space="0" w:color="auto"/>
          </w:divBdr>
        </w:div>
        <w:div w:id="480583404">
          <w:marLeft w:val="640"/>
          <w:marRight w:val="0"/>
          <w:marTop w:val="0"/>
          <w:marBottom w:val="0"/>
          <w:divBdr>
            <w:top w:val="none" w:sz="0" w:space="0" w:color="auto"/>
            <w:left w:val="none" w:sz="0" w:space="0" w:color="auto"/>
            <w:bottom w:val="none" w:sz="0" w:space="0" w:color="auto"/>
            <w:right w:val="none" w:sz="0" w:space="0" w:color="auto"/>
          </w:divBdr>
        </w:div>
        <w:div w:id="1291744723">
          <w:marLeft w:val="640"/>
          <w:marRight w:val="0"/>
          <w:marTop w:val="0"/>
          <w:marBottom w:val="0"/>
          <w:divBdr>
            <w:top w:val="none" w:sz="0" w:space="0" w:color="auto"/>
            <w:left w:val="none" w:sz="0" w:space="0" w:color="auto"/>
            <w:bottom w:val="none" w:sz="0" w:space="0" w:color="auto"/>
            <w:right w:val="none" w:sz="0" w:space="0" w:color="auto"/>
          </w:divBdr>
        </w:div>
        <w:div w:id="939484196">
          <w:marLeft w:val="640"/>
          <w:marRight w:val="0"/>
          <w:marTop w:val="0"/>
          <w:marBottom w:val="0"/>
          <w:divBdr>
            <w:top w:val="none" w:sz="0" w:space="0" w:color="auto"/>
            <w:left w:val="none" w:sz="0" w:space="0" w:color="auto"/>
            <w:bottom w:val="none" w:sz="0" w:space="0" w:color="auto"/>
            <w:right w:val="none" w:sz="0" w:space="0" w:color="auto"/>
          </w:divBdr>
        </w:div>
        <w:div w:id="1361668891">
          <w:marLeft w:val="640"/>
          <w:marRight w:val="0"/>
          <w:marTop w:val="0"/>
          <w:marBottom w:val="0"/>
          <w:divBdr>
            <w:top w:val="none" w:sz="0" w:space="0" w:color="auto"/>
            <w:left w:val="none" w:sz="0" w:space="0" w:color="auto"/>
            <w:bottom w:val="none" w:sz="0" w:space="0" w:color="auto"/>
            <w:right w:val="none" w:sz="0" w:space="0" w:color="auto"/>
          </w:divBdr>
        </w:div>
        <w:div w:id="64646685">
          <w:marLeft w:val="640"/>
          <w:marRight w:val="0"/>
          <w:marTop w:val="0"/>
          <w:marBottom w:val="0"/>
          <w:divBdr>
            <w:top w:val="none" w:sz="0" w:space="0" w:color="auto"/>
            <w:left w:val="none" w:sz="0" w:space="0" w:color="auto"/>
            <w:bottom w:val="none" w:sz="0" w:space="0" w:color="auto"/>
            <w:right w:val="none" w:sz="0" w:space="0" w:color="auto"/>
          </w:divBdr>
        </w:div>
        <w:div w:id="1862205967">
          <w:marLeft w:val="640"/>
          <w:marRight w:val="0"/>
          <w:marTop w:val="0"/>
          <w:marBottom w:val="0"/>
          <w:divBdr>
            <w:top w:val="none" w:sz="0" w:space="0" w:color="auto"/>
            <w:left w:val="none" w:sz="0" w:space="0" w:color="auto"/>
            <w:bottom w:val="none" w:sz="0" w:space="0" w:color="auto"/>
            <w:right w:val="none" w:sz="0" w:space="0" w:color="auto"/>
          </w:divBdr>
        </w:div>
        <w:div w:id="1917856879">
          <w:marLeft w:val="640"/>
          <w:marRight w:val="0"/>
          <w:marTop w:val="0"/>
          <w:marBottom w:val="0"/>
          <w:divBdr>
            <w:top w:val="none" w:sz="0" w:space="0" w:color="auto"/>
            <w:left w:val="none" w:sz="0" w:space="0" w:color="auto"/>
            <w:bottom w:val="none" w:sz="0" w:space="0" w:color="auto"/>
            <w:right w:val="none" w:sz="0" w:space="0" w:color="auto"/>
          </w:divBdr>
        </w:div>
        <w:div w:id="717970925">
          <w:marLeft w:val="640"/>
          <w:marRight w:val="0"/>
          <w:marTop w:val="0"/>
          <w:marBottom w:val="0"/>
          <w:divBdr>
            <w:top w:val="none" w:sz="0" w:space="0" w:color="auto"/>
            <w:left w:val="none" w:sz="0" w:space="0" w:color="auto"/>
            <w:bottom w:val="none" w:sz="0" w:space="0" w:color="auto"/>
            <w:right w:val="none" w:sz="0" w:space="0" w:color="auto"/>
          </w:divBdr>
        </w:div>
        <w:div w:id="1781221315">
          <w:marLeft w:val="640"/>
          <w:marRight w:val="0"/>
          <w:marTop w:val="0"/>
          <w:marBottom w:val="0"/>
          <w:divBdr>
            <w:top w:val="none" w:sz="0" w:space="0" w:color="auto"/>
            <w:left w:val="none" w:sz="0" w:space="0" w:color="auto"/>
            <w:bottom w:val="none" w:sz="0" w:space="0" w:color="auto"/>
            <w:right w:val="none" w:sz="0" w:space="0" w:color="auto"/>
          </w:divBdr>
        </w:div>
        <w:div w:id="328288569">
          <w:marLeft w:val="640"/>
          <w:marRight w:val="0"/>
          <w:marTop w:val="0"/>
          <w:marBottom w:val="0"/>
          <w:divBdr>
            <w:top w:val="none" w:sz="0" w:space="0" w:color="auto"/>
            <w:left w:val="none" w:sz="0" w:space="0" w:color="auto"/>
            <w:bottom w:val="none" w:sz="0" w:space="0" w:color="auto"/>
            <w:right w:val="none" w:sz="0" w:space="0" w:color="auto"/>
          </w:divBdr>
        </w:div>
        <w:div w:id="1014067770">
          <w:marLeft w:val="640"/>
          <w:marRight w:val="0"/>
          <w:marTop w:val="0"/>
          <w:marBottom w:val="0"/>
          <w:divBdr>
            <w:top w:val="none" w:sz="0" w:space="0" w:color="auto"/>
            <w:left w:val="none" w:sz="0" w:space="0" w:color="auto"/>
            <w:bottom w:val="none" w:sz="0" w:space="0" w:color="auto"/>
            <w:right w:val="none" w:sz="0" w:space="0" w:color="auto"/>
          </w:divBdr>
        </w:div>
        <w:div w:id="1079598084">
          <w:marLeft w:val="640"/>
          <w:marRight w:val="0"/>
          <w:marTop w:val="0"/>
          <w:marBottom w:val="0"/>
          <w:divBdr>
            <w:top w:val="none" w:sz="0" w:space="0" w:color="auto"/>
            <w:left w:val="none" w:sz="0" w:space="0" w:color="auto"/>
            <w:bottom w:val="none" w:sz="0" w:space="0" w:color="auto"/>
            <w:right w:val="none" w:sz="0" w:space="0" w:color="auto"/>
          </w:divBdr>
        </w:div>
        <w:div w:id="731536243">
          <w:marLeft w:val="640"/>
          <w:marRight w:val="0"/>
          <w:marTop w:val="0"/>
          <w:marBottom w:val="0"/>
          <w:divBdr>
            <w:top w:val="none" w:sz="0" w:space="0" w:color="auto"/>
            <w:left w:val="none" w:sz="0" w:space="0" w:color="auto"/>
            <w:bottom w:val="none" w:sz="0" w:space="0" w:color="auto"/>
            <w:right w:val="none" w:sz="0" w:space="0" w:color="auto"/>
          </w:divBdr>
        </w:div>
        <w:div w:id="1598902630">
          <w:marLeft w:val="640"/>
          <w:marRight w:val="0"/>
          <w:marTop w:val="0"/>
          <w:marBottom w:val="0"/>
          <w:divBdr>
            <w:top w:val="none" w:sz="0" w:space="0" w:color="auto"/>
            <w:left w:val="none" w:sz="0" w:space="0" w:color="auto"/>
            <w:bottom w:val="none" w:sz="0" w:space="0" w:color="auto"/>
            <w:right w:val="none" w:sz="0" w:space="0" w:color="auto"/>
          </w:divBdr>
        </w:div>
        <w:div w:id="1370031480">
          <w:marLeft w:val="640"/>
          <w:marRight w:val="0"/>
          <w:marTop w:val="0"/>
          <w:marBottom w:val="0"/>
          <w:divBdr>
            <w:top w:val="none" w:sz="0" w:space="0" w:color="auto"/>
            <w:left w:val="none" w:sz="0" w:space="0" w:color="auto"/>
            <w:bottom w:val="none" w:sz="0" w:space="0" w:color="auto"/>
            <w:right w:val="none" w:sz="0" w:space="0" w:color="auto"/>
          </w:divBdr>
        </w:div>
        <w:div w:id="1420832085">
          <w:marLeft w:val="640"/>
          <w:marRight w:val="0"/>
          <w:marTop w:val="0"/>
          <w:marBottom w:val="0"/>
          <w:divBdr>
            <w:top w:val="none" w:sz="0" w:space="0" w:color="auto"/>
            <w:left w:val="none" w:sz="0" w:space="0" w:color="auto"/>
            <w:bottom w:val="none" w:sz="0" w:space="0" w:color="auto"/>
            <w:right w:val="none" w:sz="0" w:space="0" w:color="auto"/>
          </w:divBdr>
        </w:div>
        <w:div w:id="439960798">
          <w:marLeft w:val="640"/>
          <w:marRight w:val="0"/>
          <w:marTop w:val="0"/>
          <w:marBottom w:val="0"/>
          <w:divBdr>
            <w:top w:val="none" w:sz="0" w:space="0" w:color="auto"/>
            <w:left w:val="none" w:sz="0" w:space="0" w:color="auto"/>
            <w:bottom w:val="none" w:sz="0" w:space="0" w:color="auto"/>
            <w:right w:val="none" w:sz="0" w:space="0" w:color="auto"/>
          </w:divBdr>
        </w:div>
        <w:div w:id="439304071">
          <w:marLeft w:val="640"/>
          <w:marRight w:val="0"/>
          <w:marTop w:val="0"/>
          <w:marBottom w:val="0"/>
          <w:divBdr>
            <w:top w:val="none" w:sz="0" w:space="0" w:color="auto"/>
            <w:left w:val="none" w:sz="0" w:space="0" w:color="auto"/>
            <w:bottom w:val="none" w:sz="0" w:space="0" w:color="auto"/>
            <w:right w:val="none" w:sz="0" w:space="0" w:color="auto"/>
          </w:divBdr>
        </w:div>
        <w:div w:id="837427749">
          <w:marLeft w:val="640"/>
          <w:marRight w:val="0"/>
          <w:marTop w:val="0"/>
          <w:marBottom w:val="0"/>
          <w:divBdr>
            <w:top w:val="none" w:sz="0" w:space="0" w:color="auto"/>
            <w:left w:val="none" w:sz="0" w:space="0" w:color="auto"/>
            <w:bottom w:val="none" w:sz="0" w:space="0" w:color="auto"/>
            <w:right w:val="none" w:sz="0" w:space="0" w:color="auto"/>
          </w:divBdr>
        </w:div>
        <w:div w:id="20325688">
          <w:marLeft w:val="640"/>
          <w:marRight w:val="0"/>
          <w:marTop w:val="0"/>
          <w:marBottom w:val="0"/>
          <w:divBdr>
            <w:top w:val="none" w:sz="0" w:space="0" w:color="auto"/>
            <w:left w:val="none" w:sz="0" w:space="0" w:color="auto"/>
            <w:bottom w:val="none" w:sz="0" w:space="0" w:color="auto"/>
            <w:right w:val="none" w:sz="0" w:space="0" w:color="auto"/>
          </w:divBdr>
        </w:div>
        <w:div w:id="1682975005">
          <w:marLeft w:val="640"/>
          <w:marRight w:val="0"/>
          <w:marTop w:val="0"/>
          <w:marBottom w:val="0"/>
          <w:divBdr>
            <w:top w:val="none" w:sz="0" w:space="0" w:color="auto"/>
            <w:left w:val="none" w:sz="0" w:space="0" w:color="auto"/>
            <w:bottom w:val="none" w:sz="0" w:space="0" w:color="auto"/>
            <w:right w:val="none" w:sz="0" w:space="0" w:color="auto"/>
          </w:divBdr>
        </w:div>
        <w:div w:id="1352292254">
          <w:marLeft w:val="640"/>
          <w:marRight w:val="0"/>
          <w:marTop w:val="0"/>
          <w:marBottom w:val="0"/>
          <w:divBdr>
            <w:top w:val="none" w:sz="0" w:space="0" w:color="auto"/>
            <w:left w:val="none" w:sz="0" w:space="0" w:color="auto"/>
            <w:bottom w:val="none" w:sz="0" w:space="0" w:color="auto"/>
            <w:right w:val="none" w:sz="0" w:space="0" w:color="auto"/>
          </w:divBdr>
        </w:div>
        <w:div w:id="1709988805">
          <w:marLeft w:val="640"/>
          <w:marRight w:val="0"/>
          <w:marTop w:val="0"/>
          <w:marBottom w:val="0"/>
          <w:divBdr>
            <w:top w:val="none" w:sz="0" w:space="0" w:color="auto"/>
            <w:left w:val="none" w:sz="0" w:space="0" w:color="auto"/>
            <w:bottom w:val="none" w:sz="0" w:space="0" w:color="auto"/>
            <w:right w:val="none" w:sz="0" w:space="0" w:color="auto"/>
          </w:divBdr>
        </w:div>
        <w:div w:id="917251158">
          <w:marLeft w:val="640"/>
          <w:marRight w:val="0"/>
          <w:marTop w:val="0"/>
          <w:marBottom w:val="0"/>
          <w:divBdr>
            <w:top w:val="none" w:sz="0" w:space="0" w:color="auto"/>
            <w:left w:val="none" w:sz="0" w:space="0" w:color="auto"/>
            <w:bottom w:val="none" w:sz="0" w:space="0" w:color="auto"/>
            <w:right w:val="none" w:sz="0" w:space="0" w:color="auto"/>
          </w:divBdr>
        </w:div>
        <w:div w:id="264846185">
          <w:marLeft w:val="640"/>
          <w:marRight w:val="0"/>
          <w:marTop w:val="0"/>
          <w:marBottom w:val="0"/>
          <w:divBdr>
            <w:top w:val="none" w:sz="0" w:space="0" w:color="auto"/>
            <w:left w:val="none" w:sz="0" w:space="0" w:color="auto"/>
            <w:bottom w:val="none" w:sz="0" w:space="0" w:color="auto"/>
            <w:right w:val="none" w:sz="0" w:space="0" w:color="auto"/>
          </w:divBdr>
        </w:div>
        <w:div w:id="1133711500">
          <w:marLeft w:val="640"/>
          <w:marRight w:val="0"/>
          <w:marTop w:val="0"/>
          <w:marBottom w:val="0"/>
          <w:divBdr>
            <w:top w:val="none" w:sz="0" w:space="0" w:color="auto"/>
            <w:left w:val="none" w:sz="0" w:space="0" w:color="auto"/>
            <w:bottom w:val="none" w:sz="0" w:space="0" w:color="auto"/>
            <w:right w:val="none" w:sz="0" w:space="0" w:color="auto"/>
          </w:divBdr>
        </w:div>
        <w:div w:id="1286085209">
          <w:marLeft w:val="640"/>
          <w:marRight w:val="0"/>
          <w:marTop w:val="0"/>
          <w:marBottom w:val="0"/>
          <w:divBdr>
            <w:top w:val="none" w:sz="0" w:space="0" w:color="auto"/>
            <w:left w:val="none" w:sz="0" w:space="0" w:color="auto"/>
            <w:bottom w:val="none" w:sz="0" w:space="0" w:color="auto"/>
            <w:right w:val="none" w:sz="0" w:space="0" w:color="auto"/>
          </w:divBdr>
        </w:div>
        <w:div w:id="1735620516">
          <w:marLeft w:val="640"/>
          <w:marRight w:val="0"/>
          <w:marTop w:val="0"/>
          <w:marBottom w:val="0"/>
          <w:divBdr>
            <w:top w:val="none" w:sz="0" w:space="0" w:color="auto"/>
            <w:left w:val="none" w:sz="0" w:space="0" w:color="auto"/>
            <w:bottom w:val="none" w:sz="0" w:space="0" w:color="auto"/>
            <w:right w:val="none" w:sz="0" w:space="0" w:color="auto"/>
          </w:divBdr>
        </w:div>
        <w:div w:id="2129663317">
          <w:marLeft w:val="640"/>
          <w:marRight w:val="0"/>
          <w:marTop w:val="0"/>
          <w:marBottom w:val="0"/>
          <w:divBdr>
            <w:top w:val="none" w:sz="0" w:space="0" w:color="auto"/>
            <w:left w:val="none" w:sz="0" w:space="0" w:color="auto"/>
            <w:bottom w:val="none" w:sz="0" w:space="0" w:color="auto"/>
            <w:right w:val="none" w:sz="0" w:space="0" w:color="auto"/>
          </w:divBdr>
        </w:div>
        <w:div w:id="1665083940">
          <w:marLeft w:val="640"/>
          <w:marRight w:val="0"/>
          <w:marTop w:val="0"/>
          <w:marBottom w:val="0"/>
          <w:divBdr>
            <w:top w:val="none" w:sz="0" w:space="0" w:color="auto"/>
            <w:left w:val="none" w:sz="0" w:space="0" w:color="auto"/>
            <w:bottom w:val="none" w:sz="0" w:space="0" w:color="auto"/>
            <w:right w:val="none" w:sz="0" w:space="0" w:color="auto"/>
          </w:divBdr>
        </w:div>
        <w:div w:id="690569873">
          <w:marLeft w:val="640"/>
          <w:marRight w:val="0"/>
          <w:marTop w:val="0"/>
          <w:marBottom w:val="0"/>
          <w:divBdr>
            <w:top w:val="none" w:sz="0" w:space="0" w:color="auto"/>
            <w:left w:val="none" w:sz="0" w:space="0" w:color="auto"/>
            <w:bottom w:val="none" w:sz="0" w:space="0" w:color="auto"/>
            <w:right w:val="none" w:sz="0" w:space="0" w:color="auto"/>
          </w:divBdr>
        </w:div>
        <w:div w:id="1396930259">
          <w:marLeft w:val="640"/>
          <w:marRight w:val="0"/>
          <w:marTop w:val="0"/>
          <w:marBottom w:val="0"/>
          <w:divBdr>
            <w:top w:val="none" w:sz="0" w:space="0" w:color="auto"/>
            <w:left w:val="none" w:sz="0" w:space="0" w:color="auto"/>
            <w:bottom w:val="none" w:sz="0" w:space="0" w:color="auto"/>
            <w:right w:val="none" w:sz="0" w:space="0" w:color="auto"/>
          </w:divBdr>
        </w:div>
        <w:div w:id="833953302">
          <w:marLeft w:val="640"/>
          <w:marRight w:val="0"/>
          <w:marTop w:val="0"/>
          <w:marBottom w:val="0"/>
          <w:divBdr>
            <w:top w:val="none" w:sz="0" w:space="0" w:color="auto"/>
            <w:left w:val="none" w:sz="0" w:space="0" w:color="auto"/>
            <w:bottom w:val="none" w:sz="0" w:space="0" w:color="auto"/>
            <w:right w:val="none" w:sz="0" w:space="0" w:color="auto"/>
          </w:divBdr>
        </w:div>
        <w:div w:id="912813484">
          <w:marLeft w:val="640"/>
          <w:marRight w:val="0"/>
          <w:marTop w:val="0"/>
          <w:marBottom w:val="0"/>
          <w:divBdr>
            <w:top w:val="none" w:sz="0" w:space="0" w:color="auto"/>
            <w:left w:val="none" w:sz="0" w:space="0" w:color="auto"/>
            <w:bottom w:val="none" w:sz="0" w:space="0" w:color="auto"/>
            <w:right w:val="none" w:sz="0" w:space="0" w:color="auto"/>
          </w:divBdr>
        </w:div>
        <w:div w:id="64840189">
          <w:marLeft w:val="640"/>
          <w:marRight w:val="0"/>
          <w:marTop w:val="0"/>
          <w:marBottom w:val="0"/>
          <w:divBdr>
            <w:top w:val="none" w:sz="0" w:space="0" w:color="auto"/>
            <w:left w:val="none" w:sz="0" w:space="0" w:color="auto"/>
            <w:bottom w:val="none" w:sz="0" w:space="0" w:color="auto"/>
            <w:right w:val="none" w:sz="0" w:space="0" w:color="auto"/>
          </w:divBdr>
        </w:div>
        <w:div w:id="956984351">
          <w:marLeft w:val="640"/>
          <w:marRight w:val="0"/>
          <w:marTop w:val="0"/>
          <w:marBottom w:val="0"/>
          <w:divBdr>
            <w:top w:val="none" w:sz="0" w:space="0" w:color="auto"/>
            <w:left w:val="none" w:sz="0" w:space="0" w:color="auto"/>
            <w:bottom w:val="none" w:sz="0" w:space="0" w:color="auto"/>
            <w:right w:val="none" w:sz="0" w:space="0" w:color="auto"/>
          </w:divBdr>
        </w:div>
        <w:div w:id="344672193">
          <w:marLeft w:val="640"/>
          <w:marRight w:val="0"/>
          <w:marTop w:val="0"/>
          <w:marBottom w:val="0"/>
          <w:divBdr>
            <w:top w:val="none" w:sz="0" w:space="0" w:color="auto"/>
            <w:left w:val="none" w:sz="0" w:space="0" w:color="auto"/>
            <w:bottom w:val="none" w:sz="0" w:space="0" w:color="auto"/>
            <w:right w:val="none" w:sz="0" w:space="0" w:color="auto"/>
          </w:divBdr>
        </w:div>
        <w:div w:id="1526291589">
          <w:marLeft w:val="640"/>
          <w:marRight w:val="0"/>
          <w:marTop w:val="0"/>
          <w:marBottom w:val="0"/>
          <w:divBdr>
            <w:top w:val="none" w:sz="0" w:space="0" w:color="auto"/>
            <w:left w:val="none" w:sz="0" w:space="0" w:color="auto"/>
            <w:bottom w:val="none" w:sz="0" w:space="0" w:color="auto"/>
            <w:right w:val="none" w:sz="0" w:space="0" w:color="auto"/>
          </w:divBdr>
        </w:div>
        <w:div w:id="4022159">
          <w:marLeft w:val="640"/>
          <w:marRight w:val="0"/>
          <w:marTop w:val="0"/>
          <w:marBottom w:val="0"/>
          <w:divBdr>
            <w:top w:val="none" w:sz="0" w:space="0" w:color="auto"/>
            <w:left w:val="none" w:sz="0" w:space="0" w:color="auto"/>
            <w:bottom w:val="none" w:sz="0" w:space="0" w:color="auto"/>
            <w:right w:val="none" w:sz="0" w:space="0" w:color="auto"/>
          </w:divBdr>
        </w:div>
        <w:div w:id="257644355">
          <w:marLeft w:val="640"/>
          <w:marRight w:val="0"/>
          <w:marTop w:val="0"/>
          <w:marBottom w:val="0"/>
          <w:divBdr>
            <w:top w:val="none" w:sz="0" w:space="0" w:color="auto"/>
            <w:left w:val="none" w:sz="0" w:space="0" w:color="auto"/>
            <w:bottom w:val="none" w:sz="0" w:space="0" w:color="auto"/>
            <w:right w:val="none" w:sz="0" w:space="0" w:color="auto"/>
          </w:divBdr>
        </w:div>
        <w:div w:id="1368260938">
          <w:marLeft w:val="640"/>
          <w:marRight w:val="0"/>
          <w:marTop w:val="0"/>
          <w:marBottom w:val="0"/>
          <w:divBdr>
            <w:top w:val="none" w:sz="0" w:space="0" w:color="auto"/>
            <w:left w:val="none" w:sz="0" w:space="0" w:color="auto"/>
            <w:bottom w:val="none" w:sz="0" w:space="0" w:color="auto"/>
            <w:right w:val="none" w:sz="0" w:space="0" w:color="auto"/>
          </w:divBdr>
        </w:div>
        <w:div w:id="1902792744">
          <w:marLeft w:val="640"/>
          <w:marRight w:val="0"/>
          <w:marTop w:val="0"/>
          <w:marBottom w:val="0"/>
          <w:divBdr>
            <w:top w:val="none" w:sz="0" w:space="0" w:color="auto"/>
            <w:left w:val="none" w:sz="0" w:space="0" w:color="auto"/>
            <w:bottom w:val="none" w:sz="0" w:space="0" w:color="auto"/>
            <w:right w:val="none" w:sz="0" w:space="0" w:color="auto"/>
          </w:divBdr>
        </w:div>
        <w:div w:id="989283982">
          <w:marLeft w:val="640"/>
          <w:marRight w:val="0"/>
          <w:marTop w:val="0"/>
          <w:marBottom w:val="0"/>
          <w:divBdr>
            <w:top w:val="none" w:sz="0" w:space="0" w:color="auto"/>
            <w:left w:val="none" w:sz="0" w:space="0" w:color="auto"/>
            <w:bottom w:val="none" w:sz="0" w:space="0" w:color="auto"/>
            <w:right w:val="none" w:sz="0" w:space="0" w:color="auto"/>
          </w:divBdr>
        </w:div>
        <w:div w:id="1323309614">
          <w:marLeft w:val="640"/>
          <w:marRight w:val="0"/>
          <w:marTop w:val="0"/>
          <w:marBottom w:val="0"/>
          <w:divBdr>
            <w:top w:val="none" w:sz="0" w:space="0" w:color="auto"/>
            <w:left w:val="none" w:sz="0" w:space="0" w:color="auto"/>
            <w:bottom w:val="none" w:sz="0" w:space="0" w:color="auto"/>
            <w:right w:val="none" w:sz="0" w:space="0" w:color="auto"/>
          </w:divBdr>
        </w:div>
        <w:div w:id="1727072180">
          <w:marLeft w:val="640"/>
          <w:marRight w:val="0"/>
          <w:marTop w:val="0"/>
          <w:marBottom w:val="0"/>
          <w:divBdr>
            <w:top w:val="none" w:sz="0" w:space="0" w:color="auto"/>
            <w:left w:val="none" w:sz="0" w:space="0" w:color="auto"/>
            <w:bottom w:val="none" w:sz="0" w:space="0" w:color="auto"/>
            <w:right w:val="none" w:sz="0" w:space="0" w:color="auto"/>
          </w:divBdr>
        </w:div>
        <w:div w:id="6835082">
          <w:marLeft w:val="640"/>
          <w:marRight w:val="0"/>
          <w:marTop w:val="0"/>
          <w:marBottom w:val="0"/>
          <w:divBdr>
            <w:top w:val="none" w:sz="0" w:space="0" w:color="auto"/>
            <w:left w:val="none" w:sz="0" w:space="0" w:color="auto"/>
            <w:bottom w:val="none" w:sz="0" w:space="0" w:color="auto"/>
            <w:right w:val="none" w:sz="0" w:space="0" w:color="auto"/>
          </w:divBdr>
        </w:div>
        <w:div w:id="2087874977">
          <w:marLeft w:val="640"/>
          <w:marRight w:val="0"/>
          <w:marTop w:val="0"/>
          <w:marBottom w:val="0"/>
          <w:divBdr>
            <w:top w:val="none" w:sz="0" w:space="0" w:color="auto"/>
            <w:left w:val="none" w:sz="0" w:space="0" w:color="auto"/>
            <w:bottom w:val="none" w:sz="0" w:space="0" w:color="auto"/>
            <w:right w:val="none" w:sz="0" w:space="0" w:color="auto"/>
          </w:divBdr>
        </w:div>
        <w:div w:id="1148202951">
          <w:marLeft w:val="640"/>
          <w:marRight w:val="0"/>
          <w:marTop w:val="0"/>
          <w:marBottom w:val="0"/>
          <w:divBdr>
            <w:top w:val="none" w:sz="0" w:space="0" w:color="auto"/>
            <w:left w:val="none" w:sz="0" w:space="0" w:color="auto"/>
            <w:bottom w:val="none" w:sz="0" w:space="0" w:color="auto"/>
            <w:right w:val="none" w:sz="0" w:space="0" w:color="auto"/>
          </w:divBdr>
        </w:div>
        <w:div w:id="216011503">
          <w:marLeft w:val="640"/>
          <w:marRight w:val="0"/>
          <w:marTop w:val="0"/>
          <w:marBottom w:val="0"/>
          <w:divBdr>
            <w:top w:val="none" w:sz="0" w:space="0" w:color="auto"/>
            <w:left w:val="none" w:sz="0" w:space="0" w:color="auto"/>
            <w:bottom w:val="none" w:sz="0" w:space="0" w:color="auto"/>
            <w:right w:val="none" w:sz="0" w:space="0" w:color="auto"/>
          </w:divBdr>
        </w:div>
        <w:div w:id="1830906929">
          <w:marLeft w:val="640"/>
          <w:marRight w:val="0"/>
          <w:marTop w:val="0"/>
          <w:marBottom w:val="0"/>
          <w:divBdr>
            <w:top w:val="none" w:sz="0" w:space="0" w:color="auto"/>
            <w:left w:val="none" w:sz="0" w:space="0" w:color="auto"/>
            <w:bottom w:val="none" w:sz="0" w:space="0" w:color="auto"/>
            <w:right w:val="none" w:sz="0" w:space="0" w:color="auto"/>
          </w:divBdr>
        </w:div>
        <w:div w:id="1001666706">
          <w:marLeft w:val="640"/>
          <w:marRight w:val="0"/>
          <w:marTop w:val="0"/>
          <w:marBottom w:val="0"/>
          <w:divBdr>
            <w:top w:val="none" w:sz="0" w:space="0" w:color="auto"/>
            <w:left w:val="none" w:sz="0" w:space="0" w:color="auto"/>
            <w:bottom w:val="none" w:sz="0" w:space="0" w:color="auto"/>
            <w:right w:val="none" w:sz="0" w:space="0" w:color="auto"/>
          </w:divBdr>
        </w:div>
        <w:div w:id="1216551232">
          <w:marLeft w:val="640"/>
          <w:marRight w:val="0"/>
          <w:marTop w:val="0"/>
          <w:marBottom w:val="0"/>
          <w:divBdr>
            <w:top w:val="none" w:sz="0" w:space="0" w:color="auto"/>
            <w:left w:val="none" w:sz="0" w:space="0" w:color="auto"/>
            <w:bottom w:val="none" w:sz="0" w:space="0" w:color="auto"/>
            <w:right w:val="none" w:sz="0" w:space="0" w:color="auto"/>
          </w:divBdr>
        </w:div>
        <w:div w:id="694960781">
          <w:marLeft w:val="640"/>
          <w:marRight w:val="0"/>
          <w:marTop w:val="0"/>
          <w:marBottom w:val="0"/>
          <w:divBdr>
            <w:top w:val="none" w:sz="0" w:space="0" w:color="auto"/>
            <w:left w:val="none" w:sz="0" w:space="0" w:color="auto"/>
            <w:bottom w:val="none" w:sz="0" w:space="0" w:color="auto"/>
            <w:right w:val="none" w:sz="0" w:space="0" w:color="auto"/>
          </w:divBdr>
        </w:div>
        <w:div w:id="755631046">
          <w:marLeft w:val="640"/>
          <w:marRight w:val="0"/>
          <w:marTop w:val="0"/>
          <w:marBottom w:val="0"/>
          <w:divBdr>
            <w:top w:val="none" w:sz="0" w:space="0" w:color="auto"/>
            <w:left w:val="none" w:sz="0" w:space="0" w:color="auto"/>
            <w:bottom w:val="none" w:sz="0" w:space="0" w:color="auto"/>
            <w:right w:val="none" w:sz="0" w:space="0" w:color="auto"/>
          </w:divBdr>
        </w:div>
        <w:div w:id="1426655914">
          <w:marLeft w:val="640"/>
          <w:marRight w:val="0"/>
          <w:marTop w:val="0"/>
          <w:marBottom w:val="0"/>
          <w:divBdr>
            <w:top w:val="none" w:sz="0" w:space="0" w:color="auto"/>
            <w:left w:val="none" w:sz="0" w:space="0" w:color="auto"/>
            <w:bottom w:val="none" w:sz="0" w:space="0" w:color="auto"/>
            <w:right w:val="none" w:sz="0" w:space="0" w:color="auto"/>
          </w:divBdr>
        </w:div>
        <w:div w:id="351417347">
          <w:marLeft w:val="640"/>
          <w:marRight w:val="0"/>
          <w:marTop w:val="0"/>
          <w:marBottom w:val="0"/>
          <w:divBdr>
            <w:top w:val="none" w:sz="0" w:space="0" w:color="auto"/>
            <w:left w:val="none" w:sz="0" w:space="0" w:color="auto"/>
            <w:bottom w:val="none" w:sz="0" w:space="0" w:color="auto"/>
            <w:right w:val="none" w:sz="0" w:space="0" w:color="auto"/>
          </w:divBdr>
        </w:div>
        <w:div w:id="1673142848">
          <w:marLeft w:val="640"/>
          <w:marRight w:val="0"/>
          <w:marTop w:val="0"/>
          <w:marBottom w:val="0"/>
          <w:divBdr>
            <w:top w:val="none" w:sz="0" w:space="0" w:color="auto"/>
            <w:left w:val="none" w:sz="0" w:space="0" w:color="auto"/>
            <w:bottom w:val="none" w:sz="0" w:space="0" w:color="auto"/>
            <w:right w:val="none" w:sz="0" w:space="0" w:color="auto"/>
          </w:divBdr>
        </w:div>
        <w:div w:id="349718917">
          <w:marLeft w:val="640"/>
          <w:marRight w:val="0"/>
          <w:marTop w:val="0"/>
          <w:marBottom w:val="0"/>
          <w:divBdr>
            <w:top w:val="none" w:sz="0" w:space="0" w:color="auto"/>
            <w:left w:val="none" w:sz="0" w:space="0" w:color="auto"/>
            <w:bottom w:val="none" w:sz="0" w:space="0" w:color="auto"/>
            <w:right w:val="none" w:sz="0" w:space="0" w:color="auto"/>
          </w:divBdr>
        </w:div>
        <w:div w:id="206450428">
          <w:marLeft w:val="640"/>
          <w:marRight w:val="0"/>
          <w:marTop w:val="0"/>
          <w:marBottom w:val="0"/>
          <w:divBdr>
            <w:top w:val="none" w:sz="0" w:space="0" w:color="auto"/>
            <w:left w:val="none" w:sz="0" w:space="0" w:color="auto"/>
            <w:bottom w:val="none" w:sz="0" w:space="0" w:color="auto"/>
            <w:right w:val="none" w:sz="0" w:space="0" w:color="auto"/>
          </w:divBdr>
        </w:div>
        <w:div w:id="327221544">
          <w:marLeft w:val="640"/>
          <w:marRight w:val="0"/>
          <w:marTop w:val="0"/>
          <w:marBottom w:val="0"/>
          <w:divBdr>
            <w:top w:val="none" w:sz="0" w:space="0" w:color="auto"/>
            <w:left w:val="none" w:sz="0" w:space="0" w:color="auto"/>
            <w:bottom w:val="none" w:sz="0" w:space="0" w:color="auto"/>
            <w:right w:val="none" w:sz="0" w:space="0" w:color="auto"/>
          </w:divBdr>
        </w:div>
        <w:div w:id="1420566047">
          <w:marLeft w:val="640"/>
          <w:marRight w:val="0"/>
          <w:marTop w:val="0"/>
          <w:marBottom w:val="0"/>
          <w:divBdr>
            <w:top w:val="none" w:sz="0" w:space="0" w:color="auto"/>
            <w:left w:val="none" w:sz="0" w:space="0" w:color="auto"/>
            <w:bottom w:val="none" w:sz="0" w:space="0" w:color="auto"/>
            <w:right w:val="none" w:sz="0" w:space="0" w:color="auto"/>
          </w:divBdr>
        </w:div>
        <w:div w:id="197016752">
          <w:marLeft w:val="640"/>
          <w:marRight w:val="0"/>
          <w:marTop w:val="0"/>
          <w:marBottom w:val="0"/>
          <w:divBdr>
            <w:top w:val="none" w:sz="0" w:space="0" w:color="auto"/>
            <w:left w:val="none" w:sz="0" w:space="0" w:color="auto"/>
            <w:bottom w:val="none" w:sz="0" w:space="0" w:color="auto"/>
            <w:right w:val="none" w:sz="0" w:space="0" w:color="auto"/>
          </w:divBdr>
        </w:div>
        <w:div w:id="1487473032">
          <w:marLeft w:val="640"/>
          <w:marRight w:val="0"/>
          <w:marTop w:val="0"/>
          <w:marBottom w:val="0"/>
          <w:divBdr>
            <w:top w:val="none" w:sz="0" w:space="0" w:color="auto"/>
            <w:left w:val="none" w:sz="0" w:space="0" w:color="auto"/>
            <w:bottom w:val="none" w:sz="0" w:space="0" w:color="auto"/>
            <w:right w:val="none" w:sz="0" w:space="0" w:color="auto"/>
          </w:divBdr>
        </w:div>
        <w:div w:id="1021931642">
          <w:marLeft w:val="640"/>
          <w:marRight w:val="0"/>
          <w:marTop w:val="0"/>
          <w:marBottom w:val="0"/>
          <w:divBdr>
            <w:top w:val="none" w:sz="0" w:space="0" w:color="auto"/>
            <w:left w:val="none" w:sz="0" w:space="0" w:color="auto"/>
            <w:bottom w:val="none" w:sz="0" w:space="0" w:color="auto"/>
            <w:right w:val="none" w:sz="0" w:space="0" w:color="auto"/>
          </w:divBdr>
        </w:div>
        <w:div w:id="509373698">
          <w:marLeft w:val="640"/>
          <w:marRight w:val="0"/>
          <w:marTop w:val="0"/>
          <w:marBottom w:val="0"/>
          <w:divBdr>
            <w:top w:val="none" w:sz="0" w:space="0" w:color="auto"/>
            <w:left w:val="none" w:sz="0" w:space="0" w:color="auto"/>
            <w:bottom w:val="none" w:sz="0" w:space="0" w:color="auto"/>
            <w:right w:val="none" w:sz="0" w:space="0" w:color="auto"/>
          </w:divBdr>
        </w:div>
        <w:div w:id="389228344">
          <w:marLeft w:val="640"/>
          <w:marRight w:val="0"/>
          <w:marTop w:val="0"/>
          <w:marBottom w:val="0"/>
          <w:divBdr>
            <w:top w:val="none" w:sz="0" w:space="0" w:color="auto"/>
            <w:left w:val="none" w:sz="0" w:space="0" w:color="auto"/>
            <w:bottom w:val="none" w:sz="0" w:space="0" w:color="auto"/>
            <w:right w:val="none" w:sz="0" w:space="0" w:color="auto"/>
          </w:divBdr>
        </w:div>
        <w:div w:id="522091420">
          <w:marLeft w:val="640"/>
          <w:marRight w:val="0"/>
          <w:marTop w:val="0"/>
          <w:marBottom w:val="0"/>
          <w:divBdr>
            <w:top w:val="none" w:sz="0" w:space="0" w:color="auto"/>
            <w:left w:val="none" w:sz="0" w:space="0" w:color="auto"/>
            <w:bottom w:val="none" w:sz="0" w:space="0" w:color="auto"/>
            <w:right w:val="none" w:sz="0" w:space="0" w:color="auto"/>
          </w:divBdr>
        </w:div>
        <w:div w:id="1236041426">
          <w:marLeft w:val="640"/>
          <w:marRight w:val="0"/>
          <w:marTop w:val="0"/>
          <w:marBottom w:val="0"/>
          <w:divBdr>
            <w:top w:val="none" w:sz="0" w:space="0" w:color="auto"/>
            <w:left w:val="none" w:sz="0" w:space="0" w:color="auto"/>
            <w:bottom w:val="none" w:sz="0" w:space="0" w:color="auto"/>
            <w:right w:val="none" w:sz="0" w:space="0" w:color="auto"/>
          </w:divBdr>
        </w:div>
        <w:div w:id="2035762729">
          <w:marLeft w:val="640"/>
          <w:marRight w:val="0"/>
          <w:marTop w:val="0"/>
          <w:marBottom w:val="0"/>
          <w:divBdr>
            <w:top w:val="none" w:sz="0" w:space="0" w:color="auto"/>
            <w:left w:val="none" w:sz="0" w:space="0" w:color="auto"/>
            <w:bottom w:val="none" w:sz="0" w:space="0" w:color="auto"/>
            <w:right w:val="none" w:sz="0" w:space="0" w:color="auto"/>
          </w:divBdr>
        </w:div>
        <w:div w:id="1016999643">
          <w:marLeft w:val="640"/>
          <w:marRight w:val="0"/>
          <w:marTop w:val="0"/>
          <w:marBottom w:val="0"/>
          <w:divBdr>
            <w:top w:val="none" w:sz="0" w:space="0" w:color="auto"/>
            <w:left w:val="none" w:sz="0" w:space="0" w:color="auto"/>
            <w:bottom w:val="none" w:sz="0" w:space="0" w:color="auto"/>
            <w:right w:val="none" w:sz="0" w:space="0" w:color="auto"/>
          </w:divBdr>
        </w:div>
        <w:div w:id="636226251">
          <w:marLeft w:val="640"/>
          <w:marRight w:val="0"/>
          <w:marTop w:val="0"/>
          <w:marBottom w:val="0"/>
          <w:divBdr>
            <w:top w:val="none" w:sz="0" w:space="0" w:color="auto"/>
            <w:left w:val="none" w:sz="0" w:space="0" w:color="auto"/>
            <w:bottom w:val="none" w:sz="0" w:space="0" w:color="auto"/>
            <w:right w:val="none" w:sz="0" w:space="0" w:color="auto"/>
          </w:divBdr>
        </w:div>
        <w:div w:id="513148556">
          <w:marLeft w:val="640"/>
          <w:marRight w:val="0"/>
          <w:marTop w:val="0"/>
          <w:marBottom w:val="0"/>
          <w:divBdr>
            <w:top w:val="none" w:sz="0" w:space="0" w:color="auto"/>
            <w:left w:val="none" w:sz="0" w:space="0" w:color="auto"/>
            <w:bottom w:val="none" w:sz="0" w:space="0" w:color="auto"/>
            <w:right w:val="none" w:sz="0" w:space="0" w:color="auto"/>
          </w:divBdr>
        </w:div>
        <w:div w:id="1055355430">
          <w:marLeft w:val="640"/>
          <w:marRight w:val="0"/>
          <w:marTop w:val="0"/>
          <w:marBottom w:val="0"/>
          <w:divBdr>
            <w:top w:val="none" w:sz="0" w:space="0" w:color="auto"/>
            <w:left w:val="none" w:sz="0" w:space="0" w:color="auto"/>
            <w:bottom w:val="none" w:sz="0" w:space="0" w:color="auto"/>
            <w:right w:val="none" w:sz="0" w:space="0" w:color="auto"/>
          </w:divBdr>
        </w:div>
        <w:div w:id="1426196406">
          <w:marLeft w:val="640"/>
          <w:marRight w:val="0"/>
          <w:marTop w:val="0"/>
          <w:marBottom w:val="0"/>
          <w:divBdr>
            <w:top w:val="none" w:sz="0" w:space="0" w:color="auto"/>
            <w:left w:val="none" w:sz="0" w:space="0" w:color="auto"/>
            <w:bottom w:val="none" w:sz="0" w:space="0" w:color="auto"/>
            <w:right w:val="none" w:sz="0" w:space="0" w:color="auto"/>
          </w:divBdr>
        </w:div>
        <w:div w:id="1379626283">
          <w:marLeft w:val="640"/>
          <w:marRight w:val="0"/>
          <w:marTop w:val="0"/>
          <w:marBottom w:val="0"/>
          <w:divBdr>
            <w:top w:val="none" w:sz="0" w:space="0" w:color="auto"/>
            <w:left w:val="none" w:sz="0" w:space="0" w:color="auto"/>
            <w:bottom w:val="none" w:sz="0" w:space="0" w:color="auto"/>
            <w:right w:val="none" w:sz="0" w:space="0" w:color="auto"/>
          </w:divBdr>
        </w:div>
        <w:div w:id="1054429700">
          <w:marLeft w:val="640"/>
          <w:marRight w:val="0"/>
          <w:marTop w:val="0"/>
          <w:marBottom w:val="0"/>
          <w:divBdr>
            <w:top w:val="none" w:sz="0" w:space="0" w:color="auto"/>
            <w:left w:val="none" w:sz="0" w:space="0" w:color="auto"/>
            <w:bottom w:val="none" w:sz="0" w:space="0" w:color="auto"/>
            <w:right w:val="none" w:sz="0" w:space="0" w:color="auto"/>
          </w:divBdr>
        </w:div>
        <w:div w:id="2098138041">
          <w:marLeft w:val="640"/>
          <w:marRight w:val="0"/>
          <w:marTop w:val="0"/>
          <w:marBottom w:val="0"/>
          <w:divBdr>
            <w:top w:val="none" w:sz="0" w:space="0" w:color="auto"/>
            <w:left w:val="none" w:sz="0" w:space="0" w:color="auto"/>
            <w:bottom w:val="none" w:sz="0" w:space="0" w:color="auto"/>
            <w:right w:val="none" w:sz="0" w:space="0" w:color="auto"/>
          </w:divBdr>
        </w:div>
        <w:div w:id="822039550">
          <w:marLeft w:val="640"/>
          <w:marRight w:val="0"/>
          <w:marTop w:val="0"/>
          <w:marBottom w:val="0"/>
          <w:divBdr>
            <w:top w:val="none" w:sz="0" w:space="0" w:color="auto"/>
            <w:left w:val="none" w:sz="0" w:space="0" w:color="auto"/>
            <w:bottom w:val="none" w:sz="0" w:space="0" w:color="auto"/>
            <w:right w:val="none" w:sz="0" w:space="0" w:color="auto"/>
          </w:divBdr>
        </w:div>
        <w:div w:id="1538278794">
          <w:marLeft w:val="640"/>
          <w:marRight w:val="0"/>
          <w:marTop w:val="0"/>
          <w:marBottom w:val="0"/>
          <w:divBdr>
            <w:top w:val="none" w:sz="0" w:space="0" w:color="auto"/>
            <w:left w:val="none" w:sz="0" w:space="0" w:color="auto"/>
            <w:bottom w:val="none" w:sz="0" w:space="0" w:color="auto"/>
            <w:right w:val="none" w:sz="0" w:space="0" w:color="auto"/>
          </w:divBdr>
        </w:div>
        <w:div w:id="1656377411">
          <w:marLeft w:val="640"/>
          <w:marRight w:val="0"/>
          <w:marTop w:val="0"/>
          <w:marBottom w:val="0"/>
          <w:divBdr>
            <w:top w:val="none" w:sz="0" w:space="0" w:color="auto"/>
            <w:left w:val="none" w:sz="0" w:space="0" w:color="auto"/>
            <w:bottom w:val="none" w:sz="0" w:space="0" w:color="auto"/>
            <w:right w:val="none" w:sz="0" w:space="0" w:color="auto"/>
          </w:divBdr>
        </w:div>
        <w:div w:id="1171025467">
          <w:marLeft w:val="640"/>
          <w:marRight w:val="0"/>
          <w:marTop w:val="0"/>
          <w:marBottom w:val="0"/>
          <w:divBdr>
            <w:top w:val="none" w:sz="0" w:space="0" w:color="auto"/>
            <w:left w:val="none" w:sz="0" w:space="0" w:color="auto"/>
            <w:bottom w:val="none" w:sz="0" w:space="0" w:color="auto"/>
            <w:right w:val="none" w:sz="0" w:space="0" w:color="auto"/>
          </w:divBdr>
        </w:div>
        <w:div w:id="1926498888">
          <w:marLeft w:val="640"/>
          <w:marRight w:val="0"/>
          <w:marTop w:val="0"/>
          <w:marBottom w:val="0"/>
          <w:divBdr>
            <w:top w:val="none" w:sz="0" w:space="0" w:color="auto"/>
            <w:left w:val="none" w:sz="0" w:space="0" w:color="auto"/>
            <w:bottom w:val="none" w:sz="0" w:space="0" w:color="auto"/>
            <w:right w:val="none" w:sz="0" w:space="0" w:color="auto"/>
          </w:divBdr>
        </w:div>
        <w:div w:id="145703617">
          <w:marLeft w:val="640"/>
          <w:marRight w:val="0"/>
          <w:marTop w:val="0"/>
          <w:marBottom w:val="0"/>
          <w:divBdr>
            <w:top w:val="none" w:sz="0" w:space="0" w:color="auto"/>
            <w:left w:val="none" w:sz="0" w:space="0" w:color="auto"/>
            <w:bottom w:val="none" w:sz="0" w:space="0" w:color="auto"/>
            <w:right w:val="none" w:sz="0" w:space="0" w:color="auto"/>
          </w:divBdr>
        </w:div>
        <w:div w:id="1948733502">
          <w:marLeft w:val="640"/>
          <w:marRight w:val="0"/>
          <w:marTop w:val="0"/>
          <w:marBottom w:val="0"/>
          <w:divBdr>
            <w:top w:val="none" w:sz="0" w:space="0" w:color="auto"/>
            <w:left w:val="none" w:sz="0" w:space="0" w:color="auto"/>
            <w:bottom w:val="none" w:sz="0" w:space="0" w:color="auto"/>
            <w:right w:val="none" w:sz="0" w:space="0" w:color="auto"/>
          </w:divBdr>
        </w:div>
        <w:div w:id="1868130406">
          <w:marLeft w:val="640"/>
          <w:marRight w:val="0"/>
          <w:marTop w:val="0"/>
          <w:marBottom w:val="0"/>
          <w:divBdr>
            <w:top w:val="none" w:sz="0" w:space="0" w:color="auto"/>
            <w:left w:val="none" w:sz="0" w:space="0" w:color="auto"/>
            <w:bottom w:val="none" w:sz="0" w:space="0" w:color="auto"/>
            <w:right w:val="none" w:sz="0" w:space="0" w:color="auto"/>
          </w:divBdr>
        </w:div>
        <w:div w:id="887304259">
          <w:marLeft w:val="640"/>
          <w:marRight w:val="0"/>
          <w:marTop w:val="0"/>
          <w:marBottom w:val="0"/>
          <w:divBdr>
            <w:top w:val="none" w:sz="0" w:space="0" w:color="auto"/>
            <w:left w:val="none" w:sz="0" w:space="0" w:color="auto"/>
            <w:bottom w:val="none" w:sz="0" w:space="0" w:color="auto"/>
            <w:right w:val="none" w:sz="0" w:space="0" w:color="auto"/>
          </w:divBdr>
        </w:div>
        <w:div w:id="398939629">
          <w:marLeft w:val="640"/>
          <w:marRight w:val="0"/>
          <w:marTop w:val="0"/>
          <w:marBottom w:val="0"/>
          <w:divBdr>
            <w:top w:val="none" w:sz="0" w:space="0" w:color="auto"/>
            <w:left w:val="none" w:sz="0" w:space="0" w:color="auto"/>
            <w:bottom w:val="none" w:sz="0" w:space="0" w:color="auto"/>
            <w:right w:val="none" w:sz="0" w:space="0" w:color="auto"/>
          </w:divBdr>
        </w:div>
        <w:div w:id="432751619">
          <w:marLeft w:val="640"/>
          <w:marRight w:val="0"/>
          <w:marTop w:val="0"/>
          <w:marBottom w:val="0"/>
          <w:divBdr>
            <w:top w:val="none" w:sz="0" w:space="0" w:color="auto"/>
            <w:left w:val="none" w:sz="0" w:space="0" w:color="auto"/>
            <w:bottom w:val="none" w:sz="0" w:space="0" w:color="auto"/>
            <w:right w:val="none" w:sz="0" w:space="0" w:color="auto"/>
          </w:divBdr>
        </w:div>
        <w:div w:id="880747312">
          <w:marLeft w:val="640"/>
          <w:marRight w:val="0"/>
          <w:marTop w:val="0"/>
          <w:marBottom w:val="0"/>
          <w:divBdr>
            <w:top w:val="none" w:sz="0" w:space="0" w:color="auto"/>
            <w:left w:val="none" w:sz="0" w:space="0" w:color="auto"/>
            <w:bottom w:val="none" w:sz="0" w:space="0" w:color="auto"/>
            <w:right w:val="none" w:sz="0" w:space="0" w:color="auto"/>
          </w:divBdr>
        </w:div>
        <w:div w:id="61635140">
          <w:marLeft w:val="640"/>
          <w:marRight w:val="0"/>
          <w:marTop w:val="0"/>
          <w:marBottom w:val="0"/>
          <w:divBdr>
            <w:top w:val="none" w:sz="0" w:space="0" w:color="auto"/>
            <w:left w:val="none" w:sz="0" w:space="0" w:color="auto"/>
            <w:bottom w:val="none" w:sz="0" w:space="0" w:color="auto"/>
            <w:right w:val="none" w:sz="0" w:space="0" w:color="auto"/>
          </w:divBdr>
        </w:div>
        <w:div w:id="1086875815">
          <w:marLeft w:val="640"/>
          <w:marRight w:val="0"/>
          <w:marTop w:val="0"/>
          <w:marBottom w:val="0"/>
          <w:divBdr>
            <w:top w:val="none" w:sz="0" w:space="0" w:color="auto"/>
            <w:left w:val="none" w:sz="0" w:space="0" w:color="auto"/>
            <w:bottom w:val="none" w:sz="0" w:space="0" w:color="auto"/>
            <w:right w:val="none" w:sz="0" w:space="0" w:color="auto"/>
          </w:divBdr>
        </w:div>
        <w:div w:id="1722636185">
          <w:marLeft w:val="640"/>
          <w:marRight w:val="0"/>
          <w:marTop w:val="0"/>
          <w:marBottom w:val="0"/>
          <w:divBdr>
            <w:top w:val="none" w:sz="0" w:space="0" w:color="auto"/>
            <w:left w:val="none" w:sz="0" w:space="0" w:color="auto"/>
            <w:bottom w:val="none" w:sz="0" w:space="0" w:color="auto"/>
            <w:right w:val="none" w:sz="0" w:space="0" w:color="auto"/>
          </w:divBdr>
        </w:div>
        <w:div w:id="972558562">
          <w:marLeft w:val="640"/>
          <w:marRight w:val="0"/>
          <w:marTop w:val="0"/>
          <w:marBottom w:val="0"/>
          <w:divBdr>
            <w:top w:val="none" w:sz="0" w:space="0" w:color="auto"/>
            <w:left w:val="none" w:sz="0" w:space="0" w:color="auto"/>
            <w:bottom w:val="none" w:sz="0" w:space="0" w:color="auto"/>
            <w:right w:val="none" w:sz="0" w:space="0" w:color="auto"/>
          </w:divBdr>
        </w:div>
        <w:div w:id="888568136">
          <w:marLeft w:val="640"/>
          <w:marRight w:val="0"/>
          <w:marTop w:val="0"/>
          <w:marBottom w:val="0"/>
          <w:divBdr>
            <w:top w:val="none" w:sz="0" w:space="0" w:color="auto"/>
            <w:left w:val="none" w:sz="0" w:space="0" w:color="auto"/>
            <w:bottom w:val="none" w:sz="0" w:space="0" w:color="auto"/>
            <w:right w:val="none" w:sz="0" w:space="0" w:color="auto"/>
          </w:divBdr>
        </w:div>
        <w:div w:id="2066179428">
          <w:marLeft w:val="640"/>
          <w:marRight w:val="0"/>
          <w:marTop w:val="0"/>
          <w:marBottom w:val="0"/>
          <w:divBdr>
            <w:top w:val="none" w:sz="0" w:space="0" w:color="auto"/>
            <w:left w:val="none" w:sz="0" w:space="0" w:color="auto"/>
            <w:bottom w:val="none" w:sz="0" w:space="0" w:color="auto"/>
            <w:right w:val="none" w:sz="0" w:space="0" w:color="auto"/>
          </w:divBdr>
        </w:div>
        <w:div w:id="1324823093">
          <w:marLeft w:val="640"/>
          <w:marRight w:val="0"/>
          <w:marTop w:val="0"/>
          <w:marBottom w:val="0"/>
          <w:divBdr>
            <w:top w:val="none" w:sz="0" w:space="0" w:color="auto"/>
            <w:left w:val="none" w:sz="0" w:space="0" w:color="auto"/>
            <w:bottom w:val="none" w:sz="0" w:space="0" w:color="auto"/>
            <w:right w:val="none" w:sz="0" w:space="0" w:color="auto"/>
          </w:divBdr>
        </w:div>
        <w:div w:id="795954644">
          <w:marLeft w:val="640"/>
          <w:marRight w:val="0"/>
          <w:marTop w:val="0"/>
          <w:marBottom w:val="0"/>
          <w:divBdr>
            <w:top w:val="none" w:sz="0" w:space="0" w:color="auto"/>
            <w:left w:val="none" w:sz="0" w:space="0" w:color="auto"/>
            <w:bottom w:val="none" w:sz="0" w:space="0" w:color="auto"/>
            <w:right w:val="none" w:sz="0" w:space="0" w:color="auto"/>
          </w:divBdr>
        </w:div>
        <w:div w:id="1329751636">
          <w:marLeft w:val="640"/>
          <w:marRight w:val="0"/>
          <w:marTop w:val="0"/>
          <w:marBottom w:val="0"/>
          <w:divBdr>
            <w:top w:val="none" w:sz="0" w:space="0" w:color="auto"/>
            <w:left w:val="none" w:sz="0" w:space="0" w:color="auto"/>
            <w:bottom w:val="none" w:sz="0" w:space="0" w:color="auto"/>
            <w:right w:val="none" w:sz="0" w:space="0" w:color="auto"/>
          </w:divBdr>
        </w:div>
        <w:div w:id="1538811866">
          <w:marLeft w:val="640"/>
          <w:marRight w:val="0"/>
          <w:marTop w:val="0"/>
          <w:marBottom w:val="0"/>
          <w:divBdr>
            <w:top w:val="none" w:sz="0" w:space="0" w:color="auto"/>
            <w:left w:val="none" w:sz="0" w:space="0" w:color="auto"/>
            <w:bottom w:val="none" w:sz="0" w:space="0" w:color="auto"/>
            <w:right w:val="none" w:sz="0" w:space="0" w:color="auto"/>
          </w:divBdr>
        </w:div>
        <w:div w:id="1264999988">
          <w:marLeft w:val="640"/>
          <w:marRight w:val="0"/>
          <w:marTop w:val="0"/>
          <w:marBottom w:val="0"/>
          <w:divBdr>
            <w:top w:val="none" w:sz="0" w:space="0" w:color="auto"/>
            <w:left w:val="none" w:sz="0" w:space="0" w:color="auto"/>
            <w:bottom w:val="none" w:sz="0" w:space="0" w:color="auto"/>
            <w:right w:val="none" w:sz="0" w:space="0" w:color="auto"/>
          </w:divBdr>
        </w:div>
        <w:div w:id="467630347">
          <w:marLeft w:val="640"/>
          <w:marRight w:val="0"/>
          <w:marTop w:val="0"/>
          <w:marBottom w:val="0"/>
          <w:divBdr>
            <w:top w:val="none" w:sz="0" w:space="0" w:color="auto"/>
            <w:left w:val="none" w:sz="0" w:space="0" w:color="auto"/>
            <w:bottom w:val="none" w:sz="0" w:space="0" w:color="auto"/>
            <w:right w:val="none" w:sz="0" w:space="0" w:color="auto"/>
          </w:divBdr>
        </w:div>
        <w:div w:id="993753331">
          <w:marLeft w:val="640"/>
          <w:marRight w:val="0"/>
          <w:marTop w:val="0"/>
          <w:marBottom w:val="0"/>
          <w:divBdr>
            <w:top w:val="none" w:sz="0" w:space="0" w:color="auto"/>
            <w:left w:val="none" w:sz="0" w:space="0" w:color="auto"/>
            <w:bottom w:val="none" w:sz="0" w:space="0" w:color="auto"/>
            <w:right w:val="none" w:sz="0" w:space="0" w:color="auto"/>
          </w:divBdr>
        </w:div>
        <w:div w:id="917792974">
          <w:marLeft w:val="640"/>
          <w:marRight w:val="0"/>
          <w:marTop w:val="0"/>
          <w:marBottom w:val="0"/>
          <w:divBdr>
            <w:top w:val="none" w:sz="0" w:space="0" w:color="auto"/>
            <w:left w:val="none" w:sz="0" w:space="0" w:color="auto"/>
            <w:bottom w:val="none" w:sz="0" w:space="0" w:color="auto"/>
            <w:right w:val="none" w:sz="0" w:space="0" w:color="auto"/>
          </w:divBdr>
        </w:div>
        <w:div w:id="1573197553">
          <w:marLeft w:val="640"/>
          <w:marRight w:val="0"/>
          <w:marTop w:val="0"/>
          <w:marBottom w:val="0"/>
          <w:divBdr>
            <w:top w:val="none" w:sz="0" w:space="0" w:color="auto"/>
            <w:left w:val="none" w:sz="0" w:space="0" w:color="auto"/>
            <w:bottom w:val="none" w:sz="0" w:space="0" w:color="auto"/>
            <w:right w:val="none" w:sz="0" w:space="0" w:color="auto"/>
          </w:divBdr>
        </w:div>
        <w:div w:id="622659612">
          <w:marLeft w:val="640"/>
          <w:marRight w:val="0"/>
          <w:marTop w:val="0"/>
          <w:marBottom w:val="0"/>
          <w:divBdr>
            <w:top w:val="none" w:sz="0" w:space="0" w:color="auto"/>
            <w:left w:val="none" w:sz="0" w:space="0" w:color="auto"/>
            <w:bottom w:val="none" w:sz="0" w:space="0" w:color="auto"/>
            <w:right w:val="none" w:sz="0" w:space="0" w:color="auto"/>
          </w:divBdr>
        </w:div>
        <w:div w:id="359209094">
          <w:marLeft w:val="640"/>
          <w:marRight w:val="0"/>
          <w:marTop w:val="0"/>
          <w:marBottom w:val="0"/>
          <w:divBdr>
            <w:top w:val="none" w:sz="0" w:space="0" w:color="auto"/>
            <w:left w:val="none" w:sz="0" w:space="0" w:color="auto"/>
            <w:bottom w:val="none" w:sz="0" w:space="0" w:color="auto"/>
            <w:right w:val="none" w:sz="0" w:space="0" w:color="auto"/>
          </w:divBdr>
        </w:div>
        <w:div w:id="1282882641">
          <w:marLeft w:val="640"/>
          <w:marRight w:val="0"/>
          <w:marTop w:val="0"/>
          <w:marBottom w:val="0"/>
          <w:divBdr>
            <w:top w:val="none" w:sz="0" w:space="0" w:color="auto"/>
            <w:left w:val="none" w:sz="0" w:space="0" w:color="auto"/>
            <w:bottom w:val="none" w:sz="0" w:space="0" w:color="auto"/>
            <w:right w:val="none" w:sz="0" w:space="0" w:color="auto"/>
          </w:divBdr>
        </w:div>
        <w:div w:id="352078812">
          <w:marLeft w:val="640"/>
          <w:marRight w:val="0"/>
          <w:marTop w:val="0"/>
          <w:marBottom w:val="0"/>
          <w:divBdr>
            <w:top w:val="none" w:sz="0" w:space="0" w:color="auto"/>
            <w:left w:val="none" w:sz="0" w:space="0" w:color="auto"/>
            <w:bottom w:val="none" w:sz="0" w:space="0" w:color="auto"/>
            <w:right w:val="none" w:sz="0" w:space="0" w:color="auto"/>
          </w:divBdr>
        </w:div>
        <w:div w:id="1345670245">
          <w:marLeft w:val="640"/>
          <w:marRight w:val="0"/>
          <w:marTop w:val="0"/>
          <w:marBottom w:val="0"/>
          <w:divBdr>
            <w:top w:val="none" w:sz="0" w:space="0" w:color="auto"/>
            <w:left w:val="none" w:sz="0" w:space="0" w:color="auto"/>
            <w:bottom w:val="none" w:sz="0" w:space="0" w:color="auto"/>
            <w:right w:val="none" w:sz="0" w:space="0" w:color="auto"/>
          </w:divBdr>
        </w:div>
        <w:div w:id="1810704142">
          <w:marLeft w:val="640"/>
          <w:marRight w:val="0"/>
          <w:marTop w:val="0"/>
          <w:marBottom w:val="0"/>
          <w:divBdr>
            <w:top w:val="none" w:sz="0" w:space="0" w:color="auto"/>
            <w:left w:val="none" w:sz="0" w:space="0" w:color="auto"/>
            <w:bottom w:val="none" w:sz="0" w:space="0" w:color="auto"/>
            <w:right w:val="none" w:sz="0" w:space="0" w:color="auto"/>
          </w:divBdr>
        </w:div>
        <w:div w:id="1524856126">
          <w:marLeft w:val="640"/>
          <w:marRight w:val="0"/>
          <w:marTop w:val="0"/>
          <w:marBottom w:val="0"/>
          <w:divBdr>
            <w:top w:val="none" w:sz="0" w:space="0" w:color="auto"/>
            <w:left w:val="none" w:sz="0" w:space="0" w:color="auto"/>
            <w:bottom w:val="none" w:sz="0" w:space="0" w:color="auto"/>
            <w:right w:val="none" w:sz="0" w:space="0" w:color="auto"/>
          </w:divBdr>
        </w:div>
        <w:div w:id="1809933184">
          <w:marLeft w:val="640"/>
          <w:marRight w:val="0"/>
          <w:marTop w:val="0"/>
          <w:marBottom w:val="0"/>
          <w:divBdr>
            <w:top w:val="none" w:sz="0" w:space="0" w:color="auto"/>
            <w:left w:val="none" w:sz="0" w:space="0" w:color="auto"/>
            <w:bottom w:val="none" w:sz="0" w:space="0" w:color="auto"/>
            <w:right w:val="none" w:sz="0" w:space="0" w:color="auto"/>
          </w:divBdr>
        </w:div>
        <w:div w:id="1388606783">
          <w:marLeft w:val="640"/>
          <w:marRight w:val="0"/>
          <w:marTop w:val="0"/>
          <w:marBottom w:val="0"/>
          <w:divBdr>
            <w:top w:val="none" w:sz="0" w:space="0" w:color="auto"/>
            <w:left w:val="none" w:sz="0" w:space="0" w:color="auto"/>
            <w:bottom w:val="none" w:sz="0" w:space="0" w:color="auto"/>
            <w:right w:val="none" w:sz="0" w:space="0" w:color="auto"/>
          </w:divBdr>
        </w:div>
        <w:div w:id="276568279">
          <w:marLeft w:val="640"/>
          <w:marRight w:val="0"/>
          <w:marTop w:val="0"/>
          <w:marBottom w:val="0"/>
          <w:divBdr>
            <w:top w:val="none" w:sz="0" w:space="0" w:color="auto"/>
            <w:left w:val="none" w:sz="0" w:space="0" w:color="auto"/>
            <w:bottom w:val="none" w:sz="0" w:space="0" w:color="auto"/>
            <w:right w:val="none" w:sz="0" w:space="0" w:color="auto"/>
          </w:divBdr>
        </w:div>
        <w:div w:id="216935967">
          <w:marLeft w:val="640"/>
          <w:marRight w:val="0"/>
          <w:marTop w:val="0"/>
          <w:marBottom w:val="0"/>
          <w:divBdr>
            <w:top w:val="none" w:sz="0" w:space="0" w:color="auto"/>
            <w:left w:val="none" w:sz="0" w:space="0" w:color="auto"/>
            <w:bottom w:val="none" w:sz="0" w:space="0" w:color="auto"/>
            <w:right w:val="none" w:sz="0" w:space="0" w:color="auto"/>
          </w:divBdr>
        </w:div>
        <w:div w:id="42562027">
          <w:marLeft w:val="640"/>
          <w:marRight w:val="0"/>
          <w:marTop w:val="0"/>
          <w:marBottom w:val="0"/>
          <w:divBdr>
            <w:top w:val="none" w:sz="0" w:space="0" w:color="auto"/>
            <w:left w:val="none" w:sz="0" w:space="0" w:color="auto"/>
            <w:bottom w:val="none" w:sz="0" w:space="0" w:color="auto"/>
            <w:right w:val="none" w:sz="0" w:space="0" w:color="auto"/>
          </w:divBdr>
        </w:div>
        <w:div w:id="2018725632">
          <w:marLeft w:val="640"/>
          <w:marRight w:val="0"/>
          <w:marTop w:val="0"/>
          <w:marBottom w:val="0"/>
          <w:divBdr>
            <w:top w:val="none" w:sz="0" w:space="0" w:color="auto"/>
            <w:left w:val="none" w:sz="0" w:space="0" w:color="auto"/>
            <w:bottom w:val="none" w:sz="0" w:space="0" w:color="auto"/>
            <w:right w:val="none" w:sz="0" w:space="0" w:color="auto"/>
          </w:divBdr>
        </w:div>
        <w:div w:id="1237011033">
          <w:marLeft w:val="640"/>
          <w:marRight w:val="0"/>
          <w:marTop w:val="0"/>
          <w:marBottom w:val="0"/>
          <w:divBdr>
            <w:top w:val="none" w:sz="0" w:space="0" w:color="auto"/>
            <w:left w:val="none" w:sz="0" w:space="0" w:color="auto"/>
            <w:bottom w:val="none" w:sz="0" w:space="0" w:color="auto"/>
            <w:right w:val="none" w:sz="0" w:space="0" w:color="auto"/>
          </w:divBdr>
        </w:div>
        <w:div w:id="1674071113">
          <w:marLeft w:val="640"/>
          <w:marRight w:val="0"/>
          <w:marTop w:val="0"/>
          <w:marBottom w:val="0"/>
          <w:divBdr>
            <w:top w:val="none" w:sz="0" w:space="0" w:color="auto"/>
            <w:left w:val="none" w:sz="0" w:space="0" w:color="auto"/>
            <w:bottom w:val="none" w:sz="0" w:space="0" w:color="auto"/>
            <w:right w:val="none" w:sz="0" w:space="0" w:color="auto"/>
          </w:divBdr>
        </w:div>
        <w:div w:id="782310930">
          <w:marLeft w:val="640"/>
          <w:marRight w:val="0"/>
          <w:marTop w:val="0"/>
          <w:marBottom w:val="0"/>
          <w:divBdr>
            <w:top w:val="none" w:sz="0" w:space="0" w:color="auto"/>
            <w:left w:val="none" w:sz="0" w:space="0" w:color="auto"/>
            <w:bottom w:val="none" w:sz="0" w:space="0" w:color="auto"/>
            <w:right w:val="none" w:sz="0" w:space="0" w:color="auto"/>
          </w:divBdr>
        </w:div>
        <w:div w:id="695539167">
          <w:marLeft w:val="640"/>
          <w:marRight w:val="0"/>
          <w:marTop w:val="0"/>
          <w:marBottom w:val="0"/>
          <w:divBdr>
            <w:top w:val="none" w:sz="0" w:space="0" w:color="auto"/>
            <w:left w:val="none" w:sz="0" w:space="0" w:color="auto"/>
            <w:bottom w:val="none" w:sz="0" w:space="0" w:color="auto"/>
            <w:right w:val="none" w:sz="0" w:space="0" w:color="auto"/>
          </w:divBdr>
        </w:div>
        <w:div w:id="652492086">
          <w:marLeft w:val="640"/>
          <w:marRight w:val="0"/>
          <w:marTop w:val="0"/>
          <w:marBottom w:val="0"/>
          <w:divBdr>
            <w:top w:val="none" w:sz="0" w:space="0" w:color="auto"/>
            <w:left w:val="none" w:sz="0" w:space="0" w:color="auto"/>
            <w:bottom w:val="none" w:sz="0" w:space="0" w:color="auto"/>
            <w:right w:val="none" w:sz="0" w:space="0" w:color="auto"/>
          </w:divBdr>
        </w:div>
        <w:div w:id="1664703417">
          <w:marLeft w:val="640"/>
          <w:marRight w:val="0"/>
          <w:marTop w:val="0"/>
          <w:marBottom w:val="0"/>
          <w:divBdr>
            <w:top w:val="none" w:sz="0" w:space="0" w:color="auto"/>
            <w:left w:val="none" w:sz="0" w:space="0" w:color="auto"/>
            <w:bottom w:val="none" w:sz="0" w:space="0" w:color="auto"/>
            <w:right w:val="none" w:sz="0" w:space="0" w:color="auto"/>
          </w:divBdr>
        </w:div>
        <w:div w:id="1636329802">
          <w:marLeft w:val="640"/>
          <w:marRight w:val="0"/>
          <w:marTop w:val="0"/>
          <w:marBottom w:val="0"/>
          <w:divBdr>
            <w:top w:val="none" w:sz="0" w:space="0" w:color="auto"/>
            <w:left w:val="none" w:sz="0" w:space="0" w:color="auto"/>
            <w:bottom w:val="none" w:sz="0" w:space="0" w:color="auto"/>
            <w:right w:val="none" w:sz="0" w:space="0" w:color="auto"/>
          </w:divBdr>
        </w:div>
        <w:div w:id="1684235383">
          <w:marLeft w:val="640"/>
          <w:marRight w:val="0"/>
          <w:marTop w:val="0"/>
          <w:marBottom w:val="0"/>
          <w:divBdr>
            <w:top w:val="none" w:sz="0" w:space="0" w:color="auto"/>
            <w:left w:val="none" w:sz="0" w:space="0" w:color="auto"/>
            <w:bottom w:val="none" w:sz="0" w:space="0" w:color="auto"/>
            <w:right w:val="none" w:sz="0" w:space="0" w:color="auto"/>
          </w:divBdr>
        </w:div>
        <w:div w:id="1544556678">
          <w:marLeft w:val="640"/>
          <w:marRight w:val="0"/>
          <w:marTop w:val="0"/>
          <w:marBottom w:val="0"/>
          <w:divBdr>
            <w:top w:val="none" w:sz="0" w:space="0" w:color="auto"/>
            <w:left w:val="none" w:sz="0" w:space="0" w:color="auto"/>
            <w:bottom w:val="none" w:sz="0" w:space="0" w:color="auto"/>
            <w:right w:val="none" w:sz="0" w:space="0" w:color="auto"/>
          </w:divBdr>
        </w:div>
        <w:div w:id="1917014489">
          <w:marLeft w:val="640"/>
          <w:marRight w:val="0"/>
          <w:marTop w:val="0"/>
          <w:marBottom w:val="0"/>
          <w:divBdr>
            <w:top w:val="none" w:sz="0" w:space="0" w:color="auto"/>
            <w:left w:val="none" w:sz="0" w:space="0" w:color="auto"/>
            <w:bottom w:val="none" w:sz="0" w:space="0" w:color="auto"/>
            <w:right w:val="none" w:sz="0" w:space="0" w:color="auto"/>
          </w:divBdr>
        </w:div>
        <w:div w:id="283510529">
          <w:marLeft w:val="640"/>
          <w:marRight w:val="0"/>
          <w:marTop w:val="0"/>
          <w:marBottom w:val="0"/>
          <w:divBdr>
            <w:top w:val="none" w:sz="0" w:space="0" w:color="auto"/>
            <w:left w:val="none" w:sz="0" w:space="0" w:color="auto"/>
            <w:bottom w:val="none" w:sz="0" w:space="0" w:color="auto"/>
            <w:right w:val="none" w:sz="0" w:space="0" w:color="auto"/>
          </w:divBdr>
        </w:div>
        <w:div w:id="1058091295">
          <w:marLeft w:val="640"/>
          <w:marRight w:val="0"/>
          <w:marTop w:val="0"/>
          <w:marBottom w:val="0"/>
          <w:divBdr>
            <w:top w:val="none" w:sz="0" w:space="0" w:color="auto"/>
            <w:left w:val="none" w:sz="0" w:space="0" w:color="auto"/>
            <w:bottom w:val="none" w:sz="0" w:space="0" w:color="auto"/>
            <w:right w:val="none" w:sz="0" w:space="0" w:color="auto"/>
          </w:divBdr>
        </w:div>
        <w:div w:id="441459641">
          <w:marLeft w:val="640"/>
          <w:marRight w:val="0"/>
          <w:marTop w:val="0"/>
          <w:marBottom w:val="0"/>
          <w:divBdr>
            <w:top w:val="none" w:sz="0" w:space="0" w:color="auto"/>
            <w:left w:val="none" w:sz="0" w:space="0" w:color="auto"/>
            <w:bottom w:val="none" w:sz="0" w:space="0" w:color="auto"/>
            <w:right w:val="none" w:sz="0" w:space="0" w:color="auto"/>
          </w:divBdr>
        </w:div>
        <w:div w:id="91243290">
          <w:marLeft w:val="640"/>
          <w:marRight w:val="0"/>
          <w:marTop w:val="0"/>
          <w:marBottom w:val="0"/>
          <w:divBdr>
            <w:top w:val="none" w:sz="0" w:space="0" w:color="auto"/>
            <w:left w:val="none" w:sz="0" w:space="0" w:color="auto"/>
            <w:bottom w:val="none" w:sz="0" w:space="0" w:color="auto"/>
            <w:right w:val="none" w:sz="0" w:space="0" w:color="auto"/>
          </w:divBdr>
        </w:div>
        <w:div w:id="1435515437">
          <w:marLeft w:val="640"/>
          <w:marRight w:val="0"/>
          <w:marTop w:val="0"/>
          <w:marBottom w:val="0"/>
          <w:divBdr>
            <w:top w:val="none" w:sz="0" w:space="0" w:color="auto"/>
            <w:left w:val="none" w:sz="0" w:space="0" w:color="auto"/>
            <w:bottom w:val="none" w:sz="0" w:space="0" w:color="auto"/>
            <w:right w:val="none" w:sz="0" w:space="0" w:color="auto"/>
          </w:divBdr>
        </w:div>
        <w:div w:id="1865745958">
          <w:marLeft w:val="640"/>
          <w:marRight w:val="0"/>
          <w:marTop w:val="0"/>
          <w:marBottom w:val="0"/>
          <w:divBdr>
            <w:top w:val="none" w:sz="0" w:space="0" w:color="auto"/>
            <w:left w:val="none" w:sz="0" w:space="0" w:color="auto"/>
            <w:bottom w:val="none" w:sz="0" w:space="0" w:color="auto"/>
            <w:right w:val="none" w:sz="0" w:space="0" w:color="auto"/>
          </w:divBdr>
        </w:div>
        <w:div w:id="1913001205">
          <w:marLeft w:val="640"/>
          <w:marRight w:val="0"/>
          <w:marTop w:val="0"/>
          <w:marBottom w:val="0"/>
          <w:divBdr>
            <w:top w:val="none" w:sz="0" w:space="0" w:color="auto"/>
            <w:left w:val="none" w:sz="0" w:space="0" w:color="auto"/>
            <w:bottom w:val="none" w:sz="0" w:space="0" w:color="auto"/>
            <w:right w:val="none" w:sz="0" w:space="0" w:color="auto"/>
          </w:divBdr>
        </w:div>
        <w:div w:id="184053017">
          <w:marLeft w:val="640"/>
          <w:marRight w:val="0"/>
          <w:marTop w:val="0"/>
          <w:marBottom w:val="0"/>
          <w:divBdr>
            <w:top w:val="none" w:sz="0" w:space="0" w:color="auto"/>
            <w:left w:val="none" w:sz="0" w:space="0" w:color="auto"/>
            <w:bottom w:val="none" w:sz="0" w:space="0" w:color="auto"/>
            <w:right w:val="none" w:sz="0" w:space="0" w:color="auto"/>
          </w:divBdr>
        </w:div>
        <w:div w:id="247273964">
          <w:marLeft w:val="640"/>
          <w:marRight w:val="0"/>
          <w:marTop w:val="0"/>
          <w:marBottom w:val="0"/>
          <w:divBdr>
            <w:top w:val="none" w:sz="0" w:space="0" w:color="auto"/>
            <w:left w:val="none" w:sz="0" w:space="0" w:color="auto"/>
            <w:bottom w:val="none" w:sz="0" w:space="0" w:color="auto"/>
            <w:right w:val="none" w:sz="0" w:space="0" w:color="auto"/>
          </w:divBdr>
        </w:div>
        <w:div w:id="73625501">
          <w:marLeft w:val="640"/>
          <w:marRight w:val="0"/>
          <w:marTop w:val="0"/>
          <w:marBottom w:val="0"/>
          <w:divBdr>
            <w:top w:val="none" w:sz="0" w:space="0" w:color="auto"/>
            <w:left w:val="none" w:sz="0" w:space="0" w:color="auto"/>
            <w:bottom w:val="none" w:sz="0" w:space="0" w:color="auto"/>
            <w:right w:val="none" w:sz="0" w:space="0" w:color="auto"/>
          </w:divBdr>
        </w:div>
        <w:div w:id="303241259">
          <w:marLeft w:val="640"/>
          <w:marRight w:val="0"/>
          <w:marTop w:val="0"/>
          <w:marBottom w:val="0"/>
          <w:divBdr>
            <w:top w:val="none" w:sz="0" w:space="0" w:color="auto"/>
            <w:left w:val="none" w:sz="0" w:space="0" w:color="auto"/>
            <w:bottom w:val="none" w:sz="0" w:space="0" w:color="auto"/>
            <w:right w:val="none" w:sz="0" w:space="0" w:color="auto"/>
          </w:divBdr>
        </w:div>
      </w:divsChild>
    </w:div>
    <w:div w:id="838693706">
      <w:bodyDiv w:val="1"/>
      <w:marLeft w:val="0"/>
      <w:marRight w:val="0"/>
      <w:marTop w:val="0"/>
      <w:marBottom w:val="0"/>
      <w:divBdr>
        <w:top w:val="none" w:sz="0" w:space="0" w:color="auto"/>
        <w:left w:val="none" w:sz="0" w:space="0" w:color="auto"/>
        <w:bottom w:val="none" w:sz="0" w:space="0" w:color="auto"/>
        <w:right w:val="none" w:sz="0" w:space="0" w:color="auto"/>
      </w:divBdr>
    </w:div>
    <w:div w:id="878980461">
      <w:bodyDiv w:val="1"/>
      <w:marLeft w:val="0"/>
      <w:marRight w:val="0"/>
      <w:marTop w:val="0"/>
      <w:marBottom w:val="0"/>
      <w:divBdr>
        <w:top w:val="none" w:sz="0" w:space="0" w:color="auto"/>
        <w:left w:val="none" w:sz="0" w:space="0" w:color="auto"/>
        <w:bottom w:val="none" w:sz="0" w:space="0" w:color="auto"/>
        <w:right w:val="none" w:sz="0" w:space="0" w:color="auto"/>
      </w:divBdr>
      <w:divsChild>
        <w:div w:id="410658206">
          <w:marLeft w:val="0"/>
          <w:marRight w:val="0"/>
          <w:marTop w:val="0"/>
          <w:marBottom w:val="0"/>
          <w:divBdr>
            <w:top w:val="none" w:sz="0" w:space="0" w:color="auto"/>
            <w:left w:val="none" w:sz="0" w:space="0" w:color="auto"/>
            <w:bottom w:val="none" w:sz="0" w:space="0" w:color="auto"/>
            <w:right w:val="none" w:sz="0" w:space="0" w:color="auto"/>
          </w:divBdr>
          <w:divsChild>
            <w:div w:id="1025063590">
              <w:marLeft w:val="0"/>
              <w:marRight w:val="0"/>
              <w:marTop w:val="0"/>
              <w:marBottom w:val="0"/>
              <w:divBdr>
                <w:top w:val="none" w:sz="0" w:space="0" w:color="auto"/>
                <w:left w:val="none" w:sz="0" w:space="0" w:color="auto"/>
                <w:bottom w:val="none" w:sz="0" w:space="0" w:color="auto"/>
                <w:right w:val="none" w:sz="0" w:space="0" w:color="auto"/>
              </w:divBdr>
              <w:divsChild>
                <w:div w:id="89597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019630">
      <w:bodyDiv w:val="1"/>
      <w:marLeft w:val="0"/>
      <w:marRight w:val="0"/>
      <w:marTop w:val="0"/>
      <w:marBottom w:val="0"/>
      <w:divBdr>
        <w:top w:val="none" w:sz="0" w:space="0" w:color="auto"/>
        <w:left w:val="none" w:sz="0" w:space="0" w:color="auto"/>
        <w:bottom w:val="none" w:sz="0" w:space="0" w:color="auto"/>
        <w:right w:val="none" w:sz="0" w:space="0" w:color="auto"/>
      </w:divBdr>
    </w:div>
    <w:div w:id="1003822306">
      <w:bodyDiv w:val="1"/>
      <w:marLeft w:val="0"/>
      <w:marRight w:val="0"/>
      <w:marTop w:val="0"/>
      <w:marBottom w:val="0"/>
      <w:divBdr>
        <w:top w:val="none" w:sz="0" w:space="0" w:color="auto"/>
        <w:left w:val="none" w:sz="0" w:space="0" w:color="auto"/>
        <w:bottom w:val="none" w:sz="0" w:space="0" w:color="auto"/>
        <w:right w:val="none" w:sz="0" w:space="0" w:color="auto"/>
      </w:divBdr>
    </w:div>
    <w:div w:id="1038507877">
      <w:bodyDiv w:val="1"/>
      <w:marLeft w:val="0"/>
      <w:marRight w:val="0"/>
      <w:marTop w:val="0"/>
      <w:marBottom w:val="0"/>
      <w:divBdr>
        <w:top w:val="none" w:sz="0" w:space="0" w:color="auto"/>
        <w:left w:val="none" w:sz="0" w:space="0" w:color="auto"/>
        <w:bottom w:val="none" w:sz="0" w:space="0" w:color="auto"/>
        <w:right w:val="none" w:sz="0" w:space="0" w:color="auto"/>
      </w:divBdr>
    </w:div>
    <w:div w:id="1047948893">
      <w:bodyDiv w:val="1"/>
      <w:marLeft w:val="0"/>
      <w:marRight w:val="0"/>
      <w:marTop w:val="0"/>
      <w:marBottom w:val="0"/>
      <w:divBdr>
        <w:top w:val="none" w:sz="0" w:space="0" w:color="auto"/>
        <w:left w:val="none" w:sz="0" w:space="0" w:color="auto"/>
        <w:bottom w:val="none" w:sz="0" w:space="0" w:color="auto"/>
        <w:right w:val="none" w:sz="0" w:space="0" w:color="auto"/>
      </w:divBdr>
      <w:divsChild>
        <w:div w:id="23527517">
          <w:marLeft w:val="640"/>
          <w:marRight w:val="0"/>
          <w:marTop w:val="0"/>
          <w:marBottom w:val="0"/>
          <w:divBdr>
            <w:top w:val="none" w:sz="0" w:space="0" w:color="auto"/>
            <w:left w:val="none" w:sz="0" w:space="0" w:color="auto"/>
            <w:bottom w:val="none" w:sz="0" w:space="0" w:color="auto"/>
            <w:right w:val="none" w:sz="0" w:space="0" w:color="auto"/>
          </w:divBdr>
        </w:div>
        <w:div w:id="1834449148">
          <w:marLeft w:val="640"/>
          <w:marRight w:val="0"/>
          <w:marTop w:val="0"/>
          <w:marBottom w:val="0"/>
          <w:divBdr>
            <w:top w:val="none" w:sz="0" w:space="0" w:color="auto"/>
            <w:left w:val="none" w:sz="0" w:space="0" w:color="auto"/>
            <w:bottom w:val="none" w:sz="0" w:space="0" w:color="auto"/>
            <w:right w:val="none" w:sz="0" w:space="0" w:color="auto"/>
          </w:divBdr>
        </w:div>
        <w:div w:id="150607311">
          <w:marLeft w:val="640"/>
          <w:marRight w:val="0"/>
          <w:marTop w:val="0"/>
          <w:marBottom w:val="0"/>
          <w:divBdr>
            <w:top w:val="none" w:sz="0" w:space="0" w:color="auto"/>
            <w:left w:val="none" w:sz="0" w:space="0" w:color="auto"/>
            <w:bottom w:val="none" w:sz="0" w:space="0" w:color="auto"/>
            <w:right w:val="none" w:sz="0" w:space="0" w:color="auto"/>
          </w:divBdr>
        </w:div>
        <w:div w:id="964821171">
          <w:marLeft w:val="640"/>
          <w:marRight w:val="0"/>
          <w:marTop w:val="0"/>
          <w:marBottom w:val="0"/>
          <w:divBdr>
            <w:top w:val="none" w:sz="0" w:space="0" w:color="auto"/>
            <w:left w:val="none" w:sz="0" w:space="0" w:color="auto"/>
            <w:bottom w:val="none" w:sz="0" w:space="0" w:color="auto"/>
            <w:right w:val="none" w:sz="0" w:space="0" w:color="auto"/>
          </w:divBdr>
        </w:div>
        <w:div w:id="1529564079">
          <w:marLeft w:val="640"/>
          <w:marRight w:val="0"/>
          <w:marTop w:val="0"/>
          <w:marBottom w:val="0"/>
          <w:divBdr>
            <w:top w:val="none" w:sz="0" w:space="0" w:color="auto"/>
            <w:left w:val="none" w:sz="0" w:space="0" w:color="auto"/>
            <w:bottom w:val="none" w:sz="0" w:space="0" w:color="auto"/>
            <w:right w:val="none" w:sz="0" w:space="0" w:color="auto"/>
          </w:divBdr>
        </w:div>
        <w:div w:id="407190764">
          <w:marLeft w:val="640"/>
          <w:marRight w:val="0"/>
          <w:marTop w:val="0"/>
          <w:marBottom w:val="0"/>
          <w:divBdr>
            <w:top w:val="none" w:sz="0" w:space="0" w:color="auto"/>
            <w:left w:val="none" w:sz="0" w:space="0" w:color="auto"/>
            <w:bottom w:val="none" w:sz="0" w:space="0" w:color="auto"/>
            <w:right w:val="none" w:sz="0" w:space="0" w:color="auto"/>
          </w:divBdr>
        </w:div>
        <w:div w:id="1352418768">
          <w:marLeft w:val="640"/>
          <w:marRight w:val="0"/>
          <w:marTop w:val="0"/>
          <w:marBottom w:val="0"/>
          <w:divBdr>
            <w:top w:val="none" w:sz="0" w:space="0" w:color="auto"/>
            <w:left w:val="none" w:sz="0" w:space="0" w:color="auto"/>
            <w:bottom w:val="none" w:sz="0" w:space="0" w:color="auto"/>
            <w:right w:val="none" w:sz="0" w:space="0" w:color="auto"/>
          </w:divBdr>
        </w:div>
        <w:div w:id="1412897525">
          <w:marLeft w:val="640"/>
          <w:marRight w:val="0"/>
          <w:marTop w:val="0"/>
          <w:marBottom w:val="0"/>
          <w:divBdr>
            <w:top w:val="none" w:sz="0" w:space="0" w:color="auto"/>
            <w:left w:val="none" w:sz="0" w:space="0" w:color="auto"/>
            <w:bottom w:val="none" w:sz="0" w:space="0" w:color="auto"/>
            <w:right w:val="none" w:sz="0" w:space="0" w:color="auto"/>
          </w:divBdr>
        </w:div>
        <w:div w:id="943997695">
          <w:marLeft w:val="640"/>
          <w:marRight w:val="0"/>
          <w:marTop w:val="0"/>
          <w:marBottom w:val="0"/>
          <w:divBdr>
            <w:top w:val="none" w:sz="0" w:space="0" w:color="auto"/>
            <w:left w:val="none" w:sz="0" w:space="0" w:color="auto"/>
            <w:bottom w:val="none" w:sz="0" w:space="0" w:color="auto"/>
            <w:right w:val="none" w:sz="0" w:space="0" w:color="auto"/>
          </w:divBdr>
        </w:div>
        <w:div w:id="1437794319">
          <w:marLeft w:val="640"/>
          <w:marRight w:val="0"/>
          <w:marTop w:val="0"/>
          <w:marBottom w:val="0"/>
          <w:divBdr>
            <w:top w:val="none" w:sz="0" w:space="0" w:color="auto"/>
            <w:left w:val="none" w:sz="0" w:space="0" w:color="auto"/>
            <w:bottom w:val="none" w:sz="0" w:space="0" w:color="auto"/>
            <w:right w:val="none" w:sz="0" w:space="0" w:color="auto"/>
          </w:divBdr>
        </w:div>
        <w:div w:id="1153596618">
          <w:marLeft w:val="640"/>
          <w:marRight w:val="0"/>
          <w:marTop w:val="0"/>
          <w:marBottom w:val="0"/>
          <w:divBdr>
            <w:top w:val="none" w:sz="0" w:space="0" w:color="auto"/>
            <w:left w:val="none" w:sz="0" w:space="0" w:color="auto"/>
            <w:bottom w:val="none" w:sz="0" w:space="0" w:color="auto"/>
            <w:right w:val="none" w:sz="0" w:space="0" w:color="auto"/>
          </w:divBdr>
        </w:div>
        <w:div w:id="171264593">
          <w:marLeft w:val="640"/>
          <w:marRight w:val="0"/>
          <w:marTop w:val="0"/>
          <w:marBottom w:val="0"/>
          <w:divBdr>
            <w:top w:val="none" w:sz="0" w:space="0" w:color="auto"/>
            <w:left w:val="none" w:sz="0" w:space="0" w:color="auto"/>
            <w:bottom w:val="none" w:sz="0" w:space="0" w:color="auto"/>
            <w:right w:val="none" w:sz="0" w:space="0" w:color="auto"/>
          </w:divBdr>
        </w:div>
        <w:div w:id="748579085">
          <w:marLeft w:val="640"/>
          <w:marRight w:val="0"/>
          <w:marTop w:val="0"/>
          <w:marBottom w:val="0"/>
          <w:divBdr>
            <w:top w:val="none" w:sz="0" w:space="0" w:color="auto"/>
            <w:left w:val="none" w:sz="0" w:space="0" w:color="auto"/>
            <w:bottom w:val="none" w:sz="0" w:space="0" w:color="auto"/>
            <w:right w:val="none" w:sz="0" w:space="0" w:color="auto"/>
          </w:divBdr>
        </w:div>
        <w:div w:id="979001652">
          <w:marLeft w:val="640"/>
          <w:marRight w:val="0"/>
          <w:marTop w:val="0"/>
          <w:marBottom w:val="0"/>
          <w:divBdr>
            <w:top w:val="none" w:sz="0" w:space="0" w:color="auto"/>
            <w:left w:val="none" w:sz="0" w:space="0" w:color="auto"/>
            <w:bottom w:val="none" w:sz="0" w:space="0" w:color="auto"/>
            <w:right w:val="none" w:sz="0" w:space="0" w:color="auto"/>
          </w:divBdr>
        </w:div>
        <w:div w:id="626012522">
          <w:marLeft w:val="640"/>
          <w:marRight w:val="0"/>
          <w:marTop w:val="0"/>
          <w:marBottom w:val="0"/>
          <w:divBdr>
            <w:top w:val="none" w:sz="0" w:space="0" w:color="auto"/>
            <w:left w:val="none" w:sz="0" w:space="0" w:color="auto"/>
            <w:bottom w:val="none" w:sz="0" w:space="0" w:color="auto"/>
            <w:right w:val="none" w:sz="0" w:space="0" w:color="auto"/>
          </w:divBdr>
        </w:div>
        <w:div w:id="1408845343">
          <w:marLeft w:val="640"/>
          <w:marRight w:val="0"/>
          <w:marTop w:val="0"/>
          <w:marBottom w:val="0"/>
          <w:divBdr>
            <w:top w:val="none" w:sz="0" w:space="0" w:color="auto"/>
            <w:left w:val="none" w:sz="0" w:space="0" w:color="auto"/>
            <w:bottom w:val="none" w:sz="0" w:space="0" w:color="auto"/>
            <w:right w:val="none" w:sz="0" w:space="0" w:color="auto"/>
          </w:divBdr>
        </w:div>
        <w:div w:id="1109665289">
          <w:marLeft w:val="640"/>
          <w:marRight w:val="0"/>
          <w:marTop w:val="0"/>
          <w:marBottom w:val="0"/>
          <w:divBdr>
            <w:top w:val="none" w:sz="0" w:space="0" w:color="auto"/>
            <w:left w:val="none" w:sz="0" w:space="0" w:color="auto"/>
            <w:bottom w:val="none" w:sz="0" w:space="0" w:color="auto"/>
            <w:right w:val="none" w:sz="0" w:space="0" w:color="auto"/>
          </w:divBdr>
        </w:div>
        <w:div w:id="1183590837">
          <w:marLeft w:val="640"/>
          <w:marRight w:val="0"/>
          <w:marTop w:val="0"/>
          <w:marBottom w:val="0"/>
          <w:divBdr>
            <w:top w:val="none" w:sz="0" w:space="0" w:color="auto"/>
            <w:left w:val="none" w:sz="0" w:space="0" w:color="auto"/>
            <w:bottom w:val="none" w:sz="0" w:space="0" w:color="auto"/>
            <w:right w:val="none" w:sz="0" w:space="0" w:color="auto"/>
          </w:divBdr>
        </w:div>
        <w:div w:id="379403932">
          <w:marLeft w:val="640"/>
          <w:marRight w:val="0"/>
          <w:marTop w:val="0"/>
          <w:marBottom w:val="0"/>
          <w:divBdr>
            <w:top w:val="none" w:sz="0" w:space="0" w:color="auto"/>
            <w:left w:val="none" w:sz="0" w:space="0" w:color="auto"/>
            <w:bottom w:val="none" w:sz="0" w:space="0" w:color="auto"/>
            <w:right w:val="none" w:sz="0" w:space="0" w:color="auto"/>
          </w:divBdr>
        </w:div>
        <w:div w:id="1939216594">
          <w:marLeft w:val="640"/>
          <w:marRight w:val="0"/>
          <w:marTop w:val="0"/>
          <w:marBottom w:val="0"/>
          <w:divBdr>
            <w:top w:val="none" w:sz="0" w:space="0" w:color="auto"/>
            <w:left w:val="none" w:sz="0" w:space="0" w:color="auto"/>
            <w:bottom w:val="none" w:sz="0" w:space="0" w:color="auto"/>
            <w:right w:val="none" w:sz="0" w:space="0" w:color="auto"/>
          </w:divBdr>
        </w:div>
        <w:div w:id="1362365716">
          <w:marLeft w:val="640"/>
          <w:marRight w:val="0"/>
          <w:marTop w:val="0"/>
          <w:marBottom w:val="0"/>
          <w:divBdr>
            <w:top w:val="none" w:sz="0" w:space="0" w:color="auto"/>
            <w:left w:val="none" w:sz="0" w:space="0" w:color="auto"/>
            <w:bottom w:val="none" w:sz="0" w:space="0" w:color="auto"/>
            <w:right w:val="none" w:sz="0" w:space="0" w:color="auto"/>
          </w:divBdr>
        </w:div>
        <w:div w:id="1255091631">
          <w:marLeft w:val="640"/>
          <w:marRight w:val="0"/>
          <w:marTop w:val="0"/>
          <w:marBottom w:val="0"/>
          <w:divBdr>
            <w:top w:val="none" w:sz="0" w:space="0" w:color="auto"/>
            <w:left w:val="none" w:sz="0" w:space="0" w:color="auto"/>
            <w:bottom w:val="none" w:sz="0" w:space="0" w:color="auto"/>
            <w:right w:val="none" w:sz="0" w:space="0" w:color="auto"/>
          </w:divBdr>
        </w:div>
        <w:div w:id="846868724">
          <w:marLeft w:val="640"/>
          <w:marRight w:val="0"/>
          <w:marTop w:val="0"/>
          <w:marBottom w:val="0"/>
          <w:divBdr>
            <w:top w:val="none" w:sz="0" w:space="0" w:color="auto"/>
            <w:left w:val="none" w:sz="0" w:space="0" w:color="auto"/>
            <w:bottom w:val="none" w:sz="0" w:space="0" w:color="auto"/>
            <w:right w:val="none" w:sz="0" w:space="0" w:color="auto"/>
          </w:divBdr>
        </w:div>
        <w:div w:id="674261735">
          <w:marLeft w:val="640"/>
          <w:marRight w:val="0"/>
          <w:marTop w:val="0"/>
          <w:marBottom w:val="0"/>
          <w:divBdr>
            <w:top w:val="none" w:sz="0" w:space="0" w:color="auto"/>
            <w:left w:val="none" w:sz="0" w:space="0" w:color="auto"/>
            <w:bottom w:val="none" w:sz="0" w:space="0" w:color="auto"/>
            <w:right w:val="none" w:sz="0" w:space="0" w:color="auto"/>
          </w:divBdr>
        </w:div>
        <w:div w:id="921993133">
          <w:marLeft w:val="640"/>
          <w:marRight w:val="0"/>
          <w:marTop w:val="0"/>
          <w:marBottom w:val="0"/>
          <w:divBdr>
            <w:top w:val="none" w:sz="0" w:space="0" w:color="auto"/>
            <w:left w:val="none" w:sz="0" w:space="0" w:color="auto"/>
            <w:bottom w:val="none" w:sz="0" w:space="0" w:color="auto"/>
            <w:right w:val="none" w:sz="0" w:space="0" w:color="auto"/>
          </w:divBdr>
        </w:div>
        <w:div w:id="724596916">
          <w:marLeft w:val="640"/>
          <w:marRight w:val="0"/>
          <w:marTop w:val="0"/>
          <w:marBottom w:val="0"/>
          <w:divBdr>
            <w:top w:val="none" w:sz="0" w:space="0" w:color="auto"/>
            <w:left w:val="none" w:sz="0" w:space="0" w:color="auto"/>
            <w:bottom w:val="none" w:sz="0" w:space="0" w:color="auto"/>
            <w:right w:val="none" w:sz="0" w:space="0" w:color="auto"/>
          </w:divBdr>
        </w:div>
        <w:div w:id="1337733946">
          <w:marLeft w:val="640"/>
          <w:marRight w:val="0"/>
          <w:marTop w:val="0"/>
          <w:marBottom w:val="0"/>
          <w:divBdr>
            <w:top w:val="none" w:sz="0" w:space="0" w:color="auto"/>
            <w:left w:val="none" w:sz="0" w:space="0" w:color="auto"/>
            <w:bottom w:val="none" w:sz="0" w:space="0" w:color="auto"/>
            <w:right w:val="none" w:sz="0" w:space="0" w:color="auto"/>
          </w:divBdr>
        </w:div>
        <w:div w:id="1273392441">
          <w:marLeft w:val="640"/>
          <w:marRight w:val="0"/>
          <w:marTop w:val="0"/>
          <w:marBottom w:val="0"/>
          <w:divBdr>
            <w:top w:val="none" w:sz="0" w:space="0" w:color="auto"/>
            <w:left w:val="none" w:sz="0" w:space="0" w:color="auto"/>
            <w:bottom w:val="none" w:sz="0" w:space="0" w:color="auto"/>
            <w:right w:val="none" w:sz="0" w:space="0" w:color="auto"/>
          </w:divBdr>
        </w:div>
        <w:div w:id="1284996220">
          <w:marLeft w:val="640"/>
          <w:marRight w:val="0"/>
          <w:marTop w:val="0"/>
          <w:marBottom w:val="0"/>
          <w:divBdr>
            <w:top w:val="none" w:sz="0" w:space="0" w:color="auto"/>
            <w:left w:val="none" w:sz="0" w:space="0" w:color="auto"/>
            <w:bottom w:val="none" w:sz="0" w:space="0" w:color="auto"/>
            <w:right w:val="none" w:sz="0" w:space="0" w:color="auto"/>
          </w:divBdr>
        </w:div>
        <w:div w:id="1389720012">
          <w:marLeft w:val="640"/>
          <w:marRight w:val="0"/>
          <w:marTop w:val="0"/>
          <w:marBottom w:val="0"/>
          <w:divBdr>
            <w:top w:val="none" w:sz="0" w:space="0" w:color="auto"/>
            <w:left w:val="none" w:sz="0" w:space="0" w:color="auto"/>
            <w:bottom w:val="none" w:sz="0" w:space="0" w:color="auto"/>
            <w:right w:val="none" w:sz="0" w:space="0" w:color="auto"/>
          </w:divBdr>
        </w:div>
        <w:div w:id="939995086">
          <w:marLeft w:val="640"/>
          <w:marRight w:val="0"/>
          <w:marTop w:val="0"/>
          <w:marBottom w:val="0"/>
          <w:divBdr>
            <w:top w:val="none" w:sz="0" w:space="0" w:color="auto"/>
            <w:left w:val="none" w:sz="0" w:space="0" w:color="auto"/>
            <w:bottom w:val="none" w:sz="0" w:space="0" w:color="auto"/>
            <w:right w:val="none" w:sz="0" w:space="0" w:color="auto"/>
          </w:divBdr>
        </w:div>
        <w:div w:id="2017926173">
          <w:marLeft w:val="640"/>
          <w:marRight w:val="0"/>
          <w:marTop w:val="0"/>
          <w:marBottom w:val="0"/>
          <w:divBdr>
            <w:top w:val="none" w:sz="0" w:space="0" w:color="auto"/>
            <w:left w:val="none" w:sz="0" w:space="0" w:color="auto"/>
            <w:bottom w:val="none" w:sz="0" w:space="0" w:color="auto"/>
            <w:right w:val="none" w:sz="0" w:space="0" w:color="auto"/>
          </w:divBdr>
        </w:div>
        <w:div w:id="512305374">
          <w:marLeft w:val="640"/>
          <w:marRight w:val="0"/>
          <w:marTop w:val="0"/>
          <w:marBottom w:val="0"/>
          <w:divBdr>
            <w:top w:val="none" w:sz="0" w:space="0" w:color="auto"/>
            <w:left w:val="none" w:sz="0" w:space="0" w:color="auto"/>
            <w:bottom w:val="none" w:sz="0" w:space="0" w:color="auto"/>
            <w:right w:val="none" w:sz="0" w:space="0" w:color="auto"/>
          </w:divBdr>
        </w:div>
        <w:div w:id="1877310165">
          <w:marLeft w:val="640"/>
          <w:marRight w:val="0"/>
          <w:marTop w:val="0"/>
          <w:marBottom w:val="0"/>
          <w:divBdr>
            <w:top w:val="none" w:sz="0" w:space="0" w:color="auto"/>
            <w:left w:val="none" w:sz="0" w:space="0" w:color="auto"/>
            <w:bottom w:val="none" w:sz="0" w:space="0" w:color="auto"/>
            <w:right w:val="none" w:sz="0" w:space="0" w:color="auto"/>
          </w:divBdr>
        </w:div>
        <w:div w:id="1672562011">
          <w:marLeft w:val="640"/>
          <w:marRight w:val="0"/>
          <w:marTop w:val="0"/>
          <w:marBottom w:val="0"/>
          <w:divBdr>
            <w:top w:val="none" w:sz="0" w:space="0" w:color="auto"/>
            <w:left w:val="none" w:sz="0" w:space="0" w:color="auto"/>
            <w:bottom w:val="none" w:sz="0" w:space="0" w:color="auto"/>
            <w:right w:val="none" w:sz="0" w:space="0" w:color="auto"/>
          </w:divBdr>
        </w:div>
        <w:div w:id="1033725502">
          <w:marLeft w:val="640"/>
          <w:marRight w:val="0"/>
          <w:marTop w:val="0"/>
          <w:marBottom w:val="0"/>
          <w:divBdr>
            <w:top w:val="none" w:sz="0" w:space="0" w:color="auto"/>
            <w:left w:val="none" w:sz="0" w:space="0" w:color="auto"/>
            <w:bottom w:val="none" w:sz="0" w:space="0" w:color="auto"/>
            <w:right w:val="none" w:sz="0" w:space="0" w:color="auto"/>
          </w:divBdr>
        </w:div>
        <w:div w:id="2099249682">
          <w:marLeft w:val="640"/>
          <w:marRight w:val="0"/>
          <w:marTop w:val="0"/>
          <w:marBottom w:val="0"/>
          <w:divBdr>
            <w:top w:val="none" w:sz="0" w:space="0" w:color="auto"/>
            <w:left w:val="none" w:sz="0" w:space="0" w:color="auto"/>
            <w:bottom w:val="none" w:sz="0" w:space="0" w:color="auto"/>
            <w:right w:val="none" w:sz="0" w:space="0" w:color="auto"/>
          </w:divBdr>
        </w:div>
        <w:div w:id="1735541142">
          <w:marLeft w:val="640"/>
          <w:marRight w:val="0"/>
          <w:marTop w:val="0"/>
          <w:marBottom w:val="0"/>
          <w:divBdr>
            <w:top w:val="none" w:sz="0" w:space="0" w:color="auto"/>
            <w:left w:val="none" w:sz="0" w:space="0" w:color="auto"/>
            <w:bottom w:val="none" w:sz="0" w:space="0" w:color="auto"/>
            <w:right w:val="none" w:sz="0" w:space="0" w:color="auto"/>
          </w:divBdr>
        </w:div>
        <w:div w:id="599065920">
          <w:marLeft w:val="640"/>
          <w:marRight w:val="0"/>
          <w:marTop w:val="0"/>
          <w:marBottom w:val="0"/>
          <w:divBdr>
            <w:top w:val="none" w:sz="0" w:space="0" w:color="auto"/>
            <w:left w:val="none" w:sz="0" w:space="0" w:color="auto"/>
            <w:bottom w:val="none" w:sz="0" w:space="0" w:color="auto"/>
            <w:right w:val="none" w:sz="0" w:space="0" w:color="auto"/>
          </w:divBdr>
        </w:div>
        <w:div w:id="18823271">
          <w:marLeft w:val="640"/>
          <w:marRight w:val="0"/>
          <w:marTop w:val="0"/>
          <w:marBottom w:val="0"/>
          <w:divBdr>
            <w:top w:val="none" w:sz="0" w:space="0" w:color="auto"/>
            <w:left w:val="none" w:sz="0" w:space="0" w:color="auto"/>
            <w:bottom w:val="none" w:sz="0" w:space="0" w:color="auto"/>
            <w:right w:val="none" w:sz="0" w:space="0" w:color="auto"/>
          </w:divBdr>
        </w:div>
        <w:div w:id="1732075210">
          <w:marLeft w:val="640"/>
          <w:marRight w:val="0"/>
          <w:marTop w:val="0"/>
          <w:marBottom w:val="0"/>
          <w:divBdr>
            <w:top w:val="none" w:sz="0" w:space="0" w:color="auto"/>
            <w:left w:val="none" w:sz="0" w:space="0" w:color="auto"/>
            <w:bottom w:val="none" w:sz="0" w:space="0" w:color="auto"/>
            <w:right w:val="none" w:sz="0" w:space="0" w:color="auto"/>
          </w:divBdr>
        </w:div>
        <w:div w:id="253903164">
          <w:marLeft w:val="640"/>
          <w:marRight w:val="0"/>
          <w:marTop w:val="0"/>
          <w:marBottom w:val="0"/>
          <w:divBdr>
            <w:top w:val="none" w:sz="0" w:space="0" w:color="auto"/>
            <w:left w:val="none" w:sz="0" w:space="0" w:color="auto"/>
            <w:bottom w:val="none" w:sz="0" w:space="0" w:color="auto"/>
            <w:right w:val="none" w:sz="0" w:space="0" w:color="auto"/>
          </w:divBdr>
        </w:div>
        <w:div w:id="976835023">
          <w:marLeft w:val="640"/>
          <w:marRight w:val="0"/>
          <w:marTop w:val="0"/>
          <w:marBottom w:val="0"/>
          <w:divBdr>
            <w:top w:val="none" w:sz="0" w:space="0" w:color="auto"/>
            <w:left w:val="none" w:sz="0" w:space="0" w:color="auto"/>
            <w:bottom w:val="none" w:sz="0" w:space="0" w:color="auto"/>
            <w:right w:val="none" w:sz="0" w:space="0" w:color="auto"/>
          </w:divBdr>
        </w:div>
        <w:div w:id="592978406">
          <w:marLeft w:val="640"/>
          <w:marRight w:val="0"/>
          <w:marTop w:val="0"/>
          <w:marBottom w:val="0"/>
          <w:divBdr>
            <w:top w:val="none" w:sz="0" w:space="0" w:color="auto"/>
            <w:left w:val="none" w:sz="0" w:space="0" w:color="auto"/>
            <w:bottom w:val="none" w:sz="0" w:space="0" w:color="auto"/>
            <w:right w:val="none" w:sz="0" w:space="0" w:color="auto"/>
          </w:divBdr>
        </w:div>
        <w:div w:id="229076237">
          <w:marLeft w:val="640"/>
          <w:marRight w:val="0"/>
          <w:marTop w:val="0"/>
          <w:marBottom w:val="0"/>
          <w:divBdr>
            <w:top w:val="none" w:sz="0" w:space="0" w:color="auto"/>
            <w:left w:val="none" w:sz="0" w:space="0" w:color="auto"/>
            <w:bottom w:val="none" w:sz="0" w:space="0" w:color="auto"/>
            <w:right w:val="none" w:sz="0" w:space="0" w:color="auto"/>
          </w:divBdr>
        </w:div>
        <w:div w:id="995260658">
          <w:marLeft w:val="640"/>
          <w:marRight w:val="0"/>
          <w:marTop w:val="0"/>
          <w:marBottom w:val="0"/>
          <w:divBdr>
            <w:top w:val="none" w:sz="0" w:space="0" w:color="auto"/>
            <w:left w:val="none" w:sz="0" w:space="0" w:color="auto"/>
            <w:bottom w:val="none" w:sz="0" w:space="0" w:color="auto"/>
            <w:right w:val="none" w:sz="0" w:space="0" w:color="auto"/>
          </w:divBdr>
        </w:div>
        <w:div w:id="304310768">
          <w:marLeft w:val="640"/>
          <w:marRight w:val="0"/>
          <w:marTop w:val="0"/>
          <w:marBottom w:val="0"/>
          <w:divBdr>
            <w:top w:val="none" w:sz="0" w:space="0" w:color="auto"/>
            <w:left w:val="none" w:sz="0" w:space="0" w:color="auto"/>
            <w:bottom w:val="none" w:sz="0" w:space="0" w:color="auto"/>
            <w:right w:val="none" w:sz="0" w:space="0" w:color="auto"/>
          </w:divBdr>
        </w:div>
        <w:div w:id="886380156">
          <w:marLeft w:val="640"/>
          <w:marRight w:val="0"/>
          <w:marTop w:val="0"/>
          <w:marBottom w:val="0"/>
          <w:divBdr>
            <w:top w:val="none" w:sz="0" w:space="0" w:color="auto"/>
            <w:left w:val="none" w:sz="0" w:space="0" w:color="auto"/>
            <w:bottom w:val="none" w:sz="0" w:space="0" w:color="auto"/>
            <w:right w:val="none" w:sz="0" w:space="0" w:color="auto"/>
          </w:divBdr>
        </w:div>
        <w:div w:id="753361088">
          <w:marLeft w:val="640"/>
          <w:marRight w:val="0"/>
          <w:marTop w:val="0"/>
          <w:marBottom w:val="0"/>
          <w:divBdr>
            <w:top w:val="none" w:sz="0" w:space="0" w:color="auto"/>
            <w:left w:val="none" w:sz="0" w:space="0" w:color="auto"/>
            <w:bottom w:val="none" w:sz="0" w:space="0" w:color="auto"/>
            <w:right w:val="none" w:sz="0" w:space="0" w:color="auto"/>
          </w:divBdr>
        </w:div>
        <w:div w:id="1520006155">
          <w:marLeft w:val="640"/>
          <w:marRight w:val="0"/>
          <w:marTop w:val="0"/>
          <w:marBottom w:val="0"/>
          <w:divBdr>
            <w:top w:val="none" w:sz="0" w:space="0" w:color="auto"/>
            <w:left w:val="none" w:sz="0" w:space="0" w:color="auto"/>
            <w:bottom w:val="none" w:sz="0" w:space="0" w:color="auto"/>
            <w:right w:val="none" w:sz="0" w:space="0" w:color="auto"/>
          </w:divBdr>
        </w:div>
        <w:div w:id="1812283624">
          <w:marLeft w:val="640"/>
          <w:marRight w:val="0"/>
          <w:marTop w:val="0"/>
          <w:marBottom w:val="0"/>
          <w:divBdr>
            <w:top w:val="none" w:sz="0" w:space="0" w:color="auto"/>
            <w:left w:val="none" w:sz="0" w:space="0" w:color="auto"/>
            <w:bottom w:val="none" w:sz="0" w:space="0" w:color="auto"/>
            <w:right w:val="none" w:sz="0" w:space="0" w:color="auto"/>
          </w:divBdr>
        </w:div>
        <w:div w:id="651059069">
          <w:marLeft w:val="640"/>
          <w:marRight w:val="0"/>
          <w:marTop w:val="0"/>
          <w:marBottom w:val="0"/>
          <w:divBdr>
            <w:top w:val="none" w:sz="0" w:space="0" w:color="auto"/>
            <w:left w:val="none" w:sz="0" w:space="0" w:color="auto"/>
            <w:bottom w:val="none" w:sz="0" w:space="0" w:color="auto"/>
            <w:right w:val="none" w:sz="0" w:space="0" w:color="auto"/>
          </w:divBdr>
        </w:div>
        <w:div w:id="1965426812">
          <w:marLeft w:val="640"/>
          <w:marRight w:val="0"/>
          <w:marTop w:val="0"/>
          <w:marBottom w:val="0"/>
          <w:divBdr>
            <w:top w:val="none" w:sz="0" w:space="0" w:color="auto"/>
            <w:left w:val="none" w:sz="0" w:space="0" w:color="auto"/>
            <w:bottom w:val="none" w:sz="0" w:space="0" w:color="auto"/>
            <w:right w:val="none" w:sz="0" w:space="0" w:color="auto"/>
          </w:divBdr>
        </w:div>
        <w:div w:id="320816130">
          <w:marLeft w:val="640"/>
          <w:marRight w:val="0"/>
          <w:marTop w:val="0"/>
          <w:marBottom w:val="0"/>
          <w:divBdr>
            <w:top w:val="none" w:sz="0" w:space="0" w:color="auto"/>
            <w:left w:val="none" w:sz="0" w:space="0" w:color="auto"/>
            <w:bottom w:val="none" w:sz="0" w:space="0" w:color="auto"/>
            <w:right w:val="none" w:sz="0" w:space="0" w:color="auto"/>
          </w:divBdr>
        </w:div>
        <w:div w:id="298582397">
          <w:marLeft w:val="640"/>
          <w:marRight w:val="0"/>
          <w:marTop w:val="0"/>
          <w:marBottom w:val="0"/>
          <w:divBdr>
            <w:top w:val="none" w:sz="0" w:space="0" w:color="auto"/>
            <w:left w:val="none" w:sz="0" w:space="0" w:color="auto"/>
            <w:bottom w:val="none" w:sz="0" w:space="0" w:color="auto"/>
            <w:right w:val="none" w:sz="0" w:space="0" w:color="auto"/>
          </w:divBdr>
        </w:div>
        <w:div w:id="870729117">
          <w:marLeft w:val="640"/>
          <w:marRight w:val="0"/>
          <w:marTop w:val="0"/>
          <w:marBottom w:val="0"/>
          <w:divBdr>
            <w:top w:val="none" w:sz="0" w:space="0" w:color="auto"/>
            <w:left w:val="none" w:sz="0" w:space="0" w:color="auto"/>
            <w:bottom w:val="none" w:sz="0" w:space="0" w:color="auto"/>
            <w:right w:val="none" w:sz="0" w:space="0" w:color="auto"/>
          </w:divBdr>
        </w:div>
        <w:div w:id="1063942672">
          <w:marLeft w:val="640"/>
          <w:marRight w:val="0"/>
          <w:marTop w:val="0"/>
          <w:marBottom w:val="0"/>
          <w:divBdr>
            <w:top w:val="none" w:sz="0" w:space="0" w:color="auto"/>
            <w:left w:val="none" w:sz="0" w:space="0" w:color="auto"/>
            <w:bottom w:val="none" w:sz="0" w:space="0" w:color="auto"/>
            <w:right w:val="none" w:sz="0" w:space="0" w:color="auto"/>
          </w:divBdr>
        </w:div>
        <w:div w:id="1574774663">
          <w:marLeft w:val="640"/>
          <w:marRight w:val="0"/>
          <w:marTop w:val="0"/>
          <w:marBottom w:val="0"/>
          <w:divBdr>
            <w:top w:val="none" w:sz="0" w:space="0" w:color="auto"/>
            <w:left w:val="none" w:sz="0" w:space="0" w:color="auto"/>
            <w:bottom w:val="none" w:sz="0" w:space="0" w:color="auto"/>
            <w:right w:val="none" w:sz="0" w:space="0" w:color="auto"/>
          </w:divBdr>
        </w:div>
        <w:div w:id="1867869323">
          <w:marLeft w:val="640"/>
          <w:marRight w:val="0"/>
          <w:marTop w:val="0"/>
          <w:marBottom w:val="0"/>
          <w:divBdr>
            <w:top w:val="none" w:sz="0" w:space="0" w:color="auto"/>
            <w:left w:val="none" w:sz="0" w:space="0" w:color="auto"/>
            <w:bottom w:val="none" w:sz="0" w:space="0" w:color="auto"/>
            <w:right w:val="none" w:sz="0" w:space="0" w:color="auto"/>
          </w:divBdr>
        </w:div>
        <w:div w:id="657610750">
          <w:marLeft w:val="640"/>
          <w:marRight w:val="0"/>
          <w:marTop w:val="0"/>
          <w:marBottom w:val="0"/>
          <w:divBdr>
            <w:top w:val="none" w:sz="0" w:space="0" w:color="auto"/>
            <w:left w:val="none" w:sz="0" w:space="0" w:color="auto"/>
            <w:bottom w:val="none" w:sz="0" w:space="0" w:color="auto"/>
            <w:right w:val="none" w:sz="0" w:space="0" w:color="auto"/>
          </w:divBdr>
        </w:div>
        <w:div w:id="1329208273">
          <w:marLeft w:val="640"/>
          <w:marRight w:val="0"/>
          <w:marTop w:val="0"/>
          <w:marBottom w:val="0"/>
          <w:divBdr>
            <w:top w:val="none" w:sz="0" w:space="0" w:color="auto"/>
            <w:left w:val="none" w:sz="0" w:space="0" w:color="auto"/>
            <w:bottom w:val="none" w:sz="0" w:space="0" w:color="auto"/>
            <w:right w:val="none" w:sz="0" w:space="0" w:color="auto"/>
          </w:divBdr>
        </w:div>
        <w:div w:id="783233760">
          <w:marLeft w:val="640"/>
          <w:marRight w:val="0"/>
          <w:marTop w:val="0"/>
          <w:marBottom w:val="0"/>
          <w:divBdr>
            <w:top w:val="none" w:sz="0" w:space="0" w:color="auto"/>
            <w:left w:val="none" w:sz="0" w:space="0" w:color="auto"/>
            <w:bottom w:val="none" w:sz="0" w:space="0" w:color="auto"/>
            <w:right w:val="none" w:sz="0" w:space="0" w:color="auto"/>
          </w:divBdr>
        </w:div>
        <w:div w:id="1442913092">
          <w:marLeft w:val="640"/>
          <w:marRight w:val="0"/>
          <w:marTop w:val="0"/>
          <w:marBottom w:val="0"/>
          <w:divBdr>
            <w:top w:val="none" w:sz="0" w:space="0" w:color="auto"/>
            <w:left w:val="none" w:sz="0" w:space="0" w:color="auto"/>
            <w:bottom w:val="none" w:sz="0" w:space="0" w:color="auto"/>
            <w:right w:val="none" w:sz="0" w:space="0" w:color="auto"/>
          </w:divBdr>
        </w:div>
        <w:div w:id="540436132">
          <w:marLeft w:val="640"/>
          <w:marRight w:val="0"/>
          <w:marTop w:val="0"/>
          <w:marBottom w:val="0"/>
          <w:divBdr>
            <w:top w:val="none" w:sz="0" w:space="0" w:color="auto"/>
            <w:left w:val="none" w:sz="0" w:space="0" w:color="auto"/>
            <w:bottom w:val="none" w:sz="0" w:space="0" w:color="auto"/>
            <w:right w:val="none" w:sz="0" w:space="0" w:color="auto"/>
          </w:divBdr>
        </w:div>
        <w:div w:id="1418593348">
          <w:marLeft w:val="640"/>
          <w:marRight w:val="0"/>
          <w:marTop w:val="0"/>
          <w:marBottom w:val="0"/>
          <w:divBdr>
            <w:top w:val="none" w:sz="0" w:space="0" w:color="auto"/>
            <w:left w:val="none" w:sz="0" w:space="0" w:color="auto"/>
            <w:bottom w:val="none" w:sz="0" w:space="0" w:color="auto"/>
            <w:right w:val="none" w:sz="0" w:space="0" w:color="auto"/>
          </w:divBdr>
        </w:div>
        <w:div w:id="705062494">
          <w:marLeft w:val="640"/>
          <w:marRight w:val="0"/>
          <w:marTop w:val="0"/>
          <w:marBottom w:val="0"/>
          <w:divBdr>
            <w:top w:val="none" w:sz="0" w:space="0" w:color="auto"/>
            <w:left w:val="none" w:sz="0" w:space="0" w:color="auto"/>
            <w:bottom w:val="none" w:sz="0" w:space="0" w:color="auto"/>
            <w:right w:val="none" w:sz="0" w:space="0" w:color="auto"/>
          </w:divBdr>
        </w:div>
        <w:div w:id="1297686534">
          <w:marLeft w:val="640"/>
          <w:marRight w:val="0"/>
          <w:marTop w:val="0"/>
          <w:marBottom w:val="0"/>
          <w:divBdr>
            <w:top w:val="none" w:sz="0" w:space="0" w:color="auto"/>
            <w:left w:val="none" w:sz="0" w:space="0" w:color="auto"/>
            <w:bottom w:val="none" w:sz="0" w:space="0" w:color="auto"/>
            <w:right w:val="none" w:sz="0" w:space="0" w:color="auto"/>
          </w:divBdr>
        </w:div>
        <w:div w:id="570042923">
          <w:marLeft w:val="640"/>
          <w:marRight w:val="0"/>
          <w:marTop w:val="0"/>
          <w:marBottom w:val="0"/>
          <w:divBdr>
            <w:top w:val="none" w:sz="0" w:space="0" w:color="auto"/>
            <w:left w:val="none" w:sz="0" w:space="0" w:color="auto"/>
            <w:bottom w:val="none" w:sz="0" w:space="0" w:color="auto"/>
            <w:right w:val="none" w:sz="0" w:space="0" w:color="auto"/>
          </w:divBdr>
        </w:div>
        <w:div w:id="1219898051">
          <w:marLeft w:val="640"/>
          <w:marRight w:val="0"/>
          <w:marTop w:val="0"/>
          <w:marBottom w:val="0"/>
          <w:divBdr>
            <w:top w:val="none" w:sz="0" w:space="0" w:color="auto"/>
            <w:left w:val="none" w:sz="0" w:space="0" w:color="auto"/>
            <w:bottom w:val="none" w:sz="0" w:space="0" w:color="auto"/>
            <w:right w:val="none" w:sz="0" w:space="0" w:color="auto"/>
          </w:divBdr>
        </w:div>
        <w:div w:id="267735381">
          <w:marLeft w:val="640"/>
          <w:marRight w:val="0"/>
          <w:marTop w:val="0"/>
          <w:marBottom w:val="0"/>
          <w:divBdr>
            <w:top w:val="none" w:sz="0" w:space="0" w:color="auto"/>
            <w:left w:val="none" w:sz="0" w:space="0" w:color="auto"/>
            <w:bottom w:val="none" w:sz="0" w:space="0" w:color="auto"/>
            <w:right w:val="none" w:sz="0" w:space="0" w:color="auto"/>
          </w:divBdr>
        </w:div>
        <w:div w:id="1460412152">
          <w:marLeft w:val="640"/>
          <w:marRight w:val="0"/>
          <w:marTop w:val="0"/>
          <w:marBottom w:val="0"/>
          <w:divBdr>
            <w:top w:val="none" w:sz="0" w:space="0" w:color="auto"/>
            <w:left w:val="none" w:sz="0" w:space="0" w:color="auto"/>
            <w:bottom w:val="none" w:sz="0" w:space="0" w:color="auto"/>
            <w:right w:val="none" w:sz="0" w:space="0" w:color="auto"/>
          </w:divBdr>
        </w:div>
        <w:div w:id="425662742">
          <w:marLeft w:val="640"/>
          <w:marRight w:val="0"/>
          <w:marTop w:val="0"/>
          <w:marBottom w:val="0"/>
          <w:divBdr>
            <w:top w:val="none" w:sz="0" w:space="0" w:color="auto"/>
            <w:left w:val="none" w:sz="0" w:space="0" w:color="auto"/>
            <w:bottom w:val="none" w:sz="0" w:space="0" w:color="auto"/>
            <w:right w:val="none" w:sz="0" w:space="0" w:color="auto"/>
          </w:divBdr>
        </w:div>
        <w:div w:id="2089620197">
          <w:marLeft w:val="640"/>
          <w:marRight w:val="0"/>
          <w:marTop w:val="0"/>
          <w:marBottom w:val="0"/>
          <w:divBdr>
            <w:top w:val="none" w:sz="0" w:space="0" w:color="auto"/>
            <w:left w:val="none" w:sz="0" w:space="0" w:color="auto"/>
            <w:bottom w:val="none" w:sz="0" w:space="0" w:color="auto"/>
            <w:right w:val="none" w:sz="0" w:space="0" w:color="auto"/>
          </w:divBdr>
        </w:div>
        <w:div w:id="1823618984">
          <w:marLeft w:val="640"/>
          <w:marRight w:val="0"/>
          <w:marTop w:val="0"/>
          <w:marBottom w:val="0"/>
          <w:divBdr>
            <w:top w:val="none" w:sz="0" w:space="0" w:color="auto"/>
            <w:left w:val="none" w:sz="0" w:space="0" w:color="auto"/>
            <w:bottom w:val="none" w:sz="0" w:space="0" w:color="auto"/>
            <w:right w:val="none" w:sz="0" w:space="0" w:color="auto"/>
          </w:divBdr>
        </w:div>
        <w:div w:id="1195267740">
          <w:marLeft w:val="640"/>
          <w:marRight w:val="0"/>
          <w:marTop w:val="0"/>
          <w:marBottom w:val="0"/>
          <w:divBdr>
            <w:top w:val="none" w:sz="0" w:space="0" w:color="auto"/>
            <w:left w:val="none" w:sz="0" w:space="0" w:color="auto"/>
            <w:bottom w:val="none" w:sz="0" w:space="0" w:color="auto"/>
            <w:right w:val="none" w:sz="0" w:space="0" w:color="auto"/>
          </w:divBdr>
        </w:div>
        <w:div w:id="786044801">
          <w:marLeft w:val="640"/>
          <w:marRight w:val="0"/>
          <w:marTop w:val="0"/>
          <w:marBottom w:val="0"/>
          <w:divBdr>
            <w:top w:val="none" w:sz="0" w:space="0" w:color="auto"/>
            <w:left w:val="none" w:sz="0" w:space="0" w:color="auto"/>
            <w:bottom w:val="none" w:sz="0" w:space="0" w:color="auto"/>
            <w:right w:val="none" w:sz="0" w:space="0" w:color="auto"/>
          </w:divBdr>
        </w:div>
        <w:div w:id="987512933">
          <w:marLeft w:val="640"/>
          <w:marRight w:val="0"/>
          <w:marTop w:val="0"/>
          <w:marBottom w:val="0"/>
          <w:divBdr>
            <w:top w:val="none" w:sz="0" w:space="0" w:color="auto"/>
            <w:left w:val="none" w:sz="0" w:space="0" w:color="auto"/>
            <w:bottom w:val="none" w:sz="0" w:space="0" w:color="auto"/>
            <w:right w:val="none" w:sz="0" w:space="0" w:color="auto"/>
          </w:divBdr>
        </w:div>
        <w:div w:id="1929271258">
          <w:marLeft w:val="640"/>
          <w:marRight w:val="0"/>
          <w:marTop w:val="0"/>
          <w:marBottom w:val="0"/>
          <w:divBdr>
            <w:top w:val="none" w:sz="0" w:space="0" w:color="auto"/>
            <w:left w:val="none" w:sz="0" w:space="0" w:color="auto"/>
            <w:bottom w:val="none" w:sz="0" w:space="0" w:color="auto"/>
            <w:right w:val="none" w:sz="0" w:space="0" w:color="auto"/>
          </w:divBdr>
        </w:div>
        <w:div w:id="1508446228">
          <w:marLeft w:val="640"/>
          <w:marRight w:val="0"/>
          <w:marTop w:val="0"/>
          <w:marBottom w:val="0"/>
          <w:divBdr>
            <w:top w:val="none" w:sz="0" w:space="0" w:color="auto"/>
            <w:left w:val="none" w:sz="0" w:space="0" w:color="auto"/>
            <w:bottom w:val="none" w:sz="0" w:space="0" w:color="auto"/>
            <w:right w:val="none" w:sz="0" w:space="0" w:color="auto"/>
          </w:divBdr>
        </w:div>
        <w:div w:id="1545754118">
          <w:marLeft w:val="640"/>
          <w:marRight w:val="0"/>
          <w:marTop w:val="0"/>
          <w:marBottom w:val="0"/>
          <w:divBdr>
            <w:top w:val="none" w:sz="0" w:space="0" w:color="auto"/>
            <w:left w:val="none" w:sz="0" w:space="0" w:color="auto"/>
            <w:bottom w:val="none" w:sz="0" w:space="0" w:color="auto"/>
            <w:right w:val="none" w:sz="0" w:space="0" w:color="auto"/>
          </w:divBdr>
        </w:div>
        <w:div w:id="1057171211">
          <w:marLeft w:val="640"/>
          <w:marRight w:val="0"/>
          <w:marTop w:val="0"/>
          <w:marBottom w:val="0"/>
          <w:divBdr>
            <w:top w:val="none" w:sz="0" w:space="0" w:color="auto"/>
            <w:left w:val="none" w:sz="0" w:space="0" w:color="auto"/>
            <w:bottom w:val="none" w:sz="0" w:space="0" w:color="auto"/>
            <w:right w:val="none" w:sz="0" w:space="0" w:color="auto"/>
          </w:divBdr>
        </w:div>
        <w:div w:id="1390224482">
          <w:marLeft w:val="640"/>
          <w:marRight w:val="0"/>
          <w:marTop w:val="0"/>
          <w:marBottom w:val="0"/>
          <w:divBdr>
            <w:top w:val="none" w:sz="0" w:space="0" w:color="auto"/>
            <w:left w:val="none" w:sz="0" w:space="0" w:color="auto"/>
            <w:bottom w:val="none" w:sz="0" w:space="0" w:color="auto"/>
            <w:right w:val="none" w:sz="0" w:space="0" w:color="auto"/>
          </w:divBdr>
        </w:div>
        <w:div w:id="1502962354">
          <w:marLeft w:val="640"/>
          <w:marRight w:val="0"/>
          <w:marTop w:val="0"/>
          <w:marBottom w:val="0"/>
          <w:divBdr>
            <w:top w:val="none" w:sz="0" w:space="0" w:color="auto"/>
            <w:left w:val="none" w:sz="0" w:space="0" w:color="auto"/>
            <w:bottom w:val="none" w:sz="0" w:space="0" w:color="auto"/>
            <w:right w:val="none" w:sz="0" w:space="0" w:color="auto"/>
          </w:divBdr>
        </w:div>
        <w:div w:id="2013725453">
          <w:marLeft w:val="640"/>
          <w:marRight w:val="0"/>
          <w:marTop w:val="0"/>
          <w:marBottom w:val="0"/>
          <w:divBdr>
            <w:top w:val="none" w:sz="0" w:space="0" w:color="auto"/>
            <w:left w:val="none" w:sz="0" w:space="0" w:color="auto"/>
            <w:bottom w:val="none" w:sz="0" w:space="0" w:color="auto"/>
            <w:right w:val="none" w:sz="0" w:space="0" w:color="auto"/>
          </w:divBdr>
        </w:div>
        <w:div w:id="258297087">
          <w:marLeft w:val="640"/>
          <w:marRight w:val="0"/>
          <w:marTop w:val="0"/>
          <w:marBottom w:val="0"/>
          <w:divBdr>
            <w:top w:val="none" w:sz="0" w:space="0" w:color="auto"/>
            <w:left w:val="none" w:sz="0" w:space="0" w:color="auto"/>
            <w:bottom w:val="none" w:sz="0" w:space="0" w:color="auto"/>
            <w:right w:val="none" w:sz="0" w:space="0" w:color="auto"/>
          </w:divBdr>
        </w:div>
        <w:div w:id="1977950317">
          <w:marLeft w:val="640"/>
          <w:marRight w:val="0"/>
          <w:marTop w:val="0"/>
          <w:marBottom w:val="0"/>
          <w:divBdr>
            <w:top w:val="none" w:sz="0" w:space="0" w:color="auto"/>
            <w:left w:val="none" w:sz="0" w:space="0" w:color="auto"/>
            <w:bottom w:val="none" w:sz="0" w:space="0" w:color="auto"/>
            <w:right w:val="none" w:sz="0" w:space="0" w:color="auto"/>
          </w:divBdr>
        </w:div>
        <w:div w:id="194998917">
          <w:marLeft w:val="640"/>
          <w:marRight w:val="0"/>
          <w:marTop w:val="0"/>
          <w:marBottom w:val="0"/>
          <w:divBdr>
            <w:top w:val="none" w:sz="0" w:space="0" w:color="auto"/>
            <w:left w:val="none" w:sz="0" w:space="0" w:color="auto"/>
            <w:bottom w:val="none" w:sz="0" w:space="0" w:color="auto"/>
            <w:right w:val="none" w:sz="0" w:space="0" w:color="auto"/>
          </w:divBdr>
        </w:div>
        <w:div w:id="2100905766">
          <w:marLeft w:val="640"/>
          <w:marRight w:val="0"/>
          <w:marTop w:val="0"/>
          <w:marBottom w:val="0"/>
          <w:divBdr>
            <w:top w:val="none" w:sz="0" w:space="0" w:color="auto"/>
            <w:left w:val="none" w:sz="0" w:space="0" w:color="auto"/>
            <w:bottom w:val="none" w:sz="0" w:space="0" w:color="auto"/>
            <w:right w:val="none" w:sz="0" w:space="0" w:color="auto"/>
          </w:divBdr>
        </w:div>
        <w:div w:id="168523481">
          <w:marLeft w:val="640"/>
          <w:marRight w:val="0"/>
          <w:marTop w:val="0"/>
          <w:marBottom w:val="0"/>
          <w:divBdr>
            <w:top w:val="none" w:sz="0" w:space="0" w:color="auto"/>
            <w:left w:val="none" w:sz="0" w:space="0" w:color="auto"/>
            <w:bottom w:val="none" w:sz="0" w:space="0" w:color="auto"/>
            <w:right w:val="none" w:sz="0" w:space="0" w:color="auto"/>
          </w:divBdr>
        </w:div>
        <w:div w:id="23363160">
          <w:marLeft w:val="640"/>
          <w:marRight w:val="0"/>
          <w:marTop w:val="0"/>
          <w:marBottom w:val="0"/>
          <w:divBdr>
            <w:top w:val="none" w:sz="0" w:space="0" w:color="auto"/>
            <w:left w:val="none" w:sz="0" w:space="0" w:color="auto"/>
            <w:bottom w:val="none" w:sz="0" w:space="0" w:color="auto"/>
            <w:right w:val="none" w:sz="0" w:space="0" w:color="auto"/>
          </w:divBdr>
        </w:div>
        <w:div w:id="427774901">
          <w:marLeft w:val="640"/>
          <w:marRight w:val="0"/>
          <w:marTop w:val="0"/>
          <w:marBottom w:val="0"/>
          <w:divBdr>
            <w:top w:val="none" w:sz="0" w:space="0" w:color="auto"/>
            <w:left w:val="none" w:sz="0" w:space="0" w:color="auto"/>
            <w:bottom w:val="none" w:sz="0" w:space="0" w:color="auto"/>
            <w:right w:val="none" w:sz="0" w:space="0" w:color="auto"/>
          </w:divBdr>
        </w:div>
        <w:div w:id="1727685308">
          <w:marLeft w:val="640"/>
          <w:marRight w:val="0"/>
          <w:marTop w:val="0"/>
          <w:marBottom w:val="0"/>
          <w:divBdr>
            <w:top w:val="none" w:sz="0" w:space="0" w:color="auto"/>
            <w:left w:val="none" w:sz="0" w:space="0" w:color="auto"/>
            <w:bottom w:val="none" w:sz="0" w:space="0" w:color="auto"/>
            <w:right w:val="none" w:sz="0" w:space="0" w:color="auto"/>
          </w:divBdr>
        </w:div>
        <w:div w:id="1640768246">
          <w:marLeft w:val="640"/>
          <w:marRight w:val="0"/>
          <w:marTop w:val="0"/>
          <w:marBottom w:val="0"/>
          <w:divBdr>
            <w:top w:val="none" w:sz="0" w:space="0" w:color="auto"/>
            <w:left w:val="none" w:sz="0" w:space="0" w:color="auto"/>
            <w:bottom w:val="none" w:sz="0" w:space="0" w:color="auto"/>
            <w:right w:val="none" w:sz="0" w:space="0" w:color="auto"/>
          </w:divBdr>
        </w:div>
        <w:div w:id="1345941458">
          <w:marLeft w:val="640"/>
          <w:marRight w:val="0"/>
          <w:marTop w:val="0"/>
          <w:marBottom w:val="0"/>
          <w:divBdr>
            <w:top w:val="none" w:sz="0" w:space="0" w:color="auto"/>
            <w:left w:val="none" w:sz="0" w:space="0" w:color="auto"/>
            <w:bottom w:val="none" w:sz="0" w:space="0" w:color="auto"/>
            <w:right w:val="none" w:sz="0" w:space="0" w:color="auto"/>
          </w:divBdr>
        </w:div>
        <w:div w:id="1803768503">
          <w:marLeft w:val="640"/>
          <w:marRight w:val="0"/>
          <w:marTop w:val="0"/>
          <w:marBottom w:val="0"/>
          <w:divBdr>
            <w:top w:val="none" w:sz="0" w:space="0" w:color="auto"/>
            <w:left w:val="none" w:sz="0" w:space="0" w:color="auto"/>
            <w:bottom w:val="none" w:sz="0" w:space="0" w:color="auto"/>
            <w:right w:val="none" w:sz="0" w:space="0" w:color="auto"/>
          </w:divBdr>
        </w:div>
        <w:div w:id="1234123429">
          <w:marLeft w:val="640"/>
          <w:marRight w:val="0"/>
          <w:marTop w:val="0"/>
          <w:marBottom w:val="0"/>
          <w:divBdr>
            <w:top w:val="none" w:sz="0" w:space="0" w:color="auto"/>
            <w:left w:val="none" w:sz="0" w:space="0" w:color="auto"/>
            <w:bottom w:val="none" w:sz="0" w:space="0" w:color="auto"/>
            <w:right w:val="none" w:sz="0" w:space="0" w:color="auto"/>
          </w:divBdr>
        </w:div>
        <w:div w:id="1638223493">
          <w:marLeft w:val="640"/>
          <w:marRight w:val="0"/>
          <w:marTop w:val="0"/>
          <w:marBottom w:val="0"/>
          <w:divBdr>
            <w:top w:val="none" w:sz="0" w:space="0" w:color="auto"/>
            <w:left w:val="none" w:sz="0" w:space="0" w:color="auto"/>
            <w:bottom w:val="none" w:sz="0" w:space="0" w:color="auto"/>
            <w:right w:val="none" w:sz="0" w:space="0" w:color="auto"/>
          </w:divBdr>
        </w:div>
        <w:div w:id="1617519375">
          <w:marLeft w:val="640"/>
          <w:marRight w:val="0"/>
          <w:marTop w:val="0"/>
          <w:marBottom w:val="0"/>
          <w:divBdr>
            <w:top w:val="none" w:sz="0" w:space="0" w:color="auto"/>
            <w:left w:val="none" w:sz="0" w:space="0" w:color="auto"/>
            <w:bottom w:val="none" w:sz="0" w:space="0" w:color="auto"/>
            <w:right w:val="none" w:sz="0" w:space="0" w:color="auto"/>
          </w:divBdr>
        </w:div>
        <w:div w:id="1237713170">
          <w:marLeft w:val="640"/>
          <w:marRight w:val="0"/>
          <w:marTop w:val="0"/>
          <w:marBottom w:val="0"/>
          <w:divBdr>
            <w:top w:val="none" w:sz="0" w:space="0" w:color="auto"/>
            <w:left w:val="none" w:sz="0" w:space="0" w:color="auto"/>
            <w:bottom w:val="none" w:sz="0" w:space="0" w:color="auto"/>
            <w:right w:val="none" w:sz="0" w:space="0" w:color="auto"/>
          </w:divBdr>
        </w:div>
        <w:div w:id="710036763">
          <w:marLeft w:val="640"/>
          <w:marRight w:val="0"/>
          <w:marTop w:val="0"/>
          <w:marBottom w:val="0"/>
          <w:divBdr>
            <w:top w:val="none" w:sz="0" w:space="0" w:color="auto"/>
            <w:left w:val="none" w:sz="0" w:space="0" w:color="auto"/>
            <w:bottom w:val="none" w:sz="0" w:space="0" w:color="auto"/>
            <w:right w:val="none" w:sz="0" w:space="0" w:color="auto"/>
          </w:divBdr>
        </w:div>
        <w:div w:id="846559127">
          <w:marLeft w:val="640"/>
          <w:marRight w:val="0"/>
          <w:marTop w:val="0"/>
          <w:marBottom w:val="0"/>
          <w:divBdr>
            <w:top w:val="none" w:sz="0" w:space="0" w:color="auto"/>
            <w:left w:val="none" w:sz="0" w:space="0" w:color="auto"/>
            <w:bottom w:val="none" w:sz="0" w:space="0" w:color="auto"/>
            <w:right w:val="none" w:sz="0" w:space="0" w:color="auto"/>
          </w:divBdr>
        </w:div>
        <w:div w:id="375475680">
          <w:marLeft w:val="640"/>
          <w:marRight w:val="0"/>
          <w:marTop w:val="0"/>
          <w:marBottom w:val="0"/>
          <w:divBdr>
            <w:top w:val="none" w:sz="0" w:space="0" w:color="auto"/>
            <w:left w:val="none" w:sz="0" w:space="0" w:color="auto"/>
            <w:bottom w:val="none" w:sz="0" w:space="0" w:color="auto"/>
            <w:right w:val="none" w:sz="0" w:space="0" w:color="auto"/>
          </w:divBdr>
        </w:div>
        <w:div w:id="504318866">
          <w:marLeft w:val="640"/>
          <w:marRight w:val="0"/>
          <w:marTop w:val="0"/>
          <w:marBottom w:val="0"/>
          <w:divBdr>
            <w:top w:val="none" w:sz="0" w:space="0" w:color="auto"/>
            <w:left w:val="none" w:sz="0" w:space="0" w:color="auto"/>
            <w:bottom w:val="none" w:sz="0" w:space="0" w:color="auto"/>
            <w:right w:val="none" w:sz="0" w:space="0" w:color="auto"/>
          </w:divBdr>
        </w:div>
        <w:div w:id="970091712">
          <w:marLeft w:val="640"/>
          <w:marRight w:val="0"/>
          <w:marTop w:val="0"/>
          <w:marBottom w:val="0"/>
          <w:divBdr>
            <w:top w:val="none" w:sz="0" w:space="0" w:color="auto"/>
            <w:left w:val="none" w:sz="0" w:space="0" w:color="auto"/>
            <w:bottom w:val="none" w:sz="0" w:space="0" w:color="auto"/>
            <w:right w:val="none" w:sz="0" w:space="0" w:color="auto"/>
          </w:divBdr>
        </w:div>
        <w:div w:id="675110418">
          <w:marLeft w:val="640"/>
          <w:marRight w:val="0"/>
          <w:marTop w:val="0"/>
          <w:marBottom w:val="0"/>
          <w:divBdr>
            <w:top w:val="none" w:sz="0" w:space="0" w:color="auto"/>
            <w:left w:val="none" w:sz="0" w:space="0" w:color="auto"/>
            <w:bottom w:val="none" w:sz="0" w:space="0" w:color="auto"/>
            <w:right w:val="none" w:sz="0" w:space="0" w:color="auto"/>
          </w:divBdr>
        </w:div>
        <w:div w:id="1936472914">
          <w:marLeft w:val="640"/>
          <w:marRight w:val="0"/>
          <w:marTop w:val="0"/>
          <w:marBottom w:val="0"/>
          <w:divBdr>
            <w:top w:val="none" w:sz="0" w:space="0" w:color="auto"/>
            <w:left w:val="none" w:sz="0" w:space="0" w:color="auto"/>
            <w:bottom w:val="none" w:sz="0" w:space="0" w:color="auto"/>
            <w:right w:val="none" w:sz="0" w:space="0" w:color="auto"/>
          </w:divBdr>
        </w:div>
        <w:div w:id="1126311029">
          <w:marLeft w:val="640"/>
          <w:marRight w:val="0"/>
          <w:marTop w:val="0"/>
          <w:marBottom w:val="0"/>
          <w:divBdr>
            <w:top w:val="none" w:sz="0" w:space="0" w:color="auto"/>
            <w:left w:val="none" w:sz="0" w:space="0" w:color="auto"/>
            <w:bottom w:val="none" w:sz="0" w:space="0" w:color="auto"/>
            <w:right w:val="none" w:sz="0" w:space="0" w:color="auto"/>
          </w:divBdr>
        </w:div>
        <w:div w:id="785731401">
          <w:marLeft w:val="640"/>
          <w:marRight w:val="0"/>
          <w:marTop w:val="0"/>
          <w:marBottom w:val="0"/>
          <w:divBdr>
            <w:top w:val="none" w:sz="0" w:space="0" w:color="auto"/>
            <w:left w:val="none" w:sz="0" w:space="0" w:color="auto"/>
            <w:bottom w:val="none" w:sz="0" w:space="0" w:color="auto"/>
            <w:right w:val="none" w:sz="0" w:space="0" w:color="auto"/>
          </w:divBdr>
        </w:div>
        <w:div w:id="993144568">
          <w:marLeft w:val="640"/>
          <w:marRight w:val="0"/>
          <w:marTop w:val="0"/>
          <w:marBottom w:val="0"/>
          <w:divBdr>
            <w:top w:val="none" w:sz="0" w:space="0" w:color="auto"/>
            <w:left w:val="none" w:sz="0" w:space="0" w:color="auto"/>
            <w:bottom w:val="none" w:sz="0" w:space="0" w:color="auto"/>
            <w:right w:val="none" w:sz="0" w:space="0" w:color="auto"/>
          </w:divBdr>
        </w:div>
        <w:div w:id="1988243848">
          <w:marLeft w:val="640"/>
          <w:marRight w:val="0"/>
          <w:marTop w:val="0"/>
          <w:marBottom w:val="0"/>
          <w:divBdr>
            <w:top w:val="none" w:sz="0" w:space="0" w:color="auto"/>
            <w:left w:val="none" w:sz="0" w:space="0" w:color="auto"/>
            <w:bottom w:val="none" w:sz="0" w:space="0" w:color="auto"/>
            <w:right w:val="none" w:sz="0" w:space="0" w:color="auto"/>
          </w:divBdr>
        </w:div>
        <w:div w:id="1305354576">
          <w:marLeft w:val="640"/>
          <w:marRight w:val="0"/>
          <w:marTop w:val="0"/>
          <w:marBottom w:val="0"/>
          <w:divBdr>
            <w:top w:val="none" w:sz="0" w:space="0" w:color="auto"/>
            <w:left w:val="none" w:sz="0" w:space="0" w:color="auto"/>
            <w:bottom w:val="none" w:sz="0" w:space="0" w:color="auto"/>
            <w:right w:val="none" w:sz="0" w:space="0" w:color="auto"/>
          </w:divBdr>
        </w:div>
        <w:div w:id="26879326">
          <w:marLeft w:val="640"/>
          <w:marRight w:val="0"/>
          <w:marTop w:val="0"/>
          <w:marBottom w:val="0"/>
          <w:divBdr>
            <w:top w:val="none" w:sz="0" w:space="0" w:color="auto"/>
            <w:left w:val="none" w:sz="0" w:space="0" w:color="auto"/>
            <w:bottom w:val="none" w:sz="0" w:space="0" w:color="auto"/>
            <w:right w:val="none" w:sz="0" w:space="0" w:color="auto"/>
          </w:divBdr>
        </w:div>
        <w:div w:id="295794597">
          <w:marLeft w:val="640"/>
          <w:marRight w:val="0"/>
          <w:marTop w:val="0"/>
          <w:marBottom w:val="0"/>
          <w:divBdr>
            <w:top w:val="none" w:sz="0" w:space="0" w:color="auto"/>
            <w:left w:val="none" w:sz="0" w:space="0" w:color="auto"/>
            <w:bottom w:val="none" w:sz="0" w:space="0" w:color="auto"/>
            <w:right w:val="none" w:sz="0" w:space="0" w:color="auto"/>
          </w:divBdr>
        </w:div>
        <w:div w:id="365059227">
          <w:marLeft w:val="640"/>
          <w:marRight w:val="0"/>
          <w:marTop w:val="0"/>
          <w:marBottom w:val="0"/>
          <w:divBdr>
            <w:top w:val="none" w:sz="0" w:space="0" w:color="auto"/>
            <w:left w:val="none" w:sz="0" w:space="0" w:color="auto"/>
            <w:bottom w:val="none" w:sz="0" w:space="0" w:color="auto"/>
            <w:right w:val="none" w:sz="0" w:space="0" w:color="auto"/>
          </w:divBdr>
        </w:div>
        <w:div w:id="1562012456">
          <w:marLeft w:val="640"/>
          <w:marRight w:val="0"/>
          <w:marTop w:val="0"/>
          <w:marBottom w:val="0"/>
          <w:divBdr>
            <w:top w:val="none" w:sz="0" w:space="0" w:color="auto"/>
            <w:left w:val="none" w:sz="0" w:space="0" w:color="auto"/>
            <w:bottom w:val="none" w:sz="0" w:space="0" w:color="auto"/>
            <w:right w:val="none" w:sz="0" w:space="0" w:color="auto"/>
          </w:divBdr>
        </w:div>
        <w:div w:id="329060989">
          <w:marLeft w:val="640"/>
          <w:marRight w:val="0"/>
          <w:marTop w:val="0"/>
          <w:marBottom w:val="0"/>
          <w:divBdr>
            <w:top w:val="none" w:sz="0" w:space="0" w:color="auto"/>
            <w:left w:val="none" w:sz="0" w:space="0" w:color="auto"/>
            <w:bottom w:val="none" w:sz="0" w:space="0" w:color="auto"/>
            <w:right w:val="none" w:sz="0" w:space="0" w:color="auto"/>
          </w:divBdr>
        </w:div>
        <w:div w:id="1410616401">
          <w:marLeft w:val="640"/>
          <w:marRight w:val="0"/>
          <w:marTop w:val="0"/>
          <w:marBottom w:val="0"/>
          <w:divBdr>
            <w:top w:val="none" w:sz="0" w:space="0" w:color="auto"/>
            <w:left w:val="none" w:sz="0" w:space="0" w:color="auto"/>
            <w:bottom w:val="none" w:sz="0" w:space="0" w:color="auto"/>
            <w:right w:val="none" w:sz="0" w:space="0" w:color="auto"/>
          </w:divBdr>
        </w:div>
        <w:div w:id="1565143354">
          <w:marLeft w:val="640"/>
          <w:marRight w:val="0"/>
          <w:marTop w:val="0"/>
          <w:marBottom w:val="0"/>
          <w:divBdr>
            <w:top w:val="none" w:sz="0" w:space="0" w:color="auto"/>
            <w:left w:val="none" w:sz="0" w:space="0" w:color="auto"/>
            <w:bottom w:val="none" w:sz="0" w:space="0" w:color="auto"/>
            <w:right w:val="none" w:sz="0" w:space="0" w:color="auto"/>
          </w:divBdr>
        </w:div>
        <w:div w:id="632903173">
          <w:marLeft w:val="640"/>
          <w:marRight w:val="0"/>
          <w:marTop w:val="0"/>
          <w:marBottom w:val="0"/>
          <w:divBdr>
            <w:top w:val="none" w:sz="0" w:space="0" w:color="auto"/>
            <w:left w:val="none" w:sz="0" w:space="0" w:color="auto"/>
            <w:bottom w:val="none" w:sz="0" w:space="0" w:color="auto"/>
            <w:right w:val="none" w:sz="0" w:space="0" w:color="auto"/>
          </w:divBdr>
        </w:div>
        <w:div w:id="689330918">
          <w:marLeft w:val="640"/>
          <w:marRight w:val="0"/>
          <w:marTop w:val="0"/>
          <w:marBottom w:val="0"/>
          <w:divBdr>
            <w:top w:val="none" w:sz="0" w:space="0" w:color="auto"/>
            <w:left w:val="none" w:sz="0" w:space="0" w:color="auto"/>
            <w:bottom w:val="none" w:sz="0" w:space="0" w:color="auto"/>
            <w:right w:val="none" w:sz="0" w:space="0" w:color="auto"/>
          </w:divBdr>
        </w:div>
        <w:div w:id="1142579604">
          <w:marLeft w:val="640"/>
          <w:marRight w:val="0"/>
          <w:marTop w:val="0"/>
          <w:marBottom w:val="0"/>
          <w:divBdr>
            <w:top w:val="none" w:sz="0" w:space="0" w:color="auto"/>
            <w:left w:val="none" w:sz="0" w:space="0" w:color="auto"/>
            <w:bottom w:val="none" w:sz="0" w:space="0" w:color="auto"/>
            <w:right w:val="none" w:sz="0" w:space="0" w:color="auto"/>
          </w:divBdr>
        </w:div>
        <w:div w:id="331180245">
          <w:marLeft w:val="640"/>
          <w:marRight w:val="0"/>
          <w:marTop w:val="0"/>
          <w:marBottom w:val="0"/>
          <w:divBdr>
            <w:top w:val="none" w:sz="0" w:space="0" w:color="auto"/>
            <w:left w:val="none" w:sz="0" w:space="0" w:color="auto"/>
            <w:bottom w:val="none" w:sz="0" w:space="0" w:color="auto"/>
            <w:right w:val="none" w:sz="0" w:space="0" w:color="auto"/>
          </w:divBdr>
        </w:div>
        <w:div w:id="1402867015">
          <w:marLeft w:val="640"/>
          <w:marRight w:val="0"/>
          <w:marTop w:val="0"/>
          <w:marBottom w:val="0"/>
          <w:divBdr>
            <w:top w:val="none" w:sz="0" w:space="0" w:color="auto"/>
            <w:left w:val="none" w:sz="0" w:space="0" w:color="auto"/>
            <w:bottom w:val="none" w:sz="0" w:space="0" w:color="auto"/>
            <w:right w:val="none" w:sz="0" w:space="0" w:color="auto"/>
          </w:divBdr>
        </w:div>
        <w:div w:id="1865241798">
          <w:marLeft w:val="640"/>
          <w:marRight w:val="0"/>
          <w:marTop w:val="0"/>
          <w:marBottom w:val="0"/>
          <w:divBdr>
            <w:top w:val="none" w:sz="0" w:space="0" w:color="auto"/>
            <w:left w:val="none" w:sz="0" w:space="0" w:color="auto"/>
            <w:bottom w:val="none" w:sz="0" w:space="0" w:color="auto"/>
            <w:right w:val="none" w:sz="0" w:space="0" w:color="auto"/>
          </w:divBdr>
        </w:div>
        <w:div w:id="1357655435">
          <w:marLeft w:val="640"/>
          <w:marRight w:val="0"/>
          <w:marTop w:val="0"/>
          <w:marBottom w:val="0"/>
          <w:divBdr>
            <w:top w:val="none" w:sz="0" w:space="0" w:color="auto"/>
            <w:left w:val="none" w:sz="0" w:space="0" w:color="auto"/>
            <w:bottom w:val="none" w:sz="0" w:space="0" w:color="auto"/>
            <w:right w:val="none" w:sz="0" w:space="0" w:color="auto"/>
          </w:divBdr>
        </w:div>
        <w:div w:id="1037048319">
          <w:marLeft w:val="640"/>
          <w:marRight w:val="0"/>
          <w:marTop w:val="0"/>
          <w:marBottom w:val="0"/>
          <w:divBdr>
            <w:top w:val="none" w:sz="0" w:space="0" w:color="auto"/>
            <w:left w:val="none" w:sz="0" w:space="0" w:color="auto"/>
            <w:bottom w:val="none" w:sz="0" w:space="0" w:color="auto"/>
            <w:right w:val="none" w:sz="0" w:space="0" w:color="auto"/>
          </w:divBdr>
        </w:div>
        <w:div w:id="1395348225">
          <w:marLeft w:val="640"/>
          <w:marRight w:val="0"/>
          <w:marTop w:val="0"/>
          <w:marBottom w:val="0"/>
          <w:divBdr>
            <w:top w:val="none" w:sz="0" w:space="0" w:color="auto"/>
            <w:left w:val="none" w:sz="0" w:space="0" w:color="auto"/>
            <w:bottom w:val="none" w:sz="0" w:space="0" w:color="auto"/>
            <w:right w:val="none" w:sz="0" w:space="0" w:color="auto"/>
          </w:divBdr>
        </w:div>
        <w:div w:id="2074621670">
          <w:marLeft w:val="640"/>
          <w:marRight w:val="0"/>
          <w:marTop w:val="0"/>
          <w:marBottom w:val="0"/>
          <w:divBdr>
            <w:top w:val="none" w:sz="0" w:space="0" w:color="auto"/>
            <w:left w:val="none" w:sz="0" w:space="0" w:color="auto"/>
            <w:bottom w:val="none" w:sz="0" w:space="0" w:color="auto"/>
            <w:right w:val="none" w:sz="0" w:space="0" w:color="auto"/>
          </w:divBdr>
        </w:div>
        <w:div w:id="647393559">
          <w:marLeft w:val="640"/>
          <w:marRight w:val="0"/>
          <w:marTop w:val="0"/>
          <w:marBottom w:val="0"/>
          <w:divBdr>
            <w:top w:val="none" w:sz="0" w:space="0" w:color="auto"/>
            <w:left w:val="none" w:sz="0" w:space="0" w:color="auto"/>
            <w:bottom w:val="none" w:sz="0" w:space="0" w:color="auto"/>
            <w:right w:val="none" w:sz="0" w:space="0" w:color="auto"/>
          </w:divBdr>
        </w:div>
        <w:div w:id="559681146">
          <w:marLeft w:val="640"/>
          <w:marRight w:val="0"/>
          <w:marTop w:val="0"/>
          <w:marBottom w:val="0"/>
          <w:divBdr>
            <w:top w:val="none" w:sz="0" w:space="0" w:color="auto"/>
            <w:left w:val="none" w:sz="0" w:space="0" w:color="auto"/>
            <w:bottom w:val="none" w:sz="0" w:space="0" w:color="auto"/>
            <w:right w:val="none" w:sz="0" w:space="0" w:color="auto"/>
          </w:divBdr>
        </w:div>
        <w:div w:id="2079132116">
          <w:marLeft w:val="640"/>
          <w:marRight w:val="0"/>
          <w:marTop w:val="0"/>
          <w:marBottom w:val="0"/>
          <w:divBdr>
            <w:top w:val="none" w:sz="0" w:space="0" w:color="auto"/>
            <w:left w:val="none" w:sz="0" w:space="0" w:color="auto"/>
            <w:bottom w:val="none" w:sz="0" w:space="0" w:color="auto"/>
            <w:right w:val="none" w:sz="0" w:space="0" w:color="auto"/>
          </w:divBdr>
        </w:div>
        <w:div w:id="623078273">
          <w:marLeft w:val="640"/>
          <w:marRight w:val="0"/>
          <w:marTop w:val="0"/>
          <w:marBottom w:val="0"/>
          <w:divBdr>
            <w:top w:val="none" w:sz="0" w:space="0" w:color="auto"/>
            <w:left w:val="none" w:sz="0" w:space="0" w:color="auto"/>
            <w:bottom w:val="none" w:sz="0" w:space="0" w:color="auto"/>
            <w:right w:val="none" w:sz="0" w:space="0" w:color="auto"/>
          </w:divBdr>
        </w:div>
        <w:div w:id="1692026795">
          <w:marLeft w:val="640"/>
          <w:marRight w:val="0"/>
          <w:marTop w:val="0"/>
          <w:marBottom w:val="0"/>
          <w:divBdr>
            <w:top w:val="none" w:sz="0" w:space="0" w:color="auto"/>
            <w:left w:val="none" w:sz="0" w:space="0" w:color="auto"/>
            <w:bottom w:val="none" w:sz="0" w:space="0" w:color="auto"/>
            <w:right w:val="none" w:sz="0" w:space="0" w:color="auto"/>
          </w:divBdr>
        </w:div>
        <w:div w:id="2012828104">
          <w:marLeft w:val="640"/>
          <w:marRight w:val="0"/>
          <w:marTop w:val="0"/>
          <w:marBottom w:val="0"/>
          <w:divBdr>
            <w:top w:val="none" w:sz="0" w:space="0" w:color="auto"/>
            <w:left w:val="none" w:sz="0" w:space="0" w:color="auto"/>
            <w:bottom w:val="none" w:sz="0" w:space="0" w:color="auto"/>
            <w:right w:val="none" w:sz="0" w:space="0" w:color="auto"/>
          </w:divBdr>
        </w:div>
        <w:div w:id="33698850">
          <w:marLeft w:val="640"/>
          <w:marRight w:val="0"/>
          <w:marTop w:val="0"/>
          <w:marBottom w:val="0"/>
          <w:divBdr>
            <w:top w:val="none" w:sz="0" w:space="0" w:color="auto"/>
            <w:left w:val="none" w:sz="0" w:space="0" w:color="auto"/>
            <w:bottom w:val="none" w:sz="0" w:space="0" w:color="auto"/>
            <w:right w:val="none" w:sz="0" w:space="0" w:color="auto"/>
          </w:divBdr>
        </w:div>
        <w:div w:id="412317331">
          <w:marLeft w:val="640"/>
          <w:marRight w:val="0"/>
          <w:marTop w:val="0"/>
          <w:marBottom w:val="0"/>
          <w:divBdr>
            <w:top w:val="none" w:sz="0" w:space="0" w:color="auto"/>
            <w:left w:val="none" w:sz="0" w:space="0" w:color="auto"/>
            <w:bottom w:val="none" w:sz="0" w:space="0" w:color="auto"/>
            <w:right w:val="none" w:sz="0" w:space="0" w:color="auto"/>
          </w:divBdr>
        </w:div>
        <w:div w:id="257908172">
          <w:marLeft w:val="640"/>
          <w:marRight w:val="0"/>
          <w:marTop w:val="0"/>
          <w:marBottom w:val="0"/>
          <w:divBdr>
            <w:top w:val="none" w:sz="0" w:space="0" w:color="auto"/>
            <w:left w:val="none" w:sz="0" w:space="0" w:color="auto"/>
            <w:bottom w:val="none" w:sz="0" w:space="0" w:color="auto"/>
            <w:right w:val="none" w:sz="0" w:space="0" w:color="auto"/>
          </w:divBdr>
        </w:div>
        <w:div w:id="1851680504">
          <w:marLeft w:val="640"/>
          <w:marRight w:val="0"/>
          <w:marTop w:val="0"/>
          <w:marBottom w:val="0"/>
          <w:divBdr>
            <w:top w:val="none" w:sz="0" w:space="0" w:color="auto"/>
            <w:left w:val="none" w:sz="0" w:space="0" w:color="auto"/>
            <w:bottom w:val="none" w:sz="0" w:space="0" w:color="auto"/>
            <w:right w:val="none" w:sz="0" w:space="0" w:color="auto"/>
          </w:divBdr>
        </w:div>
        <w:div w:id="1542522045">
          <w:marLeft w:val="640"/>
          <w:marRight w:val="0"/>
          <w:marTop w:val="0"/>
          <w:marBottom w:val="0"/>
          <w:divBdr>
            <w:top w:val="none" w:sz="0" w:space="0" w:color="auto"/>
            <w:left w:val="none" w:sz="0" w:space="0" w:color="auto"/>
            <w:bottom w:val="none" w:sz="0" w:space="0" w:color="auto"/>
            <w:right w:val="none" w:sz="0" w:space="0" w:color="auto"/>
          </w:divBdr>
        </w:div>
        <w:div w:id="1427458090">
          <w:marLeft w:val="640"/>
          <w:marRight w:val="0"/>
          <w:marTop w:val="0"/>
          <w:marBottom w:val="0"/>
          <w:divBdr>
            <w:top w:val="none" w:sz="0" w:space="0" w:color="auto"/>
            <w:left w:val="none" w:sz="0" w:space="0" w:color="auto"/>
            <w:bottom w:val="none" w:sz="0" w:space="0" w:color="auto"/>
            <w:right w:val="none" w:sz="0" w:space="0" w:color="auto"/>
          </w:divBdr>
        </w:div>
        <w:div w:id="577440378">
          <w:marLeft w:val="640"/>
          <w:marRight w:val="0"/>
          <w:marTop w:val="0"/>
          <w:marBottom w:val="0"/>
          <w:divBdr>
            <w:top w:val="none" w:sz="0" w:space="0" w:color="auto"/>
            <w:left w:val="none" w:sz="0" w:space="0" w:color="auto"/>
            <w:bottom w:val="none" w:sz="0" w:space="0" w:color="auto"/>
            <w:right w:val="none" w:sz="0" w:space="0" w:color="auto"/>
          </w:divBdr>
        </w:div>
        <w:div w:id="9141557">
          <w:marLeft w:val="640"/>
          <w:marRight w:val="0"/>
          <w:marTop w:val="0"/>
          <w:marBottom w:val="0"/>
          <w:divBdr>
            <w:top w:val="none" w:sz="0" w:space="0" w:color="auto"/>
            <w:left w:val="none" w:sz="0" w:space="0" w:color="auto"/>
            <w:bottom w:val="none" w:sz="0" w:space="0" w:color="auto"/>
            <w:right w:val="none" w:sz="0" w:space="0" w:color="auto"/>
          </w:divBdr>
        </w:div>
        <w:div w:id="31930155">
          <w:marLeft w:val="640"/>
          <w:marRight w:val="0"/>
          <w:marTop w:val="0"/>
          <w:marBottom w:val="0"/>
          <w:divBdr>
            <w:top w:val="none" w:sz="0" w:space="0" w:color="auto"/>
            <w:left w:val="none" w:sz="0" w:space="0" w:color="auto"/>
            <w:bottom w:val="none" w:sz="0" w:space="0" w:color="auto"/>
            <w:right w:val="none" w:sz="0" w:space="0" w:color="auto"/>
          </w:divBdr>
        </w:div>
        <w:div w:id="2005695299">
          <w:marLeft w:val="640"/>
          <w:marRight w:val="0"/>
          <w:marTop w:val="0"/>
          <w:marBottom w:val="0"/>
          <w:divBdr>
            <w:top w:val="none" w:sz="0" w:space="0" w:color="auto"/>
            <w:left w:val="none" w:sz="0" w:space="0" w:color="auto"/>
            <w:bottom w:val="none" w:sz="0" w:space="0" w:color="auto"/>
            <w:right w:val="none" w:sz="0" w:space="0" w:color="auto"/>
          </w:divBdr>
        </w:div>
        <w:div w:id="1628777158">
          <w:marLeft w:val="640"/>
          <w:marRight w:val="0"/>
          <w:marTop w:val="0"/>
          <w:marBottom w:val="0"/>
          <w:divBdr>
            <w:top w:val="none" w:sz="0" w:space="0" w:color="auto"/>
            <w:left w:val="none" w:sz="0" w:space="0" w:color="auto"/>
            <w:bottom w:val="none" w:sz="0" w:space="0" w:color="auto"/>
            <w:right w:val="none" w:sz="0" w:space="0" w:color="auto"/>
          </w:divBdr>
        </w:div>
        <w:div w:id="360136147">
          <w:marLeft w:val="640"/>
          <w:marRight w:val="0"/>
          <w:marTop w:val="0"/>
          <w:marBottom w:val="0"/>
          <w:divBdr>
            <w:top w:val="none" w:sz="0" w:space="0" w:color="auto"/>
            <w:left w:val="none" w:sz="0" w:space="0" w:color="auto"/>
            <w:bottom w:val="none" w:sz="0" w:space="0" w:color="auto"/>
            <w:right w:val="none" w:sz="0" w:space="0" w:color="auto"/>
          </w:divBdr>
        </w:div>
        <w:div w:id="1625573673">
          <w:marLeft w:val="640"/>
          <w:marRight w:val="0"/>
          <w:marTop w:val="0"/>
          <w:marBottom w:val="0"/>
          <w:divBdr>
            <w:top w:val="none" w:sz="0" w:space="0" w:color="auto"/>
            <w:left w:val="none" w:sz="0" w:space="0" w:color="auto"/>
            <w:bottom w:val="none" w:sz="0" w:space="0" w:color="auto"/>
            <w:right w:val="none" w:sz="0" w:space="0" w:color="auto"/>
          </w:divBdr>
        </w:div>
        <w:div w:id="1325477075">
          <w:marLeft w:val="640"/>
          <w:marRight w:val="0"/>
          <w:marTop w:val="0"/>
          <w:marBottom w:val="0"/>
          <w:divBdr>
            <w:top w:val="none" w:sz="0" w:space="0" w:color="auto"/>
            <w:left w:val="none" w:sz="0" w:space="0" w:color="auto"/>
            <w:bottom w:val="none" w:sz="0" w:space="0" w:color="auto"/>
            <w:right w:val="none" w:sz="0" w:space="0" w:color="auto"/>
          </w:divBdr>
        </w:div>
        <w:div w:id="747775277">
          <w:marLeft w:val="640"/>
          <w:marRight w:val="0"/>
          <w:marTop w:val="0"/>
          <w:marBottom w:val="0"/>
          <w:divBdr>
            <w:top w:val="none" w:sz="0" w:space="0" w:color="auto"/>
            <w:left w:val="none" w:sz="0" w:space="0" w:color="auto"/>
            <w:bottom w:val="none" w:sz="0" w:space="0" w:color="auto"/>
            <w:right w:val="none" w:sz="0" w:space="0" w:color="auto"/>
          </w:divBdr>
        </w:div>
        <w:div w:id="1142893623">
          <w:marLeft w:val="640"/>
          <w:marRight w:val="0"/>
          <w:marTop w:val="0"/>
          <w:marBottom w:val="0"/>
          <w:divBdr>
            <w:top w:val="none" w:sz="0" w:space="0" w:color="auto"/>
            <w:left w:val="none" w:sz="0" w:space="0" w:color="auto"/>
            <w:bottom w:val="none" w:sz="0" w:space="0" w:color="auto"/>
            <w:right w:val="none" w:sz="0" w:space="0" w:color="auto"/>
          </w:divBdr>
        </w:div>
        <w:div w:id="1038698736">
          <w:marLeft w:val="640"/>
          <w:marRight w:val="0"/>
          <w:marTop w:val="0"/>
          <w:marBottom w:val="0"/>
          <w:divBdr>
            <w:top w:val="none" w:sz="0" w:space="0" w:color="auto"/>
            <w:left w:val="none" w:sz="0" w:space="0" w:color="auto"/>
            <w:bottom w:val="none" w:sz="0" w:space="0" w:color="auto"/>
            <w:right w:val="none" w:sz="0" w:space="0" w:color="auto"/>
          </w:divBdr>
        </w:div>
        <w:div w:id="959993796">
          <w:marLeft w:val="640"/>
          <w:marRight w:val="0"/>
          <w:marTop w:val="0"/>
          <w:marBottom w:val="0"/>
          <w:divBdr>
            <w:top w:val="none" w:sz="0" w:space="0" w:color="auto"/>
            <w:left w:val="none" w:sz="0" w:space="0" w:color="auto"/>
            <w:bottom w:val="none" w:sz="0" w:space="0" w:color="auto"/>
            <w:right w:val="none" w:sz="0" w:space="0" w:color="auto"/>
          </w:divBdr>
        </w:div>
        <w:div w:id="762800964">
          <w:marLeft w:val="640"/>
          <w:marRight w:val="0"/>
          <w:marTop w:val="0"/>
          <w:marBottom w:val="0"/>
          <w:divBdr>
            <w:top w:val="none" w:sz="0" w:space="0" w:color="auto"/>
            <w:left w:val="none" w:sz="0" w:space="0" w:color="auto"/>
            <w:bottom w:val="none" w:sz="0" w:space="0" w:color="auto"/>
            <w:right w:val="none" w:sz="0" w:space="0" w:color="auto"/>
          </w:divBdr>
        </w:div>
        <w:div w:id="871651987">
          <w:marLeft w:val="640"/>
          <w:marRight w:val="0"/>
          <w:marTop w:val="0"/>
          <w:marBottom w:val="0"/>
          <w:divBdr>
            <w:top w:val="none" w:sz="0" w:space="0" w:color="auto"/>
            <w:left w:val="none" w:sz="0" w:space="0" w:color="auto"/>
            <w:bottom w:val="none" w:sz="0" w:space="0" w:color="auto"/>
            <w:right w:val="none" w:sz="0" w:space="0" w:color="auto"/>
          </w:divBdr>
        </w:div>
        <w:div w:id="1239945577">
          <w:marLeft w:val="640"/>
          <w:marRight w:val="0"/>
          <w:marTop w:val="0"/>
          <w:marBottom w:val="0"/>
          <w:divBdr>
            <w:top w:val="none" w:sz="0" w:space="0" w:color="auto"/>
            <w:left w:val="none" w:sz="0" w:space="0" w:color="auto"/>
            <w:bottom w:val="none" w:sz="0" w:space="0" w:color="auto"/>
            <w:right w:val="none" w:sz="0" w:space="0" w:color="auto"/>
          </w:divBdr>
        </w:div>
        <w:div w:id="4207716">
          <w:marLeft w:val="640"/>
          <w:marRight w:val="0"/>
          <w:marTop w:val="0"/>
          <w:marBottom w:val="0"/>
          <w:divBdr>
            <w:top w:val="none" w:sz="0" w:space="0" w:color="auto"/>
            <w:left w:val="none" w:sz="0" w:space="0" w:color="auto"/>
            <w:bottom w:val="none" w:sz="0" w:space="0" w:color="auto"/>
            <w:right w:val="none" w:sz="0" w:space="0" w:color="auto"/>
          </w:divBdr>
        </w:div>
        <w:div w:id="1844054664">
          <w:marLeft w:val="640"/>
          <w:marRight w:val="0"/>
          <w:marTop w:val="0"/>
          <w:marBottom w:val="0"/>
          <w:divBdr>
            <w:top w:val="none" w:sz="0" w:space="0" w:color="auto"/>
            <w:left w:val="none" w:sz="0" w:space="0" w:color="auto"/>
            <w:bottom w:val="none" w:sz="0" w:space="0" w:color="auto"/>
            <w:right w:val="none" w:sz="0" w:space="0" w:color="auto"/>
          </w:divBdr>
        </w:div>
        <w:div w:id="301354895">
          <w:marLeft w:val="640"/>
          <w:marRight w:val="0"/>
          <w:marTop w:val="0"/>
          <w:marBottom w:val="0"/>
          <w:divBdr>
            <w:top w:val="none" w:sz="0" w:space="0" w:color="auto"/>
            <w:left w:val="none" w:sz="0" w:space="0" w:color="auto"/>
            <w:bottom w:val="none" w:sz="0" w:space="0" w:color="auto"/>
            <w:right w:val="none" w:sz="0" w:space="0" w:color="auto"/>
          </w:divBdr>
        </w:div>
        <w:div w:id="1280718268">
          <w:marLeft w:val="640"/>
          <w:marRight w:val="0"/>
          <w:marTop w:val="0"/>
          <w:marBottom w:val="0"/>
          <w:divBdr>
            <w:top w:val="none" w:sz="0" w:space="0" w:color="auto"/>
            <w:left w:val="none" w:sz="0" w:space="0" w:color="auto"/>
            <w:bottom w:val="none" w:sz="0" w:space="0" w:color="auto"/>
            <w:right w:val="none" w:sz="0" w:space="0" w:color="auto"/>
          </w:divBdr>
        </w:div>
        <w:div w:id="311104242">
          <w:marLeft w:val="640"/>
          <w:marRight w:val="0"/>
          <w:marTop w:val="0"/>
          <w:marBottom w:val="0"/>
          <w:divBdr>
            <w:top w:val="none" w:sz="0" w:space="0" w:color="auto"/>
            <w:left w:val="none" w:sz="0" w:space="0" w:color="auto"/>
            <w:bottom w:val="none" w:sz="0" w:space="0" w:color="auto"/>
            <w:right w:val="none" w:sz="0" w:space="0" w:color="auto"/>
          </w:divBdr>
        </w:div>
        <w:div w:id="1357147850">
          <w:marLeft w:val="640"/>
          <w:marRight w:val="0"/>
          <w:marTop w:val="0"/>
          <w:marBottom w:val="0"/>
          <w:divBdr>
            <w:top w:val="none" w:sz="0" w:space="0" w:color="auto"/>
            <w:left w:val="none" w:sz="0" w:space="0" w:color="auto"/>
            <w:bottom w:val="none" w:sz="0" w:space="0" w:color="auto"/>
            <w:right w:val="none" w:sz="0" w:space="0" w:color="auto"/>
          </w:divBdr>
        </w:div>
        <w:div w:id="1643927270">
          <w:marLeft w:val="640"/>
          <w:marRight w:val="0"/>
          <w:marTop w:val="0"/>
          <w:marBottom w:val="0"/>
          <w:divBdr>
            <w:top w:val="none" w:sz="0" w:space="0" w:color="auto"/>
            <w:left w:val="none" w:sz="0" w:space="0" w:color="auto"/>
            <w:bottom w:val="none" w:sz="0" w:space="0" w:color="auto"/>
            <w:right w:val="none" w:sz="0" w:space="0" w:color="auto"/>
          </w:divBdr>
        </w:div>
        <w:div w:id="1627081155">
          <w:marLeft w:val="640"/>
          <w:marRight w:val="0"/>
          <w:marTop w:val="0"/>
          <w:marBottom w:val="0"/>
          <w:divBdr>
            <w:top w:val="none" w:sz="0" w:space="0" w:color="auto"/>
            <w:left w:val="none" w:sz="0" w:space="0" w:color="auto"/>
            <w:bottom w:val="none" w:sz="0" w:space="0" w:color="auto"/>
            <w:right w:val="none" w:sz="0" w:space="0" w:color="auto"/>
          </w:divBdr>
        </w:div>
        <w:div w:id="1740444717">
          <w:marLeft w:val="640"/>
          <w:marRight w:val="0"/>
          <w:marTop w:val="0"/>
          <w:marBottom w:val="0"/>
          <w:divBdr>
            <w:top w:val="none" w:sz="0" w:space="0" w:color="auto"/>
            <w:left w:val="none" w:sz="0" w:space="0" w:color="auto"/>
            <w:bottom w:val="none" w:sz="0" w:space="0" w:color="auto"/>
            <w:right w:val="none" w:sz="0" w:space="0" w:color="auto"/>
          </w:divBdr>
        </w:div>
        <w:div w:id="206381035">
          <w:marLeft w:val="640"/>
          <w:marRight w:val="0"/>
          <w:marTop w:val="0"/>
          <w:marBottom w:val="0"/>
          <w:divBdr>
            <w:top w:val="none" w:sz="0" w:space="0" w:color="auto"/>
            <w:left w:val="none" w:sz="0" w:space="0" w:color="auto"/>
            <w:bottom w:val="none" w:sz="0" w:space="0" w:color="auto"/>
            <w:right w:val="none" w:sz="0" w:space="0" w:color="auto"/>
          </w:divBdr>
        </w:div>
        <w:div w:id="217405471">
          <w:marLeft w:val="640"/>
          <w:marRight w:val="0"/>
          <w:marTop w:val="0"/>
          <w:marBottom w:val="0"/>
          <w:divBdr>
            <w:top w:val="none" w:sz="0" w:space="0" w:color="auto"/>
            <w:left w:val="none" w:sz="0" w:space="0" w:color="auto"/>
            <w:bottom w:val="none" w:sz="0" w:space="0" w:color="auto"/>
            <w:right w:val="none" w:sz="0" w:space="0" w:color="auto"/>
          </w:divBdr>
        </w:div>
        <w:div w:id="1316106640">
          <w:marLeft w:val="640"/>
          <w:marRight w:val="0"/>
          <w:marTop w:val="0"/>
          <w:marBottom w:val="0"/>
          <w:divBdr>
            <w:top w:val="none" w:sz="0" w:space="0" w:color="auto"/>
            <w:left w:val="none" w:sz="0" w:space="0" w:color="auto"/>
            <w:bottom w:val="none" w:sz="0" w:space="0" w:color="auto"/>
            <w:right w:val="none" w:sz="0" w:space="0" w:color="auto"/>
          </w:divBdr>
        </w:div>
        <w:div w:id="1802915330">
          <w:marLeft w:val="640"/>
          <w:marRight w:val="0"/>
          <w:marTop w:val="0"/>
          <w:marBottom w:val="0"/>
          <w:divBdr>
            <w:top w:val="none" w:sz="0" w:space="0" w:color="auto"/>
            <w:left w:val="none" w:sz="0" w:space="0" w:color="auto"/>
            <w:bottom w:val="none" w:sz="0" w:space="0" w:color="auto"/>
            <w:right w:val="none" w:sz="0" w:space="0" w:color="auto"/>
          </w:divBdr>
        </w:div>
        <w:div w:id="1326587322">
          <w:marLeft w:val="640"/>
          <w:marRight w:val="0"/>
          <w:marTop w:val="0"/>
          <w:marBottom w:val="0"/>
          <w:divBdr>
            <w:top w:val="none" w:sz="0" w:space="0" w:color="auto"/>
            <w:left w:val="none" w:sz="0" w:space="0" w:color="auto"/>
            <w:bottom w:val="none" w:sz="0" w:space="0" w:color="auto"/>
            <w:right w:val="none" w:sz="0" w:space="0" w:color="auto"/>
          </w:divBdr>
        </w:div>
        <w:div w:id="106241922">
          <w:marLeft w:val="640"/>
          <w:marRight w:val="0"/>
          <w:marTop w:val="0"/>
          <w:marBottom w:val="0"/>
          <w:divBdr>
            <w:top w:val="none" w:sz="0" w:space="0" w:color="auto"/>
            <w:left w:val="none" w:sz="0" w:space="0" w:color="auto"/>
            <w:bottom w:val="none" w:sz="0" w:space="0" w:color="auto"/>
            <w:right w:val="none" w:sz="0" w:space="0" w:color="auto"/>
          </w:divBdr>
        </w:div>
        <w:div w:id="1575823819">
          <w:marLeft w:val="640"/>
          <w:marRight w:val="0"/>
          <w:marTop w:val="0"/>
          <w:marBottom w:val="0"/>
          <w:divBdr>
            <w:top w:val="none" w:sz="0" w:space="0" w:color="auto"/>
            <w:left w:val="none" w:sz="0" w:space="0" w:color="auto"/>
            <w:bottom w:val="none" w:sz="0" w:space="0" w:color="auto"/>
            <w:right w:val="none" w:sz="0" w:space="0" w:color="auto"/>
          </w:divBdr>
        </w:div>
        <w:div w:id="1792433164">
          <w:marLeft w:val="640"/>
          <w:marRight w:val="0"/>
          <w:marTop w:val="0"/>
          <w:marBottom w:val="0"/>
          <w:divBdr>
            <w:top w:val="none" w:sz="0" w:space="0" w:color="auto"/>
            <w:left w:val="none" w:sz="0" w:space="0" w:color="auto"/>
            <w:bottom w:val="none" w:sz="0" w:space="0" w:color="auto"/>
            <w:right w:val="none" w:sz="0" w:space="0" w:color="auto"/>
          </w:divBdr>
        </w:div>
        <w:div w:id="1509831085">
          <w:marLeft w:val="640"/>
          <w:marRight w:val="0"/>
          <w:marTop w:val="0"/>
          <w:marBottom w:val="0"/>
          <w:divBdr>
            <w:top w:val="none" w:sz="0" w:space="0" w:color="auto"/>
            <w:left w:val="none" w:sz="0" w:space="0" w:color="auto"/>
            <w:bottom w:val="none" w:sz="0" w:space="0" w:color="auto"/>
            <w:right w:val="none" w:sz="0" w:space="0" w:color="auto"/>
          </w:divBdr>
        </w:div>
        <w:div w:id="1160734188">
          <w:marLeft w:val="640"/>
          <w:marRight w:val="0"/>
          <w:marTop w:val="0"/>
          <w:marBottom w:val="0"/>
          <w:divBdr>
            <w:top w:val="none" w:sz="0" w:space="0" w:color="auto"/>
            <w:left w:val="none" w:sz="0" w:space="0" w:color="auto"/>
            <w:bottom w:val="none" w:sz="0" w:space="0" w:color="auto"/>
            <w:right w:val="none" w:sz="0" w:space="0" w:color="auto"/>
          </w:divBdr>
        </w:div>
        <w:div w:id="981932639">
          <w:marLeft w:val="640"/>
          <w:marRight w:val="0"/>
          <w:marTop w:val="0"/>
          <w:marBottom w:val="0"/>
          <w:divBdr>
            <w:top w:val="none" w:sz="0" w:space="0" w:color="auto"/>
            <w:left w:val="none" w:sz="0" w:space="0" w:color="auto"/>
            <w:bottom w:val="none" w:sz="0" w:space="0" w:color="auto"/>
            <w:right w:val="none" w:sz="0" w:space="0" w:color="auto"/>
          </w:divBdr>
        </w:div>
        <w:div w:id="1063530613">
          <w:marLeft w:val="640"/>
          <w:marRight w:val="0"/>
          <w:marTop w:val="0"/>
          <w:marBottom w:val="0"/>
          <w:divBdr>
            <w:top w:val="none" w:sz="0" w:space="0" w:color="auto"/>
            <w:left w:val="none" w:sz="0" w:space="0" w:color="auto"/>
            <w:bottom w:val="none" w:sz="0" w:space="0" w:color="auto"/>
            <w:right w:val="none" w:sz="0" w:space="0" w:color="auto"/>
          </w:divBdr>
        </w:div>
        <w:div w:id="2103331924">
          <w:marLeft w:val="640"/>
          <w:marRight w:val="0"/>
          <w:marTop w:val="0"/>
          <w:marBottom w:val="0"/>
          <w:divBdr>
            <w:top w:val="none" w:sz="0" w:space="0" w:color="auto"/>
            <w:left w:val="none" w:sz="0" w:space="0" w:color="auto"/>
            <w:bottom w:val="none" w:sz="0" w:space="0" w:color="auto"/>
            <w:right w:val="none" w:sz="0" w:space="0" w:color="auto"/>
          </w:divBdr>
        </w:div>
        <w:div w:id="1630087527">
          <w:marLeft w:val="640"/>
          <w:marRight w:val="0"/>
          <w:marTop w:val="0"/>
          <w:marBottom w:val="0"/>
          <w:divBdr>
            <w:top w:val="none" w:sz="0" w:space="0" w:color="auto"/>
            <w:left w:val="none" w:sz="0" w:space="0" w:color="auto"/>
            <w:bottom w:val="none" w:sz="0" w:space="0" w:color="auto"/>
            <w:right w:val="none" w:sz="0" w:space="0" w:color="auto"/>
          </w:divBdr>
        </w:div>
        <w:div w:id="1883057798">
          <w:marLeft w:val="640"/>
          <w:marRight w:val="0"/>
          <w:marTop w:val="0"/>
          <w:marBottom w:val="0"/>
          <w:divBdr>
            <w:top w:val="none" w:sz="0" w:space="0" w:color="auto"/>
            <w:left w:val="none" w:sz="0" w:space="0" w:color="auto"/>
            <w:bottom w:val="none" w:sz="0" w:space="0" w:color="auto"/>
            <w:right w:val="none" w:sz="0" w:space="0" w:color="auto"/>
          </w:divBdr>
        </w:div>
        <w:div w:id="1380664827">
          <w:marLeft w:val="640"/>
          <w:marRight w:val="0"/>
          <w:marTop w:val="0"/>
          <w:marBottom w:val="0"/>
          <w:divBdr>
            <w:top w:val="none" w:sz="0" w:space="0" w:color="auto"/>
            <w:left w:val="none" w:sz="0" w:space="0" w:color="auto"/>
            <w:bottom w:val="none" w:sz="0" w:space="0" w:color="auto"/>
            <w:right w:val="none" w:sz="0" w:space="0" w:color="auto"/>
          </w:divBdr>
        </w:div>
        <w:div w:id="1267343813">
          <w:marLeft w:val="640"/>
          <w:marRight w:val="0"/>
          <w:marTop w:val="0"/>
          <w:marBottom w:val="0"/>
          <w:divBdr>
            <w:top w:val="none" w:sz="0" w:space="0" w:color="auto"/>
            <w:left w:val="none" w:sz="0" w:space="0" w:color="auto"/>
            <w:bottom w:val="none" w:sz="0" w:space="0" w:color="auto"/>
            <w:right w:val="none" w:sz="0" w:space="0" w:color="auto"/>
          </w:divBdr>
        </w:div>
        <w:div w:id="94400923">
          <w:marLeft w:val="640"/>
          <w:marRight w:val="0"/>
          <w:marTop w:val="0"/>
          <w:marBottom w:val="0"/>
          <w:divBdr>
            <w:top w:val="none" w:sz="0" w:space="0" w:color="auto"/>
            <w:left w:val="none" w:sz="0" w:space="0" w:color="auto"/>
            <w:bottom w:val="none" w:sz="0" w:space="0" w:color="auto"/>
            <w:right w:val="none" w:sz="0" w:space="0" w:color="auto"/>
          </w:divBdr>
        </w:div>
        <w:div w:id="1754282096">
          <w:marLeft w:val="640"/>
          <w:marRight w:val="0"/>
          <w:marTop w:val="0"/>
          <w:marBottom w:val="0"/>
          <w:divBdr>
            <w:top w:val="none" w:sz="0" w:space="0" w:color="auto"/>
            <w:left w:val="none" w:sz="0" w:space="0" w:color="auto"/>
            <w:bottom w:val="none" w:sz="0" w:space="0" w:color="auto"/>
            <w:right w:val="none" w:sz="0" w:space="0" w:color="auto"/>
          </w:divBdr>
        </w:div>
        <w:div w:id="715743580">
          <w:marLeft w:val="640"/>
          <w:marRight w:val="0"/>
          <w:marTop w:val="0"/>
          <w:marBottom w:val="0"/>
          <w:divBdr>
            <w:top w:val="none" w:sz="0" w:space="0" w:color="auto"/>
            <w:left w:val="none" w:sz="0" w:space="0" w:color="auto"/>
            <w:bottom w:val="none" w:sz="0" w:space="0" w:color="auto"/>
            <w:right w:val="none" w:sz="0" w:space="0" w:color="auto"/>
          </w:divBdr>
        </w:div>
        <w:div w:id="779496114">
          <w:marLeft w:val="640"/>
          <w:marRight w:val="0"/>
          <w:marTop w:val="0"/>
          <w:marBottom w:val="0"/>
          <w:divBdr>
            <w:top w:val="none" w:sz="0" w:space="0" w:color="auto"/>
            <w:left w:val="none" w:sz="0" w:space="0" w:color="auto"/>
            <w:bottom w:val="none" w:sz="0" w:space="0" w:color="auto"/>
            <w:right w:val="none" w:sz="0" w:space="0" w:color="auto"/>
          </w:divBdr>
        </w:div>
        <w:div w:id="1910723887">
          <w:marLeft w:val="640"/>
          <w:marRight w:val="0"/>
          <w:marTop w:val="0"/>
          <w:marBottom w:val="0"/>
          <w:divBdr>
            <w:top w:val="none" w:sz="0" w:space="0" w:color="auto"/>
            <w:left w:val="none" w:sz="0" w:space="0" w:color="auto"/>
            <w:bottom w:val="none" w:sz="0" w:space="0" w:color="auto"/>
            <w:right w:val="none" w:sz="0" w:space="0" w:color="auto"/>
          </w:divBdr>
        </w:div>
        <w:div w:id="2092964984">
          <w:marLeft w:val="640"/>
          <w:marRight w:val="0"/>
          <w:marTop w:val="0"/>
          <w:marBottom w:val="0"/>
          <w:divBdr>
            <w:top w:val="none" w:sz="0" w:space="0" w:color="auto"/>
            <w:left w:val="none" w:sz="0" w:space="0" w:color="auto"/>
            <w:bottom w:val="none" w:sz="0" w:space="0" w:color="auto"/>
            <w:right w:val="none" w:sz="0" w:space="0" w:color="auto"/>
          </w:divBdr>
        </w:div>
        <w:div w:id="932595411">
          <w:marLeft w:val="640"/>
          <w:marRight w:val="0"/>
          <w:marTop w:val="0"/>
          <w:marBottom w:val="0"/>
          <w:divBdr>
            <w:top w:val="none" w:sz="0" w:space="0" w:color="auto"/>
            <w:left w:val="none" w:sz="0" w:space="0" w:color="auto"/>
            <w:bottom w:val="none" w:sz="0" w:space="0" w:color="auto"/>
            <w:right w:val="none" w:sz="0" w:space="0" w:color="auto"/>
          </w:divBdr>
        </w:div>
        <w:div w:id="642580792">
          <w:marLeft w:val="640"/>
          <w:marRight w:val="0"/>
          <w:marTop w:val="0"/>
          <w:marBottom w:val="0"/>
          <w:divBdr>
            <w:top w:val="none" w:sz="0" w:space="0" w:color="auto"/>
            <w:left w:val="none" w:sz="0" w:space="0" w:color="auto"/>
            <w:bottom w:val="none" w:sz="0" w:space="0" w:color="auto"/>
            <w:right w:val="none" w:sz="0" w:space="0" w:color="auto"/>
          </w:divBdr>
        </w:div>
        <w:div w:id="1457722842">
          <w:marLeft w:val="640"/>
          <w:marRight w:val="0"/>
          <w:marTop w:val="0"/>
          <w:marBottom w:val="0"/>
          <w:divBdr>
            <w:top w:val="none" w:sz="0" w:space="0" w:color="auto"/>
            <w:left w:val="none" w:sz="0" w:space="0" w:color="auto"/>
            <w:bottom w:val="none" w:sz="0" w:space="0" w:color="auto"/>
            <w:right w:val="none" w:sz="0" w:space="0" w:color="auto"/>
          </w:divBdr>
        </w:div>
        <w:div w:id="1559439519">
          <w:marLeft w:val="640"/>
          <w:marRight w:val="0"/>
          <w:marTop w:val="0"/>
          <w:marBottom w:val="0"/>
          <w:divBdr>
            <w:top w:val="none" w:sz="0" w:space="0" w:color="auto"/>
            <w:left w:val="none" w:sz="0" w:space="0" w:color="auto"/>
            <w:bottom w:val="none" w:sz="0" w:space="0" w:color="auto"/>
            <w:right w:val="none" w:sz="0" w:space="0" w:color="auto"/>
          </w:divBdr>
        </w:div>
        <w:div w:id="1654748288">
          <w:marLeft w:val="640"/>
          <w:marRight w:val="0"/>
          <w:marTop w:val="0"/>
          <w:marBottom w:val="0"/>
          <w:divBdr>
            <w:top w:val="none" w:sz="0" w:space="0" w:color="auto"/>
            <w:left w:val="none" w:sz="0" w:space="0" w:color="auto"/>
            <w:bottom w:val="none" w:sz="0" w:space="0" w:color="auto"/>
            <w:right w:val="none" w:sz="0" w:space="0" w:color="auto"/>
          </w:divBdr>
        </w:div>
        <w:div w:id="213467736">
          <w:marLeft w:val="640"/>
          <w:marRight w:val="0"/>
          <w:marTop w:val="0"/>
          <w:marBottom w:val="0"/>
          <w:divBdr>
            <w:top w:val="none" w:sz="0" w:space="0" w:color="auto"/>
            <w:left w:val="none" w:sz="0" w:space="0" w:color="auto"/>
            <w:bottom w:val="none" w:sz="0" w:space="0" w:color="auto"/>
            <w:right w:val="none" w:sz="0" w:space="0" w:color="auto"/>
          </w:divBdr>
        </w:div>
        <w:div w:id="1468164057">
          <w:marLeft w:val="640"/>
          <w:marRight w:val="0"/>
          <w:marTop w:val="0"/>
          <w:marBottom w:val="0"/>
          <w:divBdr>
            <w:top w:val="none" w:sz="0" w:space="0" w:color="auto"/>
            <w:left w:val="none" w:sz="0" w:space="0" w:color="auto"/>
            <w:bottom w:val="none" w:sz="0" w:space="0" w:color="auto"/>
            <w:right w:val="none" w:sz="0" w:space="0" w:color="auto"/>
          </w:divBdr>
        </w:div>
        <w:div w:id="598803007">
          <w:marLeft w:val="640"/>
          <w:marRight w:val="0"/>
          <w:marTop w:val="0"/>
          <w:marBottom w:val="0"/>
          <w:divBdr>
            <w:top w:val="none" w:sz="0" w:space="0" w:color="auto"/>
            <w:left w:val="none" w:sz="0" w:space="0" w:color="auto"/>
            <w:bottom w:val="none" w:sz="0" w:space="0" w:color="auto"/>
            <w:right w:val="none" w:sz="0" w:space="0" w:color="auto"/>
          </w:divBdr>
        </w:div>
        <w:div w:id="727191743">
          <w:marLeft w:val="640"/>
          <w:marRight w:val="0"/>
          <w:marTop w:val="0"/>
          <w:marBottom w:val="0"/>
          <w:divBdr>
            <w:top w:val="none" w:sz="0" w:space="0" w:color="auto"/>
            <w:left w:val="none" w:sz="0" w:space="0" w:color="auto"/>
            <w:bottom w:val="none" w:sz="0" w:space="0" w:color="auto"/>
            <w:right w:val="none" w:sz="0" w:space="0" w:color="auto"/>
          </w:divBdr>
        </w:div>
        <w:div w:id="2046902391">
          <w:marLeft w:val="640"/>
          <w:marRight w:val="0"/>
          <w:marTop w:val="0"/>
          <w:marBottom w:val="0"/>
          <w:divBdr>
            <w:top w:val="none" w:sz="0" w:space="0" w:color="auto"/>
            <w:left w:val="none" w:sz="0" w:space="0" w:color="auto"/>
            <w:bottom w:val="none" w:sz="0" w:space="0" w:color="auto"/>
            <w:right w:val="none" w:sz="0" w:space="0" w:color="auto"/>
          </w:divBdr>
        </w:div>
        <w:div w:id="1034117269">
          <w:marLeft w:val="640"/>
          <w:marRight w:val="0"/>
          <w:marTop w:val="0"/>
          <w:marBottom w:val="0"/>
          <w:divBdr>
            <w:top w:val="none" w:sz="0" w:space="0" w:color="auto"/>
            <w:left w:val="none" w:sz="0" w:space="0" w:color="auto"/>
            <w:bottom w:val="none" w:sz="0" w:space="0" w:color="auto"/>
            <w:right w:val="none" w:sz="0" w:space="0" w:color="auto"/>
          </w:divBdr>
        </w:div>
        <w:div w:id="1525358686">
          <w:marLeft w:val="640"/>
          <w:marRight w:val="0"/>
          <w:marTop w:val="0"/>
          <w:marBottom w:val="0"/>
          <w:divBdr>
            <w:top w:val="none" w:sz="0" w:space="0" w:color="auto"/>
            <w:left w:val="none" w:sz="0" w:space="0" w:color="auto"/>
            <w:bottom w:val="none" w:sz="0" w:space="0" w:color="auto"/>
            <w:right w:val="none" w:sz="0" w:space="0" w:color="auto"/>
          </w:divBdr>
        </w:div>
        <w:div w:id="1033847280">
          <w:marLeft w:val="640"/>
          <w:marRight w:val="0"/>
          <w:marTop w:val="0"/>
          <w:marBottom w:val="0"/>
          <w:divBdr>
            <w:top w:val="none" w:sz="0" w:space="0" w:color="auto"/>
            <w:left w:val="none" w:sz="0" w:space="0" w:color="auto"/>
            <w:bottom w:val="none" w:sz="0" w:space="0" w:color="auto"/>
            <w:right w:val="none" w:sz="0" w:space="0" w:color="auto"/>
          </w:divBdr>
        </w:div>
        <w:div w:id="732120234">
          <w:marLeft w:val="640"/>
          <w:marRight w:val="0"/>
          <w:marTop w:val="0"/>
          <w:marBottom w:val="0"/>
          <w:divBdr>
            <w:top w:val="none" w:sz="0" w:space="0" w:color="auto"/>
            <w:left w:val="none" w:sz="0" w:space="0" w:color="auto"/>
            <w:bottom w:val="none" w:sz="0" w:space="0" w:color="auto"/>
            <w:right w:val="none" w:sz="0" w:space="0" w:color="auto"/>
          </w:divBdr>
        </w:div>
        <w:div w:id="1162233959">
          <w:marLeft w:val="640"/>
          <w:marRight w:val="0"/>
          <w:marTop w:val="0"/>
          <w:marBottom w:val="0"/>
          <w:divBdr>
            <w:top w:val="none" w:sz="0" w:space="0" w:color="auto"/>
            <w:left w:val="none" w:sz="0" w:space="0" w:color="auto"/>
            <w:bottom w:val="none" w:sz="0" w:space="0" w:color="auto"/>
            <w:right w:val="none" w:sz="0" w:space="0" w:color="auto"/>
          </w:divBdr>
        </w:div>
        <w:div w:id="1005936888">
          <w:marLeft w:val="640"/>
          <w:marRight w:val="0"/>
          <w:marTop w:val="0"/>
          <w:marBottom w:val="0"/>
          <w:divBdr>
            <w:top w:val="none" w:sz="0" w:space="0" w:color="auto"/>
            <w:left w:val="none" w:sz="0" w:space="0" w:color="auto"/>
            <w:bottom w:val="none" w:sz="0" w:space="0" w:color="auto"/>
            <w:right w:val="none" w:sz="0" w:space="0" w:color="auto"/>
          </w:divBdr>
        </w:div>
        <w:div w:id="934898894">
          <w:marLeft w:val="640"/>
          <w:marRight w:val="0"/>
          <w:marTop w:val="0"/>
          <w:marBottom w:val="0"/>
          <w:divBdr>
            <w:top w:val="none" w:sz="0" w:space="0" w:color="auto"/>
            <w:left w:val="none" w:sz="0" w:space="0" w:color="auto"/>
            <w:bottom w:val="none" w:sz="0" w:space="0" w:color="auto"/>
            <w:right w:val="none" w:sz="0" w:space="0" w:color="auto"/>
          </w:divBdr>
        </w:div>
        <w:div w:id="871698075">
          <w:marLeft w:val="640"/>
          <w:marRight w:val="0"/>
          <w:marTop w:val="0"/>
          <w:marBottom w:val="0"/>
          <w:divBdr>
            <w:top w:val="none" w:sz="0" w:space="0" w:color="auto"/>
            <w:left w:val="none" w:sz="0" w:space="0" w:color="auto"/>
            <w:bottom w:val="none" w:sz="0" w:space="0" w:color="auto"/>
            <w:right w:val="none" w:sz="0" w:space="0" w:color="auto"/>
          </w:divBdr>
        </w:div>
        <w:div w:id="1862625406">
          <w:marLeft w:val="640"/>
          <w:marRight w:val="0"/>
          <w:marTop w:val="0"/>
          <w:marBottom w:val="0"/>
          <w:divBdr>
            <w:top w:val="none" w:sz="0" w:space="0" w:color="auto"/>
            <w:left w:val="none" w:sz="0" w:space="0" w:color="auto"/>
            <w:bottom w:val="none" w:sz="0" w:space="0" w:color="auto"/>
            <w:right w:val="none" w:sz="0" w:space="0" w:color="auto"/>
          </w:divBdr>
        </w:div>
        <w:div w:id="1214272654">
          <w:marLeft w:val="640"/>
          <w:marRight w:val="0"/>
          <w:marTop w:val="0"/>
          <w:marBottom w:val="0"/>
          <w:divBdr>
            <w:top w:val="none" w:sz="0" w:space="0" w:color="auto"/>
            <w:left w:val="none" w:sz="0" w:space="0" w:color="auto"/>
            <w:bottom w:val="none" w:sz="0" w:space="0" w:color="auto"/>
            <w:right w:val="none" w:sz="0" w:space="0" w:color="auto"/>
          </w:divBdr>
        </w:div>
        <w:div w:id="2098548961">
          <w:marLeft w:val="640"/>
          <w:marRight w:val="0"/>
          <w:marTop w:val="0"/>
          <w:marBottom w:val="0"/>
          <w:divBdr>
            <w:top w:val="none" w:sz="0" w:space="0" w:color="auto"/>
            <w:left w:val="none" w:sz="0" w:space="0" w:color="auto"/>
            <w:bottom w:val="none" w:sz="0" w:space="0" w:color="auto"/>
            <w:right w:val="none" w:sz="0" w:space="0" w:color="auto"/>
          </w:divBdr>
        </w:div>
        <w:div w:id="1676766192">
          <w:marLeft w:val="640"/>
          <w:marRight w:val="0"/>
          <w:marTop w:val="0"/>
          <w:marBottom w:val="0"/>
          <w:divBdr>
            <w:top w:val="none" w:sz="0" w:space="0" w:color="auto"/>
            <w:left w:val="none" w:sz="0" w:space="0" w:color="auto"/>
            <w:bottom w:val="none" w:sz="0" w:space="0" w:color="auto"/>
            <w:right w:val="none" w:sz="0" w:space="0" w:color="auto"/>
          </w:divBdr>
        </w:div>
        <w:div w:id="2047562013">
          <w:marLeft w:val="640"/>
          <w:marRight w:val="0"/>
          <w:marTop w:val="0"/>
          <w:marBottom w:val="0"/>
          <w:divBdr>
            <w:top w:val="none" w:sz="0" w:space="0" w:color="auto"/>
            <w:left w:val="none" w:sz="0" w:space="0" w:color="auto"/>
            <w:bottom w:val="none" w:sz="0" w:space="0" w:color="auto"/>
            <w:right w:val="none" w:sz="0" w:space="0" w:color="auto"/>
          </w:divBdr>
        </w:div>
        <w:div w:id="1412703891">
          <w:marLeft w:val="640"/>
          <w:marRight w:val="0"/>
          <w:marTop w:val="0"/>
          <w:marBottom w:val="0"/>
          <w:divBdr>
            <w:top w:val="none" w:sz="0" w:space="0" w:color="auto"/>
            <w:left w:val="none" w:sz="0" w:space="0" w:color="auto"/>
            <w:bottom w:val="none" w:sz="0" w:space="0" w:color="auto"/>
            <w:right w:val="none" w:sz="0" w:space="0" w:color="auto"/>
          </w:divBdr>
        </w:div>
        <w:div w:id="1590655814">
          <w:marLeft w:val="640"/>
          <w:marRight w:val="0"/>
          <w:marTop w:val="0"/>
          <w:marBottom w:val="0"/>
          <w:divBdr>
            <w:top w:val="none" w:sz="0" w:space="0" w:color="auto"/>
            <w:left w:val="none" w:sz="0" w:space="0" w:color="auto"/>
            <w:bottom w:val="none" w:sz="0" w:space="0" w:color="auto"/>
            <w:right w:val="none" w:sz="0" w:space="0" w:color="auto"/>
          </w:divBdr>
        </w:div>
        <w:div w:id="1551922212">
          <w:marLeft w:val="640"/>
          <w:marRight w:val="0"/>
          <w:marTop w:val="0"/>
          <w:marBottom w:val="0"/>
          <w:divBdr>
            <w:top w:val="none" w:sz="0" w:space="0" w:color="auto"/>
            <w:left w:val="none" w:sz="0" w:space="0" w:color="auto"/>
            <w:bottom w:val="none" w:sz="0" w:space="0" w:color="auto"/>
            <w:right w:val="none" w:sz="0" w:space="0" w:color="auto"/>
          </w:divBdr>
        </w:div>
        <w:div w:id="584530070">
          <w:marLeft w:val="640"/>
          <w:marRight w:val="0"/>
          <w:marTop w:val="0"/>
          <w:marBottom w:val="0"/>
          <w:divBdr>
            <w:top w:val="none" w:sz="0" w:space="0" w:color="auto"/>
            <w:left w:val="none" w:sz="0" w:space="0" w:color="auto"/>
            <w:bottom w:val="none" w:sz="0" w:space="0" w:color="auto"/>
            <w:right w:val="none" w:sz="0" w:space="0" w:color="auto"/>
          </w:divBdr>
        </w:div>
        <w:div w:id="1549564818">
          <w:marLeft w:val="640"/>
          <w:marRight w:val="0"/>
          <w:marTop w:val="0"/>
          <w:marBottom w:val="0"/>
          <w:divBdr>
            <w:top w:val="none" w:sz="0" w:space="0" w:color="auto"/>
            <w:left w:val="none" w:sz="0" w:space="0" w:color="auto"/>
            <w:bottom w:val="none" w:sz="0" w:space="0" w:color="auto"/>
            <w:right w:val="none" w:sz="0" w:space="0" w:color="auto"/>
          </w:divBdr>
        </w:div>
        <w:div w:id="1335718984">
          <w:marLeft w:val="640"/>
          <w:marRight w:val="0"/>
          <w:marTop w:val="0"/>
          <w:marBottom w:val="0"/>
          <w:divBdr>
            <w:top w:val="none" w:sz="0" w:space="0" w:color="auto"/>
            <w:left w:val="none" w:sz="0" w:space="0" w:color="auto"/>
            <w:bottom w:val="none" w:sz="0" w:space="0" w:color="auto"/>
            <w:right w:val="none" w:sz="0" w:space="0" w:color="auto"/>
          </w:divBdr>
        </w:div>
        <w:div w:id="494340284">
          <w:marLeft w:val="640"/>
          <w:marRight w:val="0"/>
          <w:marTop w:val="0"/>
          <w:marBottom w:val="0"/>
          <w:divBdr>
            <w:top w:val="none" w:sz="0" w:space="0" w:color="auto"/>
            <w:left w:val="none" w:sz="0" w:space="0" w:color="auto"/>
            <w:bottom w:val="none" w:sz="0" w:space="0" w:color="auto"/>
            <w:right w:val="none" w:sz="0" w:space="0" w:color="auto"/>
          </w:divBdr>
        </w:div>
        <w:div w:id="814638752">
          <w:marLeft w:val="640"/>
          <w:marRight w:val="0"/>
          <w:marTop w:val="0"/>
          <w:marBottom w:val="0"/>
          <w:divBdr>
            <w:top w:val="none" w:sz="0" w:space="0" w:color="auto"/>
            <w:left w:val="none" w:sz="0" w:space="0" w:color="auto"/>
            <w:bottom w:val="none" w:sz="0" w:space="0" w:color="auto"/>
            <w:right w:val="none" w:sz="0" w:space="0" w:color="auto"/>
          </w:divBdr>
        </w:div>
        <w:div w:id="594049151">
          <w:marLeft w:val="640"/>
          <w:marRight w:val="0"/>
          <w:marTop w:val="0"/>
          <w:marBottom w:val="0"/>
          <w:divBdr>
            <w:top w:val="none" w:sz="0" w:space="0" w:color="auto"/>
            <w:left w:val="none" w:sz="0" w:space="0" w:color="auto"/>
            <w:bottom w:val="none" w:sz="0" w:space="0" w:color="auto"/>
            <w:right w:val="none" w:sz="0" w:space="0" w:color="auto"/>
          </w:divBdr>
        </w:div>
        <w:div w:id="1253203024">
          <w:marLeft w:val="640"/>
          <w:marRight w:val="0"/>
          <w:marTop w:val="0"/>
          <w:marBottom w:val="0"/>
          <w:divBdr>
            <w:top w:val="none" w:sz="0" w:space="0" w:color="auto"/>
            <w:left w:val="none" w:sz="0" w:space="0" w:color="auto"/>
            <w:bottom w:val="none" w:sz="0" w:space="0" w:color="auto"/>
            <w:right w:val="none" w:sz="0" w:space="0" w:color="auto"/>
          </w:divBdr>
        </w:div>
        <w:div w:id="236744828">
          <w:marLeft w:val="640"/>
          <w:marRight w:val="0"/>
          <w:marTop w:val="0"/>
          <w:marBottom w:val="0"/>
          <w:divBdr>
            <w:top w:val="none" w:sz="0" w:space="0" w:color="auto"/>
            <w:left w:val="none" w:sz="0" w:space="0" w:color="auto"/>
            <w:bottom w:val="none" w:sz="0" w:space="0" w:color="auto"/>
            <w:right w:val="none" w:sz="0" w:space="0" w:color="auto"/>
          </w:divBdr>
        </w:div>
        <w:div w:id="2139370458">
          <w:marLeft w:val="640"/>
          <w:marRight w:val="0"/>
          <w:marTop w:val="0"/>
          <w:marBottom w:val="0"/>
          <w:divBdr>
            <w:top w:val="none" w:sz="0" w:space="0" w:color="auto"/>
            <w:left w:val="none" w:sz="0" w:space="0" w:color="auto"/>
            <w:bottom w:val="none" w:sz="0" w:space="0" w:color="auto"/>
            <w:right w:val="none" w:sz="0" w:space="0" w:color="auto"/>
          </w:divBdr>
        </w:div>
        <w:div w:id="1131745157">
          <w:marLeft w:val="640"/>
          <w:marRight w:val="0"/>
          <w:marTop w:val="0"/>
          <w:marBottom w:val="0"/>
          <w:divBdr>
            <w:top w:val="none" w:sz="0" w:space="0" w:color="auto"/>
            <w:left w:val="none" w:sz="0" w:space="0" w:color="auto"/>
            <w:bottom w:val="none" w:sz="0" w:space="0" w:color="auto"/>
            <w:right w:val="none" w:sz="0" w:space="0" w:color="auto"/>
          </w:divBdr>
        </w:div>
        <w:div w:id="2095398190">
          <w:marLeft w:val="640"/>
          <w:marRight w:val="0"/>
          <w:marTop w:val="0"/>
          <w:marBottom w:val="0"/>
          <w:divBdr>
            <w:top w:val="none" w:sz="0" w:space="0" w:color="auto"/>
            <w:left w:val="none" w:sz="0" w:space="0" w:color="auto"/>
            <w:bottom w:val="none" w:sz="0" w:space="0" w:color="auto"/>
            <w:right w:val="none" w:sz="0" w:space="0" w:color="auto"/>
          </w:divBdr>
        </w:div>
        <w:div w:id="845947354">
          <w:marLeft w:val="640"/>
          <w:marRight w:val="0"/>
          <w:marTop w:val="0"/>
          <w:marBottom w:val="0"/>
          <w:divBdr>
            <w:top w:val="none" w:sz="0" w:space="0" w:color="auto"/>
            <w:left w:val="none" w:sz="0" w:space="0" w:color="auto"/>
            <w:bottom w:val="none" w:sz="0" w:space="0" w:color="auto"/>
            <w:right w:val="none" w:sz="0" w:space="0" w:color="auto"/>
          </w:divBdr>
        </w:div>
        <w:div w:id="919943667">
          <w:marLeft w:val="640"/>
          <w:marRight w:val="0"/>
          <w:marTop w:val="0"/>
          <w:marBottom w:val="0"/>
          <w:divBdr>
            <w:top w:val="none" w:sz="0" w:space="0" w:color="auto"/>
            <w:left w:val="none" w:sz="0" w:space="0" w:color="auto"/>
            <w:bottom w:val="none" w:sz="0" w:space="0" w:color="auto"/>
            <w:right w:val="none" w:sz="0" w:space="0" w:color="auto"/>
          </w:divBdr>
        </w:div>
      </w:divsChild>
    </w:div>
    <w:div w:id="1171530920">
      <w:bodyDiv w:val="1"/>
      <w:marLeft w:val="0"/>
      <w:marRight w:val="0"/>
      <w:marTop w:val="0"/>
      <w:marBottom w:val="0"/>
      <w:divBdr>
        <w:top w:val="none" w:sz="0" w:space="0" w:color="auto"/>
        <w:left w:val="none" w:sz="0" w:space="0" w:color="auto"/>
        <w:bottom w:val="none" w:sz="0" w:space="0" w:color="auto"/>
        <w:right w:val="none" w:sz="0" w:space="0" w:color="auto"/>
      </w:divBdr>
    </w:div>
    <w:div w:id="1181897203">
      <w:bodyDiv w:val="1"/>
      <w:marLeft w:val="0"/>
      <w:marRight w:val="0"/>
      <w:marTop w:val="0"/>
      <w:marBottom w:val="0"/>
      <w:divBdr>
        <w:top w:val="none" w:sz="0" w:space="0" w:color="auto"/>
        <w:left w:val="none" w:sz="0" w:space="0" w:color="auto"/>
        <w:bottom w:val="none" w:sz="0" w:space="0" w:color="auto"/>
        <w:right w:val="none" w:sz="0" w:space="0" w:color="auto"/>
      </w:divBdr>
      <w:divsChild>
        <w:div w:id="407117571">
          <w:marLeft w:val="640"/>
          <w:marRight w:val="0"/>
          <w:marTop w:val="0"/>
          <w:marBottom w:val="0"/>
          <w:divBdr>
            <w:top w:val="none" w:sz="0" w:space="0" w:color="auto"/>
            <w:left w:val="none" w:sz="0" w:space="0" w:color="auto"/>
            <w:bottom w:val="none" w:sz="0" w:space="0" w:color="auto"/>
            <w:right w:val="none" w:sz="0" w:space="0" w:color="auto"/>
          </w:divBdr>
        </w:div>
        <w:div w:id="1194264274">
          <w:marLeft w:val="640"/>
          <w:marRight w:val="0"/>
          <w:marTop w:val="0"/>
          <w:marBottom w:val="0"/>
          <w:divBdr>
            <w:top w:val="none" w:sz="0" w:space="0" w:color="auto"/>
            <w:left w:val="none" w:sz="0" w:space="0" w:color="auto"/>
            <w:bottom w:val="none" w:sz="0" w:space="0" w:color="auto"/>
            <w:right w:val="none" w:sz="0" w:space="0" w:color="auto"/>
          </w:divBdr>
        </w:div>
        <w:div w:id="661083684">
          <w:marLeft w:val="640"/>
          <w:marRight w:val="0"/>
          <w:marTop w:val="0"/>
          <w:marBottom w:val="0"/>
          <w:divBdr>
            <w:top w:val="none" w:sz="0" w:space="0" w:color="auto"/>
            <w:left w:val="none" w:sz="0" w:space="0" w:color="auto"/>
            <w:bottom w:val="none" w:sz="0" w:space="0" w:color="auto"/>
            <w:right w:val="none" w:sz="0" w:space="0" w:color="auto"/>
          </w:divBdr>
        </w:div>
        <w:div w:id="1445690569">
          <w:marLeft w:val="640"/>
          <w:marRight w:val="0"/>
          <w:marTop w:val="0"/>
          <w:marBottom w:val="0"/>
          <w:divBdr>
            <w:top w:val="none" w:sz="0" w:space="0" w:color="auto"/>
            <w:left w:val="none" w:sz="0" w:space="0" w:color="auto"/>
            <w:bottom w:val="none" w:sz="0" w:space="0" w:color="auto"/>
            <w:right w:val="none" w:sz="0" w:space="0" w:color="auto"/>
          </w:divBdr>
        </w:div>
        <w:div w:id="1309436883">
          <w:marLeft w:val="640"/>
          <w:marRight w:val="0"/>
          <w:marTop w:val="0"/>
          <w:marBottom w:val="0"/>
          <w:divBdr>
            <w:top w:val="none" w:sz="0" w:space="0" w:color="auto"/>
            <w:left w:val="none" w:sz="0" w:space="0" w:color="auto"/>
            <w:bottom w:val="none" w:sz="0" w:space="0" w:color="auto"/>
            <w:right w:val="none" w:sz="0" w:space="0" w:color="auto"/>
          </w:divBdr>
        </w:div>
        <w:div w:id="682903366">
          <w:marLeft w:val="640"/>
          <w:marRight w:val="0"/>
          <w:marTop w:val="0"/>
          <w:marBottom w:val="0"/>
          <w:divBdr>
            <w:top w:val="none" w:sz="0" w:space="0" w:color="auto"/>
            <w:left w:val="none" w:sz="0" w:space="0" w:color="auto"/>
            <w:bottom w:val="none" w:sz="0" w:space="0" w:color="auto"/>
            <w:right w:val="none" w:sz="0" w:space="0" w:color="auto"/>
          </w:divBdr>
        </w:div>
        <w:div w:id="1755584238">
          <w:marLeft w:val="640"/>
          <w:marRight w:val="0"/>
          <w:marTop w:val="0"/>
          <w:marBottom w:val="0"/>
          <w:divBdr>
            <w:top w:val="none" w:sz="0" w:space="0" w:color="auto"/>
            <w:left w:val="none" w:sz="0" w:space="0" w:color="auto"/>
            <w:bottom w:val="none" w:sz="0" w:space="0" w:color="auto"/>
            <w:right w:val="none" w:sz="0" w:space="0" w:color="auto"/>
          </w:divBdr>
        </w:div>
        <w:div w:id="968433224">
          <w:marLeft w:val="640"/>
          <w:marRight w:val="0"/>
          <w:marTop w:val="0"/>
          <w:marBottom w:val="0"/>
          <w:divBdr>
            <w:top w:val="none" w:sz="0" w:space="0" w:color="auto"/>
            <w:left w:val="none" w:sz="0" w:space="0" w:color="auto"/>
            <w:bottom w:val="none" w:sz="0" w:space="0" w:color="auto"/>
            <w:right w:val="none" w:sz="0" w:space="0" w:color="auto"/>
          </w:divBdr>
        </w:div>
        <w:div w:id="866794752">
          <w:marLeft w:val="640"/>
          <w:marRight w:val="0"/>
          <w:marTop w:val="0"/>
          <w:marBottom w:val="0"/>
          <w:divBdr>
            <w:top w:val="none" w:sz="0" w:space="0" w:color="auto"/>
            <w:left w:val="none" w:sz="0" w:space="0" w:color="auto"/>
            <w:bottom w:val="none" w:sz="0" w:space="0" w:color="auto"/>
            <w:right w:val="none" w:sz="0" w:space="0" w:color="auto"/>
          </w:divBdr>
        </w:div>
        <w:div w:id="1024751821">
          <w:marLeft w:val="640"/>
          <w:marRight w:val="0"/>
          <w:marTop w:val="0"/>
          <w:marBottom w:val="0"/>
          <w:divBdr>
            <w:top w:val="none" w:sz="0" w:space="0" w:color="auto"/>
            <w:left w:val="none" w:sz="0" w:space="0" w:color="auto"/>
            <w:bottom w:val="none" w:sz="0" w:space="0" w:color="auto"/>
            <w:right w:val="none" w:sz="0" w:space="0" w:color="auto"/>
          </w:divBdr>
        </w:div>
        <w:div w:id="1793089749">
          <w:marLeft w:val="640"/>
          <w:marRight w:val="0"/>
          <w:marTop w:val="0"/>
          <w:marBottom w:val="0"/>
          <w:divBdr>
            <w:top w:val="none" w:sz="0" w:space="0" w:color="auto"/>
            <w:left w:val="none" w:sz="0" w:space="0" w:color="auto"/>
            <w:bottom w:val="none" w:sz="0" w:space="0" w:color="auto"/>
            <w:right w:val="none" w:sz="0" w:space="0" w:color="auto"/>
          </w:divBdr>
        </w:div>
        <w:div w:id="2031099244">
          <w:marLeft w:val="640"/>
          <w:marRight w:val="0"/>
          <w:marTop w:val="0"/>
          <w:marBottom w:val="0"/>
          <w:divBdr>
            <w:top w:val="none" w:sz="0" w:space="0" w:color="auto"/>
            <w:left w:val="none" w:sz="0" w:space="0" w:color="auto"/>
            <w:bottom w:val="none" w:sz="0" w:space="0" w:color="auto"/>
            <w:right w:val="none" w:sz="0" w:space="0" w:color="auto"/>
          </w:divBdr>
        </w:div>
        <w:div w:id="1291326879">
          <w:marLeft w:val="640"/>
          <w:marRight w:val="0"/>
          <w:marTop w:val="0"/>
          <w:marBottom w:val="0"/>
          <w:divBdr>
            <w:top w:val="none" w:sz="0" w:space="0" w:color="auto"/>
            <w:left w:val="none" w:sz="0" w:space="0" w:color="auto"/>
            <w:bottom w:val="none" w:sz="0" w:space="0" w:color="auto"/>
            <w:right w:val="none" w:sz="0" w:space="0" w:color="auto"/>
          </w:divBdr>
        </w:div>
        <w:div w:id="63452316">
          <w:marLeft w:val="640"/>
          <w:marRight w:val="0"/>
          <w:marTop w:val="0"/>
          <w:marBottom w:val="0"/>
          <w:divBdr>
            <w:top w:val="none" w:sz="0" w:space="0" w:color="auto"/>
            <w:left w:val="none" w:sz="0" w:space="0" w:color="auto"/>
            <w:bottom w:val="none" w:sz="0" w:space="0" w:color="auto"/>
            <w:right w:val="none" w:sz="0" w:space="0" w:color="auto"/>
          </w:divBdr>
        </w:div>
        <w:div w:id="1273168945">
          <w:marLeft w:val="640"/>
          <w:marRight w:val="0"/>
          <w:marTop w:val="0"/>
          <w:marBottom w:val="0"/>
          <w:divBdr>
            <w:top w:val="none" w:sz="0" w:space="0" w:color="auto"/>
            <w:left w:val="none" w:sz="0" w:space="0" w:color="auto"/>
            <w:bottom w:val="none" w:sz="0" w:space="0" w:color="auto"/>
            <w:right w:val="none" w:sz="0" w:space="0" w:color="auto"/>
          </w:divBdr>
        </w:div>
        <w:div w:id="1417938726">
          <w:marLeft w:val="640"/>
          <w:marRight w:val="0"/>
          <w:marTop w:val="0"/>
          <w:marBottom w:val="0"/>
          <w:divBdr>
            <w:top w:val="none" w:sz="0" w:space="0" w:color="auto"/>
            <w:left w:val="none" w:sz="0" w:space="0" w:color="auto"/>
            <w:bottom w:val="none" w:sz="0" w:space="0" w:color="auto"/>
            <w:right w:val="none" w:sz="0" w:space="0" w:color="auto"/>
          </w:divBdr>
        </w:div>
        <w:div w:id="1305741312">
          <w:marLeft w:val="640"/>
          <w:marRight w:val="0"/>
          <w:marTop w:val="0"/>
          <w:marBottom w:val="0"/>
          <w:divBdr>
            <w:top w:val="none" w:sz="0" w:space="0" w:color="auto"/>
            <w:left w:val="none" w:sz="0" w:space="0" w:color="auto"/>
            <w:bottom w:val="none" w:sz="0" w:space="0" w:color="auto"/>
            <w:right w:val="none" w:sz="0" w:space="0" w:color="auto"/>
          </w:divBdr>
        </w:div>
        <w:div w:id="1961302033">
          <w:marLeft w:val="640"/>
          <w:marRight w:val="0"/>
          <w:marTop w:val="0"/>
          <w:marBottom w:val="0"/>
          <w:divBdr>
            <w:top w:val="none" w:sz="0" w:space="0" w:color="auto"/>
            <w:left w:val="none" w:sz="0" w:space="0" w:color="auto"/>
            <w:bottom w:val="none" w:sz="0" w:space="0" w:color="auto"/>
            <w:right w:val="none" w:sz="0" w:space="0" w:color="auto"/>
          </w:divBdr>
        </w:div>
        <w:div w:id="1442532325">
          <w:marLeft w:val="640"/>
          <w:marRight w:val="0"/>
          <w:marTop w:val="0"/>
          <w:marBottom w:val="0"/>
          <w:divBdr>
            <w:top w:val="none" w:sz="0" w:space="0" w:color="auto"/>
            <w:left w:val="none" w:sz="0" w:space="0" w:color="auto"/>
            <w:bottom w:val="none" w:sz="0" w:space="0" w:color="auto"/>
            <w:right w:val="none" w:sz="0" w:space="0" w:color="auto"/>
          </w:divBdr>
        </w:div>
        <w:div w:id="573904067">
          <w:marLeft w:val="640"/>
          <w:marRight w:val="0"/>
          <w:marTop w:val="0"/>
          <w:marBottom w:val="0"/>
          <w:divBdr>
            <w:top w:val="none" w:sz="0" w:space="0" w:color="auto"/>
            <w:left w:val="none" w:sz="0" w:space="0" w:color="auto"/>
            <w:bottom w:val="none" w:sz="0" w:space="0" w:color="auto"/>
            <w:right w:val="none" w:sz="0" w:space="0" w:color="auto"/>
          </w:divBdr>
        </w:div>
        <w:div w:id="78988642">
          <w:marLeft w:val="640"/>
          <w:marRight w:val="0"/>
          <w:marTop w:val="0"/>
          <w:marBottom w:val="0"/>
          <w:divBdr>
            <w:top w:val="none" w:sz="0" w:space="0" w:color="auto"/>
            <w:left w:val="none" w:sz="0" w:space="0" w:color="auto"/>
            <w:bottom w:val="none" w:sz="0" w:space="0" w:color="auto"/>
            <w:right w:val="none" w:sz="0" w:space="0" w:color="auto"/>
          </w:divBdr>
        </w:div>
        <w:div w:id="1833644587">
          <w:marLeft w:val="640"/>
          <w:marRight w:val="0"/>
          <w:marTop w:val="0"/>
          <w:marBottom w:val="0"/>
          <w:divBdr>
            <w:top w:val="none" w:sz="0" w:space="0" w:color="auto"/>
            <w:left w:val="none" w:sz="0" w:space="0" w:color="auto"/>
            <w:bottom w:val="none" w:sz="0" w:space="0" w:color="auto"/>
            <w:right w:val="none" w:sz="0" w:space="0" w:color="auto"/>
          </w:divBdr>
        </w:div>
        <w:div w:id="1142043320">
          <w:marLeft w:val="640"/>
          <w:marRight w:val="0"/>
          <w:marTop w:val="0"/>
          <w:marBottom w:val="0"/>
          <w:divBdr>
            <w:top w:val="none" w:sz="0" w:space="0" w:color="auto"/>
            <w:left w:val="none" w:sz="0" w:space="0" w:color="auto"/>
            <w:bottom w:val="none" w:sz="0" w:space="0" w:color="auto"/>
            <w:right w:val="none" w:sz="0" w:space="0" w:color="auto"/>
          </w:divBdr>
        </w:div>
        <w:div w:id="1628120003">
          <w:marLeft w:val="640"/>
          <w:marRight w:val="0"/>
          <w:marTop w:val="0"/>
          <w:marBottom w:val="0"/>
          <w:divBdr>
            <w:top w:val="none" w:sz="0" w:space="0" w:color="auto"/>
            <w:left w:val="none" w:sz="0" w:space="0" w:color="auto"/>
            <w:bottom w:val="none" w:sz="0" w:space="0" w:color="auto"/>
            <w:right w:val="none" w:sz="0" w:space="0" w:color="auto"/>
          </w:divBdr>
        </w:div>
        <w:div w:id="1934361005">
          <w:marLeft w:val="640"/>
          <w:marRight w:val="0"/>
          <w:marTop w:val="0"/>
          <w:marBottom w:val="0"/>
          <w:divBdr>
            <w:top w:val="none" w:sz="0" w:space="0" w:color="auto"/>
            <w:left w:val="none" w:sz="0" w:space="0" w:color="auto"/>
            <w:bottom w:val="none" w:sz="0" w:space="0" w:color="auto"/>
            <w:right w:val="none" w:sz="0" w:space="0" w:color="auto"/>
          </w:divBdr>
        </w:div>
        <w:div w:id="1322352139">
          <w:marLeft w:val="640"/>
          <w:marRight w:val="0"/>
          <w:marTop w:val="0"/>
          <w:marBottom w:val="0"/>
          <w:divBdr>
            <w:top w:val="none" w:sz="0" w:space="0" w:color="auto"/>
            <w:left w:val="none" w:sz="0" w:space="0" w:color="auto"/>
            <w:bottom w:val="none" w:sz="0" w:space="0" w:color="auto"/>
            <w:right w:val="none" w:sz="0" w:space="0" w:color="auto"/>
          </w:divBdr>
        </w:div>
        <w:div w:id="122697690">
          <w:marLeft w:val="640"/>
          <w:marRight w:val="0"/>
          <w:marTop w:val="0"/>
          <w:marBottom w:val="0"/>
          <w:divBdr>
            <w:top w:val="none" w:sz="0" w:space="0" w:color="auto"/>
            <w:left w:val="none" w:sz="0" w:space="0" w:color="auto"/>
            <w:bottom w:val="none" w:sz="0" w:space="0" w:color="auto"/>
            <w:right w:val="none" w:sz="0" w:space="0" w:color="auto"/>
          </w:divBdr>
        </w:div>
        <w:div w:id="893278750">
          <w:marLeft w:val="640"/>
          <w:marRight w:val="0"/>
          <w:marTop w:val="0"/>
          <w:marBottom w:val="0"/>
          <w:divBdr>
            <w:top w:val="none" w:sz="0" w:space="0" w:color="auto"/>
            <w:left w:val="none" w:sz="0" w:space="0" w:color="auto"/>
            <w:bottom w:val="none" w:sz="0" w:space="0" w:color="auto"/>
            <w:right w:val="none" w:sz="0" w:space="0" w:color="auto"/>
          </w:divBdr>
        </w:div>
        <w:div w:id="1533155671">
          <w:marLeft w:val="640"/>
          <w:marRight w:val="0"/>
          <w:marTop w:val="0"/>
          <w:marBottom w:val="0"/>
          <w:divBdr>
            <w:top w:val="none" w:sz="0" w:space="0" w:color="auto"/>
            <w:left w:val="none" w:sz="0" w:space="0" w:color="auto"/>
            <w:bottom w:val="none" w:sz="0" w:space="0" w:color="auto"/>
            <w:right w:val="none" w:sz="0" w:space="0" w:color="auto"/>
          </w:divBdr>
        </w:div>
        <w:div w:id="462189042">
          <w:marLeft w:val="640"/>
          <w:marRight w:val="0"/>
          <w:marTop w:val="0"/>
          <w:marBottom w:val="0"/>
          <w:divBdr>
            <w:top w:val="none" w:sz="0" w:space="0" w:color="auto"/>
            <w:left w:val="none" w:sz="0" w:space="0" w:color="auto"/>
            <w:bottom w:val="none" w:sz="0" w:space="0" w:color="auto"/>
            <w:right w:val="none" w:sz="0" w:space="0" w:color="auto"/>
          </w:divBdr>
        </w:div>
        <w:div w:id="64959910">
          <w:marLeft w:val="640"/>
          <w:marRight w:val="0"/>
          <w:marTop w:val="0"/>
          <w:marBottom w:val="0"/>
          <w:divBdr>
            <w:top w:val="none" w:sz="0" w:space="0" w:color="auto"/>
            <w:left w:val="none" w:sz="0" w:space="0" w:color="auto"/>
            <w:bottom w:val="none" w:sz="0" w:space="0" w:color="auto"/>
            <w:right w:val="none" w:sz="0" w:space="0" w:color="auto"/>
          </w:divBdr>
        </w:div>
        <w:div w:id="877667528">
          <w:marLeft w:val="640"/>
          <w:marRight w:val="0"/>
          <w:marTop w:val="0"/>
          <w:marBottom w:val="0"/>
          <w:divBdr>
            <w:top w:val="none" w:sz="0" w:space="0" w:color="auto"/>
            <w:left w:val="none" w:sz="0" w:space="0" w:color="auto"/>
            <w:bottom w:val="none" w:sz="0" w:space="0" w:color="auto"/>
            <w:right w:val="none" w:sz="0" w:space="0" w:color="auto"/>
          </w:divBdr>
        </w:div>
        <w:div w:id="494034774">
          <w:marLeft w:val="640"/>
          <w:marRight w:val="0"/>
          <w:marTop w:val="0"/>
          <w:marBottom w:val="0"/>
          <w:divBdr>
            <w:top w:val="none" w:sz="0" w:space="0" w:color="auto"/>
            <w:left w:val="none" w:sz="0" w:space="0" w:color="auto"/>
            <w:bottom w:val="none" w:sz="0" w:space="0" w:color="auto"/>
            <w:right w:val="none" w:sz="0" w:space="0" w:color="auto"/>
          </w:divBdr>
        </w:div>
        <w:div w:id="4788403">
          <w:marLeft w:val="640"/>
          <w:marRight w:val="0"/>
          <w:marTop w:val="0"/>
          <w:marBottom w:val="0"/>
          <w:divBdr>
            <w:top w:val="none" w:sz="0" w:space="0" w:color="auto"/>
            <w:left w:val="none" w:sz="0" w:space="0" w:color="auto"/>
            <w:bottom w:val="none" w:sz="0" w:space="0" w:color="auto"/>
            <w:right w:val="none" w:sz="0" w:space="0" w:color="auto"/>
          </w:divBdr>
        </w:div>
        <w:div w:id="599987962">
          <w:marLeft w:val="640"/>
          <w:marRight w:val="0"/>
          <w:marTop w:val="0"/>
          <w:marBottom w:val="0"/>
          <w:divBdr>
            <w:top w:val="none" w:sz="0" w:space="0" w:color="auto"/>
            <w:left w:val="none" w:sz="0" w:space="0" w:color="auto"/>
            <w:bottom w:val="none" w:sz="0" w:space="0" w:color="auto"/>
            <w:right w:val="none" w:sz="0" w:space="0" w:color="auto"/>
          </w:divBdr>
        </w:div>
        <w:div w:id="2111663638">
          <w:marLeft w:val="640"/>
          <w:marRight w:val="0"/>
          <w:marTop w:val="0"/>
          <w:marBottom w:val="0"/>
          <w:divBdr>
            <w:top w:val="none" w:sz="0" w:space="0" w:color="auto"/>
            <w:left w:val="none" w:sz="0" w:space="0" w:color="auto"/>
            <w:bottom w:val="none" w:sz="0" w:space="0" w:color="auto"/>
            <w:right w:val="none" w:sz="0" w:space="0" w:color="auto"/>
          </w:divBdr>
        </w:div>
        <w:div w:id="1588735360">
          <w:marLeft w:val="640"/>
          <w:marRight w:val="0"/>
          <w:marTop w:val="0"/>
          <w:marBottom w:val="0"/>
          <w:divBdr>
            <w:top w:val="none" w:sz="0" w:space="0" w:color="auto"/>
            <w:left w:val="none" w:sz="0" w:space="0" w:color="auto"/>
            <w:bottom w:val="none" w:sz="0" w:space="0" w:color="auto"/>
            <w:right w:val="none" w:sz="0" w:space="0" w:color="auto"/>
          </w:divBdr>
        </w:div>
        <w:div w:id="674497595">
          <w:marLeft w:val="640"/>
          <w:marRight w:val="0"/>
          <w:marTop w:val="0"/>
          <w:marBottom w:val="0"/>
          <w:divBdr>
            <w:top w:val="none" w:sz="0" w:space="0" w:color="auto"/>
            <w:left w:val="none" w:sz="0" w:space="0" w:color="auto"/>
            <w:bottom w:val="none" w:sz="0" w:space="0" w:color="auto"/>
            <w:right w:val="none" w:sz="0" w:space="0" w:color="auto"/>
          </w:divBdr>
        </w:div>
        <w:div w:id="1539049696">
          <w:marLeft w:val="640"/>
          <w:marRight w:val="0"/>
          <w:marTop w:val="0"/>
          <w:marBottom w:val="0"/>
          <w:divBdr>
            <w:top w:val="none" w:sz="0" w:space="0" w:color="auto"/>
            <w:left w:val="none" w:sz="0" w:space="0" w:color="auto"/>
            <w:bottom w:val="none" w:sz="0" w:space="0" w:color="auto"/>
            <w:right w:val="none" w:sz="0" w:space="0" w:color="auto"/>
          </w:divBdr>
        </w:div>
        <w:div w:id="119812095">
          <w:marLeft w:val="640"/>
          <w:marRight w:val="0"/>
          <w:marTop w:val="0"/>
          <w:marBottom w:val="0"/>
          <w:divBdr>
            <w:top w:val="none" w:sz="0" w:space="0" w:color="auto"/>
            <w:left w:val="none" w:sz="0" w:space="0" w:color="auto"/>
            <w:bottom w:val="none" w:sz="0" w:space="0" w:color="auto"/>
            <w:right w:val="none" w:sz="0" w:space="0" w:color="auto"/>
          </w:divBdr>
        </w:div>
        <w:div w:id="1810977969">
          <w:marLeft w:val="640"/>
          <w:marRight w:val="0"/>
          <w:marTop w:val="0"/>
          <w:marBottom w:val="0"/>
          <w:divBdr>
            <w:top w:val="none" w:sz="0" w:space="0" w:color="auto"/>
            <w:left w:val="none" w:sz="0" w:space="0" w:color="auto"/>
            <w:bottom w:val="none" w:sz="0" w:space="0" w:color="auto"/>
            <w:right w:val="none" w:sz="0" w:space="0" w:color="auto"/>
          </w:divBdr>
        </w:div>
        <w:div w:id="990908002">
          <w:marLeft w:val="640"/>
          <w:marRight w:val="0"/>
          <w:marTop w:val="0"/>
          <w:marBottom w:val="0"/>
          <w:divBdr>
            <w:top w:val="none" w:sz="0" w:space="0" w:color="auto"/>
            <w:left w:val="none" w:sz="0" w:space="0" w:color="auto"/>
            <w:bottom w:val="none" w:sz="0" w:space="0" w:color="auto"/>
            <w:right w:val="none" w:sz="0" w:space="0" w:color="auto"/>
          </w:divBdr>
        </w:div>
        <w:div w:id="1401291255">
          <w:marLeft w:val="640"/>
          <w:marRight w:val="0"/>
          <w:marTop w:val="0"/>
          <w:marBottom w:val="0"/>
          <w:divBdr>
            <w:top w:val="none" w:sz="0" w:space="0" w:color="auto"/>
            <w:left w:val="none" w:sz="0" w:space="0" w:color="auto"/>
            <w:bottom w:val="none" w:sz="0" w:space="0" w:color="auto"/>
            <w:right w:val="none" w:sz="0" w:space="0" w:color="auto"/>
          </w:divBdr>
        </w:div>
        <w:div w:id="2068912953">
          <w:marLeft w:val="640"/>
          <w:marRight w:val="0"/>
          <w:marTop w:val="0"/>
          <w:marBottom w:val="0"/>
          <w:divBdr>
            <w:top w:val="none" w:sz="0" w:space="0" w:color="auto"/>
            <w:left w:val="none" w:sz="0" w:space="0" w:color="auto"/>
            <w:bottom w:val="none" w:sz="0" w:space="0" w:color="auto"/>
            <w:right w:val="none" w:sz="0" w:space="0" w:color="auto"/>
          </w:divBdr>
        </w:div>
        <w:div w:id="1925453210">
          <w:marLeft w:val="640"/>
          <w:marRight w:val="0"/>
          <w:marTop w:val="0"/>
          <w:marBottom w:val="0"/>
          <w:divBdr>
            <w:top w:val="none" w:sz="0" w:space="0" w:color="auto"/>
            <w:left w:val="none" w:sz="0" w:space="0" w:color="auto"/>
            <w:bottom w:val="none" w:sz="0" w:space="0" w:color="auto"/>
            <w:right w:val="none" w:sz="0" w:space="0" w:color="auto"/>
          </w:divBdr>
        </w:div>
        <w:div w:id="1277908279">
          <w:marLeft w:val="640"/>
          <w:marRight w:val="0"/>
          <w:marTop w:val="0"/>
          <w:marBottom w:val="0"/>
          <w:divBdr>
            <w:top w:val="none" w:sz="0" w:space="0" w:color="auto"/>
            <w:left w:val="none" w:sz="0" w:space="0" w:color="auto"/>
            <w:bottom w:val="none" w:sz="0" w:space="0" w:color="auto"/>
            <w:right w:val="none" w:sz="0" w:space="0" w:color="auto"/>
          </w:divBdr>
        </w:div>
        <w:div w:id="1027826733">
          <w:marLeft w:val="640"/>
          <w:marRight w:val="0"/>
          <w:marTop w:val="0"/>
          <w:marBottom w:val="0"/>
          <w:divBdr>
            <w:top w:val="none" w:sz="0" w:space="0" w:color="auto"/>
            <w:left w:val="none" w:sz="0" w:space="0" w:color="auto"/>
            <w:bottom w:val="none" w:sz="0" w:space="0" w:color="auto"/>
            <w:right w:val="none" w:sz="0" w:space="0" w:color="auto"/>
          </w:divBdr>
        </w:div>
        <w:div w:id="751706513">
          <w:marLeft w:val="640"/>
          <w:marRight w:val="0"/>
          <w:marTop w:val="0"/>
          <w:marBottom w:val="0"/>
          <w:divBdr>
            <w:top w:val="none" w:sz="0" w:space="0" w:color="auto"/>
            <w:left w:val="none" w:sz="0" w:space="0" w:color="auto"/>
            <w:bottom w:val="none" w:sz="0" w:space="0" w:color="auto"/>
            <w:right w:val="none" w:sz="0" w:space="0" w:color="auto"/>
          </w:divBdr>
        </w:div>
        <w:div w:id="1065487702">
          <w:marLeft w:val="640"/>
          <w:marRight w:val="0"/>
          <w:marTop w:val="0"/>
          <w:marBottom w:val="0"/>
          <w:divBdr>
            <w:top w:val="none" w:sz="0" w:space="0" w:color="auto"/>
            <w:left w:val="none" w:sz="0" w:space="0" w:color="auto"/>
            <w:bottom w:val="none" w:sz="0" w:space="0" w:color="auto"/>
            <w:right w:val="none" w:sz="0" w:space="0" w:color="auto"/>
          </w:divBdr>
        </w:div>
        <w:div w:id="835878153">
          <w:marLeft w:val="640"/>
          <w:marRight w:val="0"/>
          <w:marTop w:val="0"/>
          <w:marBottom w:val="0"/>
          <w:divBdr>
            <w:top w:val="none" w:sz="0" w:space="0" w:color="auto"/>
            <w:left w:val="none" w:sz="0" w:space="0" w:color="auto"/>
            <w:bottom w:val="none" w:sz="0" w:space="0" w:color="auto"/>
            <w:right w:val="none" w:sz="0" w:space="0" w:color="auto"/>
          </w:divBdr>
        </w:div>
        <w:div w:id="1849560579">
          <w:marLeft w:val="640"/>
          <w:marRight w:val="0"/>
          <w:marTop w:val="0"/>
          <w:marBottom w:val="0"/>
          <w:divBdr>
            <w:top w:val="none" w:sz="0" w:space="0" w:color="auto"/>
            <w:left w:val="none" w:sz="0" w:space="0" w:color="auto"/>
            <w:bottom w:val="none" w:sz="0" w:space="0" w:color="auto"/>
            <w:right w:val="none" w:sz="0" w:space="0" w:color="auto"/>
          </w:divBdr>
        </w:div>
        <w:div w:id="659234046">
          <w:marLeft w:val="640"/>
          <w:marRight w:val="0"/>
          <w:marTop w:val="0"/>
          <w:marBottom w:val="0"/>
          <w:divBdr>
            <w:top w:val="none" w:sz="0" w:space="0" w:color="auto"/>
            <w:left w:val="none" w:sz="0" w:space="0" w:color="auto"/>
            <w:bottom w:val="none" w:sz="0" w:space="0" w:color="auto"/>
            <w:right w:val="none" w:sz="0" w:space="0" w:color="auto"/>
          </w:divBdr>
        </w:div>
        <w:div w:id="1032993322">
          <w:marLeft w:val="640"/>
          <w:marRight w:val="0"/>
          <w:marTop w:val="0"/>
          <w:marBottom w:val="0"/>
          <w:divBdr>
            <w:top w:val="none" w:sz="0" w:space="0" w:color="auto"/>
            <w:left w:val="none" w:sz="0" w:space="0" w:color="auto"/>
            <w:bottom w:val="none" w:sz="0" w:space="0" w:color="auto"/>
            <w:right w:val="none" w:sz="0" w:space="0" w:color="auto"/>
          </w:divBdr>
        </w:div>
        <w:div w:id="1794327674">
          <w:marLeft w:val="640"/>
          <w:marRight w:val="0"/>
          <w:marTop w:val="0"/>
          <w:marBottom w:val="0"/>
          <w:divBdr>
            <w:top w:val="none" w:sz="0" w:space="0" w:color="auto"/>
            <w:left w:val="none" w:sz="0" w:space="0" w:color="auto"/>
            <w:bottom w:val="none" w:sz="0" w:space="0" w:color="auto"/>
            <w:right w:val="none" w:sz="0" w:space="0" w:color="auto"/>
          </w:divBdr>
        </w:div>
        <w:div w:id="402219651">
          <w:marLeft w:val="640"/>
          <w:marRight w:val="0"/>
          <w:marTop w:val="0"/>
          <w:marBottom w:val="0"/>
          <w:divBdr>
            <w:top w:val="none" w:sz="0" w:space="0" w:color="auto"/>
            <w:left w:val="none" w:sz="0" w:space="0" w:color="auto"/>
            <w:bottom w:val="none" w:sz="0" w:space="0" w:color="auto"/>
            <w:right w:val="none" w:sz="0" w:space="0" w:color="auto"/>
          </w:divBdr>
        </w:div>
        <w:div w:id="1807240034">
          <w:marLeft w:val="640"/>
          <w:marRight w:val="0"/>
          <w:marTop w:val="0"/>
          <w:marBottom w:val="0"/>
          <w:divBdr>
            <w:top w:val="none" w:sz="0" w:space="0" w:color="auto"/>
            <w:left w:val="none" w:sz="0" w:space="0" w:color="auto"/>
            <w:bottom w:val="none" w:sz="0" w:space="0" w:color="auto"/>
            <w:right w:val="none" w:sz="0" w:space="0" w:color="auto"/>
          </w:divBdr>
        </w:div>
        <w:div w:id="213926065">
          <w:marLeft w:val="640"/>
          <w:marRight w:val="0"/>
          <w:marTop w:val="0"/>
          <w:marBottom w:val="0"/>
          <w:divBdr>
            <w:top w:val="none" w:sz="0" w:space="0" w:color="auto"/>
            <w:left w:val="none" w:sz="0" w:space="0" w:color="auto"/>
            <w:bottom w:val="none" w:sz="0" w:space="0" w:color="auto"/>
            <w:right w:val="none" w:sz="0" w:space="0" w:color="auto"/>
          </w:divBdr>
        </w:div>
        <w:div w:id="1777094183">
          <w:marLeft w:val="640"/>
          <w:marRight w:val="0"/>
          <w:marTop w:val="0"/>
          <w:marBottom w:val="0"/>
          <w:divBdr>
            <w:top w:val="none" w:sz="0" w:space="0" w:color="auto"/>
            <w:left w:val="none" w:sz="0" w:space="0" w:color="auto"/>
            <w:bottom w:val="none" w:sz="0" w:space="0" w:color="auto"/>
            <w:right w:val="none" w:sz="0" w:space="0" w:color="auto"/>
          </w:divBdr>
        </w:div>
        <w:div w:id="1133795356">
          <w:marLeft w:val="640"/>
          <w:marRight w:val="0"/>
          <w:marTop w:val="0"/>
          <w:marBottom w:val="0"/>
          <w:divBdr>
            <w:top w:val="none" w:sz="0" w:space="0" w:color="auto"/>
            <w:left w:val="none" w:sz="0" w:space="0" w:color="auto"/>
            <w:bottom w:val="none" w:sz="0" w:space="0" w:color="auto"/>
            <w:right w:val="none" w:sz="0" w:space="0" w:color="auto"/>
          </w:divBdr>
        </w:div>
        <w:div w:id="1429930364">
          <w:marLeft w:val="640"/>
          <w:marRight w:val="0"/>
          <w:marTop w:val="0"/>
          <w:marBottom w:val="0"/>
          <w:divBdr>
            <w:top w:val="none" w:sz="0" w:space="0" w:color="auto"/>
            <w:left w:val="none" w:sz="0" w:space="0" w:color="auto"/>
            <w:bottom w:val="none" w:sz="0" w:space="0" w:color="auto"/>
            <w:right w:val="none" w:sz="0" w:space="0" w:color="auto"/>
          </w:divBdr>
        </w:div>
        <w:div w:id="1829513971">
          <w:marLeft w:val="640"/>
          <w:marRight w:val="0"/>
          <w:marTop w:val="0"/>
          <w:marBottom w:val="0"/>
          <w:divBdr>
            <w:top w:val="none" w:sz="0" w:space="0" w:color="auto"/>
            <w:left w:val="none" w:sz="0" w:space="0" w:color="auto"/>
            <w:bottom w:val="none" w:sz="0" w:space="0" w:color="auto"/>
            <w:right w:val="none" w:sz="0" w:space="0" w:color="auto"/>
          </w:divBdr>
        </w:div>
        <w:div w:id="1190602759">
          <w:marLeft w:val="640"/>
          <w:marRight w:val="0"/>
          <w:marTop w:val="0"/>
          <w:marBottom w:val="0"/>
          <w:divBdr>
            <w:top w:val="none" w:sz="0" w:space="0" w:color="auto"/>
            <w:left w:val="none" w:sz="0" w:space="0" w:color="auto"/>
            <w:bottom w:val="none" w:sz="0" w:space="0" w:color="auto"/>
            <w:right w:val="none" w:sz="0" w:space="0" w:color="auto"/>
          </w:divBdr>
        </w:div>
        <w:div w:id="737091923">
          <w:marLeft w:val="640"/>
          <w:marRight w:val="0"/>
          <w:marTop w:val="0"/>
          <w:marBottom w:val="0"/>
          <w:divBdr>
            <w:top w:val="none" w:sz="0" w:space="0" w:color="auto"/>
            <w:left w:val="none" w:sz="0" w:space="0" w:color="auto"/>
            <w:bottom w:val="none" w:sz="0" w:space="0" w:color="auto"/>
            <w:right w:val="none" w:sz="0" w:space="0" w:color="auto"/>
          </w:divBdr>
        </w:div>
        <w:div w:id="2034378853">
          <w:marLeft w:val="640"/>
          <w:marRight w:val="0"/>
          <w:marTop w:val="0"/>
          <w:marBottom w:val="0"/>
          <w:divBdr>
            <w:top w:val="none" w:sz="0" w:space="0" w:color="auto"/>
            <w:left w:val="none" w:sz="0" w:space="0" w:color="auto"/>
            <w:bottom w:val="none" w:sz="0" w:space="0" w:color="auto"/>
            <w:right w:val="none" w:sz="0" w:space="0" w:color="auto"/>
          </w:divBdr>
        </w:div>
        <w:div w:id="793524769">
          <w:marLeft w:val="640"/>
          <w:marRight w:val="0"/>
          <w:marTop w:val="0"/>
          <w:marBottom w:val="0"/>
          <w:divBdr>
            <w:top w:val="none" w:sz="0" w:space="0" w:color="auto"/>
            <w:left w:val="none" w:sz="0" w:space="0" w:color="auto"/>
            <w:bottom w:val="none" w:sz="0" w:space="0" w:color="auto"/>
            <w:right w:val="none" w:sz="0" w:space="0" w:color="auto"/>
          </w:divBdr>
        </w:div>
        <w:div w:id="753169373">
          <w:marLeft w:val="640"/>
          <w:marRight w:val="0"/>
          <w:marTop w:val="0"/>
          <w:marBottom w:val="0"/>
          <w:divBdr>
            <w:top w:val="none" w:sz="0" w:space="0" w:color="auto"/>
            <w:left w:val="none" w:sz="0" w:space="0" w:color="auto"/>
            <w:bottom w:val="none" w:sz="0" w:space="0" w:color="auto"/>
            <w:right w:val="none" w:sz="0" w:space="0" w:color="auto"/>
          </w:divBdr>
        </w:div>
        <w:div w:id="478349966">
          <w:marLeft w:val="640"/>
          <w:marRight w:val="0"/>
          <w:marTop w:val="0"/>
          <w:marBottom w:val="0"/>
          <w:divBdr>
            <w:top w:val="none" w:sz="0" w:space="0" w:color="auto"/>
            <w:left w:val="none" w:sz="0" w:space="0" w:color="auto"/>
            <w:bottom w:val="none" w:sz="0" w:space="0" w:color="auto"/>
            <w:right w:val="none" w:sz="0" w:space="0" w:color="auto"/>
          </w:divBdr>
        </w:div>
        <w:div w:id="66924822">
          <w:marLeft w:val="640"/>
          <w:marRight w:val="0"/>
          <w:marTop w:val="0"/>
          <w:marBottom w:val="0"/>
          <w:divBdr>
            <w:top w:val="none" w:sz="0" w:space="0" w:color="auto"/>
            <w:left w:val="none" w:sz="0" w:space="0" w:color="auto"/>
            <w:bottom w:val="none" w:sz="0" w:space="0" w:color="auto"/>
            <w:right w:val="none" w:sz="0" w:space="0" w:color="auto"/>
          </w:divBdr>
        </w:div>
        <w:div w:id="746147068">
          <w:marLeft w:val="640"/>
          <w:marRight w:val="0"/>
          <w:marTop w:val="0"/>
          <w:marBottom w:val="0"/>
          <w:divBdr>
            <w:top w:val="none" w:sz="0" w:space="0" w:color="auto"/>
            <w:left w:val="none" w:sz="0" w:space="0" w:color="auto"/>
            <w:bottom w:val="none" w:sz="0" w:space="0" w:color="auto"/>
            <w:right w:val="none" w:sz="0" w:space="0" w:color="auto"/>
          </w:divBdr>
        </w:div>
        <w:div w:id="2100592410">
          <w:marLeft w:val="640"/>
          <w:marRight w:val="0"/>
          <w:marTop w:val="0"/>
          <w:marBottom w:val="0"/>
          <w:divBdr>
            <w:top w:val="none" w:sz="0" w:space="0" w:color="auto"/>
            <w:left w:val="none" w:sz="0" w:space="0" w:color="auto"/>
            <w:bottom w:val="none" w:sz="0" w:space="0" w:color="auto"/>
            <w:right w:val="none" w:sz="0" w:space="0" w:color="auto"/>
          </w:divBdr>
        </w:div>
        <w:div w:id="809320997">
          <w:marLeft w:val="640"/>
          <w:marRight w:val="0"/>
          <w:marTop w:val="0"/>
          <w:marBottom w:val="0"/>
          <w:divBdr>
            <w:top w:val="none" w:sz="0" w:space="0" w:color="auto"/>
            <w:left w:val="none" w:sz="0" w:space="0" w:color="auto"/>
            <w:bottom w:val="none" w:sz="0" w:space="0" w:color="auto"/>
            <w:right w:val="none" w:sz="0" w:space="0" w:color="auto"/>
          </w:divBdr>
        </w:div>
        <w:div w:id="747574563">
          <w:marLeft w:val="640"/>
          <w:marRight w:val="0"/>
          <w:marTop w:val="0"/>
          <w:marBottom w:val="0"/>
          <w:divBdr>
            <w:top w:val="none" w:sz="0" w:space="0" w:color="auto"/>
            <w:left w:val="none" w:sz="0" w:space="0" w:color="auto"/>
            <w:bottom w:val="none" w:sz="0" w:space="0" w:color="auto"/>
            <w:right w:val="none" w:sz="0" w:space="0" w:color="auto"/>
          </w:divBdr>
        </w:div>
        <w:div w:id="16659652">
          <w:marLeft w:val="640"/>
          <w:marRight w:val="0"/>
          <w:marTop w:val="0"/>
          <w:marBottom w:val="0"/>
          <w:divBdr>
            <w:top w:val="none" w:sz="0" w:space="0" w:color="auto"/>
            <w:left w:val="none" w:sz="0" w:space="0" w:color="auto"/>
            <w:bottom w:val="none" w:sz="0" w:space="0" w:color="auto"/>
            <w:right w:val="none" w:sz="0" w:space="0" w:color="auto"/>
          </w:divBdr>
        </w:div>
        <w:div w:id="1308783120">
          <w:marLeft w:val="640"/>
          <w:marRight w:val="0"/>
          <w:marTop w:val="0"/>
          <w:marBottom w:val="0"/>
          <w:divBdr>
            <w:top w:val="none" w:sz="0" w:space="0" w:color="auto"/>
            <w:left w:val="none" w:sz="0" w:space="0" w:color="auto"/>
            <w:bottom w:val="none" w:sz="0" w:space="0" w:color="auto"/>
            <w:right w:val="none" w:sz="0" w:space="0" w:color="auto"/>
          </w:divBdr>
        </w:div>
        <w:div w:id="1853883688">
          <w:marLeft w:val="640"/>
          <w:marRight w:val="0"/>
          <w:marTop w:val="0"/>
          <w:marBottom w:val="0"/>
          <w:divBdr>
            <w:top w:val="none" w:sz="0" w:space="0" w:color="auto"/>
            <w:left w:val="none" w:sz="0" w:space="0" w:color="auto"/>
            <w:bottom w:val="none" w:sz="0" w:space="0" w:color="auto"/>
            <w:right w:val="none" w:sz="0" w:space="0" w:color="auto"/>
          </w:divBdr>
        </w:div>
        <w:div w:id="1276671268">
          <w:marLeft w:val="640"/>
          <w:marRight w:val="0"/>
          <w:marTop w:val="0"/>
          <w:marBottom w:val="0"/>
          <w:divBdr>
            <w:top w:val="none" w:sz="0" w:space="0" w:color="auto"/>
            <w:left w:val="none" w:sz="0" w:space="0" w:color="auto"/>
            <w:bottom w:val="none" w:sz="0" w:space="0" w:color="auto"/>
            <w:right w:val="none" w:sz="0" w:space="0" w:color="auto"/>
          </w:divBdr>
        </w:div>
        <w:div w:id="228007510">
          <w:marLeft w:val="640"/>
          <w:marRight w:val="0"/>
          <w:marTop w:val="0"/>
          <w:marBottom w:val="0"/>
          <w:divBdr>
            <w:top w:val="none" w:sz="0" w:space="0" w:color="auto"/>
            <w:left w:val="none" w:sz="0" w:space="0" w:color="auto"/>
            <w:bottom w:val="none" w:sz="0" w:space="0" w:color="auto"/>
            <w:right w:val="none" w:sz="0" w:space="0" w:color="auto"/>
          </w:divBdr>
        </w:div>
        <w:div w:id="1408570261">
          <w:marLeft w:val="640"/>
          <w:marRight w:val="0"/>
          <w:marTop w:val="0"/>
          <w:marBottom w:val="0"/>
          <w:divBdr>
            <w:top w:val="none" w:sz="0" w:space="0" w:color="auto"/>
            <w:left w:val="none" w:sz="0" w:space="0" w:color="auto"/>
            <w:bottom w:val="none" w:sz="0" w:space="0" w:color="auto"/>
            <w:right w:val="none" w:sz="0" w:space="0" w:color="auto"/>
          </w:divBdr>
        </w:div>
        <w:div w:id="1064067861">
          <w:marLeft w:val="640"/>
          <w:marRight w:val="0"/>
          <w:marTop w:val="0"/>
          <w:marBottom w:val="0"/>
          <w:divBdr>
            <w:top w:val="none" w:sz="0" w:space="0" w:color="auto"/>
            <w:left w:val="none" w:sz="0" w:space="0" w:color="auto"/>
            <w:bottom w:val="none" w:sz="0" w:space="0" w:color="auto"/>
            <w:right w:val="none" w:sz="0" w:space="0" w:color="auto"/>
          </w:divBdr>
        </w:div>
        <w:div w:id="1234123302">
          <w:marLeft w:val="640"/>
          <w:marRight w:val="0"/>
          <w:marTop w:val="0"/>
          <w:marBottom w:val="0"/>
          <w:divBdr>
            <w:top w:val="none" w:sz="0" w:space="0" w:color="auto"/>
            <w:left w:val="none" w:sz="0" w:space="0" w:color="auto"/>
            <w:bottom w:val="none" w:sz="0" w:space="0" w:color="auto"/>
            <w:right w:val="none" w:sz="0" w:space="0" w:color="auto"/>
          </w:divBdr>
        </w:div>
        <w:div w:id="1669215547">
          <w:marLeft w:val="640"/>
          <w:marRight w:val="0"/>
          <w:marTop w:val="0"/>
          <w:marBottom w:val="0"/>
          <w:divBdr>
            <w:top w:val="none" w:sz="0" w:space="0" w:color="auto"/>
            <w:left w:val="none" w:sz="0" w:space="0" w:color="auto"/>
            <w:bottom w:val="none" w:sz="0" w:space="0" w:color="auto"/>
            <w:right w:val="none" w:sz="0" w:space="0" w:color="auto"/>
          </w:divBdr>
        </w:div>
        <w:div w:id="888685866">
          <w:marLeft w:val="640"/>
          <w:marRight w:val="0"/>
          <w:marTop w:val="0"/>
          <w:marBottom w:val="0"/>
          <w:divBdr>
            <w:top w:val="none" w:sz="0" w:space="0" w:color="auto"/>
            <w:left w:val="none" w:sz="0" w:space="0" w:color="auto"/>
            <w:bottom w:val="none" w:sz="0" w:space="0" w:color="auto"/>
            <w:right w:val="none" w:sz="0" w:space="0" w:color="auto"/>
          </w:divBdr>
        </w:div>
        <w:div w:id="78793940">
          <w:marLeft w:val="640"/>
          <w:marRight w:val="0"/>
          <w:marTop w:val="0"/>
          <w:marBottom w:val="0"/>
          <w:divBdr>
            <w:top w:val="none" w:sz="0" w:space="0" w:color="auto"/>
            <w:left w:val="none" w:sz="0" w:space="0" w:color="auto"/>
            <w:bottom w:val="none" w:sz="0" w:space="0" w:color="auto"/>
            <w:right w:val="none" w:sz="0" w:space="0" w:color="auto"/>
          </w:divBdr>
        </w:div>
        <w:div w:id="244151949">
          <w:marLeft w:val="640"/>
          <w:marRight w:val="0"/>
          <w:marTop w:val="0"/>
          <w:marBottom w:val="0"/>
          <w:divBdr>
            <w:top w:val="none" w:sz="0" w:space="0" w:color="auto"/>
            <w:left w:val="none" w:sz="0" w:space="0" w:color="auto"/>
            <w:bottom w:val="none" w:sz="0" w:space="0" w:color="auto"/>
            <w:right w:val="none" w:sz="0" w:space="0" w:color="auto"/>
          </w:divBdr>
        </w:div>
        <w:div w:id="405959493">
          <w:marLeft w:val="640"/>
          <w:marRight w:val="0"/>
          <w:marTop w:val="0"/>
          <w:marBottom w:val="0"/>
          <w:divBdr>
            <w:top w:val="none" w:sz="0" w:space="0" w:color="auto"/>
            <w:left w:val="none" w:sz="0" w:space="0" w:color="auto"/>
            <w:bottom w:val="none" w:sz="0" w:space="0" w:color="auto"/>
            <w:right w:val="none" w:sz="0" w:space="0" w:color="auto"/>
          </w:divBdr>
        </w:div>
        <w:div w:id="1238705085">
          <w:marLeft w:val="640"/>
          <w:marRight w:val="0"/>
          <w:marTop w:val="0"/>
          <w:marBottom w:val="0"/>
          <w:divBdr>
            <w:top w:val="none" w:sz="0" w:space="0" w:color="auto"/>
            <w:left w:val="none" w:sz="0" w:space="0" w:color="auto"/>
            <w:bottom w:val="none" w:sz="0" w:space="0" w:color="auto"/>
            <w:right w:val="none" w:sz="0" w:space="0" w:color="auto"/>
          </w:divBdr>
        </w:div>
        <w:div w:id="365451221">
          <w:marLeft w:val="640"/>
          <w:marRight w:val="0"/>
          <w:marTop w:val="0"/>
          <w:marBottom w:val="0"/>
          <w:divBdr>
            <w:top w:val="none" w:sz="0" w:space="0" w:color="auto"/>
            <w:left w:val="none" w:sz="0" w:space="0" w:color="auto"/>
            <w:bottom w:val="none" w:sz="0" w:space="0" w:color="auto"/>
            <w:right w:val="none" w:sz="0" w:space="0" w:color="auto"/>
          </w:divBdr>
        </w:div>
        <w:div w:id="503980514">
          <w:marLeft w:val="640"/>
          <w:marRight w:val="0"/>
          <w:marTop w:val="0"/>
          <w:marBottom w:val="0"/>
          <w:divBdr>
            <w:top w:val="none" w:sz="0" w:space="0" w:color="auto"/>
            <w:left w:val="none" w:sz="0" w:space="0" w:color="auto"/>
            <w:bottom w:val="none" w:sz="0" w:space="0" w:color="auto"/>
            <w:right w:val="none" w:sz="0" w:space="0" w:color="auto"/>
          </w:divBdr>
        </w:div>
        <w:div w:id="2083983220">
          <w:marLeft w:val="640"/>
          <w:marRight w:val="0"/>
          <w:marTop w:val="0"/>
          <w:marBottom w:val="0"/>
          <w:divBdr>
            <w:top w:val="none" w:sz="0" w:space="0" w:color="auto"/>
            <w:left w:val="none" w:sz="0" w:space="0" w:color="auto"/>
            <w:bottom w:val="none" w:sz="0" w:space="0" w:color="auto"/>
            <w:right w:val="none" w:sz="0" w:space="0" w:color="auto"/>
          </w:divBdr>
        </w:div>
        <w:div w:id="1614894653">
          <w:marLeft w:val="640"/>
          <w:marRight w:val="0"/>
          <w:marTop w:val="0"/>
          <w:marBottom w:val="0"/>
          <w:divBdr>
            <w:top w:val="none" w:sz="0" w:space="0" w:color="auto"/>
            <w:left w:val="none" w:sz="0" w:space="0" w:color="auto"/>
            <w:bottom w:val="none" w:sz="0" w:space="0" w:color="auto"/>
            <w:right w:val="none" w:sz="0" w:space="0" w:color="auto"/>
          </w:divBdr>
        </w:div>
        <w:div w:id="334889985">
          <w:marLeft w:val="640"/>
          <w:marRight w:val="0"/>
          <w:marTop w:val="0"/>
          <w:marBottom w:val="0"/>
          <w:divBdr>
            <w:top w:val="none" w:sz="0" w:space="0" w:color="auto"/>
            <w:left w:val="none" w:sz="0" w:space="0" w:color="auto"/>
            <w:bottom w:val="none" w:sz="0" w:space="0" w:color="auto"/>
            <w:right w:val="none" w:sz="0" w:space="0" w:color="auto"/>
          </w:divBdr>
        </w:div>
        <w:div w:id="748159793">
          <w:marLeft w:val="640"/>
          <w:marRight w:val="0"/>
          <w:marTop w:val="0"/>
          <w:marBottom w:val="0"/>
          <w:divBdr>
            <w:top w:val="none" w:sz="0" w:space="0" w:color="auto"/>
            <w:left w:val="none" w:sz="0" w:space="0" w:color="auto"/>
            <w:bottom w:val="none" w:sz="0" w:space="0" w:color="auto"/>
            <w:right w:val="none" w:sz="0" w:space="0" w:color="auto"/>
          </w:divBdr>
        </w:div>
        <w:div w:id="164713420">
          <w:marLeft w:val="640"/>
          <w:marRight w:val="0"/>
          <w:marTop w:val="0"/>
          <w:marBottom w:val="0"/>
          <w:divBdr>
            <w:top w:val="none" w:sz="0" w:space="0" w:color="auto"/>
            <w:left w:val="none" w:sz="0" w:space="0" w:color="auto"/>
            <w:bottom w:val="none" w:sz="0" w:space="0" w:color="auto"/>
            <w:right w:val="none" w:sz="0" w:space="0" w:color="auto"/>
          </w:divBdr>
        </w:div>
        <w:div w:id="1492522148">
          <w:marLeft w:val="640"/>
          <w:marRight w:val="0"/>
          <w:marTop w:val="0"/>
          <w:marBottom w:val="0"/>
          <w:divBdr>
            <w:top w:val="none" w:sz="0" w:space="0" w:color="auto"/>
            <w:left w:val="none" w:sz="0" w:space="0" w:color="auto"/>
            <w:bottom w:val="none" w:sz="0" w:space="0" w:color="auto"/>
            <w:right w:val="none" w:sz="0" w:space="0" w:color="auto"/>
          </w:divBdr>
        </w:div>
        <w:div w:id="1440759155">
          <w:marLeft w:val="640"/>
          <w:marRight w:val="0"/>
          <w:marTop w:val="0"/>
          <w:marBottom w:val="0"/>
          <w:divBdr>
            <w:top w:val="none" w:sz="0" w:space="0" w:color="auto"/>
            <w:left w:val="none" w:sz="0" w:space="0" w:color="auto"/>
            <w:bottom w:val="none" w:sz="0" w:space="0" w:color="auto"/>
            <w:right w:val="none" w:sz="0" w:space="0" w:color="auto"/>
          </w:divBdr>
        </w:div>
        <w:div w:id="1905675621">
          <w:marLeft w:val="640"/>
          <w:marRight w:val="0"/>
          <w:marTop w:val="0"/>
          <w:marBottom w:val="0"/>
          <w:divBdr>
            <w:top w:val="none" w:sz="0" w:space="0" w:color="auto"/>
            <w:left w:val="none" w:sz="0" w:space="0" w:color="auto"/>
            <w:bottom w:val="none" w:sz="0" w:space="0" w:color="auto"/>
            <w:right w:val="none" w:sz="0" w:space="0" w:color="auto"/>
          </w:divBdr>
        </w:div>
        <w:div w:id="1265117680">
          <w:marLeft w:val="640"/>
          <w:marRight w:val="0"/>
          <w:marTop w:val="0"/>
          <w:marBottom w:val="0"/>
          <w:divBdr>
            <w:top w:val="none" w:sz="0" w:space="0" w:color="auto"/>
            <w:left w:val="none" w:sz="0" w:space="0" w:color="auto"/>
            <w:bottom w:val="none" w:sz="0" w:space="0" w:color="auto"/>
            <w:right w:val="none" w:sz="0" w:space="0" w:color="auto"/>
          </w:divBdr>
        </w:div>
        <w:div w:id="1989747579">
          <w:marLeft w:val="640"/>
          <w:marRight w:val="0"/>
          <w:marTop w:val="0"/>
          <w:marBottom w:val="0"/>
          <w:divBdr>
            <w:top w:val="none" w:sz="0" w:space="0" w:color="auto"/>
            <w:left w:val="none" w:sz="0" w:space="0" w:color="auto"/>
            <w:bottom w:val="none" w:sz="0" w:space="0" w:color="auto"/>
            <w:right w:val="none" w:sz="0" w:space="0" w:color="auto"/>
          </w:divBdr>
        </w:div>
        <w:div w:id="1207334547">
          <w:marLeft w:val="640"/>
          <w:marRight w:val="0"/>
          <w:marTop w:val="0"/>
          <w:marBottom w:val="0"/>
          <w:divBdr>
            <w:top w:val="none" w:sz="0" w:space="0" w:color="auto"/>
            <w:left w:val="none" w:sz="0" w:space="0" w:color="auto"/>
            <w:bottom w:val="none" w:sz="0" w:space="0" w:color="auto"/>
            <w:right w:val="none" w:sz="0" w:space="0" w:color="auto"/>
          </w:divBdr>
        </w:div>
        <w:div w:id="149173877">
          <w:marLeft w:val="640"/>
          <w:marRight w:val="0"/>
          <w:marTop w:val="0"/>
          <w:marBottom w:val="0"/>
          <w:divBdr>
            <w:top w:val="none" w:sz="0" w:space="0" w:color="auto"/>
            <w:left w:val="none" w:sz="0" w:space="0" w:color="auto"/>
            <w:bottom w:val="none" w:sz="0" w:space="0" w:color="auto"/>
            <w:right w:val="none" w:sz="0" w:space="0" w:color="auto"/>
          </w:divBdr>
        </w:div>
        <w:div w:id="988707093">
          <w:marLeft w:val="640"/>
          <w:marRight w:val="0"/>
          <w:marTop w:val="0"/>
          <w:marBottom w:val="0"/>
          <w:divBdr>
            <w:top w:val="none" w:sz="0" w:space="0" w:color="auto"/>
            <w:left w:val="none" w:sz="0" w:space="0" w:color="auto"/>
            <w:bottom w:val="none" w:sz="0" w:space="0" w:color="auto"/>
            <w:right w:val="none" w:sz="0" w:space="0" w:color="auto"/>
          </w:divBdr>
        </w:div>
        <w:div w:id="1071464656">
          <w:marLeft w:val="640"/>
          <w:marRight w:val="0"/>
          <w:marTop w:val="0"/>
          <w:marBottom w:val="0"/>
          <w:divBdr>
            <w:top w:val="none" w:sz="0" w:space="0" w:color="auto"/>
            <w:left w:val="none" w:sz="0" w:space="0" w:color="auto"/>
            <w:bottom w:val="none" w:sz="0" w:space="0" w:color="auto"/>
            <w:right w:val="none" w:sz="0" w:space="0" w:color="auto"/>
          </w:divBdr>
        </w:div>
        <w:div w:id="64307126">
          <w:marLeft w:val="640"/>
          <w:marRight w:val="0"/>
          <w:marTop w:val="0"/>
          <w:marBottom w:val="0"/>
          <w:divBdr>
            <w:top w:val="none" w:sz="0" w:space="0" w:color="auto"/>
            <w:left w:val="none" w:sz="0" w:space="0" w:color="auto"/>
            <w:bottom w:val="none" w:sz="0" w:space="0" w:color="auto"/>
            <w:right w:val="none" w:sz="0" w:space="0" w:color="auto"/>
          </w:divBdr>
        </w:div>
        <w:div w:id="1210653610">
          <w:marLeft w:val="640"/>
          <w:marRight w:val="0"/>
          <w:marTop w:val="0"/>
          <w:marBottom w:val="0"/>
          <w:divBdr>
            <w:top w:val="none" w:sz="0" w:space="0" w:color="auto"/>
            <w:left w:val="none" w:sz="0" w:space="0" w:color="auto"/>
            <w:bottom w:val="none" w:sz="0" w:space="0" w:color="auto"/>
            <w:right w:val="none" w:sz="0" w:space="0" w:color="auto"/>
          </w:divBdr>
        </w:div>
        <w:div w:id="1799178349">
          <w:marLeft w:val="640"/>
          <w:marRight w:val="0"/>
          <w:marTop w:val="0"/>
          <w:marBottom w:val="0"/>
          <w:divBdr>
            <w:top w:val="none" w:sz="0" w:space="0" w:color="auto"/>
            <w:left w:val="none" w:sz="0" w:space="0" w:color="auto"/>
            <w:bottom w:val="none" w:sz="0" w:space="0" w:color="auto"/>
            <w:right w:val="none" w:sz="0" w:space="0" w:color="auto"/>
          </w:divBdr>
        </w:div>
        <w:div w:id="732388014">
          <w:marLeft w:val="640"/>
          <w:marRight w:val="0"/>
          <w:marTop w:val="0"/>
          <w:marBottom w:val="0"/>
          <w:divBdr>
            <w:top w:val="none" w:sz="0" w:space="0" w:color="auto"/>
            <w:left w:val="none" w:sz="0" w:space="0" w:color="auto"/>
            <w:bottom w:val="none" w:sz="0" w:space="0" w:color="auto"/>
            <w:right w:val="none" w:sz="0" w:space="0" w:color="auto"/>
          </w:divBdr>
        </w:div>
        <w:div w:id="1439714741">
          <w:marLeft w:val="640"/>
          <w:marRight w:val="0"/>
          <w:marTop w:val="0"/>
          <w:marBottom w:val="0"/>
          <w:divBdr>
            <w:top w:val="none" w:sz="0" w:space="0" w:color="auto"/>
            <w:left w:val="none" w:sz="0" w:space="0" w:color="auto"/>
            <w:bottom w:val="none" w:sz="0" w:space="0" w:color="auto"/>
            <w:right w:val="none" w:sz="0" w:space="0" w:color="auto"/>
          </w:divBdr>
        </w:div>
        <w:div w:id="828247840">
          <w:marLeft w:val="640"/>
          <w:marRight w:val="0"/>
          <w:marTop w:val="0"/>
          <w:marBottom w:val="0"/>
          <w:divBdr>
            <w:top w:val="none" w:sz="0" w:space="0" w:color="auto"/>
            <w:left w:val="none" w:sz="0" w:space="0" w:color="auto"/>
            <w:bottom w:val="none" w:sz="0" w:space="0" w:color="auto"/>
            <w:right w:val="none" w:sz="0" w:space="0" w:color="auto"/>
          </w:divBdr>
        </w:div>
        <w:div w:id="1261524081">
          <w:marLeft w:val="640"/>
          <w:marRight w:val="0"/>
          <w:marTop w:val="0"/>
          <w:marBottom w:val="0"/>
          <w:divBdr>
            <w:top w:val="none" w:sz="0" w:space="0" w:color="auto"/>
            <w:left w:val="none" w:sz="0" w:space="0" w:color="auto"/>
            <w:bottom w:val="none" w:sz="0" w:space="0" w:color="auto"/>
            <w:right w:val="none" w:sz="0" w:space="0" w:color="auto"/>
          </w:divBdr>
        </w:div>
        <w:div w:id="588738251">
          <w:marLeft w:val="640"/>
          <w:marRight w:val="0"/>
          <w:marTop w:val="0"/>
          <w:marBottom w:val="0"/>
          <w:divBdr>
            <w:top w:val="none" w:sz="0" w:space="0" w:color="auto"/>
            <w:left w:val="none" w:sz="0" w:space="0" w:color="auto"/>
            <w:bottom w:val="none" w:sz="0" w:space="0" w:color="auto"/>
            <w:right w:val="none" w:sz="0" w:space="0" w:color="auto"/>
          </w:divBdr>
        </w:div>
        <w:div w:id="64033588">
          <w:marLeft w:val="640"/>
          <w:marRight w:val="0"/>
          <w:marTop w:val="0"/>
          <w:marBottom w:val="0"/>
          <w:divBdr>
            <w:top w:val="none" w:sz="0" w:space="0" w:color="auto"/>
            <w:left w:val="none" w:sz="0" w:space="0" w:color="auto"/>
            <w:bottom w:val="none" w:sz="0" w:space="0" w:color="auto"/>
            <w:right w:val="none" w:sz="0" w:space="0" w:color="auto"/>
          </w:divBdr>
        </w:div>
        <w:div w:id="849687398">
          <w:marLeft w:val="640"/>
          <w:marRight w:val="0"/>
          <w:marTop w:val="0"/>
          <w:marBottom w:val="0"/>
          <w:divBdr>
            <w:top w:val="none" w:sz="0" w:space="0" w:color="auto"/>
            <w:left w:val="none" w:sz="0" w:space="0" w:color="auto"/>
            <w:bottom w:val="none" w:sz="0" w:space="0" w:color="auto"/>
            <w:right w:val="none" w:sz="0" w:space="0" w:color="auto"/>
          </w:divBdr>
        </w:div>
        <w:div w:id="1655644174">
          <w:marLeft w:val="640"/>
          <w:marRight w:val="0"/>
          <w:marTop w:val="0"/>
          <w:marBottom w:val="0"/>
          <w:divBdr>
            <w:top w:val="none" w:sz="0" w:space="0" w:color="auto"/>
            <w:left w:val="none" w:sz="0" w:space="0" w:color="auto"/>
            <w:bottom w:val="none" w:sz="0" w:space="0" w:color="auto"/>
            <w:right w:val="none" w:sz="0" w:space="0" w:color="auto"/>
          </w:divBdr>
        </w:div>
        <w:div w:id="1096169134">
          <w:marLeft w:val="640"/>
          <w:marRight w:val="0"/>
          <w:marTop w:val="0"/>
          <w:marBottom w:val="0"/>
          <w:divBdr>
            <w:top w:val="none" w:sz="0" w:space="0" w:color="auto"/>
            <w:left w:val="none" w:sz="0" w:space="0" w:color="auto"/>
            <w:bottom w:val="none" w:sz="0" w:space="0" w:color="auto"/>
            <w:right w:val="none" w:sz="0" w:space="0" w:color="auto"/>
          </w:divBdr>
        </w:div>
        <w:div w:id="1421754243">
          <w:marLeft w:val="640"/>
          <w:marRight w:val="0"/>
          <w:marTop w:val="0"/>
          <w:marBottom w:val="0"/>
          <w:divBdr>
            <w:top w:val="none" w:sz="0" w:space="0" w:color="auto"/>
            <w:left w:val="none" w:sz="0" w:space="0" w:color="auto"/>
            <w:bottom w:val="none" w:sz="0" w:space="0" w:color="auto"/>
            <w:right w:val="none" w:sz="0" w:space="0" w:color="auto"/>
          </w:divBdr>
        </w:div>
        <w:div w:id="580867449">
          <w:marLeft w:val="640"/>
          <w:marRight w:val="0"/>
          <w:marTop w:val="0"/>
          <w:marBottom w:val="0"/>
          <w:divBdr>
            <w:top w:val="none" w:sz="0" w:space="0" w:color="auto"/>
            <w:left w:val="none" w:sz="0" w:space="0" w:color="auto"/>
            <w:bottom w:val="none" w:sz="0" w:space="0" w:color="auto"/>
            <w:right w:val="none" w:sz="0" w:space="0" w:color="auto"/>
          </w:divBdr>
        </w:div>
        <w:div w:id="653947744">
          <w:marLeft w:val="640"/>
          <w:marRight w:val="0"/>
          <w:marTop w:val="0"/>
          <w:marBottom w:val="0"/>
          <w:divBdr>
            <w:top w:val="none" w:sz="0" w:space="0" w:color="auto"/>
            <w:left w:val="none" w:sz="0" w:space="0" w:color="auto"/>
            <w:bottom w:val="none" w:sz="0" w:space="0" w:color="auto"/>
            <w:right w:val="none" w:sz="0" w:space="0" w:color="auto"/>
          </w:divBdr>
        </w:div>
        <w:div w:id="1622957983">
          <w:marLeft w:val="640"/>
          <w:marRight w:val="0"/>
          <w:marTop w:val="0"/>
          <w:marBottom w:val="0"/>
          <w:divBdr>
            <w:top w:val="none" w:sz="0" w:space="0" w:color="auto"/>
            <w:left w:val="none" w:sz="0" w:space="0" w:color="auto"/>
            <w:bottom w:val="none" w:sz="0" w:space="0" w:color="auto"/>
            <w:right w:val="none" w:sz="0" w:space="0" w:color="auto"/>
          </w:divBdr>
        </w:div>
        <w:div w:id="2132018027">
          <w:marLeft w:val="640"/>
          <w:marRight w:val="0"/>
          <w:marTop w:val="0"/>
          <w:marBottom w:val="0"/>
          <w:divBdr>
            <w:top w:val="none" w:sz="0" w:space="0" w:color="auto"/>
            <w:left w:val="none" w:sz="0" w:space="0" w:color="auto"/>
            <w:bottom w:val="none" w:sz="0" w:space="0" w:color="auto"/>
            <w:right w:val="none" w:sz="0" w:space="0" w:color="auto"/>
          </w:divBdr>
        </w:div>
        <w:div w:id="411855021">
          <w:marLeft w:val="640"/>
          <w:marRight w:val="0"/>
          <w:marTop w:val="0"/>
          <w:marBottom w:val="0"/>
          <w:divBdr>
            <w:top w:val="none" w:sz="0" w:space="0" w:color="auto"/>
            <w:left w:val="none" w:sz="0" w:space="0" w:color="auto"/>
            <w:bottom w:val="none" w:sz="0" w:space="0" w:color="auto"/>
            <w:right w:val="none" w:sz="0" w:space="0" w:color="auto"/>
          </w:divBdr>
        </w:div>
        <w:div w:id="1287345255">
          <w:marLeft w:val="640"/>
          <w:marRight w:val="0"/>
          <w:marTop w:val="0"/>
          <w:marBottom w:val="0"/>
          <w:divBdr>
            <w:top w:val="none" w:sz="0" w:space="0" w:color="auto"/>
            <w:left w:val="none" w:sz="0" w:space="0" w:color="auto"/>
            <w:bottom w:val="none" w:sz="0" w:space="0" w:color="auto"/>
            <w:right w:val="none" w:sz="0" w:space="0" w:color="auto"/>
          </w:divBdr>
        </w:div>
        <w:div w:id="140735155">
          <w:marLeft w:val="640"/>
          <w:marRight w:val="0"/>
          <w:marTop w:val="0"/>
          <w:marBottom w:val="0"/>
          <w:divBdr>
            <w:top w:val="none" w:sz="0" w:space="0" w:color="auto"/>
            <w:left w:val="none" w:sz="0" w:space="0" w:color="auto"/>
            <w:bottom w:val="none" w:sz="0" w:space="0" w:color="auto"/>
            <w:right w:val="none" w:sz="0" w:space="0" w:color="auto"/>
          </w:divBdr>
        </w:div>
        <w:div w:id="1530484818">
          <w:marLeft w:val="640"/>
          <w:marRight w:val="0"/>
          <w:marTop w:val="0"/>
          <w:marBottom w:val="0"/>
          <w:divBdr>
            <w:top w:val="none" w:sz="0" w:space="0" w:color="auto"/>
            <w:left w:val="none" w:sz="0" w:space="0" w:color="auto"/>
            <w:bottom w:val="none" w:sz="0" w:space="0" w:color="auto"/>
            <w:right w:val="none" w:sz="0" w:space="0" w:color="auto"/>
          </w:divBdr>
        </w:div>
        <w:div w:id="1935243070">
          <w:marLeft w:val="640"/>
          <w:marRight w:val="0"/>
          <w:marTop w:val="0"/>
          <w:marBottom w:val="0"/>
          <w:divBdr>
            <w:top w:val="none" w:sz="0" w:space="0" w:color="auto"/>
            <w:left w:val="none" w:sz="0" w:space="0" w:color="auto"/>
            <w:bottom w:val="none" w:sz="0" w:space="0" w:color="auto"/>
            <w:right w:val="none" w:sz="0" w:space="0" w:color="auto"/>
          </w:divBdr>
        </w:div>
        <w:div w:id="1012876782">
          <w:marLeft w:val="640"/>
          <w:marRight w:val="0"/>
          <w:marTop w:val="0"/>
          <w:marBottom w:val="0"/>
          <w:divBdr>
            <w:top w:val="none" w:sz="0" w:space="0" w:color="auto"/>
            <w:left w:val="none" w:sz="0" w:space="0" w:color="auto"/>
            <w:bottom w:val="none" w:sz="0" w:space="0" w:color="auto"/>
            <w:right w:val="none" w:sz="0" w:space="0" w:color="auto"/>
          </w:divBdr>
        </w:div>
        <w:div w:id="1216044871">
          <w:marLeft w:val="640"/>
          <w:marRight w:val="0"/>
          <w:marTop w:val="0"/>
          <w:marBottom w:val="0"/>
          <w:divBdr>
            <w:top w:val="none" w:sz="0" w:space="0" w:color="auto"/>
            <w:left w:val="none" w:sz="0" w:space="0" w:color="auto"/>
            <w:bottom w:val="none" w:sz="0" w:space="0" w:color="auto"/>
            <w:right w:val="none" w:sz="0" w:space="0" w:color="auto"/>
          </w:divBdr>
        </w:div>
        <w:div w:id="1242370285">
          <w:marLeft w:val="640"/>
          <w:marRight w:val="0"/>
          <w:marTop w:val="0"/>
          <w:marBottom w:val="0"/>
          <w:divBdr>
            <w:top w:val="none" w:sz="0" w:space="0" w:color="auto"/>
            <w:left w:val="none" w:sz="0" w:space="0" w:color="auto"/>
            <w:bottom w:val="none" w:sz="0" w:space="0" w:color="auto"/>
            <w:right w:val="none" w:sz="0" w:space="0" w:color="auto"/>
          </w:divBdr>
        </w:div>
        <w:div w:id="1498031755">
          <w:marLeft w:val="640"/>
          <w:marRight w:val="0"/>
          <w:marTop w:val="0"/>
          <w:marBottom w:val="0"/>
          <w:divBdr>
            <w:top w:val="none" w:sz="0" w:space="0" w:color="auto"/>
            <w:left w:val="none" w:sz="0" w:space="0" w:color="auto"/>
            <w:bottom w:val="none" w:sz="0" w:space="0" w:color="auto"/>
            <w:right w:val="none" w:sz="0" w:space="0" w:color="auto"/>
          </w:divBdr>
        </w:div>
        <w:div w:id="1184127833">
          <w:marLeft w:val="640"/>
          <w:marRight w:val="0"/>
          <w:marTop w:val="0"/>
          <w:marBottom w:val="0"/>
          <w:divBdr>
            <w:top w:val="none" w:sz="0" w:space="0" w:color="auto"/>
            <w:left w:val="none" w:sz="0" w:space="0" w:color="auto"/>
            <w:bottom w:val="none" w:sz="0" w:space="0" w:color="auto"/>
            <w:right w:val="none" w:sz="0" w:space="0" w:color="auto"/>
          </w:divBdr>
        </w:div>
        <w:div w:id="388111131">
          <w:marLeft w:val="640"/>
          <w:marRight w:val="0"/>
          <w:marTop w:val="0"/>
          <w:marBottom w:val="0"/>
          <w:divBdr>
            <w:top w:val="none" w:sz="0" w:space="0" w:color="auto"/>
            <w:left w:val="none" w:sz="0" w:space="0" w:color="auto"/>
            <w:bottom w:val="none" w:sz="0" w:space="0" w:color="auto"/>
            <w:right w:val="none" w:sz="0" w:space="0" w:color="auto"/>
          </w:divBdr>
        </w:div>
        <w:div w:id="1796869119">
          <w:marLeft w:val="640"/>
          <w:marRight w:val="0"/>
          <w:marTop w:val="0"/>
          <w:marBottom w:val="0"/>
          <w:divBdr>
            <w:top w:val="none" w:sz="0" w:space="0" w:color="auto"/>
            <w:left w:val="none" w:sz="0" w:space="0" w:color="auto"/>
            <w:bottom w:val="none" w:sz="0" w:space="0" w:color="auto"/>
            <w:right w:val="none" w:sz="0" w:space="0" w:color="auto"/>
          </w:divBdr>
        </w:div>
        <w:div w:id="1113524710">
          <w:marLeft w:val="640"/>
          <w:marRight w:val="0"/>
          <w:marTop w:val="0"/>
          <w:marBottom w:val="0"/>
          <w:divBdr>
            <w:top w:val="none" w:sz="0" w:space="0" w:color="auto"/>
            <w:left w:val="none" w:sz="0" w:space="0" w:color="auto"/>
            <w:bottom w:val="none" w:sz="0" w:space="0" w:color="auto"/>
            <w:right w:val="none" w:sz="0" w:space="0" w:color="auto"/>
          </w:divBdr>
        </w:div>
        <w:div w:id="891306972">
          <w:marLeft w:val="640"/>
          <w:marRight w:val="0"/>
          <w:marTop w:val="0"/>
          <w:marBottom w:val="0"/>
          <w:divBdr>
            <w:top w:val="none" w:sz="0" w:space="0" w:color="auto"/>
            <w:left w:val="none" w:sz="0" w:space="0" w:color="auto"/>
            <w:bottom w:val="none" w:sz="0" w:space="0" w:color="auto"/>
            <w:right w:val="none" w:sz="0" w:space="0" w:color="auto"/>
          </w:divBdr>
        </w:div>
        <w:div w:id="1588349021">
          <w:marLeft w:val="640"/>
          <w:marRight w:val="0"/>
          <w:marTop w:val="0"/>
          <w:marBottom w:val="0"/>
          <w:divBdr>
            <w:top w:val="none" w:sz="0" w:space="0" w:color="auto"/>
            <w:left w:val="none" w:sz="0" w:space="0" w:color="auto"/>
            <w:bottom w:val="none" w:sz="0" w:space="0" w:color="auto"/>
            <w:right w:val="none" w:sz="0" w:space="0" w:color="auto"/>
          </w:divBdr>
        </w:div>
        <w:div w:id="692417997">
          <w:marLeft w:val="640"/>
          <w:marRight w:val="0"/>
          <w:marTop w:val="0"/>
          <w:marBottom w:val="0"/>
          <w:divBdr>
            <w:top w:val="none" w:sz="0" w:space="0" w:color="auto"/>
            <w:left w:val="none" w:sz="0" w:space="0" w:color="auto"/>
            <w:bottom w:val="none" w:sz="0" w:space="0" w:color="auto"/>
            <w:right w:val="none" w:sz="0" w:space="0" w:color="auto"/>
          </w:divBdr>
        </w:div>
        <w:div w:id="1865174229">
          <w:marLeft w:val="640"/>
          <w:marRight w:val="0"/>
          <w:marTop w:val="0"/>
          <w:marBottom w:val="0"/>
          <w:divBdr>
            <w:top w:val="none" w:sz="0" w:space="0" w:color="auto"/>
            <w:left w:val="none" w:sz="0" w:space="0" w:color="auto"/>
            <w:bottom w:val="none" w:sz="0" w:space="0" w:color="auto"/>
            <w:right w:val="none" w:sz="0" w:space="0" w:color="auto"/>
          </w:divBdr>
        </w:div>
        <w:div w:id="537664458">
          <w:marLeft w:val="640"/>
          <w:marRight w:val="0"/>
          <w:marTop w:val="0"/>
          <w:marBottom w:val="0"/>
          <w:divBdr>
            <w:top w:val="none" w:sz="0" w:space="0" w:color="auto"/>
            <w:left w:val="none" w:sz="0" w:space="0" w:color="auto"/>
            <w:bottom w:val="none" w:sz="0" w:space="0" w:color="auto"/>
            <w:right w:val="none" w:sz="0" w:space="0" w:color="auto"/>
          </w:divBdr>
        </w:div>
        <w:div w:id="669069324">
          <w:marLeft w:val="640"/>
          <w:marRight w:val="0"/>
          <w:marTop w:val="0"/>
          <w:marBottom w:val="0"/>
          <w:divBdr>
            <w:top w:val="none" w:sz="0" w:space="0" w:color="auto"/>
            <w:left w:val="none" w:sz="0" w:space="0" w:color="auto"/>
            <w:bottom w:val="none" w:sz="0" w:space="0" w:color="auto"/>
            <w:right w:val="none" w:sz="0" w:space="0" w:color="auto"/>
          </w:divBdr>
        </w:div>
        <w:div w:id="1097553625">
          <w:marLeft w:val="640"/>
          <w:marRight w:val="0"/>
          <w:marTop w:val="0"/>
          <w:marBottom w:val="0"/>
          <w:divBdr>
            <w:top w:val="none" w:sz="0" w:space="0" w:color="auto"/>
            <w:left w:val="none" w:sz="0" w:space="0" w:color="auto"/>
            <w:bottom w:val="none" w:sz="0" w:space="0" w:color="auto"/>
            <w:right w:val="none" w:sz="0" w:space="0" w:color="auto"/>
          </w:divBdr>
        </w:div>
        <w:div w:id="1401294349">
          <w:marLeft w:val="640"/>
          <w:marRight w:val="0"/>
          <w:marTop w:val="0"/>
          <w:marBottom w:val="0"/>
          <w:divBdr>
            <w:top w:val="none" w:sz="0" w:space="0" w:color="auto"/>
            <w:left w:val="none" w:sz="0" w:space="0" w:color="auto"/>
            <w:bottom w:val="none" w:sz="0" w:space="0" w:color="auto"/>
            <w:right w:val="none" w:sz="0" w:space="0" w:color="auto"/>
          </w:divBdr>
        </w:div>
        <w:div w:id="576676278">
          <w:marLeft w:val="640"/>
          <w:marRight w:val="0"/>
          <w:marTop w:val="0"/>
          <w:marBottom w:val="0"/>
          <w:divBdr>
            <w:top w:val="none" w:sz="0" w:space="0" w:color="auto"/>
            <w:left w:val="none" w:sz="0" w:space="0" w:color="auto"/>
            <w:bottom w:val="none" w:sz="0" w:space="0" w:color="auto"/>
            <w:right w:val="none" w:sz="0" w:space="0" w:color="auto"/>
          </w:divBdr>
        </w:div>
        <w:div w:id="717752232">
          <w:marLeft w:val="640"/>
          <w:marRight w:val="0"/>
          <w:marTop w:val="0"/>
          <w:marBottom w:val="0"/>
          <w:divBdr>
            <w:top w:val="none" w:sz="0" w:space="0" w:color="auto"/>
            <w:left w:val="none" w:sz="0" w:space="0" w:color="auto"/>
            <w:bottom w:val="none" w:sz="0" w:space="0" w:color="auto"/>
            <w:right w:val="none" w:sz="0" w:space="0" w:color="auto"/>
          </w:divBdr>
        </w:div>
        <w:div w:id="831943559">
          <w:marLeft w:val="640"/>
          <w:marRight w:val="0"/>
          <w:marTop w:val="0"/>
          <w:marBottom w:val="0"/>
          <w:divBdr>
            <w:top w:val="none" w:sz="0" w:space="0" w:color="auto"/>
            <w:left w:val="none" w:sz="0" w:space="0" w:color="auto"/>
            <w:bottom w:val="none" w:sz="0" w:space="0" w:color="auto"/>
            <w:right w:val="none" w:sz="0" w:space="0" w:color="auto"/>
          </w:divBdr>
        </w:div>
        <w:div w:id="493641865">
          <w:marLeft w:val="640"/>
          <w:marRight w:val="0"/>
          <w:marTop w:val="0"/>
          <w:marBottom w:val="0"/>
          <w:divBdr>
            <w:top w:val="none" w:sz="0" w:space="0" w:color="auto"/>
            <w:left w:val="none" w:sz="0" w:space="0" w:color="auto"/>
            <w:bottom w:val="none" w:sz="0" w:space="0" w:color="auto"/>
            <w:right w:val="none" w:sz="0" w:space="0" w:color="auto"/>
          </w:divBdr>
        </w:div>
        <w:div w:id="390546602">
          <w:marLeft w:val="640"/>
          <w:marRight w:val="0"/>
          <w:marTop w:val="0"/>
          <w:marBottom w:val="0"/>
          <w:divBdr>
            <w:top w:val="none" w:sz="0" w:space="0" w:color="auto"/>
            <w:left w:val="none" w:sz="0" w:space="0" w:color="auto"/>
            <w:bottom w:val="none" w:sz="0" w:space="0" w:color="auto"/>
            <w:right w:val="none" w:sz="0" w:space="0" w:color="auto"/>
          </w:divBdr>
        </w:div>
        <w:div w:id="1397707630">
          <w:marLeft w:val="640"/>
          <w:marRight w:val="0"/>
          <w:marTop w:val="0"/>
          <w:marBottom w:val="0"/>
          <w:divBdr>
            <w:top w:val="none" w:sz="0" w:space="0" w:color="auto"/>
            <w:left w:val="none" w:sz="0" w:space="0" w:color="auto"/>
            <w:bottom w:val="none" w:sz="0" w:space="0" w:color="auto"/>
            <w:right w:val="none" w:sz="0" w:space="0" w:color="auto"/>
          </w:divBdr>
        </w:div>
        <w:div w:id="958226303">
          <w:marLeft w:val="640"/>
          <w:marRight w:val="0"/>
          <w:marTop w:val="0"/>
          <w:marBottom w:val="0"/>
          <w:divBdr>
            <w:top w:val="none" w:sz="0" w:space="0" w:color="auto"/>
            <w:left w:val="none" w:sz="0" w:space="0" w:color="auto"/>
            <w:bottom w:val="none" w:sz="0" w:space="0" w:color="auto"/>
            <w:right w:val="none" w:sz="0" w:space="0" w:color="auto"/>
          </w:divBdr>
        </w:div>
        <w:div w:id="1068923342">
          <w:marLeft w:val="640"/>
          <w:marRight w:val="0"/>
          <w:marTop w:val="0"/>
          <w:marBottom w:val="0"/>
          <w:divBdr>
            <w:top w:val="none" w:sz="0" w:space="0" w:color="auto"/>
            <w:left w:val="none" w:sz="0" w:space="0" w:color="auto"/>
            <w:bottom w:val="none" w:sz="0" w:space="0" w:color="auto"/>
            <w:right w:val="none" w:sz="0" w:space="0" w:color="auto"/>
          </w:divBdr>
        </w:div>
        <w:div w:id="2131432391">
          <w:marLeft w:val="640"/>
          <w:marRight w:val="0"/>
          <w:marTop w:val="0"/>
          <w:marBottom w:val="0"/>
          <w:divBdr>
            <w:top w:val="none" w:sz="0" w:space="0" w:color="auto"/>
            <w:left w:val="none" w:sz="0" w:space="0" w:color="auto"/>
            <w:bottom w:val="none" w:sz="0" w:space="0" w:color="auto"/>
            <w:right w:val="none" w:sz="0" w:space="0" w:color="auto"/>
          </w:divBdr>
        </w:div>
        <w:div w:id="1012418356">
          <w:marLeft w:val="640"/>
          <w:marRight w:val="0"/>
          <w:marTop w:val="0"/>
          <w:marBottom w:val="0"/>
          <w:divBdr>
            <w:top w:val="none" w:sz="0" w:space="0" w:color="auto"/>
            <w:left w:val="none" w:sz="0" w:space="0" w:color="auto"/>
            <w:bottom w:val="none" w:sz="0" w:space="0" w:color="auto"/>
            <w:right w:val="none" w:sz="0" w:space="0" w:color="auto"/>
          </w:divBdr>
        </w:div>
        <w:div w:id="795491542">
          <w:marLeft w:val="640"/>
          <w:marRight w:val="0"/>
          <w:marTop w:val="0"/>
          <w:marBottom w:val="0"/>
          <w:divBdr>
            <w:top w:val="none" w:sz="0" w:space="0" w:color="auto"/>
            <w:left w:val="none" w:sz="0" w:space="0" w:color="auto"/>
            <w:bottom w:val="none" w:sz="0" w:space="0" w:color="auto"/>
            <w:right w:val="none" w:sz="0" w:space="0" w:color="auto"/>
          </w:divBdr>
        </w:div>
        <w:div w:id="30304053">
          <w:marLeft w:val="640"/>
          <w:marRight w:val="0"/>
          <w:marTop w:val="0"/>
          <w:marBottom w:val="0"/>
          <w:divBdr>
            <w:top w:val="none" w:sz="0" w:space="0" w:color="auto"/>
            <w:left w:val="none" w:sz="0" w:space="0" w:color="auto"/>
            <w:bottom w:val="none" w:sz="0" w:space="0" w:color="auto"/>
            <w:right w:val="none" w:sz="0" w:space="0" w:color="auto"/>
          </w:divBdr>
        </w:div>
        <w:div w:id="180630870">
          <w:marLeft w:val="640"/>
          <w:marRight w:val="0"/>
          <w:marTop w:val="0"/>
          <w:marBottom w:val="0"/>
          <w:divBdr>
            <w:top w:val="none" w:sz="0" w:space="0" w:color="auto"/>
            <w:left w:val="none" w:sz="0" w:space="0" w:color="auto"/>
            <w:bottom w:val="none" w:sz="0" w:space="0" w:color="auto"/>
            <w:right w:val="none" w:sz="0" w:space="0" w:color="auto"/>
          </w:divBdr>
        </w:div>
        <w:div w:id="1007556810">
          <w:marLeft w:val="640"/>
          <w:marRight w:val="0"/>
          <w:marTop w:val="0"/>
          <w:marBottom w:val="0"/>
          <w:divBdr>
            <w:top w:val="none" w:sz="0" w:space="0" w:color="auto"/>
            <w:left w:val="none" w:sz="0" w:space="0" w:color="auto"/>
            <w:bottom w:val="none" w:sz="0" w:space="0" w:color="auto"/>
            <w:right w:val="none" w:sz="0" w:space="0" w:color="auto"/>
          </w:divBdr>
        </w:div>
        <w:div w:id="74523824">
          <w:marLeft w:val="640"/>
          <w:marRight w:val="0"/>
          <w:marTop w:val="0"/>
          <w:marBottom w:val="0"/>
          <w:divBdr>
            <w:top w:val="none" w:sz="0" w:space="0" w:color="auto"/>
            <w:left w:val="none" w:sz="0" w:space="0" w:color="auto"/>
            <w:bottom w:val="none" w:sz="0" w:space="0" w:color="auto"/>
            <w:right w:val="none" w:sz="0" w:space="0" w:color="auto"/>
          </w:divBdr>
        </w:div>
        <w:div w:id="2010133113">
          <w:marLeft w:val="640"/>
          <w:marRight w:val="0"/>
          <w:marTop w:val="0"/>
          <w:marBottom w:val="0"/>
          <w:divBdr>
            <w:top w:val="none" w:sz="0" w:space="0" w:color="auto"/>
            <w:left w:val="none" w:sz="0" w:space="0" w:color="auto"/>
            <w:bottom w:val="none" w:sz="0" w:space="0" w:color="auto"/>
            <w:right w:val="none" w:sz="0" w:space="0" w:color="auto"/>
          </w:divBdr>
        </w:div>
        <w:div w:id="1966152006">
          <w:marLeft w:val="640"/>
          <w:marRight w:val="0"/>
          <w:marTop w:val="0"/>
          <w:marBottom w:val="0"/>
          <w:divBdr>
            <w:top w:val="none" w:sz="0" w:space="0" w:color="auto"/>
            <w:left w:val="none" w:sz="0" w:space="0" w:color="auto"/>
            <w:bottom w:val="none" w:sz="0" w:space="0" w:color="auto"/>
            <w:right w:val="none" w:sz="0" w:space="0" w:color="auto"/>
          </w:divBdr>
        </w:div>
        <w:div w:id="821048319">
          <w:marLeft w:val="640"/>
          <w:marRight w:val="0"/>
          <w:marTop w:val="0"/>
          <w:marBottom w:val="0"/>
          <w:divBdr>
            <w:top w:val="none" w:sz="0" w:space="0" w:color="auto"/>
            <w:left w:val="none" w:sz="0" w:space="0" w:color="auto"/>
            <w:bottom w:val="none" w:sz="0" w:space="0" w:color="auto"/>
            <w:right w:val="none" w:sz="0" w:space="0" w:color="auto"/>
          </w:divBdr>
        </w:div>
        <w:div w:id="1403210631">
          <w:marLeft w:val="640"/>
          <w:marRight w:val="0"/>
          <w:marTop w:val="0"/>
          <w:marBottom w:val="0"/>
          <w:divBdr>
            <w:top w:val="none" w:sz="0" w:space="0" w:color="auto"/>
            <w:left w:val="none" w:sz="0" w:space="0" w:color="auto"/>
            <w:bottom w:val="none" w:sz="0" w:space="0" w:color="auto"/>
            <w:right w:val="none" w:sz="0" w:space="0" w:color="auto"/>
          </w:divBdr>
        </w:div>
        <w:div w:id="227306426">
          <w:marLeft w:val="640"/>
          <w:marRight w:val="0"/>
          <w:marTop w:val="0"/>
          <w:marBottom w:val="0"/>
          <w:divBdr>
            <w:top w:val="none" w:sz="0" w:space="0" w:color="auto"/>
            <w:left w:val="none" w:sz="0" w:space="0" w:color="auto"/>
            <w:bottom w:val="none" w:sz="0" w:space="0" w:color="auto"/>
            <w:right w:val="none" w:sz="0" w:space="0" w:color="auto"/>
          </w:divBdr>
        </w:div>
        <w:div w:id="1786268412">
          <w:marLeft w:val="640"/>
          <w:marRight w:val="0"/>
          <w:marTop w:val="0"/>
          <w:marBottom w:val="0"/>
          <w:divBdr>
            <w:top w:val="none" w:sz="0" w:space="0" w:color="auto"/>
            <w:left w:val="none" w:sz="0" w:space="0" w:color="auto"/>
            <w:bottom w:val="none" w:sz="0" w:space="0" w:color="auto"/>
            <w:right w:val="none" w:sz="0" w:space="0" w:color="auto"/>
          </w:divBdr>
        </w:div>
        <w:div w:id="1328628919">
          <w:marLeft w:val="640"/>
          <w:marRight w:val="0"/>
          <w:marTop w:val="0"/>
          <w:marBottom w:val="0"/>
          <w:divBdr>
            <w:top w:val="none" w:sz="0" w:space="0" w:color="auto"/>
            <w:left w:val="none" w:sz="0" w:space="0" w:color="auto"/>
            <w:bottom w:val="none" w:sz="0" w:space="0" w:color="auto"/>
            <w:right w:val="none" w:sz="0" w:space="0" w:color="auto"/>
          </w:divBdr>
        </w:div>
        <w:div w:id="1179396022">
          <w:marLeft w:val="640"/>
          <w:marRight w:val="0"/>
          <w:marTop w:val="0"/>
          <w:marBottom w:val="0"/>
          <w:divBdr>
            <w:top w:val="none" w:sz="0" w:space="0" w:color="auto"/>
            <w:left w:val="none" w:sz="0" w:space="0" w:color="auto"/>
            <w:bottom w:val="none" w:sz="0" w:space="0" w:color="auto"/>
            <w:right w:val="none" w:sz="0" w:space="0" w:color="auto"/>
          </w:divBdr>
        </w:div>
        <w:div w:id="357316082">
          <w:marLeft w:val="640"/>
          <w:marRight w:val="0"/>
          <w:marTop w:val="0"/>
          <w:marBottom w:val="0"/>
          <w:divBdr>
            <w:top w:val="none" w:sz="0" w:space="0" w:color="auto"/>
            <w:left w:val="none" w:sz="0" w:space="0" w:color="auto"/>
            <w:bottom w:val="none" w:sz="0" w:space="0" w:color="auto"/>
            <w:right w:val="none" w:sz="0" w:space="0" w:color="auto"/>
          </w:divBdr>
        </w:div>
        <w:div w:id="429551112">
          <w:marLeft w:val="640"/>
          <w:marRight w:val="0"/>
          <w:marTop w:val="0"/>
          <w:marBottom w:val="0"/>
          <w:divBdr>
            <w:top w:val="none" w:sz="0" w:space="0" w:color="auto"/>
            <w:left w:val="none" w:sz="0" w:space="0" w:color="auto"/>
            <w:bottom w:val="none" w:sz="0" w:space="0" w:color="auto"/>
            <w:right w:val="none" w:sz="0" w:space="0" w:color="auto"/>
          </w:divBdr>
        </w:div>
        <w:div w:id="1135638021">
          <w:marLeft w:val="640"/>
          <w:marRight w:val="0"/>
          <w:marTop w:val="0"/>
          <w:marBottom w:val="0"/>
          <w:divBdr>
            <w:top w:val="none" w:sz="0" w:space="0" w:color="auto"/>
            <w:left w:val="none" w:sz="0" w:space="0" w:color="auto"/>
            <w:bottom w:val="none" w:sz="0" w:space="0" w:color="auto"/>
            <w:right w:val="none" w:sz="0" w:space="0" w:color="auto"/>
          </w:divBdr>
        </w:div>
        <w:div w:id="1250382946">
          <w:marLeft w:val="640"/>
          <w:marRight w:val="0"/>
          <w:marTop w:val="0"/>
          <w:marBottom w:val="0"/>
          <w:divBdr>
            <w:top w:val="none" w:sz="0" w:space="0" w:color="auto"/>
            <w:left w:val="none" w:sz="0" w:space="0" w:color="auto"/>
            <w:bottom w:val="none" w:sz="0" w:space="0" w:color="auto"/>
            <w:right w:val="none" w:sz="0" w:space="0" w:color="auto"/>
          </w:divBdr>
        </w:div>
        <w:div w:id="1474524559">
          <w:marLeft w:val="640"/>
          <w:marRight w:val="0"/>
          <w:marTop w:val="0"/>
          <w:marBottom w:val="0"/>
          <w:divBdr>
            <w:top w:val="none" w:sz="0" w:space="0" w:color="auto"/>
            <w:left w:val="none" w:sz="0" w:space="0" w:color="auto"/>
            <w:bottom w:val="none" w:sz="0" w:space="0" w:color="auto"/>
            <w:right w:val="none" w:sz="0" w:space="0" w:color="auto"/>
          </w:divBdr>
        </w:div>
        <w:div w:id="379206514">
          <w:marLeft w:val="640"/>
          <w:marRight w:val="0"/>
          <w:marTop w:val="0"/>
          <w:marBottom w:val="0"/>
          <w:divBdr>
            <w:top w:val="none" w:sz="0" w:space="0" w:color="auto"/>
            <w:left w:val="none" w:sz="0" w:space="0" w:color="auto"/>
            <w:bottom w:val="none" w:sz="0" w:space="0" w:color="auto"/>
            <w:right w:val="none" w:sz="0" w:space="0" w:color="auto"/>
          </w:divBdr>
        </w:div>
        <w:div w:id="706031587">
          <w:marLeft w:val="640"/>
          <w:marRight w:val="0"/>
          <w:marTop w:val="0"/>
          <w:marBottom w:val="0"/>
          <w:divBdr>
            <w:top w:val="none" w:sz="0" w:space="0" w:color="auto"/>
            <w:left w:val="none" w:sz="0" w:space="0" w:color="auto"/>
            <w:bottom w:val="none" w:sz="0" w:space="0" w:color="auto"/>
            <w:right w:val="none" w:sz="0" w:space="0" w:color="auto"/>
          </w:divBdr>
        </w:div>
        <w:div w:id="492723095">
          <w:marLeft w:val="640"/>
          <w:marRight w:val="0"/>
          <w:marTop w:val="0"/>
          <w:marBottom w:val="0"/>
          <w:divBdr>
            <w:top w:val="none" w:sz="0" w:space="0" w:color="auto"/>
            <w:left w:val="none" w:sz="0" w:space="0" w:color="auto"/>
            <w:bottom w:val="none" w:sz="0" w:space="0" w:color="auto"/>
            <w:right w:val="none" w:sz="0" w:space="0" w:color="auto"/>
          </w:divBdr>
        </w:div>
        <w:div w:id="1594045357">
          <w:marLeft w:val="640"/>
          <w:marRight w:val="0"/>
          <w:marTop w:val="0"/>
          <w:marBottom w:val="0"/>
          <w:divBdr>
            <w:top w:val="none" w:sz="0" w:space="0" w:color="auto"/>
            <w:left w:val="none" w:sz="0" w:space="0" w:color="auto"/>
            <w:bottom w:val="none" w:sz="0" w:space="0" w:color="auto"/>
            <w:right w:val="none" w:sz="0" w:space="0" w:color="auto"/>
          </w:divBdr>
        </w:div>
        <w:div w:id="241068101">
          <w:marLeft w:val="640"/>
          <w:marRight w:val="0"/>
          <w:marTop w:val="0"/>
          <w:marBottom w:val="0"/>
          <w:divBdr>
            <w:top w:val="none" w:sz="0" w:space="0" w:color="auto"/>
            <w:left w:val="none" w:sz="0" w:space="0" w:color="auto"/>
            <w:bottom w:val="none" w:sz="0" w:space="0" w:color="auto"/>
            <w:right w:val="none" w:sz="0" w:space="0" w:color="auto"/>
          </w:divBdr>
        </w:div>
        <w:div w:id="1126436353">
          <w:marLeft w:val="640"/>
          <w:marRight w:val="0"/>
          <w:marTop w:val="0"/>
          <w:marBottom w:val="0"/>
          <w:divBdr>
            <w:top w:val="none" w:sz="0" w:space="0" w:color="auto"/>
            <w:left w:val="none" w:sz="0" w:space="0" w:color="auto"/>
            <w:bottom w:val="none" w:sz="0" w:space="0" w:color="auto"/>
            <w:right w:val="none" w:sz="0" w:space="0" w:color="auto"/>
          </w:divBdr>
        </w:div>
        <w:div w:id="964434904">
          <w:marLeft w:val="640"/>
          <w:marRight w:val="0"/>
          <w:marTop w:val="0"/>
          <w:marBottom w:val="0"/>
          <w:divBdr>
            <w:top w:val="none" w:sz="0" w:space="0" w:color="auto"/>
            <w:left w:val="none" w:sz="0" w:space="0" w:color="auto"/>
            <w:bottom w:val="none" w:sz="0" w:space="0" w:color="auto"/>
            <w:right w:val="none" w:sz="0" w:space="0" w:color="auto"/>
          </w:divBdr>
        </w:div>
        <w:div w:id="959871481">
          <w:marLeft w:val="640"/>
          <w:marRight w:val="0"/>
          <w:marTop w:val="0"/>
          <w:marBottom w:val="0"/>
          <w:divBdr>
            <w:top w:val="none" w:sz="0" w:space="0" w:color="auto"/>
            <w:left w:val="none" w:sz="0" w:space="0" w:color="auto"/>
            <w:bottom w:val="none" w:sz="0" w:space="0" w:color="auto"/>
            <w:right w:val="none" w:sz="0" w:space="0" w:color="auto"/>
          </w:divBdr>
        </w:div>
        <w:div w:id="1998725492">
          <w:marLeft w:val="640"/>
          <w:marRight w:val="0"/>
          <w:marTop w:val="0"/>
          <w:marBottom w:val="0"/>
          <w:divBdr>
            <w:top w:val="none" w:sz="0" w:space="0" w:color="auto"/>
            <w:left w:val="none" w:sz="0" w:space="0" w:color="auto"/>
            <w:bottom w:val="none" w:sz="0" w:space="0" w:color="auto"/>
            <w:right w:val="none" w:sz="0" w:space="0" w:color="auto"/>
          </w:divBdr>
        </w:div>
        <w:div w:id="1873765171">
          <w:marLeft w:val="640"/>
          <w:marRight w:val="0"/>
          <w:marTop w:val="0"/>
          <w:marBottom w:val="0"/>
          <w:divBdr>
            <w:top w:val="none" w:sz="0" w:space="0" w:color="auto"/>
            <w:left w:val="none" w:sz="0" w:space="0" w:color="auto"/>
            <w:bottom w:val="none" w:sz="0" w:space="0" w:color="auto"/>
            <w:right w:val="none" w:sz="0" w:space="0" w:color="auto"/>
          </w:divBdr>
        </w:div>
        <w:div w:id="825517514">
          <w:marLeft w:val="640"/>
          <w:marRight w:val="0"/>
          <w:marTop w:val="0"/>
          <w:marBottom w:val="0"/>
          <w:divBdr>
            <w:top w:val="none" w:sz="0" w:space="0" w:color="auto"/>
            <w:left w:val="none" w:sz="0" w:space="0" w:color="auto"/>
            <w:bottom w:val="none" w:sz="0" w:space="0" w:color="auto"/>
            <w:right w:val="none" w:sz="0" w:space="0" w:color="auto"/>
          </w:divBdr>
        </w:div>
        <w:div w:id="803891378">
          <w:marLeft w:val="640"/>
          <w:marRight w:val="0"/>
          <w:marTop w:val="0"/>
          <w:marBottom w:val="0"/>
          <w:divBdr>
            <w:top w:val="none" w:sz="0" w:space="0" w:color="auto"/>
            <w:left w:val="none" w:sz="0" w:space="0" w:color="auto"/>
            <w:bottom w:val="none" w:sz="0" w:space="0" w:color="auto"/>
            <w:right w:val="none" w:sz="0" w:space="0" w:color="auto"/>
          </w:divBdr>
        </w:div>
        <w:div w:id="294608168">
          <w:marLeft w:val="640"/>
          <w:marRight w:val="0"/>
          <w:marTop w:val="0"/>
          <w:marBottom w:val="0"/>
          <w:divBdr>
            <w:top w:val="none" w:sz="0" w:space="0" w:color="auto"/>
            <w:left w:val="none" w:sz="0" w:space="0" w:color="auto"/>
            <w:bottom w:val="none" w:sz="0" w:space="0" w:color="auto"/>
            <w:right w:val="none" w:sz="0" w:space="0" w:color="auto"/>
          </w:divBdr>
        </w:div>
        <w:div w:id="1770586931">
          <w:marLeft w:val="640"/>
          <w:marRight w:val="0"/>
          <w:marTop w:val="0"/>
          <w:marBottom w:val="0"/>
          <w:divBdr>
            <w:top w:val="none" w:sz="0" w:space="0" w:color="auto"/>
            <w:left w:val="none" w:sz="0" w:space="0" w:color="auto"/>
            <w:bottom w:val="none" w:sz="0" w:space="0" w:color="auto"/>
            <w:right w:val="none" w:sz="0" w:space="0" w:color="auto"/>
          </w:divBdr>
        </w:div>
        <w:div w:id="1079060992">
          <w:marLeft w:val="640"/>
          <w:marRight w:val="0"/>
          <w:marTop w:val="0"/>
          <w:marBottom w:val="0"/>
          <w:divBdr>
            <w:top w:val="none" w:sz="0" w:space="0" w:color="auto"/>
            <w:left w:val="none" w:sz="0" w:space="0" w:color="auto"/>
            <w:bottom w:val="none" w:sz="0" w:space="0" w:color="auto"/>
            <w:right w:val="none" w:sz="0" w:space="0" w:color="auto"/>
          </w:divBdr>
        </w:div>
        <w:div w:id="1304970568">
          <w:marLeft w:val="640"/>
          <w:marRight w:val="0"/>
          <w:marTop w:val="0"/>
          <w:marBottom w:val="0"/>
          <w:divBdr>
            <w:top w:val="none" w:sz="0" w:space="0" w:color="auto"/>
            <w:left w:val="none" w:sz="0" w:space="0" w:color="auto"/>
            <w:bottom w:val="none" w:sz="0" w:space="0" w:color="auto"/>
            <w:right w:val="none" w:sz="0" w:space="0" w:color="auto"/>
          </w:divBdr>
        </w:div>
        <w:div w:id="1891916511">
          <w:marLeft w:val="640"/>
          <w:marRight w:val="0"/>
          <w:marTop w:val="0"/>
          <w:marBottom w:val="0"/>
          <w:divBdr>
            <w:top w:val="none" w:sz="0" w:space="0" w:color="auto"/>
            <w:left w:val="none" w:sz="0" w:space="0" w:color="auto"/>
            <w:bottom w:val="none" w:sz="0" w:space="0" w:color="auto"/>
            <w:right w:val="none" w:sz="0" w:space="0" w:color="auto"/>
          </w:divBdr>
        </w:div>
        <w:div w:id="1173493339">
          <w:marLeft w:val="640"/>
          <w:marRight w:val="0"/>
          <w:marTop w:val="0"/>
          <w:marBottom w:val="0"/>
          <w:divBdr>
            <w:top w:val="none" w:sz="0" w:space="0" w:color="auto"/>
            <w:left w:val="none" w:sz="0" w:space="0" w:color="auto"/>
            <w:bottom w:val="none" w:sz="0" w:space="0" w:color="auto"/>
            <w:right w:val="none" w:sz="0" w:space="0" w:color="auto"/>
          </w:divBdr>
        </w:div>
        <w:div w:id="975178668">
          <w:marLeft w:val="640"/>
          <w:marRight w:val="0"/>
          <w:marTop w:val="0"/>
          <w:marBottom w:val="0"/>
          <w:divBdr>
            <w:top w:val="none" w:sz="0" w:space="0" w:color="auto"/>
            <w:left w:val="none" w:sz="0" w:space="0" w:color="auto"/>
            <w:bottom w:val="none" w:sz="0" w:space="0" w:color="auto"/>
            <w:right w:val="none" w:sz="0" w:space="0" w:color="auto"/>
          </w:divBdr>
        </w:div>
        <w:div w:id="1338851103">
          <w:marLeft w:val="640"/>
          <w:marRight w:val="0"/>
          <w:marTop w:val="0"/>
          <w:marBottom w:val="0"/>
          <w:divBdr>
            <w:top w:val="none" w:sz="0" w:space="0" w:color="auto"/>
            <w:left w:val="none" w:sz="0" w:space="0" w:color="auto"/>
            <w:bottom w:val="none" w:sz="0" w:space="0" w:color="auto"/>
            <w:right w:val="none" w:sz="0" w:space="0" w:color="auto"/>
          </w:divBdr>
        </w:div>
        <w:div w:id="579800131">
          <w:marLeft w:val="640"/>
          <w:marRight w:val="0"/>
          <w:marTop w:val="0"/>
          <w:marBottom w:val="0"/>
          <w:divBdr>
            <w:top w:val="none" w:sz="0" w:space="0" w:color="auto"/>
            <w:left w:val="none" w:sz="0" w:space="0" w:color="auto"/>
            <w:bottom w:val="none" w:sz="0" w:space="0" w:color="auto"/>
            <w:right w:val="none" w:sz="0" w:space="0" w:color="auto"/>
          </w:divBdr>
        </w:div>
        <w:div w:id="1767650518">
          <w:marLeft w:val="640"/>
          <w:marRight w:val="0"/>
          <w:marTop w:val="0"/>
          <w:marBottom w:val="0"/>
          <w:divBdr>
            <w:top w:val="none" w:sz="0" w:space="0" w:color="auto"/>
            <w:left w:val="none" w:sz="0" w:space="0" w:color="auto"/>
            <w:bottom w:val="none" w:sz="0" w:space="0" w:color="auto"/>
            <w:right w:val="none" w:sz="0" w:space="0" w:color="auto"/>
          </w:divBdr>
        </w:div>
        <w:div w:id="433017920">
          <w:marLeft w:val="640"/>
          <w:marRight w:val="0"/>
          <w:marTop w:val="0"/>
          <w:marBottom w:val="0"/>
          <w:divBdr>
            <w:top w:val="none" w:sz="0" w:space="0" w:color="auto"/>
            <w:left w:val="none" w:sz="0" w:space="0" w:color="auto"/>
            <w:bottom w:val="none" w:sz="0" w:space="0" w:color="auto"/>
            <w:right w:val="none" w:sz="0" w:space="0" w:color="auto"/>
          </w:divBdr>
        </w:div>
        <w:div w:id="1310591374">
          <w:marLeft w:val="640"/>
          <w:marRight w:val="0"/>
          <w:marTop w:val="0"/>
          <w:marBottom w:val="0"/>
          <w:divBdr>
            <w:top w:val="none" w:sz="0" w:space="0" w:color="auto"/>
            <w:left w:val="none" w:sz="0" w:space="0" w:color="auto"/>
            <w:bottom w:val="none" w:sz="0" w:space="0" w:color="auto"/>
            <w:right w:val="none" w:sz="0" w:space="0" w:color="auto"/>
          </w:divBdr>
        </w:div>
        <w:div w:id="547492195">
          <w:marLeft w:val="640"/>
          <w:marRight w:val="0"/>
          <w:marTop w:val="0"/>
          <w:marBottom w:val="0"/>
          <w:divBdr>
            <w:top w:val="none" w:sz="0" w:space="0" w:color="auto"/>
            <w:left w:val="none" w:sz="0" w:space="0" w:color="auto"/>
            <w:bottom w:val="none" w:sz="0" w:space="0" w:color="auto"/>
            <w:right w:val="none" w:sz="0" w:space="0" w:color="auto"/>
          </w:divBdr>
        </w:div>
        <w:div w:id="584533776">
          <w:marLeft w:val="640"/>
          <w:marRight w:val="0"/>
          <w:marTop w:val="0"/>
          <w:marBottom w:val="0"/>
          <w:divBdr>
            <w:top w:val="none" w:sz="0" w:space="0" w:color="auto"/>
            <w:left w:val="none" w:sz="0" w:space="0" w:color="auto"/>
            <w:bottom w:val="none" w:sz="0" w:space="0" w:color="auto"/>
            <w:right w:val="none" w:sz="0" w:space="0" w:color="auto"/>
          </w:divBdr>
        </w:div>
        <w:div w:id="1332610193">
          <w:marLeft w:val="640"/>
          <w:marRight w:val="0"/>
          <w:marTop w:val="0"/>
          <w:marBottom w:val="0"/>
          <w:divBdr>
            <w:top w:val="none" w:sz="0" w:space="0" w:color="auto"/>
            <w:left w:val="none" w:sz="0" w:space="0" w:color="auto"/>
            <w:bottom w:val="none" w:sz="0" w:space="0" w:color="auto"/>
            <w:right w:val="none" w:sz="0" w:space="0" w:color="auto"/>
          </w:divBdr>
        </w:div>
        <w:div w:id="686490234">
          <w:marLeft w:val="640"/>
          <w:marRight w:val="0"/>
          <w:marTop w:val="0"/>
          <w:marBottom w:val="0"/>
          <w:divBdr>
            <w:top w:val="none" w:sz="0" w:space="0" w:color="auto"/>
            <w:left w:val="none" w:sz="0" w:space="0" w:color="auto"/>
            <w:bottom w:val="none" w:sz="0" w:space="0" w:color="auto"/>
            <w:right w:val="none" w:sz="0" w:space="0" w:color="auto"/>
          </w:divBdr>
        </w:div>
        <w:div w:id="2122449772">
          <w:marLeft w:val="640"/>
          <w:marRight w:val="0"/>
          <w:marTop w:val="0"/>
          <w:marBottom w:val="0"/>
          <w:divBdr>
            <w:top w:val="none" w:sz="0" w:space="0" w:color="auto"/>
            <w:left w:val="none" w:sz="0" w:space="0" w:color="auto"/>
            <w:bottom w:val="none" w:sz="0" w:space="0" w:color="auto"/>
            <w:right w:val="none" w:sz="0" w:space="0" w:color="auto"/>
          </w:divBdr>
        </w:div>
        <w:div w:id="1272273976">
          <w:marLeft w:val="640"/>
          <w:marRight w:val="0"/>
          <w:marTop w:val="0"/>
          <w:marBottom w:val="0"/>
          <w:divBdr>
            <w:top w:val="none" w:sz="0" w:space="0" w:color="auto"/>
            <w:left w:val="none" w:sz="0" w:space="0" w:color="auto"/>
            <w:bottom w:val="none" w:sz="0" w:space="0" w:color="auto"/>
            <w:right w:val="none" w:sz="0" w:space="0" w:color="auto"/>
          </w:divBdr>
        </w:div>
        <w:div w:id="2125925704">
          <w:marLeft w:val="640"/>
          <w:marRight w:val="0"/>
          <w:marTop w:val="0"/>
          <w:marBottom w:val="0"/>
          <w:divBdr>
            <w:top w:val="none" w:sz="0" w:space="0" w:color="auto"/>
            <w:left w:val="none" w:sz="0" w:space="0" w:color="auto"/>
            <w:bottom w:val="none" w:sz="0" w:space="0" w:color="auto"/>
            <w:right w:val="none" w:sz="0" w:space="0" w:color="auto"/>
          </w:divBdr>
        </w:div>
        <w:div w:id="166943210">
          <w:marLeft w:val="640"/>
          <w:marRight w:val="0"/>
          <w:marTop w:val="0"/>
          <w:marBottom w:val="0"/>
          <w:divBdr>
            <w:top w:val="none" w:sz="0" w:space="0" w:color="auto"/>
            <w:left w:val="none" w:sz="0" w:space="0" w:color="auto"/>
            <w:bottom w:val="none" w:sz="0" w:space="0" w:color="auto"/>
            <w:right w:val="none" w:sz="0" w:space="0" w:color="auto"/>
          </w:divBdr>
        </w:div>
        <w:div w:id="2115860694">
          <w:marLeft w:val="640"/>
          <w:marRight w:val="0"/>
          <w:marTop w:val="0"/>
          <w:marBottom w:val="0"/>
          <w:divBdr>
            <w:top w:val="none" w:sz="0" w:space="0" w:color="auto"/>
            <w:left w:val="none" w:sz="0" w:space="0" w:color="auto"/>
            <w:bottom w:val="none" w:sz="0" w:space="0" w:color="auto"/>
            <w:right w:val="none" w:sz="0" w:space="0" w:color="auto"/>
          </w:divBdr>
        </w:div>
        <w:div w:id="1744640436">
          <w:marLeft w:val="640"/>
          <w:marRight w:val="0"/>
          <w:marTop w:val="0"/>
          <w:marBottom w:val="0"/>
          <w:divBdr>
            <w:top w:val="none" w:sz="0" w:space="0" w:color="auto"/>
            <w:left w:val="none" w:sz="0" w:space="0" w:color="auto"/>
            <w:bottom w:val="none" w:sz="0" w:space="0" w:color="auto"/>
            <w:right w:val="none" w:sz="0" w:space="0" w:color="auto"/>
          </w:divBdr>
        </w:div>
        <w:div w:id="706445250">
          <w:marLeft w:val="640"/>
          <w:marRight w:val="0"/>
          <w:marTop w:val="0"/>
          <w:marBottom w:val="0"/>
          <w:divBdr>
            <w:top w:val="none" w:sz="0" w:space="0" w:color="auto"/>
            <w:left w:val="none" w:sz="0" w:space="0" w:color="auto"/>
            <w:bottom w:val="none" w:sz="0" w:space="0" w:color="auto"/>
            <w:right w:val="none" w:sz="0" w:space="0" w:color="auto"/>
          </w:divBdr>
        </w:div>
        <w:div w:id="1858346744">
          <w:marLeft w:val="640"/>
          <w:marRight w:val="0"/>
          <w:marTop w:val="0"/>
          <w:marBottom w:val="0"/>
          <w:divBdr>
            <w:top w:val="none" w:sz="0" w:space="0" w:color="auto"/>
            <w:left w:val="none" w:sz="0" w:space="0" w:color="auto"/>
            <w:bottom w:val="none" w:sz="0" w:space="0" w:color="auto"/>
            <w:right w:val="none" w:sz="0" w:space="0" w:color="auto"/>
          </w:divBdr>
        </w:div>
        <w:div w:id="695738985">
          <w:marLeft w:val="640"/>
          <w:marRight w:val="0"/>
          <w:marTop w:val="0"/>
          <w:marBottom w:val="0"/>
          <w:divBdr>
            <w:top w:val="none" w:sz="0" w:space="0" w:color="auto"/>
            <w:left w:val="none" w:sz="0" w:space="0" w:color="auto"/>
            <w:bottom w:val="none" w:sz="0" w:space="0" w:color="auto"/>
            <w:right w:val="none" w:sz="0" w:space="0" w:color="auto"/>
          </w:divBdr>
        </w:div>
        <w:div w:id="388264804">
          <w:marLeft w:val="640"/>
          <w:marRight w:val="0"/>
          <w:marTop w:val="0"/>
          <w:marBottom w:val="0"/>
          <w:divBdr>
            <w:top w:val="none" w:sz="0" w:space="0" w:color="auto"/>
            <w:left w:val="none" w:sz="0" w:space="0" w:color="auto"/>
            <w:bottom w:val="none" w:sz="0" w:space="0" w:color="auto"/>
            <w:right w:val="none" w:sz="0" w:space="0" w:color="auto"/>
          </w:divBdr>
        </w:div>
        <w:div w:id="2008096066">
          <w:marLeft w:val="640"/>
          <w:marRight w:val="0"/>
          <w:marTop w:val="0"/>
          <w:marBottom w:val="0"/>
          <w:divBdr>
            <w:top w:val="none" w:sz="0" w:space="0" w:color="auto"/>
            <w:left w:val="none" w:sz="0" w:space="0" w:color="auto"/>
            <w:bottom w:val="none" w:sz="0" w:space="0" w:color="auto"/>
            <w:right w:val="none" w:sz="0" w:space="0" w:color="auto"/>
          </w:divBdr>
        </w:div>
        <w:div w:id="2116905209">
          <w:marLeft w:val="640"/>
          <w:marRight w:val="0"/>
          <w:marTop w:val="0"/>
          <w:marBottom w:val="0"/>
          <w:divBdr>
            <w:top w:val="none" w:sz="0" w:space="0" w:color="auto"/>
            <w:left w:val="none" w:sz="0" w:space="0" w:color="auto"/>
            <w:bottom w:val="none" w:sz="0" w:space="0" w:color="auto"/>
            <w:right w:val="none" w:sz="0" w:space="0" w:color="auto"/>
          </w:divBdr>
        </w:div>
        <w:div w:id="1355037730">
          <w:marLeft w:val="640"/>
          <w:marRight w:val="0"/>
          <w:marTop w:val="0"/>
          <w:marBottom w:val="0"/>
          <w:divBdr>
            <w:top w:val="none" w:sz="0" w:space="0" w:color="auto"/>
            <w:left w:val="none" w:sz="0" w:space="0" w:color="auto"/>
            <w:bottom w:val="none" w:sz="0" w:space="0" w:color="auto"/>
            <w:right w:val="none" w:sz="0" w:space="0" w:color="auto"/>
          </w:divBdr>
        </w:div>
        <w:div w:id="1921062572">
          <w:marLeft w:val="640"/>
          <w:marRight w:val="0"/>
          <w:marTop w:val="0"/>
          <w:marBottom w:val="0"/>
          <w:divBdr>
            <w:top w:val="none" w:sz="0" w:space="0" w:color="auto"/>
            <w:left w:val="none" w:sz="0" w:space="0" w:color="auto"/>
            <w:bottom w:val="none" w:sz="0" w:space="0" w:color="auto"/>
            <w:right w:val="none" w:sz="0" w:space="0" w:color="auto"/>
          </w:divBdr>
        </w:div>
        <w:div w:id="1516457155">
          <w:marLeft w:val="640"/>
          <w:marRight w:val="0"/>
          <w:marTop w:val="0"/>
          <w:marBottom w:val="0"/>
          <w:divBdr>
            <w:top w:val="none" w:sz="0" w:space="0" w:color="auto"/>
            <w:left w:val="none" w:sz="0" w:space="0" w:color="auto"/>
            <w:bottom w:val="none" w:sz="0" w:space="0" w:color="auto"/>
            <w:right w:val="none" w:sz="0" w:space="0" w:color="auto"/>
          </w:divBdr>
        </w:div>
        <w:div w:id="1939219424">
          <w:marLeft w:val="640"/>
          <w:marRight w:val="0"/>
          <w:marTop w:val="0"/>
          <w:marBottom w:val="0"/>
          <w:divBdr>
            <w:top w:val="none" w:sz="0" w:space="0" w:color="auto"/>
            <w:left w:val="none" w:sz="0" w:space="0" w:color="auto"/>
            <w:bottom w:val="none" w:sz="0" w:space="0" w:color="auto"/>
            <w:right w:val="none" w:sz="0" w:space="0" w:color="auto"/>
          </w:divBdr>
        </w:div>
        <w:div w:id="1579247075">
          <w:marLeft w:val="640"/>
          <w:marRight w:val="0"/>
          <w:marTop w:val="0"/>
          <w:marBottom w:val="0"/>
          <w:divBdr>
            <w:top w:val="none" w:sz="0" w:space="0" w:color="auto"/>
            <w:left w:val="none" w:sz="0" w:space="0" w:color="auto"/>
            <w:bottom w:val="none" w:sz="0" w:space="0" w:color="auto"/>
            <w:right w:val="none" w:sz="0" w:space="0" w:color="auto"/>
          </w:divBdr>
        </w:div>
        <w:div w:id="1849370271">
          <w:marLeft w:val="640"/>
          <w:marRight w:val="0"/>
          <w:marTop w:val="0"/>
          <w:marBottom w:val="0"/>
          <w:divBdr>
            <w:top w:val="none" w:sz="0" w:space="0" w:color="auto"/>
            <w:left w:val="none" w:sz="0" w:space="0" w:color="auto"/>
            <w:bottom w:val="none" w:sz="0" w:space="0" w:color="auto"/>
            <w:right w:val="none" w:sz="0" w:space="0" w:color="auto"/>
          </w:divBdr>
        </w:div>
        <w:div w:id="969358808">
          <w:marLeft w:val="640"/>
          <w:marRight w:val="0"/>
          <w:marTop w:val="0"/>
          <w:marBottom w:val="0"/>
          <w:divBdr>
            <w:top w:val="none" w:sz="0" w:space="0" w:color="auto"/>
            <w:left w:val="none" w:sz="0" w:space="0" w:color="auto"/>
            <w:bottom w:val="none" w:sz="0" w:space="0" w:color="auto"/>
            <w:right w:val="none" w:sz="0" w:space="0" w:color="auto"/>
          </w:divBdr>
        </w:div>
        <w:div w:id="562373665">
          <w:marLeft w:val="640"/>
          <w:marRight w:val="0"/>
          <w:marTop w:val="0"/>
          <w:marBottom w:val="0"/>
          <w:divBdr>
            <w:top w:val="none" w:sz="0" w:space="0" w:color="auto"/>
            <w:left w:val="none" w:sz="0" w:space="0" w:color="auto"/>
            <w:bottom w:val="none" w:sz="0" w:space="0" w:color="auto"/>
            <w:right w:val="none" w:sz="0" w:space="0" w:color="auto"/>
          </w:divBdr>
        </w:div>
        <w:div w:id="154491147">
          <w:marLeft w:val="640"/>
          <w:marRight w:val="0"/>
          <w:marTop w:val="0"/>
          <w:marBottom w:val="0"/>
          <w:divBdr>
            <w:top w:val="none" w:sz="0" w:space="0" w:color="auto"/>
            <w:left w:val="none" w:sz="0" w:space="0" w:color="auto"/>
            <w:bottom w:val="none" w:sz="0" w:space="0" w:color="auto"/>
            <w:right w:val="none" w:sz="0" w:space="0" w:color="auto"/>
          </w:divBdr>
        </w:div>
        <w:div w:id="731585907">
          <w:marLeft w:val="640"/>
          <w:marRight w:val="0"/>
          <w:marTop w:val="0"/>
          <w:marBottom w:val="0"/>
          <w:divBdr>
            <w:top w:val="none" w:sz="0" w:space="0" w:color="auto"/>
            <w:left w:val="none" w:sz="0" w:space="0" w:color="auto"/>
            <w:bottom w:val="none" w:sz="0" w:space="0" w:color="auto"/>
            <w:right w:val="none" w:sz="0" w:space="0" w:color="auto"/>
          </w:divBdr>
        </w:div>
        <w:div w:id="1444298543">
          <w:marLeft w:val="640"/>
          <w:marRight w:val="0"/>
          <w:marTop w:val="0"/>
          <w:marBottom w:val="0"/>
          <w:divBdr>
            <w:top w:val="none" w:sz="0" w:space="0" w:color="auto"/>
            <w:left w:val="none" w:sz="0" w:space="0" w:color="auto"/>
            <w:bottom w:val="none" w:sz="0" w:space="0" w:color="auto"/>
            <w:right w:val="none" w:sz="0" w:space="0" w:color="auto"/>
          </w:divBdr>
        </w:div>
        <w:div w:id="2023236933">
          <w:marLeft w:val="640"/>
          <w:marRight w:val="0"/>
          <w:marTop w:val="0"/>
          <w:marBottom w:val="0"/>
          <w:divBdr>
            <w:top w:val="none" w:sz="0" w:space="0" w:color="auto"/>
            <w:left w:val="none" w:sz="0" w:space="0" w:color="auto"/>
            <w:bottom w:val="none" w:sz="0" w:space="0" w:color="auto"/>
            <w:right w:val="none" w:sz="0" w:space="0" w:color="auto"/>
          </w:divBdr>
        </w:div>
        <w:div w:id="1238438743">
          <w:marLeft w:val="640"/>
          <w:marRight w:val="0"/>
          <w:marTop w:val="0"/>
          <w:marBottom w:val="0"/>
          <w:divBdr>
            <w:top w:val="none" w:sz="0" w:space="0" w:color="auto"/>
            <w:left w:val="none" w:sz="0" w:space="0" w:color="auto"/>
            <w:bottom w:val="none" w:sz="0" w:space="0" w:color="auto"/>
            <w:right w:val="none" w:sz="0" w:space="0" w:color="auto"/>
          </w:divBdr>
        </w:div>
        <w:div w:id="1946231262">
          <w:marLeft w:val="640"/>
          <w:marRight w:val="0"/>
          <w:marTop w:val="0"/>
          <w:marBottom w:val="0"/>
          <w:divBdr>
            <w:top w:val="none" w:sz="0" w:space="0" w:color="auto"/>
            <w:left w:val="none" w:sz="0" w:space="0" w:color="auto"/>
            <w:bottom w:val="none" w:sz="0" w:space="0" w:color="auto"/>
            <w:right w:val="none" w:sz="0" w:space="0" w:color="auto"/>
          </w:divBdr>
        </w:div>
        <w:div w:id="1262182965">
          <w:marLeft w:val="640"/>
          <w:marRight w:val="0"/>
          <w:marTop w:val="0"/>
          <w:marBottom w:val="0"/>
          <w:divBdr>
            <w:top w:val="none" w:sz="0" w:space="0" w:color="auto"/>
            <w:left w:val="none" w:sz="0" w:space="0" w:color="auto"/>
            <w:bottom w:val="none" w:sz="0" w:space="0" w:color="auto"/>
            <w:right w:val="none" w:sz="0" w:space="0" w:color="auto"/>
          </w:divBdr>
        </w:div>
        <w:div w:id="1010572031">
          <w:marLeft w:val="640"/>
          <w:marRight w:val="0"/>
          <w:marTop w:val="0"/>
          <w:marBottom w:val="0"/>
          <w:divBdr>
            <w:top w:val="none" w:sz="0" w:space="0" w:color="auto"/>
            <w:left w:val="none" w:sz="0" w:space="0" w:color="auto"/>
            <w:bottom w:val="none" w:sz="0" w:space="0" w:color="auto"/>
            <w:right w:val="none" w:sz="0" w:space="0" w:color="auto"/>
          </w:divBdr>
        </w:div>
        <w:div w:id="935408428">
          <w:marLeft w:val="640"/>
          <w:marRight w:val="0"/>
          <w:marTop w:val="0"/>
          <w:marBottom w:val="0"/>
          <w:divBdr>
            <w:top w:val="none" w:sz="0" w:space="0" w:color="auto"/>
            <w:left w:val="none" w:sz="0" w:space="0" w:color="auto"/>
            <w:bottom w:val="none" w:sz="0" w:space="0" w:color="auto"/>
            <w:right w:val="none" w:sz="0" w:space="0" w:color="auto"/>
          </w:divBdr>
        </w:div>
      </w:divsChild>
    </w:div>
    <w:div w:id="1337491291">
      <w:bodyDiv w:val="1"/>
      <w:marLeft w:val="0"/>
      <w:marRight w:val="0"/>
      <w:marTop w:val="0"/>
      <w:marBottom w:val="0"/>
      <w:divBdr>
        <w:top w:val="none" w:sz="0" w:space="0" w:color="auto"/>
        <w:left w:val="none" w:sz="0" w:space="0" w:color="auto"/>
        <w:bottom w:val="none" w:sz="0" w:space="0" w:color="auto"/>
        <w:right w:val="none" w:sz="0" w:space="0" w:color="auto"/>
      </w:divBdr>
    </w:div>
    <w:div w:id="1341079911">
      <w:bodyDiv w:val="1"/>
      <w:marLeft w:val="0"/>
      <w:marRight w:val="0"/>
      <w:marTop w:val="0"/>
      <w:marBottom w:val="0"/>
      <w:divBdr>
        <w:top w:val="none" w:sz="0" w:space="0" w:color="auto"/>
        <w:left w:val="none" w:sz="0" w:space="0" w:color="auto"/>
        <w:bottom w:val="none" w:sz="0" w:space="0" w:color="auto"/>
        <w:right w:val="none" w:sz="0" w:space="0" w:color="auto"/>
      </w:divBdr>
    </w:div>
    <w:div w:id="1484852527">
      <w:bodyDiv w:val="1"/>
      <w:marLeft w:val="0"/>
      <w:marRight w:val="0"/>
      <w:marTop w:val="0"/>
      <w:marBottom w:val="0"/>
      <w:divBdr>
        <w:top w:val="none" w:sz="0" w:space="0" w:color="auto"/>
        <w:left w:val="none" w:sz="0" w:space="0" w:color="auto"/>
        <w:bottom w:val="none" w:sz="0" w:space="0" w:color="auto"/>
        <w:right w:val="none" w:sz="0" w:space="0" w:color="auto"/>
      </w:divBdr>
    </w:div>
    <w:div w:id="1576357700">
      <w:bodyDiv w:val="1"/>
      <w:marLeft w:val="0"/>
      <w:marRight w:val="0"/>
      <w:marTop w:val="0"/>
      <w:marBottom w:val="0"/>
      <w:divBdr>
        <w:top w:val="none" w:sz="0" w:space="0" w:color="auto"/>
        <w:left w:val="none" w:sz="0" w:space="0" w:color="auto"/>
        <w:bottom w:val="none" w:sz="0" w:space="0" w:color="auto"/>
        <w:right w:val="none" w:sz="0" w:space="0" w:color="auto"/>
      </w:divBdr>
    </w:div>
    <w:div w:id="1705593235">
      <w:bodyDiv w:val="1"/>
      <w:marLeft w:val="0"/>
      <w:marRight w:val="0"/>
      <w:marTop w:val="0"/>
      <w:marBottom w:val="0"/>
      <w:divBdr>
        <w:top w:val="none" w:sz="0" w:space="0" w:color="auto"/>
        <w:left w:val="none" w:sz="0" w:space="0" w:color="auto"/>
        <w:bottom w:val="none" w:sz="0" w:space="0" w:color="auto"/>
        <w:right w:val="none" w:sz="0" w:space="0" w:color="auto"/>
      </w:divBdr>
    </w:div>
    <w:div w:id="1714888418">
      <w:bodyDiv w:val="1"/>
      <w:marLeft w:val="0"/>
      <w:marRight w:val="0"/>
      <w:marTop w:val="0"/>
      <w:marBottom w:val="0"/>
      <w:divBdr>
        <w:top w:val="none" w:sz="0" w:space="0" w:color="auto"/>
        <w:left w:val="none" w:sz="0" w:space="0" w:color="auto"/>
        <w:bottom w:val="none" w:sz="0" w:space="0" w:color="auto"/>
        <w:right w:val="none" w:sz="0" w:space="0" w:color="auto"/>
      </w:divBdr>
    </w:div>
    <w:div w:id="1740901902">
      <w:bodyDiv w:val="1"/>
      <w:marLeft w:val="0"/>
      <w:marRight w:val="0"/>
      <w:marTop w:val="0"/>
      <w:marBottom w:val="0"/>
      <w:divBdr>
        <w:top w:val="none" w:sz="0" w:space="0" w:color="auto"/>
        <w:left w:val="none" w:sz="0" w:space="0" w:color="auto"/>
        <w:bottom w:val="none" w:sz="0" w:space="0" w:color="auto"/>
        <w:right w:val="none" w:sz="0" w:space="0" w:color="auto"/>
      </w:divBdr>
    </w:div>
    <w:div w:id="1793278742">
      <w:bodyDiv w:val="1"/>
      <w:marLeft w:val="0"/>
      <w:marRight w:val="0"/>
      <w:marTop w:val="0"/>
      <w:marBottom w:val="0"/>
      <w:divBdr>
        <w:top w:val="none" w:sz="0" w:space="0" w:color="auto"/>
        <w:left w:val="none" w:sz="0" w:space="0" w:color="auto"/>
        <w:bottom w:val="none" w:sz="0" w:space="0" w:color="auto"/>
        <w:right w:val="none" w:sz="0" w:space="0" w:color="auto"/>
      </w:divBdr>
    </w:div>
    <w:div w:id="1847136640">
      <w:bodyDiv w:val="1"/>
      <w:marLeft w:val="0"/>
      <w:marRight w:val="0"/>
      <w:marTop w:val="0"/>
      <w:marBottom w:val="0"/>
      <w:divBdr>
        <w:top w:val="none" w:sz="0" w:space="0" w:color="auto"/>
        <w:left w:val="none" w:sz="0" w:space="0" w:color="auto"/>
        <w:bottom w:val="none" w:sz="0" w:space="0" w:color="auto"/>
        <w:right w:val="none" w:sz="0" w:space="0" w:color="auto"/>
      </w:divBdr>
    </w:div>
    <w:div w:id="1903363892">
      <w:bodyDiv w:val="1"/>
      <w:marLeft w:val="0"/>
      <w:marRight w:val="0"/>
      <w:marTop w:val="0"/>
      <w:marBottom w:val="0"/>
      <w:divBdr>
        <w:top w:val="none" w:sz="0" w:space="0" w:color="auto"/>
        <w:left w:val="none" w:sz="0" w:space="0" w:color="auto"/>
        <w:bottom w:val="none" w:sz="0" w:space="0" w:color="auto"/>
        <w:right w:val="none" w:sz="0" w:space="0" w:color="auto"/>
      </w:divBdr>
    </w:div>
    <w:div w:id="1970553863">
      <w:bodyDiv w:val="1"/>
      <w:marLeft w:val="0"/>
      <w:marRight w:val="0"/>
      <w:marTop w:val="0"/>
      <w:marBottom w:val="0"/>
      <w:divBdr>
        <w:top w:val="none" w:sz="0" w:space="0" w:color="auto"/>
        <w:left w:val="none" w:sz="0" w:space="0" w:color="auto"/>
        <w:bottom w:val="none" w:sz="0" w:space="0" w:color="auto"/>
        <w:right w:val="none" w:sz="0" w:space="0" w:color="auto"/>
      </w:divBdr>
    </w:div>
    <w:div w:id="2047632405">
      <w:bodyDiv w:val="1"/>
      <w:marLeft w:val="0"/>
      <w:marRight w:val="0"/>
      <w:marTop w:val="0"/>
      <w:marBottom w:val="0"/>
      <w:divBdr>
        <w:top w:val="none" w:sz="0" w:space="0" w:color="auto"/>
        <w:left w:val="none" w:sz="0" w:space="0" w:color="auto"/>
        <w:bottom w:val="none" w:sz="0" w:space="0" w:color="auto"/>
        <w:right w:val="none" w:sz="0" w:space="0" w:color="auto"/>
      </w:divBdr>
      <w:divsChild>
        <w:div w:id="740297176">
          <w:marLeft w:val="640"/>
          <w:marRight w:val="0"/>
          <w:marTop w:val="0"/>
          <w:marBottom w:val="0"/>
          <w:divBdr>
            <w:top w:val="none" w:sz="0" w:space="0" w:color="auto"/>
            <w:left w:val="none" w:sz="0" w:space="0" w:color="auto"/>
            <w:bottom w:val="none" w:sz="0" w:space="0" w:color="auto"/>
            <w:right w:val="none" w:sz="0" w:space="0" w:color="auto"/>
          </w:divBdr>
        </w:div>
        <w:div w:id="1041898654">
          <w:marLeft w:val="640"/>
          <w:marRight w:val="0"/>
          <w:marTop w:val="0"/>
          <w:marBottom w:val="0"/>
          <w:divBdr>
            <w:top w:val="none" w:sz="0" w:space="0" w:color="auto"/>
            <w:left w:val="none" w:sz="0" w:space="0" w:color="auto"/>
            <w:bottom w:val="none" w:sz="0" w:space="0" w:color="auto"/>
            <w:right w:val="none" w:sz="0" w:space="0" w:color="auto"/>
          </w:divBdr>
        </w:div>
        <w:div w:id="1583030115">
          <w:marLeft w:val="640"/>
          <w:marRight w:val="0"/>
          <w:marTop w:val="0"/>
          <w:marBottom w:val="0"/>
          <w:divBdr>
            <w:top w:val="none" w:sz="0" w:space="0" w:color="auto"/>
            <w:left w:val="none" w:sz="0" w:space="0" w:color="auto"/>
            <w:bottom w:val="none" w:sz="0" w:space="0" w:color="auto"/>
            <w:right w:val="none" w:sz="0" w:space="0" w:color="auto"/>
          </w:divBdr>
        </w:div>
        <w:div w:id="905141071">
          <w:marLeft w:val="640"/>
          <w:marRight w:val="0"/>
          <w:marTop w:val="0"/>
          <w:marBottom w:val="0"/>
          <w:divBdr>
            <w:top w:val="none" w:sz="0" w:space="0" w:color="auto"/>
            <w:left w:val="none" w:sz="0" w:space="0" w:color="auto"/>
            <w:bottom w:val="none" w:sz="0" w:space="0" w:color="auto"/>
            <w:right w:val="none" w:sz="0" w:space="0" w:color="auto"/>
          </w:divBdr>
        </w:div>
        <w:div w:id="2112579655">
          <w:marLeft w:val="640"/>
          <w:marRight w:val="0"/>
          <w:marTop w:val="0"/>
          <w:marBottom w:val="0"/>
          <w:divBdr>
            <w:top w:val="none" w:sz="0" w:space="0" w:color="auto"/>
            <w:left w:val="none" w:sz="0" w:space="0" w:color="auto"/>
            <w:bottom w:val="none" w:sz="0" w:space="0" w:color="auto"/>
            <w:right w:val="none" w:sz="0" w:space="0" w:color="auto"/>
          </w:divBdr>
        </w:div>
        <w:div w:id="318390480">
          <w:marLeft w:val="640"/>
          <w:marRight w:val="0"/>
          <w:marTop w:val="0"/>
          <w:marBottom w:val="0"/>
          <w:divBdr>
            <w:top w:val="none" w:sz="0" w:space="0" w:color="auto"/>
            <w:left w:val="none" w:sz="0" w:space="0" w:color="auto"/>
            <w:bottom w:val="none" w:sz="0" w:space="0" w:color="auto"/>
            <w:right w:val="none" w:sz="0" w:space="0" w:color="auto"/>
          </w:divBdr>
        </w:div>
        <w:div w:id="116993043">
          <w:marLeft w:val="640"/>
          <w:marRight w:val="0"/>
          <w:marTop w:val="0"/>
          <w:marBottom w:val="0"/>
          <w:divBdr>
            <w:top w:val="none" w:sz="0" w:space="0" w:color="auto"/>
            <w:left w:val="none" w:sz="0" w:space="0" w:color="auto"/>
            <w:bottom w:val="none" w:sz="0" w:space="0" w:color="auto"/>
            <w:right w:val="none" w:sz="0" w:space="0" w:color="auto"/>
          </w:divBdr>
        </w:div>
        <w:div w:id="1708263661">
          <w:marLeft w:val="640"/>
          <w:marRight w:val="0"/>
          <w:marTop w:val="0"/>
          <w:marBottom w:val="0"/>
          <w:divBdr>
            <w:top w:val="none" w:sz="0" w:space="0" w:color="auto"/>
            <w:left w:val="none" w:sz="0" w:space="0" w:color="auto"/>
            <w:bottom w:val="none" w:sz="0" w:space="0" w:color="auto"/>
            <w:right w:val="none" w:sz="0" w:space="0" w:color="auto"/>
          </w:divBdr>
        </w:div>
        <w:div w:id="1790540869">
          <w:marLeft w:val="640"/>
          <w:marRight w:val="0"/>
          <w:marTop w:val="0"/>
          <w:marBottom w:val="0"/>
          <w:divBdr>
            <w:top w:val="none" w:sz="0" w:space="0" w:color="auto"/>
            <w:left w:val="none" w:sz="0" w:space="0" w:color="auto"/>
            <w:bottom w:val="none" w:sz="0" w:space="0" w:color="auto"/>
            <w:right w:val="none" w:sz="0" w:space="0" w:color="auto"/>
          </w:divBdr>
        </w:div>
        <w:div w:id="110364661">
          <w:marLeft w:val="640"/>
          <w:marRight w:val="0"/>
          <w:marTop w:val="0"/>
          <w:marBottom w:val="0"/>
          <w:divBdr>
            <w:top w:val="none" w:sz="0" w:space="0" w:color="auto"/>
            <w:left w:val="none" w:sz="0" w:space="0" w:color="auto"/>
            <w:bottom w:val="none" w:sz="0" w:space="0" w:color="auto"/>
            <w:right w:val="none" w:sz="0" w:space="0" w:color="auto"/>
          </w:divBdr>
        </w:div>
        <w:div w:id="1133980053">
          <w:marLeft w:val="640"/>
          <w:marRight w:val="0"/>
          <w:marTop w:val="0"/>
          <w:marBottom w:val="0"/>
          <w:divBdr>
            <w:top w:val="none" w:sz="0" w:space="0" w:color="auto"/>
            <w:left w:val="none" w:sz="0" w:space="0" w:color="auto"/>
            <w:bottom w:val="none" w:sz="0" w:space="0" w:color="auto"/>
            <w:right w:val="none" w:sz="0" w:space="0" w:color="auto"/>
          </w:divBdr>
        </w:div>
        <w:div w:id="1078332539">
          <w:marLeft w:val="640"/>
          <w:marRight w:val="0"/>
          <w:marTop w:val="0"/>
          <w:marBottom w:val="0"/>
          <w:divBdr>
            <w:top w:val="none" w:sz="0" w:space="0" w:color="auto"/>
            <w:left w:val="none" w:sz="0" w:space="0" w:color="auto"/>
            <w:bottom w:val="none" w:sz="0" w:space="0" w:color="auto"/>
            <w:right w:val="none" w:sz="0" w:space="0" w:color="auto"/>
          </w:divBdr>
        </w:div>
        <w:div w:id="1591236615">
          <w:marLeft w:val="640"/>
          <w:marRight w:val="0"/>
          <w:marTop w:val="0"/>
          <w:marBottom w:val="0"/>
          <w:divBdr>
            <w:top w:val="none" w:sz="0" w:space="0" w:color="auto"/>
            <w:left w:val="none" w:sz="0" w:space="0" w:color="auto"/>
            <w:bottom w:val="none" w:sz="0" w:space="0" w:color="auto"/>
            <w:right w:val="none" w:sz="0" w:space="0" w:color="auto"/>
          </w:divBdr>
        </w:div>
        <w:div w:id="756093883">
          <w:marLeft w:val="640"/>
          <w:marRight w:val="0"/>
          <w:marTop w:val="0"/>
          <w:marBottom w:val="0"/>
          <w:divBdr>
            <w:top w:val="none" w:sz="0" w:space="0" w:color="auto"/>
            <w:left w:val="none" w:sz="0" w:space="0" w:color="auto"/>
            <w:bottom w:val="none" w:sz="0" w:space="0" w:color="auto"/>
            <w:right w:val="none" w:sz="0" w:space="0" w:color="auto"/>
          </w:divBdr>
        </w:div>
        <w:div w:id="232088593">
          <w:marLeft w:val="640"/>
          <w:marRight w:val="0"/>
          <w:marTop w:val="0"/>
          <w:marBottom w:val="0"/>
          <w:divBdr>
            <w:top w:val="none" w:sz="0" w:space="0" w:color="auto"/>
            <w:left w:val="none" w:sz="0" w:space="0" w:color="auto"/>
            <w:bottom w:val="none" w:sz="0" w:space="0" w:color="auto"/>
            <w:right w:val="none" w:sz="0" w:space="0" w:color="auto"/>
          </w:divBdr>
        </w:div>
        <w:div w:id="96602427">
          <w:marLeft w:val="640"/>
          <w:marRight w:val="0"/>
          <w:marTop w:val="0"/>
          <w:marBottom w:val="0"/>
          <w:divBdr>
            <w:top w:val="none" w:sz="0" w:space="0" w:color="auto"/>
            <w:left w:val="none" w:sz="0" w:space="0" w:color="auto"/>
            <w:bottom w:val="none" w:sz="0" w:space="0" w:color="auto"/>
            <w:right w:val="none" w:sz="0" w:space="0" w:color="auto"/>
          </w:divBdr>
        </w:div>
        <w:div w:id="752552384">
          <w:marLeft w:val="640"/>
          <w:marRight w:val="0"/>
          <w:marTop w:val="0"/>
          <w:marBottom w:val="0"/>
          <w:divBdr>
            <w:top w:val="none" w:sz="0" w:space="0" w:color="auto"/>
            <w:left w:val="none" w:sz="0" w:space="0" w:color="auto"/>
            <w:bottom w:val="none" w:sz="0" w:space="0" w:color="auto"/>
            <w:right w:val="none" w:sz="0" w:space="0" w:color="auto"/>
          </w:divBdr>
        </w:div>
        <w:div w:id="106583648">
          <w:marLeft w:val="640"/>
          <w:marRight w:val="0"/>
          <w:marTop w:val="0"/>
          <w:marBottom w:val="0"/>
          <w:divBdr>
            <w:top w:val="none" w:sz="0" w:space="0" w:color="auto"/>
            <w:left w:val="none" w:sz="0" w:space="0" w:color="auto"/>
            <w:bottom w:val="none" w:sz="0" w:space="0" w:color="auto"/>
            <w:right w:val="none" w:sz="0" w:space="0" w:color="auto"/>
          </w:divBdr>
        </w:div>
        <w:div w:id="1152064402">
          <w:marLeft w:val="640"/>
          <w:marRight w:val="0"/>
          <w:marTop w:val="0"/>
          <w:marBottom w:val="0"/>
          <w:divBdr>
            <w:top w:val="none" w:sz="0" w:space="0" w:color="auto"/>
            <w:left w:val="none" w:sz="0" w:space="0" w:color="auto"/>
            <w:bottom w:val="none" w:sz="0" w:space="0" w:color="auto"/>
            <w:right w:val="none" w:sz="0" w:space="0" w:color="auto"/>
          </w:divBdr>
        </w:div>
        <w:div w:id="1235821554">
          <w:marLeft w:val="640"/>
          <w:marRight w:val="0"/>
          <w:marTop w:val="0"/>
          <w:marBottom w:val="0"/>
          <w:divBdr>
            <w:top w:val="none" w:sz="0" w:space="0" w:color="auto"/>
            <w:left w:val="none" w:sz="0" w:space="0" w:color="auto"/>
            <w:bottom w:val="none" w:sz="0" w:space="0" w:color="auto"/>
            <w:right w:val="none" w:sz="0" w:space="0" w:color="auto"/>
          </w:divBdr>
        </w:div>
        <w:div w:id="381443365">
          <w:marLeft w:val="640"/>
          <w:marRight w:val="0"/>
          <w:marTop w:val="0"/>
          <w:marBottom w:val="0"/>
          <w:divBdr>
            <w:top w:val="none" w:sz="0" w:space="0" w:color="auto"/>
            <w:left w:val="none" w:sz="0" w:space="0" w:color="auto"/>
            <w:bottom w:val="none" w:sz="0" w:space="0" w:color="auto"/>
            <w:right w:val="none" w:sz="0" w:space="0" w:color="auto"/>
          </w:divBdr>
        </w:div>
        <w:div w:id="1964533875">
          <w:marLeft w:val="640"/>
          <w:marRight w:val="0"/>
          <w:marTop w:val="0"/>
          <w:marBottom w:val="0"/>
          <w:divBdr>
            <w:top w:val="none" w:sz="0" w:space="0" w:color="auto"/>
            <w:left w:val="none" w:sz="0" w:space="0" w:color="auto"/>
            <w:bottom w:val="none" w:sz="0" w:space="0" w:color="auto"/>
            <w:right w:val="none" w:sz="0" w:space="0" w:color="auto"/>
          </w:divBdr>
        </w:div>
        <w:div w:id="893932456">
          <w:marLeft w:val="640"/>
          <w:marRight w:val="0"/>
          <w:marTop w:val="0"/>
          <w:marBottom w:val="0"/>
          <w:divBdr>
            <w:top w:val="none" w:sz="0" w:space="0" w:color="auto"/>
            <w:left w:val="none" w:sz="0" w:space="0" w:color="auto"/>
            <w:bottom w:val="none" w:sz="0" w:space="0" w:color="auto"/>
            <w:right w:val="none" w:sz="0" w:space="0" w:color="auto"/>
          </w:divBdr>
        </w:div>
        <w:div w:id="68157913">
          <w:marLeft w:val="640"/>
          <w:marRight w:val="0"/>
          <w:marTop w:val="0"/>
          <w:marBottom w:val="0"/>
          <w:divBdr>
            <w:top w:val="none" w:sz="0" w:space="0" w:color="auto"/>
            <w:left w:val="none" w:sz="0" w:space="0" w:color="auto"/>
            <w:bottom w:val="none" w:sz="0" w:space="0" w:color="auto"/>
            <w:right w:val="none" w:sz="0" w:space="0" w:color="auto"/>
          </w:divBdr>
        </w:div>
        <w:div w:id="1746225785">
          <w:marLeft w:val="640"/>
          <w:marRight w:val="0"/>
          <w:marTop w:val="0"/>
          <w:marBottom w:val="0"/>
          <w:divBdr>
            <w:top w:val="none" w:sz="0" w:space="0" w:color="auto"/>
            <w:left w:val="none" w:sz="0" w:space="0" w:color="auto"/>
            <w:bottom w:val="none" w:sz="0" w:space="0" w:color="auto"/>
            <w:right w:val="none" w:sz="0" w:space="0" w:color="auto"/>
          </w:divBdr>
        </w:div>
        <w:div w:id="570312002">
          <w:marLeft w:val="640"/>
          <w:marRight w:val="0"/>
          <w:marTop w:val="0"/>
          <w:marBottom w:val="0"/>
          <w:divBdr>
            <w:top w:val="none" w:sz="0" w:space="0" w:color="auto"/>
            <w:left w:val="none" w:sz="0" w:space="0" w:color="auto"/>
            <w:bottom w:val="none" w:sz="0" w:space="0" w:color="auto"/>
            <w:right w:val="none" w:sz="0" w:space="0" w:color="auto"/>
          </w:divBdr>
        </w:div>
        <w:div w:id="607129796">
          <w:marLeft w:val="640"/>
          <w:marRight w:val="0"/>
          <w:marTop w:val="0"/>
          <w:marBottom w:val="0"/>
          <w:divBdr>
            <w:top w:val="none" w:sz="0" w:space="0" w:color="auto"/>
            <w:left w:val="none" w:sz="0" w:space="0" w:color="auto"/>
            <w:bottom w:val="none" w:sz="0" w:space="0" w:color="auto"/>
            <w:right w:val="none" w:sz="0" w:space="0" w:color="auto"/>
          </w:divBdr>
        </w:div>
        <w:div w:id="733509993">
          <w:marLeft w:val="640"/>
          <w:marRight w:val="0"/>
          <w:marTop w:val="0"/>
          <w:marBottom w:val="0"/>
          <w:divBdr>
            <w:top w:val="none" w:sz="0" w:space="0" w:color="auto"/>
            <w:left w:val="none" w:sz="0" w:space="0" w:color="auto"/>
            <w:bottom w:val="none" w:sz="0" w:space="0" w:color="auto"/>
            <w:right w:val="none" w:sz="0" w:space="0" w:color="auto"/>
          </w:divBdr>
        </w:div>
        <w:div w:id="1336499080">
          <w:marLeft w:val="640"/>
          <w:marRight w:val="0"/>
          <w:marTop w:val="0"/>
          <w:marBottom w:val="0"/>
          <w:divBdr>
            <w:top w:val="none" w:sz="0" w:space="0" w:color="auto"/>
            <w:left w:val="none" w:sz="0" w:space="0" w:color="auto"/>
            <w:bottom w:val="none" w:sz="0" w:space="0" w:color="auto"/>
            <w:right w:val="none" w:sz="0" w:space="0" w:color="auto"/>
          </w:divBdr>
        </w:div>
        <w:div w:id="299847872">
          <w:marLeft w:val="640"/>
          <w:marRight w:val="0"/>
          <w:marTop w:val="0"/>
          <w:marBottom w:val="0"/>
          <w:divBdr>
            <w:top w:val="none" w:sz="0" w:space="0" w:color="auto"/>
            <w:left w:val="none" w:sz="0" w:space="0" w:color="auto"/>
            <w:bottom w:val="none" w:sz="0" w:space="0" w:color="auto"/>
            <w:right w:val="none" w:sz="0" w:space="0" w:color="auto"/>
          </w:divBdr>
        </w:div>
        <w:div w:id="1775244877">
          <w:marLeft w:val="640"/>
          <w:marRight w:val="0"/>
          <w:marTop w:val="0"/>
          <w:marBottom w:val="0"/>
          <w:divBdr>
            <w:top w:val="none" w:sz="0" w:space="0" w:color="auto"/>
            <w:left w:val="none" w:sz="0" w:space="0" w:color="auto"/>
            <w:bottom w:val="none" w:sz="0" w:space="0" w:color="auto"/>
            <w:right w:val="none" w:sz="0" w:space="0" w:color="auto"/>
          </w:divBdr>
        </w:div>
        <w:div w:id="505826303">
          <w:marLeft w:val="640"/>
          <w:marRight w:val="0"/>
          <w:marTop w:val="0"/>
          <w:marBottom w:val="0"/>
          <w:divBdr>
            <w:top w:val="none" w:sz="0" w:space="0" w:color="auto"/>
            <w:left w:val="none" w:sz="0" w:space="0" w:color="auto"/>
            <w:bottom w:val="none" w:sz="0" w:space="0" w:color="auto"/>
            <w:right w:val="none" w:sz="0" w:space="0" w:color="auto"/>
          </w:divBdr>
        </w:div>
        <w:div w:id="54016853">
          <w:marLeft w:val="640"/>
          <w:marRight w:val="0"/>
          <w:marTop w:val="0"/>
          <w:marBottom w:val="0"/>
          <w:divBdr>
            <w:top w:val="none" w:sz="0" w:space="0" w:color="auto"/>
            <w:left w:val="none" w:sz="0" w:space="0" w:color="auto"/>
            <w:bottom w:val="none" w:sz="0" w:space="0" w:color="auto"/>
            <w:right w:val="none" w:sz="0" w:space="0" w:color="auto"/>
          </w:divBdr>
        </w:div>
        <w:div w:id="1227187478">
          <w:marLeft w:val="640"/>
          <w:marRight w:val="0"/>
          <w:marTop w:val="0"/>
          <w:marBottom w:val="0"/>
          <w:divBdr>
            <w:top w:val="none" w:sz="0" w:space="0" w:color="auto"/>
            <w:left w:val="none" w:sz="0" w:space="0" w:color="auto"/>
            <w:bottom w:val="none" w:sz="0" w:space="0" w:color="auto"/>
            <w:right w:val="none" w:sz="0" w:space="0" w:color="auto"/>
          </w:divBdr>
        </w:div>
        <w:div w:id="465898549">
          <w:marLeft w:val="640"/>
          <w:marRight w:val="0"/>
          <w:marTop w:val="0"/>
          <w:marBottom w:val="0"/>
          <w:divBdr>
            <w:top w:val="none" w:sz="0" w:space="0" w:color="auto"/>
            <w:left w:val="none" w:sz="0" w:space="0" w:color="auto"/>
            <w:bottom w:val="none" w:sz="0" w:space="0" w:color="auto"/>
            <w:right w:val="none" w:sz="0" w:space="0" w:color="auto"/>
          </w:divBdr>
        </w:div>
        <w:div w:id="1252474297">
          <w:marLeft w:val="640"/>
          <w:marRight w:val="0"/>
          <w:marTop w:val="0"/>
          <w:marBottom w:val="0"/>
          <w:divBdr>
            <w:top w:val="none" w:sz="0" w:space="0" w:color="auto"/>
            <w:left w:val="none" w:sz="0" w:space="0" w:color="auto"/>
            <w:bottom w:val="none" w:sz="0" w:space="0" w:color="auto"/>
            <w:right w:val="none" w:sz="0" w:space="0" w:color="auto"/>
          </w:divBdr>
        </w:div>
        <w:div w:id="136535138">
          <w:marLeft w:val="640"/>
          <w:marRight w:val="0"/>
          <w:marTop w:val="0"/>
          <w:marBottom w:val="0"/>
          <w:divBdr>
            <w:top w:val="none" w:sz="0" w:space="0" w:color="auto"/>
            <w:left w:val="none" w:sz="0" w:space="0" w:color="auto"/>
            <w:bottom w:val="none" w:sz="0" w:space="0" w:color="auto"/>
            <w:right w:val="none" w:sz="0" w:space="0" w:color="auto"/>
          </w:divBdr>
        </w:div>
        <w:div w:id="1250432153">
          <w:marLeft w:val="640"/>
          <w:marRight w:val="0"/>
          <w:marTop w:val="0"/>
          <w:marBottom w:val="0"/>
          <w:divBdr>
            <w:top w:val="none" w:sz="0" w:space="0" w:color="auto"/>
            <w:left w:val="none" w:sz="0" w:space="0" w:color="auto"/>
            <w:bottom w:val="none" w:sz="0" w:space="0" w:color="auto"/>
            <w:right w:val="none" w:sz="0" w:space="0" w:color="auto"/>
          </w:divBdr>
        </w:div>
        <w:div w:id="858931284">
          <w:marLeft w:val="640"/>
          <w:marRight w:val="0"/>
          <w:marTop w:val="0"/>
          <w:marBottom w:val="0"/>
          <w:divBdr>
            <w:top w:val="none" w:sz="0" w:space="0" w:color="auto"/>
            <w:left w:val="none" w:sz="0" w:space="0" w:color="auto"/>
            <w:bottom w:val="none" w:sz="0" w:space="0" w:color="auto"/>
            <w:right w:val="none" w:sz="0" w:space="0" w:color="auto"/>
          </w:divBdr>
        </w:div>
        <w:div w:id="2130201959">
          <w:marLeft w:val="640"/>
          <w:marRight w:val="0"/>
          <w:marTop w:val="0"/>
          <w:marBottom w:val="0"/>
          <w:divBdr>
            <w:top w:val="none" w:sz="0" w:space="0" w:color="auto"/>
            <w:left w:val="none" w:sz="0" w:space="0" w:color="auto"/>
            <w:bottom w:val="none" w:sz="0" w:space="0" w:color="auto"/>
            <w:right w:val="none" w:sz="0" w:space="0" w:color="auto"/>
          </w:divBdr>
        </w:div>
        <w:div w:id="53042543">
          <w:marLeft w:val="640"/>
          <w:marRight w:val="0"/>
          <w:marTop w:val="0"/>
          <w:marBottom w:val="0"/>
          <w:divBdr>
            <w:top w:val="none" w:sz="0" w:space="0" w:color="auto"/>
            <w:left w:val="none" w:sz="0" w:space="0" w:color="auto"/>
            <w:bottom w:val="none" w:sz="0" w:space="0" w:color="auto"/>
            <w:right w:val="none" w:sz="0" w:space="0" w:color="auto"/>
          </w:divBdr>
        </w:div>
        <w:div w:id="541022669">
          <w:marLeft w:val="640"/>
          <w:marRight w:val="0"/>
          <w:marTop w:val="0"/>
          <w:marBottom w:val="0"/>
          <w:divBdr>
            <w:top w:val="none" w:sz="0" w:space="0" w:color="auto"/>
            <w:left w:val="none" w:sz="0" w:space="0" w:color="auto"/>
            <w:bottom w:val="none" w:sz="0" w:space="0" w:color="auto"/>
            <w:right w:val="none" w:sz="0" w:space="0" w:color="auto"/>
          </w:divBdr>
        </w:div>
        <w:div w:id="758596827">
          <w:marLeft w:val="640"/>
          <w:marRight w:val="0"/>
          <w:marTop w:val="0"/>
          <w:marBottom w:val="0"/>
          <w:divBdr>
            <w:top w:val="none" w:sz="0" w:space="0" w:color="auto"/>
            <w:left w:val="none" w:sz="0" w:space="0" w:color="auto"/>
            <w:bottom w:val="none" w:sz="0" w:space="0" w:color="auto"/>
            <w:right w:val="none" w:sz="0" w:space="0" w:color="auto"/>
          </w:divBdr>
        </w:div>
        <w:div w:id="849876904">
          <w:marLeft w:val="640"/>
          <w:marRight w:val="0"/>
          <w:marTop w:val="0"/>
          <w:marBottom w:val="0"/>
          <w:divBdr>
            <w:top w:val="none" w:sz="0" w:space="0" w:color="auto"/>
            <w:left w:val="none" w:sz="0" w:space="0" w:color="auto"/>
            <w:bottom w:val="none" w:sz="0" w:space="0" w:color="auto"/>
            <w:right w:val="none" w:sz="0" w:space="0" w:color="auto"/>
          </w:divBdr>
        </w:div>
        <w:div w:id="73162260">
          <w:marLeft w:val="640"/>
          <w:marRight w:val="0"/>
          <w:marTop w:val="0"/>
          <w:marBottom w:val="0"/>
          <w:divBdr>
            <w:top w:val="none" w:sz="0" w:space="0" w:color="auto"/>
            <w:left w:val="none" w:sz="0" w:space="0" w:color="auto"/>
            <w:bottom w:val="none" w:sz="0" w:space="0" w:color="auto"/>
            <w:right w:val="none" w:sz="0" w:space="0" w:color="auto"/>
          </w:divBdr>
        </w:div>
        <w:div w:id="1361397108">
          <w:marLeft w:val="640"/>
          <w:marRight w:val="0"/>
          <w:marTop w:val="0"/>
          <w:marBottom w:val="0"/>
          <w:divBdr>
            <w:top w:val="none" w:sz="0" w:space="0" w:color="auto"/>
            <w:left w:val="none" w:sz="0" w:space="0" w:color="auto"/>
            <w:bottom w:val="none" w:sz="0" w:space="0" w:color="auto"/>
            <w:right w:val="none" w:sz="0" w:space="0" w:color="auto"/>
          </w:divBdr>
        </w:div>
        <w:div w:id="14312028">
          <w:marLeft w:val="640"/>
          <w:marRight w:val="0"/>
          <w:marTop w:val="0"/>
          <w:marBottom w:val="0"/>
          <w:divBdr>
            <w:top w:val="none" w:sz="0" w:space="0" w:color="auto"/>
            <w:left w:val="none" w:sz="0" w:space="0" w:color="auto"/>
            <w:bottom w:val="none" w:sz="0" w:space="0" w:color="auto"/>
            <w:right w:val="none" w:sz="0" w:space="0" w:color="auto"/>
          </w:divBdr>
        </w:div>
        <w:div w:id="133303896">
          <w:marLeft w:val="640"/>
          <w:marRight w:val="0"/>
          <w:marTop w:val="0"/>
          <w:marBottom w:val="0"/>
          <w:divBdr>
            <w:top w:val="none" w:sz="0" w:space="0" w:color="auto"/>
            <w:left w:val="none" w:sz="0" w:space="0" w:color="auto"/>
            <w:bottom w:val="none" w:sz="0" w:space="0" w:color="auto"/>
            <w:right w:val="none" w:sz="0" w:space="0" w:color="auto"/>
          </w:divBdr>
        </w:div>
        <w:div w:id="1535845999">
          <w:marLeft w:val="640"/>
          <w:marRight w:val="0"/>
          <w:marTop w:val="0"/>
          <w:marBottom w:val="0"/>
          <w:divBdr>
            <w:top w:val="none" w:sz="0" w:space="0" w:color="auto"/>
            <w:left w:val="none" w:sz="0" w:space="0" w:color="auto"/>
            <w:bottom w:val="none" w:sz="0" w:space="0" w:color="auto"/>
            <w:right w:val="none" w:sz="0" w:space="0" w:color="auto"/>
          </w:divBdr>
        </w:div>
        <w:div w:id="296223039">
          <w:marLeft w:val="640"/>
          <w:marRight w:val="0"/>
          <w:marTop w:val="0"/>
          <w:marBottom w:val="0"/>
          <w:divBdr>
            <w:top w:val="none" w:sz="0" w:space="0" w:color="auto"/>
            <w:left w:val="none" w:sz="0" w:space="0" w:color="auto"/>
            <w:bottom w:val="none" w:sz="0" w:space="0" w:color="auto"/>
            <w:right w:val="none" w:sz="0" w:space="0" w:color="auto"/>
          </w:divBdr>
        </w:div>
        <w:div w:id="1705902390">
          <w:marLeft w:val="640"/>
          <w:marRight w:val="0"/>
          <w:marTop w:val="0"/>
          <w:marBottom w:val="0"/>
          <w:divBdr>
            <w:top w:val="none" w:sz="0" w:space="0" w:color="auto"/>
            <w:left w:val="none" w:sz="0" w:space="0" w:color="auto"/>
            <w:bottom w:val="none" w:sz="0" w:space="0" w:color="auto"/>
            <w:right w:val="none" w:sz="0" w:space="0" w:color="auto"/>
          </w:divBdr>
        </w:div>
        <w:div w:id="2130736135">
          <w:marLeft w:val="640"/>
          <w:marRight w:val="0"/>
          <w:marTop w:val="0"/>
          <w:marBottom w:val="0"/>
          <w:divBdr>
            <w:top w:val="none" w:sz="0" w:space="0" w:color="auto"/>
            <w:left w:val="none" w:sz="0" w:space="0" w:color="auto"/>
            <w:bottom w:val="none" w:sz="0" w:space="0" w:color="auto"/>
            <w:right w:val="none" w:sz="0" w:space="0" w:color="auto"/>
          </w:divBdr>
        </w:div>
        <w:div w:id="1674531169">
          <w:marLeft w:val="640"/>
          <w:marRight w:val="0"/>
          <w:marTop w:val="0"/>
          <w:marBottom w:val="0"/>
          <w:divBdr>
            <w:top w:val="none" w:sz="0" w:space="0" w:color="auto"/>
            <w:left w:val="none" w:sz="0" w:space="0" w:color="auto"/>
            <w:bottom w:val="none" w:sz="0" w:space="0" w:color="auto"/>
            <w:right w:val="none" w:sz="0" w:space="0" w:color="auto"/>
          </w:divBdr>
        </w:div>
        <w:div w:id="645859601">
          <w:marLeft w:val="640"/>
          <w:marRight w:val="0"/>
          <w:marTop w:val="0"/>
          <w:marBottom w:val="0"/>
          <w:divBdr>
            <w:top w:val="none" w:sz="0" w:space="0" w:color="auto"/>
            <w:left w:val="none" w:sz="0" w:space="0" w:color="auto"/>
            <w:bottom w:val="none" w:sz="0" w:space="0" w:color="auto"/>
            <w:right w:val="none" w:sz="0" w:space="0" w:color="auto"/>
          </w:divBdr>
        </w:div>
        <w:div w:id="1323390417">
          <w:marLeft w:val="640"/>
          <w:marRight w:val="0"/>
          <w:marTop w:val="0"/>
          <w:marBottom w:val="0"/>
          <w:divBdr>
            <w:top w:val="none" w:sz="0" w:space="0" w:color="auto"/>
            <w:left w:val="none" w:sz="0" w:space="0" w:color="auto"/>
            <w:bottom w:val="none" w:sz="0" w:space="0" w:color="auto"/>
            <w:right w:val="none" w:sz="0" w:space="0" w:color="auto"/>
          </w:divBdr>
        </w:div>
        <w:div w:id="1221212731">
          <w:marLeft w:val="640"/>
          <w:marRight w:val="0"/>
          <w:marTop w:val="0"/>
          <w:marBottom w:val="0"/>
          <w:divBdr>
            <w:top w:val="none" w:sz="0" w:space="0" w:color="auto"/>
            <w:left w:val="none" w:sz="0" w:space="0" w:color="auto"/>
            <w:bottom w:val="none" w:sz="0" w:space="0" w:color="auto"/>
            <w:right w:val="none" w:sz="0" w:space="0" w:color="auto"/>
          </w:divBdr>
        </w:div>
        <w:div w:id="151987706">
          <w:marLeft w:val="640"/>
          <w:marRight w:val="0"/>
          <w:marTop w:val="0"/>
          <w:marBottom w:val="0"/>
          <w:divBdr>
            <w:top w:val="none" w:sz="0" w:space="0" w:color="auto"/>
            <w:left w:val="none" w:sz="0" w:space="0" w:color="auto"/>
            <w:bottom w:val="none" w:sz="0" w:space="0" w:color="auto"/>
            <w:right w:val="none" w:sz="0" w:space="0" w:color="auto"/>
          </w:divBdr>
        </w:div>
        <w:div w:id="1909876484">
          <w:marLeft w:val="640"/>
          <w:marRight w:val="0"/>
          <w:marTop w:val="0"/>
          <w:marBottom w:val="0"/>
          <w:divBdr>
            <w:top w:val="none" w:sz="0" w:space="0" w:color="auto"/>
            <w:left w:val="none" w:sz="0" w:space="0" w:color="auto"/>
            <w:bottom w:val="none" w:sz="0" w:space="0" w:color="auto"/>
            <w:right w:val="none" w:sz="0" w:space="0" w:color="auto"/>
          </w:divBdr>
        </w:div>
        <w:div w:id="1023283646">
          <w:marLeft w:val="640"/>
          <w:marRight w:val="0"/>
          <w:marTop w:val="0"/>
          <w:marBottom w:val="0"/>
          <w:divBdr>
            <w:top w:val="none" w:sz="0" w:space="0" w:color="auto"/>
            <w:left w:val="none" w:sz="0" w:space="0" w:color="auto"/>
            <w:bottom w:val="none" w:sz="0" w:space="0" w:color="auto"/>
            <w:right w:val="none" w:sz="0" w:space="0" w:color="auto"/>
          </w:divBdr>
        </w:div>
        <w:div w:id="857308257">
          <w:marLeft w:val="640"/>
          <w:marRight w:val="0"/>
          <w:marTop w:val="0"/>
          <w:marBottom w:val="0"/>
          <w:divBdr>
            <w:top w:val="none" w:sz="0" w:space="0" w:color="auto"/>
            <w:left w:val="none" w:sz="0" w:space="0" w:color="auto"/>
            <w:bottom w:val="none" w:sz="0" w:space="0" w:color="auto"/>
            <w:right w:val="none" w:sz="0" w:space="0" w:color="auto"/>
          </w:divBdr>
        </w:div>
        <w:div w:id="1130783691">
          <w:marLeft w:val="640"/>
          <w:marRight w:val="0"/>
          <w:marTop w:val="0"/>
          <w:marBottom w:val="0"/>
          <w:divBdr>
            <w:top w:val="none" w:sz="0" w:space="0" w:color="auto"/>
            <w:left w:val="none" w:sz="0" w:space="0" w:color="auto"/>
            <w:bottom w:val="none" w:sz="0" w:space="0" w:color="auto"/>
            <w:right w:val="none" w:sz="0" w:space="0" w:color="auto"/>
          </w:divBdr>
        </w:div>
        <w:div w:id="261303375">
          <w:marLeft w:val="640"/>
          <w:marRight w:val="0"/>
          <w:marTop w:val="0"/>
          <w:marBottom w:val="0"/>
          <w:divBdr>
            <w:top w:val="none" w:sz="0" w:space="0" w:color="auto"/>
            <w:left w:val="none" w:sz="0" w:space="0" w:color="auto"/>
            <w:bottom w:val="none" w:sz="0" w:space="0" w:color="auto"/>
            <w:right w:val="none" w:sz="0" w:space="0" w:color="auto"/>
          </w:divBdr>
        </w:div>
        <w:div w:id="1812211177">
          <w:marLeft w:val="640"/>
          <w:marRight w:val="0"/>
          <w:marTop w:val="0"/>
          <w:marBottom w:val="0"/>
          <w:divBdr>
            <w:top w:val="none" w:sz="0" w:space="0" w:color="auto"/>
            <w:left w:val="none" w:sz="0" w:space="0" w:color="auto"/>
            <w:bottom w:val="none" w:sz="0" w:space="0" w:color="auto"/>
            <w:right w:val="none" w:sz="0" w:space="0" w:color="auto"/>
          </w:divBdr>
        </w:div>
        <w:div w:id="1783456995">
          <w:marLeft w:val="640"/>
          <w:marRight w:val="0"/>
          <w:marTop w:val="0"/>
          <w:marBottom w:val="0"/>
          <w:divBdr>
            <w:top w:val="none" w:sz="0" w:space="0" w:color="auto"/>
            <w:left w:val="none" w:sz="0" w:space="0" w:color="auto"/>
            <w:bottom w:val="none" w:sz="0" w:space="0" w:color="auto"/>
            <w:right w:val="none" w:sz="0" w:space="0" w:color="auto"/>
          </w:divBdr>
        </w:div>
        <w:div w:id="2042701594">
          <w:marLeft w:val="640"/>
          <w:marRight w:val="0"/>
          <w:marTop w:val="0"/>
          <w:marBottom w:val="0"/>
          <w:divBdr>
            <w:top w:val="none" w:sz="0" w:space="0" w:color="auto"/>
            <w:left w:val="none" w:sz="0" w:space="0" w:color="auto"/>
            <w:bottom w:val="none" w:sz="0" w:space="0" w:color="auto"/>
            <w:right w:val="none" w:sz="0" w:space="0" w:color="auto"/>
          </w:divBdr>
        </w:div>
        <w:div w:id="579488148">
          <w:marLeft w:val="640"/>
          <w:marRight w:val="0"/>
          <w:marTop w:val="0"/>
          <w:marBottom w:val="0"/>
          <w:divBdr>
            <w:top w:val="none" w:sz="0" w:space="0" w:color="auto"/>
            <w:left w:val="none" w:sz="0" w:space="0" w:color="auto"/>
            <w:bottom w:val="none" w:sz="0" w:space="0" w:color="auto"/>
            <w:right w:val="none" w:sz="0" w:space="0" w:color="auto"/>
          </w:divBdr>
        </w:div>
        <w:div w:id="1043407951">
          <w:marLeft w:val="640"/>
          <w:marRight w:val="0"/>
          <w:marTop w:val="0"/>
          <w:marBottom w:val="0"/>
          <w:divBdr>
            <w:top w:val="none" w:sz="0" w:space="0" w:color="auto"/>
            <w:left w:val="none" w:sz="0" w:space="0" w:color="auto"/>
            <w:bottom w:val="none" w:sz="0" w:space="0" w:color="auto"/>
            <w:right w:val="none" w:sz="0" w:space="0" w:color="auto"/>
          </w:divBdr>
        </w:div>
        <w:div w:id="1850678100">
          <w:marLeft w:val="640"/>
          <w:marRight w:val="0"/>
          <w:marTop w:val="0"/>
          <w:marBottom w:val="0"/>
          <w:divBdr>
            <w:top w:val="none" w:sz="0" w:space="0" w:color="auto"/>
            <w:left w:val="none" w:sz="0" w:space="0" w:color="auto"/>
            <w:bottom w:val="none" w:sz="0" w:space="0" w:color="auto"/>
            <w:right w:val="none" w:sz="0" w:space="0" w:color="auto"/>
          </w:divBdr>
        </w:div>
        <w:div w:id="1828863293">
          <w:marLeft w:val="640"/>
          <w:marRight w:val="0"/>
          <w:marTop w:val="0"/>
          <w:marBottom w:val="0"/>
          <w:divBdr>
            <w:top w:val="none" w:sz="0" w:space="0" w:color="auto"/>
            <w:left w:val="none" w:sz="0" w:space="0" w:color="auto"/>
            <w:bottom w:val="none" w:sz="0" w:space="0" w:color="auto"/>
            <w:right w:val="none" w:sz="0" w:space="0" w:color="auto"/>
          </w:divBdr>
        </w:div>
        <w:div w:id="1716928701">
          <w:marLeft w:val="640"/>
          <w:marRight w:val="0"/>
          <w:marTop w:val="0"/>
          <w:marBottom w:val="0"/>
          <w:divBdr>
            <w:top w:val="none" w:sz="0" w:space="0" w:color="auto"/>
            <w:left w:val="none" w:sz="0" w:space="0" w:color="auto"/>
            <w:bottom w:val="none" w:sz="0" w:space="0" w:color="auto"/>
            <w:right w:val="none" w:sz="0" w:space="0" w:color="auto"/>
          </w:divBdr>
        </w:div>
        <w:div w:id="915555657">
          <w:marLeft w:val="640"/>
          <w:marRight w:val="0"/>
          <w:marTop w:val="0"/>
          <w:marBottom w:val="0"/>
          <w:divBdr>
            <w:top w:val="none" w:sz="0" w:space="0" w:color="auto"/>
            <w:left w:val="none" w:sz="0" w:space="0" w:color="auto"/>
            <w:bottom w:val="none" w:sz="0" w:space="0" w:color="auto"/>
            <w:right w:val="none" w:sz="0" w:space="0" w:color="auto"/>
          </w:divBdr>
        </w:div>
        <w:div w:id="712311938">
          <w:marLeft w:val="640"/>
          <w:marRight w:val="0"/>
          <w:marTop w:val="0"/>
          <w:marBottom w:val="0"/>
          <w:divBdr>
            <w:top w:val="none" w:sz="0" w:space="0" w:color="auto"/>
            <w:left w:val="none" w:sz="0" w:space="0" w:color="auto"/>
            <w:bottom w:val="none" w:sz="0" w:space="0" w:color="auto"/>
            <w:right w:val="none" w:sz="0" w:space="0" w:color="auto"/>
          </w:divBdr>
        </w:div>
        <w:div w:id="1873808685">
          <w:marLeft w:val="640"/>
          <w:marRight w:val="0"/>
          <w:marTop w:val="0"/>
          <w:marBottom w:val="0"/>
          <w:divBdr>
            <w:top w:val="none" w:sz="0" w:space="0" w:color="auto"/>
            <w:left w:val="none" w:sz="0" w:space="0" w:color="auto"/>
            <w:bottom w:val="none" w:sz="0" w:space="0" w:color="auto"/>
            <w:right w:val="none" w:sz="0" w:space="0" w:color="auto"/>
          </w:divBdr>
        </w:div>
        <w:div w:id="2050760597">
          <w:marLeft w:val="640"/>
          <w:marRight w:val="0"/>
          <w:marTop w:val="0"/>
          <w:marBottom w:val="0"/>
          <w:divBdr>
            <w:top w:val="none" w:sz="0" w:space="0" w:color="auto"/>
            <w:left w:val="none" w:sz="0" w:space="0" w:color="auto"/>
            <w:bottom w:val="none" w:sz="0" w:space="0" w:color="auto"/>
            <w:right w:val="none" w:sz="0" w:space="0" w:color="auto"/>
          </w:divBdr>
        </w:div>
        <w:div w:id="679241620">
          <w:marLeft w:val="640"/>
          <w:marRight w:val="0"/>
          <w:marTop w:val="0"/>
          <w:marBottom w:val="0"/>
          <w:divBdr>
            <w:top w:val="none" w:sz="0" w:space="0" w:color="auto"/>
            <w:left w:val="none" w:sz="0" w:space="0" w:color="auto"/>
            <w:bottom w:val="none" w:sz="0" w:space="0" w:color="auto"/>
            <w:right w:val="none" w:sz="0" w:space="0" w:color="auto"/>
          </w:divBdr>
        </w:div>
        <w:div w:id="1124811127">
          <w:marLeft w:val="640"/>
          <w:marRight w:val="0"/>
          <w:marTop w:val="0"/>
          <w:marBottom w:val="0"/>
          <w:divBdr>
            <w:top w:val="none" w:sz="0" w:space="0" w:color="auto"/>
            <w:left w:val="none" w:sz="0" w:space="0" w:color="auto"/>
            <w:bottom w:val="none" w:sz="0" w:space="0" w:color="auto"/>
            <w:right w:val="none" w:sz="0" w:space="0" w:color="auto"/>
          </w:divBdr>
        </w:div>
        <w:div w:id="2093381996">
          <w:marLeft w:val="640"/>
          <w:marRight w:val="0"/>
          <w:marTop w:val="0"/>
          <w:marBottom w:val="0"/>
          <w:divBdr>
            <w:top w:val="none" w:sz="0" w:space="0" w:color="auto"/>
            <w:left w:val="none" w:sz="0" w:space="0" w:color="auto"/>
            <w:bottom w:val="none" w:sz="0" w:space="0" w:color="auto"/>
            <w:right w:val="none" w:sz="0" w:space="0" w:color="auto"/>
          </w:divBdr>
        </w:div>
        <w:div w:id="1344555043">
          <w:marLeft w:val="640"/>
          <w:marRight w:val="0"/>
          <w:marTop w:val="0"/>
          <w:marBottom w:val="0"/>
          <w:divBdr>
            <w:top w:val="none" w:sz="0" w:space="0" w:color="auto"/>
            <w:left w:val="none" w:sz="0" w:space="0" w:color="auto"/>
            <w:bottom w:val="none" w:sz="0" w:space="0" w:color="auto"/>
            <w:right w:val="none" w:sz="0" w:space="0" w:color="auto"/>
          </w:divBdr>
        </w:div>
        <w:div w:id="302127741">
          <w:marLeft w:val="640"/>
          <w:marRight w:val="0"/>
          <w:marTop w:val="0"/>
          <w:marBottom w:val="0"/>
          <w:divBdr>
            <w:top w:val="none" w:sz="0" w:space="0" w:color="auto"/>
            <w:left w:val="none" w:sz="0" w:space="0" w:color="auto"/>
            <w:bottom w:val="none" w:sz="0" w:space="0" w:color="auto"/>
            <w:right w:val="none" w:sz="0" w:space="0" w:color="auto"/>
          </w:divBdr>
        </w:div>
        <w:div w:id="712270162">
          <w:marLeft w:val="640"/>
          <w:marRight w:val="0"/>
          <w:marTop w:val="0"/>
          <w:marBottom w:val="0"/>
          <w:divBdr>
            <w:top w:val="none" w:sz="0" w:space="0" w:color="auto"/>
            <w:left w:val="none" w:sz="0" w:space="0" w:color="auto"/>
            <w:bottom w:val="none" w:sz="0" w:space="0" w:color="auto"/>
            <w:right w:val="none" w:sz="0" w:space="0" w:color="auto"/>
          </w:divBdr>
        </w:div>
        <w:div w:id="598872631">
          <w:marLeft w:val="640"/>
          <w:marRight w:val="0"/>
          <w:marTop w:val="0"/>
          <w:marBottom w:val="0"/>
          <w:divBdr>
            <w:top w:val="none" w:sz="0" w:space="0" w:color="auto"/>
            <w:left w:val="none" w:sz="0" w:space="0" w:color="auto"/>
            <w:bottom w:val="none" w:sz="0" w:space="0" w:color="auto"/>
            <w:right w:val="none" w:sz="0" w:space="0" w:color="auto"/>
          </w:divBdr>
        </w:div>
        <w:div w:id="1347902557">
          <w:marLeft w:val="640"/>
          <w:marRight w:val="0"/>
          <w:marTop w:val="0"/>
          <w:marBottom w:val="0"/>
          <w:divBdr>
            <w:top w:val="none" w:sz="0" w:space="0" w:color="auto"/>
            <w:left w:val="none" w:sz="0" w:space="0" w:color="auto"/>
            <w:bottom w:val="none" w:sz="0" w:space="0" w:color="auto"/>
            <w:right w:val="none" w:sz="0" w:space="0" w:color="auto"/>
          </w:divBdr>
        </w:div>
        <w:div w:id="2050952351">
          <w:marLeft w:val="640"/>
          <w:marRight w:val="0"/>
          <w:marTop w:val="0"/>
          <w:marBottom w:val="0"/>
          <w:divBdr>
            <w:top w:val="none" w:sz="0" w:space="0" w:color="auto"/>
            <w:left w:val="none" w:sz="0" w:space="0" w:color="auto"/>
            <w:bottom w:val="none" w:sz="0" w:space="0" w:color="auto"/>
            <w:right w:val="none" w:sz="0" w:space="0" w:color="auto"/>
          </w:divBdr>
        </w:div>
        <w:div w:id="1154488290">
          <w:marLeft w:val="640"/>
          <w:marRight w:val="0"/>
          <w:marTop w:val="0"/>
          <w:marBottom w:val="0"/>
          <w:divBdr>
            <w:top w:val="none" w:sz="0" w:space="0" w:color="auto"/>
            <w:left w:val="none" w:sz="0" w:space="0" w:color="auto"/>
            <w:bottom w:val="none" w:sz="0" w:space="0" w:color="auto"/>
            <w:right w:val="none" w:sz="0" w:space="0" w:color="auto"/>
          </w:divBdr>
        </w:div>
        <w:div w:id="1524317549">
          <w:marLeft w:val="640"/>
          <w:marRight w:val="0"/>
          <w:marTop w:val="0"/>
          <w:marBottom w:val="0"/>
          <w:divBdr>
            <w:top w:val="none" w:sz="0" w:space="0" w:color="auto"/>
            <w:left w:val="none" w:sz="0" w:space="0" w:color="auto"/>
            <w:bottom w:val="none" w:sz="0" w:space="0" w:color="auto"/>
            <w:right w:val="none" w:sz="0" w:space="0" w:color="auto"/>
          </w:divBdr>
        </w:div>
        <w:div w:id="377821852">
          <w:marLeft w:val="640"/>
          <w:marRight w:val="0"/>
          <w:marTop w:val="0"/>
          <w:marBottom w:val="0"/>
          <w:divBdr>
            <w:top w:val="none" w:sz="0" w:space="0" w:color="auto"/>
            <w:left w:val="none" w:sz="0" w:space="0" w:color="auto"/>
            <w:bottom w:val="none" w:sz="0" w:space="0" w:color="auto"/>
            <w:right w:val="none" w:sz="0" w:space="0" w:color="auto"/>
          </w:divBdr>
        </w:div>
        <w:div w:id="1531528038">
          <w:marLeft w:val="640"/>
          <w:marRight w:val="0"/>
          <w:marTop w:val="0"/>
          <w:marBottom w:val="0"/>
          <w:divBdr>
            <w:top w:val="none" w:sz="0" w:space="0" w:color="auto"/>
            <w:left w:val="none" w:sz="0" w:space="0" w:color="auto"/>
            <w:bottom w:val="none" w:sz="0" w:space="0" w:color="auto"/>
            <w:right w:val="none" w:sz="0" w:space="0" w:color="auto"/>
          </w:divBdr>
        </w:div>
        <w:div w:id="1296525918">
          <w:marLeft w:val="640"/>
          <w:marRight w:val="0"/>
          <w:marTop w:val="0"/>
          <w:marBottom w:val="0"/>
          <w:divBdr>
            <w:top w:val="none" w:sz="0" w:space="0" w:color="auto"/>
            <w:left w:val="none" w:sz="0" w:space="0" w:color="auto"/>
            <w:bottom w:val="none" w:sz="0" w:space="0" w:color="auto"/>
            <w:right w:val="none" w:sz="0" w:space="0" w:color="auto"/>
          </w:divBdr>
        </w:div>
        <w:div w:id="1347748098">
          <w:marLeft w:val="640"/>
          <w:marRight w:val="0"/>
          <w:marTop w:val="0"/>
          <w:marBottom w:val="0"/>
          <w:divBdr>
            <w:top w:val="none" w:sz="0" w:space="0" w:color="auto"/>
            <w:left w:val="none" w:sz="0" w:space="0" w:color="auto"/>
            <w:bottom w:val="none" w:sz="0" w:space="0" w:color="auto"/>
            <w:right w:val="none" w:sz="0" w:space="0" w:color="auto"/>
          </w:divBdr>
        </w:div>
        <w:div w:id="839540528">
          <w:marLeft w:val="640"/>
          <w:marRight w:val="0"/>
          <w:marTop w:val="0"/>
          <w:marBottom w:val="0"/>
          <w:divBdr>
            <w:top w:val="none" w:sz="0" w:space="0" w:color="auto"/>
            <w:left w:val="none" w:sz="0" w:space="0" w:color="auto"/>
            <w:bottom w:val="none" w:sz="0" w:space="0" w:color="auto"/>
            <w:right w:val="none" w:sz="0" w:space="0" w:color="auto"/>
          </w:divBdr>
        </w:div>
        <w:div w:id="1507284418">
          <w:marLeft w:val="640"/>
          <w:marRight w:val="0"/>
          <w:marTop w:val="0"/>
          <w:marBottom w:val="0"/>
          <w:divBdr>
            <w:top w:val="none" w:sz="0" w:space="0" w:color="auto"/>
            <w:left w:val="none" w:sz="0" w:space="0" w:color="auto"/>
            <w:bottom w:val="none" w:sz="0" w:space="0" w:color="auto"/>
            <w:right w:val="none" w:sz="0" w:space="0" w:color="auto"/>
          </w:divBdr>
        </w:div>
        <w:div w:id="234898415">
          <w:marLeft w:val="640"/>
          <w:marRight w:val="0"/>
          <w:marTop w:val="0"/>
          <w:marBottom w:val="0"/>
          <w:divBdr>
            <w:top w:val="none" w:sz="0" w:space="0" w:color="auto"/>
            <w:left w:val="none" w:sz="0" w:space="0" w:color="auto"/>
            <w:bottom w:val="none" w:sz="0" w:space="0" w:color="auto"/>
            <w:right w:val="none" w:sz="0" w:space="0" w:color="auto"/>
          </w:divBdr>
        </w:div>
        <w:div w:id="1136529652">
          <w:marLeft w:val="640"/>
          <w:marRight w:val="0"/>
          <w:marTop w:val="0"/>
          <w:marBottom w:val="0"/>
          <w:divBdr>
            <w:top w:val="none" w:sz="0" w:space="0" w:color="auto"/>
            <w:left w:val="none" w:sz="0" w:space="0" w:color="auto"/>
            <w:bottom w:val="none" w:sz="0" w:space="0" w:color="auto"/>
            <w:right w:val="none" w:sz="0" w:space="0" w:color="auto"/>
          </w:divBdr>
        </w:div>
        <w:div w:id="1906336749">
          <w:marLeft w:val="640"/>
          <w:marRight w:val="0"/>
          <w:marTop w:val="0"/>
          <w:marBottom w:val="0"/>
          <w:divBdr>
            <w:top w:val="none" w:sz="0" w:space="0" w:color="auto"/>
            <w:left w:val="none" w:sz="0" w:space="0" w:color="auto"/>
            <w:bottom w:val="none" w:sz="0" w:space="0" w:color="auto"/>
            <w:right w:val="none" w:sz="0" w:space="0" w:color="auto"/>
          </w:divBdr>
        </w:div>
        <w:div w:id="561211396">
          <w:marLeft w:val="640"/>
          <w:marRight w:val="0"/>
          <w:marTop w:val="0"/>
          <w:marBottom w:val="0"/>
          <w:divBdr>
            <w:top w:val="none" w:sz="0" w:space="0" w:color="auto"/>
            <w:left w:val="none" w:sz="0" w:space="0" w:color="auto"/>
            <w:bottom w:val="none" w:sz="0" w:space="0" w:color="auto"/>
            <w:right w:val="none" w:sz="0" w:space="0" w:color="auto"/>
          </w:divBdr>
        </w:div>
        <w:div w:id="2024545948">
          <w:marLeft w:val="640"/>
          <w:marRight w:val="0"/>
          <w:marTop w:val="0"/>
          <w:marBottom w:val="0"/>
          <w:divBdr>
            <w:top w:val="none" w:sz="0" w:space="0" w:color="auto"/>
            <w:left w:val="none" w:sz="0" w:space="0" w:color="auto"/>
            <w:bottom w:val="none" w:sz="0" w:space="0" w:color="auto"/>
            <w:right w:val="none" w:sz="0" w:space="0" w:color="auto"/>
          </w:divBdr>
        </w:div>
        <w:div w:id="1250966496">
          <w:marLeft w:val="640"/>
          <w:marRight w:val="0"/>
          <w:marTop w:val="0"/>
          <w:marBottom w:val="0"/>
          <w:divBdr>
            <w:top w:val="none" w:sz="0" w:space="0" w:color="auto"/>
            <w:left w:val="none" w:sz="0" w:space="0" w:color="auto"/>
            <w:bottom w:val="none" w:sz="0" w:space="0" w:color="auto"/>
            <w:right w:val="none" w:sz="0" w:space="0" w:color="auto"/>
          </w:divBdr>
        </w:div>
        <w:div w:id="541482835">
          <w:marLeft w:val="640"/>
          <w:marRight w:val="0"/>
          <w:marTop w:val="0"/>
          <w:marBottom w:val="0"/>
          <w:divBdr>
            <w:top w:val="none" w:sz="0" w:space="0" w:color="auto"/>
            <w:left w:val="none" w:sz="0" w:space="0" w:color="auto"/>
            <w:bottom w:val="none" w:sz="0" w:space="0" w:color="auto"/>
            <w:right w:val="none" w:sz="0" w:space="0" w:color="auto"/>
          </w:divBdr>
        </w:div>
        <w:div w:id="659845644">
          <w:marLeft w:val="640"/>
          <w:marRight w:val="0"/>
          <w:marTop w:val="0"/>
          <w:marBottom w:val="0"/>
          <w:divBdr>
            <w:top w:val="none" w:sz="0" w:space="0" w:color="auto"/>
            <w:left w:val="none" w:sz="0" w:space="0" w:color="auto"/>
            <w:bottom w:val="none" w:sz="0" w:space="0" w:color="auto"/>
            <w:right w:val="none" w:sz="0" w:space="0" w:color="auto"/>
          </w:divBdr>
        </w:div>
        <w:div w:id="1716199873">
          <w:marLeft w:val="640"/>
          <w:marRight w:val="0"/>
          <w:marTop w:val="0"/>
          <w:marBottom w:val="0"/>
          <w:divBdr>
            <w:top w:val="none" w:sz="0" w:space="0" w:color="auto"/>
            <w:left w:val="none" w:sz="0" w:space="0" w:color="auto"/>
            <w:bottom w:val="none" w:sz="0" w:space="0" w:color="auto"/>
            <w:right w:val="none" w:sz="0" w:space="0" w:color="auto"/>
          </w:divBdr>
        </w:div>
        <w:div w:id="80882717">
          <w:marLeft w:val="640"/>
          <w:marRight w:val="0"/>
          <w:marTop w:val="0"/>
          <w:marBottom w:val="0"/>
          <w:divBdr>
            <w:top w:val="none" w:sz="0" w:space="0" w:color="auto"/>
            <w:left w:val="none" w:sz="0" w:space="0" w:color="auto"/>
            <w:bottom w:val="none" w:sz="0" w:space="0" w:color="auto"/>
            <w:right w:val="none" w:sz="0" w:space="0" w:color="auto"/>
          </w:divBdr>
        </w:div>
        <w:div w:id="1464225235">
          <w:marLeft w:val="640"/>
          <w:marRight w:val="0"/>
          <w:marTop w:val="0"/>
          <w:marBottom w:val="0"/>
          <w:divBdr>
            <w:top w:val="none" w:sz="0" w:space="0" w:color="auto"/>
            <w:left w:val="none" w:sz="0" w:space="0" w:color="auto"/>
            <w:bottom w:val="none" w:sz="0" w:space="0" w:color="auto"/>
            <w:right w:val="none" w:sz="0" w:space="0" w:color="auto"/>
          </w:divBdr>
        </w:div>
        <w:div w:id="945573759">
          <w:marLeft w:val="640"/>
          <w:marRight w:val="0"/>
          <w:marTop w:val="0"/>
          <w:marBottom w:val="0"/>
          <w:divBdr>
            <w:top w:val="none" w:sz="0" w:space="0" w:color="auto"/>
            <w:left w:val="none" w:sz="0" w:space="0" w:color="auto"/>
            <w:bottom w:val="none" w:sz="0" w:space="0" w:color="auto"/>
            <w:right w:val="none" w:sz="0" w:space="0" w:color="auto"/>
          </w:divBdr>
        </w:div>
        <w:div w:id="1697388414">
          <w:marLeft w:val="640"/>
          <w:marRight w:val="0"/>
          <w:marTop w:val="0"/>
          <w:marBottom w:val="0"/>
          <w:divBdr>
            <w:top w:val="none" w:sz="0" w:space="0" w:color="auto"/>
            <w:left w:val="none" w:sz="0" w:space="0" w:color="auto"/>
            <w:bottom w:val="none" w:sz="0" w:space="0" w:color="auto"/>
            <w:right w:val="none" w:sz="0" w:space="0" w:color="auto"/>
          </w:divBdr>
        </w:div>
        <w:div w:id="1476483279">
          <w:marLeft w:val="640"/>
          <w:marRight w:val="0"/>
          <w:marTop w:val="0"/>
          <w:marBottom w:val="0"/>
          <w:divBdr>
            <w:top w:val="none" w:sz="0" w:space="0" w:color="auto"/>
            <w:left w:val="none" w:sz="0" w:space="0" w:color="auto"/>
            <w:bottom w:val="none" w:sz="0" w:space="0" w:color="auto"/>
            <w:right w:val="none" w:sz="0" w:space="0" w:color="auto"/>
          </w:divBdr>
        </w:div>
        <w:div w:id="522404430">
          <w:marLeft w:val="640"/>
          <w:marRight w:val="0"/>
          <w:marTop w:val="0"/>
          <w:marBottom w:val="0"/>
          <w:divBdr>
            <w:top w:val="none" w:sz="0" w:space="0" w:color="auto"/>
            <w:left w:val="none" w:sz="0" w:space="0" w:color="auto"/>
            <w:bottom w:val="none" w:sz="0" w:space="0" w:color="auto"/>
            <w:right w:val="none" w:sz="0" w:space="0" w:color="auto"/>
          </w:divBdr>
        </w:div>
        <w:div w:id="1240823644">
          <w:marLeft w:val="640"/>
          <w:marRight w:val="0"/>
          <w:marTop w:val="0"/>
          <w:marBottom w:val="0"/>
          <w:divBdr>
            <w:top w:val="none" w:sz="0" w:space="0" w:color="auto"/>
            <w:left w:val="none" w:sz="0" w:space="0" w:color="auto"/>
            <w:bottom w:val="none" w:sz="0" w:space="0" w:color="auto"/>
            <w:right w:val="none" w:sz="0" w:space="0" w:color="auto"/>
          </w:divBdr>
        </w:div>
        <w:div w:id="926958298">
          <w:marLeft w:val="640"/>
          <w:marRight w:val="0"/>
          <w:marTop w:val="0"/>
          <w:marBottom w:val="0"/>
          <w:divBdr>
            <w:top w:val="none" w:sz="0" w:space="0" w:color="auto"/>
            <w:left w:val="none" w:sz="0" w:space="0" w:color="auto"/>
            <w:bottom w:val="none" w:sz="0" w:space="0" w:color="auto"/>
            <w:right w:val="none" w:sz="0" w:space="0" w:color="auto"/>
          </w:divBdr>
        </w:div>
        <w:div w:id="1164970583">
          <w:marLeft w:val="640"/>
          <w:marRight w:val="0"/>
          <w:marTop w:val="0"/>
          <w:marBottom w:val="0"/>
          <w:divBdr>
            <w:top w:val="none" w:sz="0" w:space="0" w:color="auto"/>
            <w:left w:val="none" w:sz="0" w:space="0" w:color="auto"/>
            <w:bottom w:val="none" w:sz="0" w:space="0" w:color="auto"/>
            <w:right w:val="none" w:sz="0" w:space="0" w:color="auto"/>
          </w:divBdr>
        </w:div>
        <w:div w:id="1132751348">
          <w:marLeft w:val="640"/>
          <w:marRight w:val="0"/>
          <w:marTop w:val="0"/>
          <w:marBottom w:val="0"/>
          <w:divBdr>
            <w:top w:val="none" w:sz="0" w:space="0" w:color="auto"/>
            <w:left w:val="none" w:sz="0" w:space="0" w:color="auto"/>
            <w:bottom w:val="none" w:sz="0" w:space="0" w:color="auto"/>
            <w:right w:val="none" w:sz="0" w:space="0" w:color="auto"/>
          </w:divBdr>
        </w:div>
        <w:div w:id="1373575211">
          <w:marLeft w:val="640"/>
          <w:marRight w:val="0"/>
          <w:marTop w:val="0"/>
          <w:marBottom w:val="0"/>
          <w:divBdr>
            <w:top w:val="none" w:sz="0" w:space="0" w:color="auto"/>
            <w:left w:val="none" w:sz="0" w:space="0" w:color="auto"/>
            <w:bottom w:val="none" w:sz="0" w:space="0" w:color="auto"/>
            <w:right w:val="none" w:sz="0" w:space="0" w:color="auto"/>
          </w:divBdr>
        </w:div>
        <w:div w:id="713122864">
          <w:marLeft w:val="640"/>
          <w:marRight w:val="0"/>
          <w:marTop w:val="0"/>
          <w:marBottom w:val="0"/>
          <w:divBdr>
            <w:top w:val="none" w:sz="0" w:space="0" w:color="auto"/>
            <w:left w:val="none" w:sz="0" w:space="0" w:color="auto"/>
            <w:bottom w:val="none" w:sz="0" w:space="0" w:color="auto"/>
            <w:right w:val="none" w:sz="0" w:space="0" w:color="auto"/>
          </w:divBdr>
        </w:div>
        <w:div w:id="653535772">
          <w:marLeft w:val="640"/>
          <w:marRight w:val="0"/>
          <w:marTop w:val="0"/>
          <w:marBottom w:val="0"/>
          <w:divBdr>
            <w:top w:val="none" w:sz="0" w:space="0" w:color="auto"/>
            <w:left w:val="none" w:sz="0" w:space="0" w:color="auto"/>
            <w:bottom w:val="none" w:sz="0" w:space="0" w:color="auto"/>
            <w:right w:val="none" w:sz="0" w:space="0" w:color="auto"/>
          </w:divBdr>
        </w:div>
        <w:div w:id="279344394">
          <w:marLeft w:val="640"/>
          <w:marRight w:val="0"/>
          <w:marTop w:val="0"/>
          <w:marBottom w:val="0"/>
          <w:divBdr>
            <w:top w:val="none" w:sz="0" w:space="0" w:color="auto"/>
            <w:left w:val="none" w:sz="0" w:space="0" w:color="auto"/>
            <w:bottom w:val="none" w:sz="0" w:space="0" w:color="auto"/>
            <w:right w:val="none" w:sz="0" w:space="0" w:color="auto"/>
          </w:divBdr>
        </w:div>
        <w:div w:id="866135307">
          <w:marLeft w:val="640"/>
          <w:marRight w:val="0"/>
          <w:marTop w:val="0"/>
          <w:marBottom w:val="0"/>
          <w:divBdr>
            <w:top w:val="none" w:sz="0" w:space="0" w:color="auto"/>
            <w:left w:val="none" w:sz="0" w:space="0" w:color="auto"/>
            <w:bottom w:val="none" w:sz="0" w:space="0" w:color="auto"/>
            <w:right w:val="none" w:sz="0" w:space="0" w:color="auto"/>
          </w:divBdr>
        </w:div>
        <w:div w:id="343243614">
          <w:marLeft w:val="640"/>
          <w:marRight w:val="0"/>
          <w:marTop w:val="0"/>
          <w:marBottom w:val="0"/>
          <w:divBdr>
            <w:top w:val="none" w:sz="0" w:space="0" w:color="auto"/>
            <w:left w:val="none" w:sz="0" w:space="0" w:color="auto"/>
            <w:bottom w:val="none" w:sz="0" w:space="0" w:color="auto"/>
            <w:right w:val="none" w:sz="0" w:space="0" w:color="auto"/>
          </w:divBdr>
        </w:div>
        <w:div w:id="2093814389">
          <w:marLeft w:val="640"/>
          <w:marRight w:val="0"/>
          <w:marTop w:val="0"/>
          <w:marBottom w:val="0"/>
          <w:divBdr>
            <w:top w:val="none" w:sz="0" w:space="0" w:color="auto"/>
            <w:left w:val="none" w:sz="0" w:space="0" w:color="auto"/>
            <w:bottom w:val="none" w:sz="0" w:space="0" w:color="auto"/>
            <w:right w:val="none" w:sz="0" w:space="0" w:color="auto"/>
          </w:divBdr>
        </w:div>
        <w:div w:id="415900603">
          <w:marLeft w:val="640"/>
          <w:marRight w:val="0"/>
          <w:marTop w:val="0"/>
          <w:marBottom w:val="0"/>
          <w:divBdr>
            <w:top w:val="none" w:sz="0" w:space="0" w:color="auto"/>
            <w:left w:val="none" w:sz="0" w:space="0" w:color="auto"/>
            <w:bottom w:val="none" w:sz="0" w:space="0" w:color="auto"/>
            <w:right w:val="none" w:sz="0" w:space="0" w:color="auto"/>
          </w:divBdr>
        </w:div>
        <w:div w:id="1473328317">
          <w:marLeft w:val="640"/>
          <w:marRight w:val="0"/>
          <w:marTop w:val="0"/>
          <w:marBottom w:val="0"/>
          <w:divBdr>
            <w:top w:val="none" w:sz="0" w:space="0" w:color="auto"/>
            <w:left w:val="none" w:sz="0" w:space="0" w:color="auto"/>
            <w:bottom w:val="none" w:sz="0" w:space="0" w:color="auto"/>
            <w:right w:val="none" w:sz="0" w:space="0" w:color="auto"/>
          </w:divBdr>
        </w:div>
        <w:div w:id="1413817307">
          <w:marLeft w:val="640"/>
          <w:marRight w:val="0"/>
          <w:marTop w:val="0"/>
          <w:marBottom w:val="0"/>
          <w:divBdr>
            <w:top w:val="none" w:sz="0" w:space="0" w:color="auto"/>
            <w:left w:val="none" w:sz="0" w:space="0" w:color="auto"/>
            <w:bottom w:val="none" w:sz="0" w:space="0" w:color="auto"/>
            <w:right w:val="none" w:sz="0" w:space="0" w:color="auto"/>
          </w:divBdr>
        </w:div>
        <w:div w:id="615522959">
          <w:marLeft w:val="640"/>
          <w:marRight w:val="0"/>
          <w:marTop w:val="0"/>
          <w:marBottom w:val="0"/>
          <w:divBdr>
            <w:top w:val="none" w:sz="0" w:space="0" w:color="auto"/>
            <w:left w:val="none" w:sz="0" w:space="0" w:color="auto"/>
            <w:bottom w:val="none" w:sz="0" w:space="0" w:color="auto"/>
            <w:right w:val="none" w:sz="0" w:space="0" w:color="auto"/>
          </w:divBdr>
        </w:div>
        <w:div w:id="1730153916">
          <w:marLeft w:val="640"/>
          <w:marRight w:val="0"/>
          <w:marTop w:val="0"/>
          <w:marBottom w:val="0"/>
          <w:divBdr>
            <w:top w:val="none" w:sz="0" w:space="0" w:color="auto"/>
            <w:left w:val="none" w:sz="0" w:space="0" w:color="auto"/>
            <w:bottom w:val="none" w:sz="0" w:space="0" w:color="auto"/>
            <w:right w:val="none" w:sz="0" w:space="0" w:color="auto"/>
          </w:divBdr>
        </w:div>
        <w:div w:id="1998679404">
          <w:marLeft w:val="640"/>
          <w:marRight w:val="0"/>
          <w:marTop w:val="0"/>
          <w:marBottom w:val="0"/>
          <w:divBdr>
            <w:top w:val="none" w:sz="0" w:space="0" w:color="auto"/>
            <w:left w:val="none" w:sz="0" w:space="0" w:color="auto"/>
            <w:bottom w:val="none" w:sz="0" w:space="0" w:color="auto"/>
            <w:right w:val="none" w:sz="0" w:space="0" w:color="auto"/>
          </w:divBdr>
        </w:div>
        <w:div w:id="2006668632">
          <w:marLeft w:val="640"/>
          <w:marRight w:val="0"/>
          <w:marTop w:val="0"/>
          <w:marBottom w:val="0"/>
          <w:divBdr>
            <w:top w:val="none" w:sz="0" w:space="0" w:color="auto"/>
            <w:left w:val="none" w:sz="0" w:space="0" w:color="auto"/>
            <w:bottom w:val="none" w:sz="0" w:space="0" w:color="auto"/>
            <w:right w:val="none" w:sz="0" w:space="0" w:color="auto"/>
          </w:divBdr>
        </w:div>
        <w:div w:id="662440617">
          <w:marLeft w:val="640"/>
          <w:marRight w:val="0"/>
          <w:marTop w:val="0"/>
          <w:marBottom w:val="0"/>
          <w:divBdr>
            <w:top w:val="none" w:sz="0" w:space="0" w:color="auto"/>
            <w:left w:val="none" w:sz="0" w:space="0" w:color="auto"/>
            <w:bottom w:val="none" w:sz="0" w:space="0" w:color="auto"/>
            <w:right w:val="none" w:sz="0" w:space="0" w:color="auto"/>
          </w:divBdr>
        </w:div>
        <w:div w:id="2007322290">
          <w:marLeft w:val="640"/>
          <w:marRight w:val="0"/>
          <w:marTop w:val="0"/>
          <w:marBottom w:val="0"/>
          <w:divBdr>
            <w:top w:val="none" w:sz="0" w:space="0" w:color="auto"/>
            <w:left w:val="none" w:sz="0" w:space="0" w:color="auto"/>
            <w:bottom w:val="none" w:sz="0" w:space="0" w:color="auto"/>
            <w:right w:val="none" w:sz="0" w:space="0" w:color="auto"/>
          </w:divBdr>
        </w:div>
        <w:div w:id="425227134">
          <w:marLeft w:val="640"/>
          <w:marRight w:val="0"/>
          <w:marTop w:val="0"/>
          <w:marBottom w:val="0"/>
          <w:divBdr>
            <w:top w:val="none" w:sz="0" w:space="0" w:color="auto"/>
            <w:left w:val="none" w:sz="0" w:space="0" w:color="auto"/>
            <w:bottom w:val="none" w:sz="0" w:space="0" w:color="auto"/>
            <w:right w:val="none" w:sz="0" w:space="0" w:color="auto"/>
          </w:divBdr>
        </w:div>
        <w:div w:id="1540362729">
          <w:marLeft w:val="640"/>
          <w:marRight w:val="0"/>
          <w:marTop w:val="0"/>
          <w:marBottom w:val="0"/>
          <w:divBdr>
            <w:top w:val="none" w:sz="0" w:space="0" w:color="auto"/>
            <w:left w:val="none" w:sz="0" w:space="0" w:color="auto"/>
            <w:bottom w:val="none" w:sz="0" w:space="0" w:color="auto"/>
            <w:right w:val="none" w:sz="0" w:space="0" w:color="auto"/>
          </w:divBdr>
        </w:div>
        <w:div w:id="730234264">
          <w:marLeft w:val="640"/>
          <w:marRight w:val="0"/>
          <w:marTop w:val="0"/>
          <w:marBottom w:val="0"/>
          <w:divBdr>
            <w:top w:val="none" w:sz="0" w:space="0" w:color="auto"/>
            <w:left w:val="none" w:sz="0" w:space="0" w:color="auto"/>
            <w:bottom w:val="none" w:sz="0" w:space="0" w:color="auto"/>
            <w:right w:val="none" w:sz="0" w:space="0" w:color="auto"/>
          </w:divBdr>
        </w:div>
        <w:div w:id="1782022055">
          <w:marLeft w:val="640"/>
          <w:marRight w:val="0"/>
          <w:marTop w:val="0"/>
          <w:marBottom w:val="0"/>
          <w:divBdr>
            <w:top w:val="none" w:sz="0" w:space="0" w:color="auto"/>
            <w:left w:val="none" w:sz="0" w:space="0" w:color="auto"/>
            <w:bottom w:val="none" w:sz="0" w:space="0" w:color="auto"/>
            <w:right w:val="none" w:sz="0" w:space="0" w:color="auto"/>
          </w:divBdr>
        </w:div>
        <w:div w:id="1639336052">
          <w:marLeft w:val="640"/>
          <w:marRight w:val="0"/>
          <w:marTop w:val="0"/>
          <w:marBottom w:val="0"/>
          <w:divBdr>
            <w:top w:val="none" w:sz="0" w:space="0" w:color="auto"/>
            <w:left w:val="none" w:sz="0" w:space="0" w:color="auto"/>
            <w:bottom w:val="none" w:sz="0" w:space="0" w:color="auto"/>
            <w:right w:val="none" w:sz="0" w:space="0" w:color="auto"/>
          </w:divBdr>
        </w:div>
        <w:div w:id="623124420">
          <w:marLeft w:val="640"/>
          <w:marRight w:val="0"/>
          <w:marTop w:val="0"/>
          <w:marBottom w:val="0"/>
          <w:divBdr>
            <w:top w:val="none" w:sz="0" w:space="0" w:color="auto"/>
            <w:left w:val="none" w:sz="0" w:space="0" w:color="auto"/>
            <w:bottom w:val="none" w:sz="0" w:space="0" w:color="auto"/>
            <w:right w:val="none" w:sz="0" w:space="0" w:color="auto"/>
          </w:divBdr>
        </w:div>
        <w:div w:id="1077556532">
          <w:marLeft w:val="640"/>
          <w:marRight w:val="0"/>
          <w:marTop w:val="0"/>
          <w:marBottom w:val="0"/>
          <w:divBdr>
            <w:top w:val="none" w:sz="0" w:space="0" w:color="auto"/>
            <w:left w:val="none" w:sz="0" w:space="0" w:color="auto"/>
            <w:bottom w:val="none" w:sz="0" w:space="0" w:color="auto"/>
            <w:right w:val="none" w:sz="0" w:space="0" w:color="auto"/>
          </w:divBdr>
        </w:div>
        <w:div w:id="754402054">
          <w:marLeft w:val="640"/>
          <w:marRight w:val="0"/>
          <w:marTop w:val="0"/>
          <w:marBottom w:val="0"/>
          <w:divBdr>
            <w:top w:val="none" w:sz="0" w:space="0" w:color="auto"/>
            <w:left w:val="none" w:sz="0" w:space="0" w:color="auto"/>
            <w:bottom w:val="none" w:sz="0" w:space="0" w:color="auto"/>
            <w:right w:val="none" w:sz="0" w:space="0" w:color="auto"/>
          </w:divBdr>
        </w:div>
        <w:div w:id="1443262336">
          <w:marLeft w:val="640"/>
          <w:marRight w:val="0"/>
          <w:marTop w:val="0"/>
          <w:marBottom w:val="0"/>
          <w:divBdr>
            <w:top w:val="none" w:sz="0" w:space="0" w:color="auto"/>
            <w:left w:val="none" w:sz="0" w:space="0" w:color="auto"/>
            <w:bottom w:val="none" w:sz="0" w:space="0" w:color="auto"/>
            <w:right w:val="none" w:sz="0" w:space="0" w:color="auto"/>
          </w:divBdr>
        </w:div>
        <w:div w:id="481240659">
          <w:marLeft w:val="640"/>
          <w:marRight w:val="0"/>
          <w:marTop w:val="0"/>
          <w:marBottom w:val="0"/>
          <w:divBdr>
            <w:top w:val="none" w:sz="0" w:space="0" w:color="auto"/>
            <w:left w:val="none" w:sz="0" w:space="0" w:color="auto"/>
            <w:bottom w:val="none" w:sz="0" w:space="0" w:color="auto"/>
            <w:right w:val="none" w:sz="0" w:space="0" w:color="auto"/>
          </w:divBdr>
        </w:div>
        <w:div w:id="1083723256">
          <w:marLeft w:val="640"/>
          <w:marRight w:val="0"/>
          <w:marTop w:val="0"/>
          <w:marBottom w:val="0"/>
          <w:divBdr>
            <w:top w:val="none" w:sz="0" w:space="0" w:color="auto"/>
            <w:left w:val="none" w:sz="0" w:space="0" w:color="auto"/>
            <w:bottom w:val="none" w:sz="0" w:space="0" w:color="auto"/>
            <w:right w:val="none" w:sz="0" w:space="0" w:color="auto"/>
          </w:divBdr>
        </w:div>
        <w:div w:id="1069839235">
          <w:marLeft w:val="640"/>
          <w:marRight w:val="0"/>
          <w:marTop w:val="0"/>
          <w:marBottom w:val="0"/>
          <w:divBdr>
            <w:top w:val="none" w:sz="0" w:space="0" w:color="auto"/>
            <w:left w:val="none" w:sz="0" w:space="0" w:color="auto"/>
            <w:bottom w:val="none" w:sz="0" w:space="0" w:color="auto"/>
            <w:right w:val="none" w:sz="0" w:space="0" w:color="auto"/>
          </w:divBdr>
        </w:div>
        <w:div w:id="510460969">
          <w:marLeft w:val="640"/>
          <w:marRight w:val="0"/>
          <w:marTop w:val="0"/>
          <w:marBottom w:val="0"/>
          <w:divBdr>
            <w:top w:val="none" w:sz="0" w:space="0" w:color="auto"/>
            <w:left w:val="none" w:sz="0" w:space="0" w:color="auto"/>
            <w:bottom w:val="none" w:sz="0" w:space="0" w:color="auto"/>
            <w:right w:val="none" w:sz="0" w:space="0" w:color="auto"/>
          </w:divBdr>
        </w:div>
        <w:div w:id="576092229">
          <w:marLeft w:val="640"/>
          <w:marRight w:val="0"/>
          <w:marTop w:val="0"/>
          <w:marBottom w:val="0"/>
          <w:divBdr>
            <w:top w:val="none" w:sz="0" w:space="0" w:color="auto"/>
            <w:left w:val="none" w:sz="0" w:space="0" w:color="auto"/>
            <w:bottom w:val="none" w:sz="0" w:space="0" w:color="auto"/>
            <w:right w:val="none" w:sz="0" w:space="0" w:color="auto"/>
          </w:divBdr>
        </w:div>
        <w:div w:id="546911796">
          <w:marLeft w:val="640"/>
          <w:marRight w:val="0"/>
          <w:marTop w:val="0"/>
          <w:marBottom w:val="0"/>
          <w:divBdr>
            <w:top w:val="none" w:sz="0" w:space="0" w:color="auto"/>
            <w:left w:val="none" w:sz="0" w:space="0" w:color="auto"/>
            <w:bottom w:val="none" w:sz="0" w:space="0" w:color="auto"/>
            <w:right w:val="none" w:sz="0" w:space="0" w:color="auto"/>
          </w:divBdr>
        </w:div>
        <w:div w:id="242644049">
          <w:marLeft w:val="640"/>
          <w:marRight w:val="0"/>
          <w:marTop w:val="0"/>
          <w:marBottom w:val="0"/>
          <w:divBdr>
            <w:top w:val="none" w:sz="0" w:space="0" w:color="auto"/>
            <w:left w:val="none" w:sz="0" w:space="0" w:color="auto"/>
            <w:bottom w:val="none" w:sz="0" w:space="0" w:color="auto"/>
            <w:right w:val="none" w:sz="0" w:space="0" w:color="auto"/>
          </w:divBdr>
        </w:div>
        <w:div w:id="2112045406">
          <w:marLeft w:val="640"/>
          <w:marRight w:val="0"/>
          <w:marTop w:val="0"/>
          <w:marBottom w:val="0"/>
          <w:divBdr>
            <w:top w:val="none" w:sz="0" w:space="0" w:color="auto"/>
            <w:left w:val="none" w:sz="0" w:space="0" w:color="auto"/>
            <w:bottom w:val="none" w:sz="0" w:space="0" w:color="auto"/>
            <w:right w:val="none" w:sz="0" w:space="0" w:color="auto"/>
          </w:divBdr>
        </w:div>
        <w:div w:id="1067996797">
          <w:marLeft w:val="640"/>
          <w:marRight w:val="0"/>
          <w:marTop w:val="0"/>
          <w:marBottom w:val="0"/>
          <w:divBdr>
            <w:top w:val="none" w:sz="0" w:space="0" w:color="auto"/>
            <w:left w:val="none" w:sz="0" w:space="0" w:color="auto"/>
            <w:bottom w:val="none" w:sz="0" w:space="0" w:color="auto"/>
            <w:right w:val="none" w:sz="0" w:space="0" w:color="auto"/>
          </w:divBdr>
        </w:div>
        <w:div w:id="369377831">
          <w:marLeft w:val="640"/>
          <w:marRight w:val="0"/>
          <w:marTop w:val="0"/>
          <w:marBottom w:val="0"/>
          <w:divBdr>
            <w:top w:val="none" w:sz="0" w:space="0" w:color="auto"/>
            <w:left w:val="none" w:sz="0" w:space="0" w:color="auto"/>
            <w:bottom w:val="none" w:sz="0" w:space="0" w:color="auto"/>
            <w:right w:val="none" w:sz="0" w:space="0" w:color="auto"/>
          </w:divBdr>
        </w:div>
        <w:div w:id="1969167613">
          <w:marLeft w:val="640"/>
          <w:marRight w:val="0"/>
          <w:marTop w:val="0"/>
          <w:marBottom w:val="0"/>
          <w:divBdr>
            <w:top w:val="none" w:sz="0" w:space="0" w:color="auto"/>
            <w:left w:val="none" w:sz="0" w:space="0" w:color="auto"/>
            <w:bottom w:val="none" w:sz="0" w:space="0" w:color="auto"/>
            <w:right w:val="none" w:sz="0" w:space="0" w:color="auto"/>
          </w:divBdr>
        </w:div>
        <w:div w:id="423771164">
          <w:marLeft w:val="640"/>
          <w:marRight w:val="0"/>
          <w:marTop w:val="0"/>
          <w:marBottom w:val="0"/>
          <w:divBdr>
            <w:top w:val="none" w:sz="0" w:space="0" w:color="auto"/>
            <w:left w:val="none" w:sz="0" w:space="0" w:color="auto"/>
            <w:bottom w:val="none" w:sz="0" w:space="0" w:color="auto"/>
            <w:right w:val="none" w:sz="0" w:space="0" w:color="auto"/>
          </w:divBdr>
        </w:div>
        <w:div w:id="197359008">
          <w:marLeft w:val="640"/>
          <w:marRight w:val="0"/>
          <w:marTop w:val="0"/>
          <w:marBottom w:val="0"/>
          <w:divBdr>
            <w:top w:val="none" w:sz="0" w:space="0" w:color="auto"/>
            <w:left w:val="none" w:sz="0" w:space="0" w:color="auto"/>
            <w:bottom w:val="none" w:sz="0" w:space="0" w:color="auto"/>
            <w:right w:val="none" w:sz="0" w:space="0" w:color="auto"/>
          </w:divBdr>
        </w:div>
        <w:div w:id="423500095">
          <w:marLeft w:val="640"/>
          <w:marRight w:val="0"/>
          <w:marTop w:val="0"/>
          <w:marBottom w:val="0"/>
          <w:divBdr>
            <w:top w:val="none" w:sz="0" w:space="0" w:color="auto"/>
            <w:left w:val="none" w:sz="0" w:space="0" w:color="auto"/>
            <w:bottom w:val="none" w:sz="0" w:space="0" w:color="auto"/>
            <w:right w:val="none" w:sz="0" w:space="0" w:color="auto"/>
          </w:divBdr>
        </w:div>
        <w:div w:id="119423507">
          <w:marLeft w:val="640"/>
          <w:marRight w:val="0"/>
          <w:marTop w:val="0"/>
          <w:marBottom w:val="0"/>
          <w:divBdr>
            <w:top w:val="none" w:sz="0" w:space="0" w:color="auto"/>
            <w:left w:val="none" w:sz="0" w:space="0" w:color="auto"/>
            <w:bottom w:val="none" w:sz="0" w:space="0" w:color="auto"/>
            <w:right w:val="none" w:sz="0" w:space="0" w:color="auto"/>
          </w:divBdr>
        </w:div>
        <w:div w:id="2009747739">
          <w:marLeft w:val="640"/>
          <w:marRight w:val="0"/>
          <w:marTop w:val="0"/>
          <w:marBottom w:val="0"/>
          <w:divBdr>
            <w:top w:val="none" w:sz="0" w:space="0" w:color="auto"/>
            <w:left w:val="none" w:sz="0" w:space="0" w:color="auto"/>
            <w:bottom w:val="none" w:sz="0" w:space="0" w:color="auto"/>
            <w:right w:val="none" w:sz="0" w:space="0" w:color="auto"/>
          </w:divBdr>
        </w:div>
        <w:div w:id="344091121">
          <w:marLeft w:val="640"/>
          <w:marRight w:val="0"/>
          <w:marTop w:val="0"/>
          <w:marBottom w:val="0"/>
          <w:divBdr>
            <w:top w:val="none" w:sz="0" w:space="0" w:color="auto"/>
            <w:left w:val="none" w:sz="0" w:space="0" w:color="auto"/>
            <w:bottom w:val="none" w:sz="0" w:space="0" w:color="auto"/>
            <w:right w:val="none" w:sz="0" w:space="0" w:color="auto"/>
          </w:divBdr>
        </w:div>
        <w:div w:id="1501391863">
          <w:marLeft w:val="640"/>
          <w:marRight w:val="0"/>
          <w:marTop w:val="0"/>
          <w:marBottom w:val="0"/>
          <w:divBdr>
            <w:top w:val="none" w:sz="0" w:space="0" w:color="auto"/>
            <w:left w:val="none" w:sz="0" w:space="0" w:color="auto"/>
            <w:bottom w:val="none" w:sz="0" w:space="0" w:color="auto"/>
            <w:right w:val="none" w:sz="0" w:space="0" w:color="auto"/>
          </w:divBdr>
        </w:div>
        <w:div w:id="241987278">
          <w:marLeft w:val="640"/>
          <w:marRight w:val="0"/>
          <w:marTop w:val="0"/>
          <w:marBottom w:val="0"/>
          <w:divBdr>
            <w:top w:val="none" w:sz="0" w:space="0" w:color="auto"/>
            <w:left w:val="none" w:sz="0" w:space="0" w:color="auto"/>
            <w:bottom w:val="none" w:sz="0" w:space="0" w:color="auto"/>
            <w:right w:val="none" w:sz="0" w:space="0" w:color="auto"/>
          </w:divBdr>
        </w:div>
        <w:div w:id="2018575578">
          <w:marLeft w:val="640"/>
          <w:marRight w:val="0"/>
          <w:marTop w:val="0"/>
          <w:marBottom w:val="0"/>
          <w:divBdr>
            <w:top w:val="none" w:sz="0" w:space="0" w:color="auto"/>
            <w:left w:val="none" w:sz="0" w:space="0" w:color="auto"/>
            <w:bottom w:val="none" w:sz="0" w:space="0" w:color="auto"/>
            <w:right w:val="none" w:sz="0" w:space="0" w:color="auto"/>
          </w:divBdr>
        </w:div>
        <w:div w:id="947659272">
          <w:marLeft w:val="640"/>
          <w:marRight w:val="0"/>
          <w:marTop w:val="0"/>
          <w:marBottom w:val="0"/>
          <w:divBdr>
            <w:top w:val="none" w:sz="0" w:space="0" w:color="auto"/>
            <w:left w:val="none" w:sz="0" w:space="0" w:color="auto"/>
            <w:bottom w:val="none" w:sz="0" w:space="0" w:color="auto"/>
            <w:right w:val="none" w:sz="0" w:space="0" w:color="auto"/>
          </w:divBdr>
        </w:div>
        <w:div w:id="264927124">
          <w:marLeft w:val="640"/>
          <w:marRight w:val="0"/>
          <w:marTop w:val="0"/>
          <w:marBottom w:val="0"/>
          <w:divBdr>
            <w:top w:val="none" w:sz="0" w:space="0" w:color="auto"/>
            <w:left w:val="none" w:sz="0" w:space="0" w:color="auto"/>
            <w:bottom w:val="none" w:sz="0" w:space="0" w:color="auto"/>
            <w:right w:val="none" w:sz="0" w:space="0" w:color="auto"/>
          </w:divBdr>
        </w:div>
        <w:div w:id="44531316">
          <w:marLeft w:val="640"/>
          <w:marRight w:val="0"/>
          <w:marTop w:val="0"/>
          <w:marBottom w:val="0"/>
          <w:divBdr>
            <w:top w:val="none" w:sz="0" w:space="0" w:color="auto"/>
            <w:left w:val="none" w:sz="0" w:space="0" w:color="auto"/>
            <w:bottom w:val="none" w:sz="0" w:space="0" w:color="auto"/>
            <w:right w:val="none" w:sz="0" w:space="0" w:color="auto"/>
          </w:divBdr>
        </w:div>
        <w:div w:id="1382748053">
          <w:marLeft w:val="640"/>
          <w:marRight w:val="0"/>
          <w:marTop w:val="0"/>
          <w:marBottom w:val="0"/>
          <w:divBdr>
            <w:top w:val="none" w:sz="0" w:space="0" w:color="auto"/>
            <w:left w:val="none" w:sz="0" w:space="0" w:color="auto"/>
            <w:bottom w:val="none" w:sz="0" w:space="0" w:color="auto"/>
            <w:right w:val="none" w:sz="0" w:space="0" w:color="auto"/>
          </w:divBdr>
        </w:div>
        <w:div w:id="1250626568">
          <w:marLeft w:val="640"/>
          <w:marRight w:val="0"/>
          <w:marTop w:val="0"/>
          <w:marBottom w:val="0"/>
          <w:divBdr>
            <w:top w:val="none" w:sz="0" w:space="0" w:color="auto"/>
            <w:left w:val="none" w:sz="0" w:space="0" w:color="auto"/>
            <w:bottom w:val="none" w:sz="0" w:space="0" w:color="auto"/>
            <w:right w:val="none" w:sz="0" w:space="0" w:color="auto"/>
          </w:divBdr>
        </w:div>
        <w:div w:id="288362875">
          <w:marLeft w:val="640"/>
          <w:marRight w:val="0"/>
          <w:marTop w:val="0"/>
          <w:marBottom w:val="0"/>
          <w:divBdr>
            <w:top w:val="none" w:sz="0" w:space="0" w:color="auto"/>
            <w:left w:val="none" w:sz="0" w:space="0" w:color="auto"/>
            <w:bottom w:val="none" w:sz="0" w:space="0" w:color="auto"/>
            <w:right w:val="none" w:sz="0" w:space="0" w:color="auto"/>
          </w:divBdr>
        </w:div>
        <w:div w:id="400097829">
          <w:marLeft w:val="640"/>
          <w:marRight w:val="0"/>
          <w:marTop w:val="0"/>
          <w:marBottom w:val="0"/>
          <w:divBdr>
            <w:top w:val="none" w:sz="0" w:space="0" w:color="auto"/>
            <w:left w:val="none" w:sz="0" w:space="0" w:color="auto"/>
            <w:bottom w:val="none" w:sz="0" w:space="0" w:color="auto"/>
            <w:right w:val="none" w:sz="0" w:space="0" w:color="auto"/>
          </w:divBdr>
        </w:div>
        <w:div w:id="1365397824">
          <w:marLeft w:val="640"/>
          <w:marRight w:val="0"/>
          <w:marTop w:val="0"/>
          <w:marBottom w:val="0"/>
          <w:divBdr>
            <w:top w:val="none" w:sz="0" w:space="0" w:color="auto"/>
            <w:left w:val="none" w:sz="0" w:space="0" w:color="auto"/>
            <w:bottom w:val="none" w:sz="0" w:space="0" w:color="auto"/>
            <w:right w:val="none" w:sz="0" w:space="0" w:color="auto"/>
          </w:divBdr>
        </w:div>
        <w:div w:id="677076236">
          <w:marLeft w:val="640"/>
          <w:marRight w:val="0"/>
          <w:marTop w:val="0"/>
          <w:marBottom w:val="0"/>
          <w:divBdr>
            <w:top w:val="none" w:sz="0" w:space="0" w:color="auto"/>
            <w:left w:val="none" w:sz="0" w:space="0" w:color="auto"/>
            <w:bottom w:val="none" w:sz="0" w:space="0" w:color="auto"/>
            <w:right w:val="none" w:sz="0" w:space="0" w:color="auto"/>
          </w:divBdr>
        </w:div>
        <w:div w:id="1277906151">
          <w:marLeft w:val="640"/>
          <w:marRight w:val="0"/>
          <w:marTop w:val="0"/>
          <w:marBottom w:val="0"/>
          <w:divBdr>
            <w:top w:val="none" w:sz="0" w:space="0" w:color="auto"/>
            <w:left w:val="none" w:sz="0" w:space="0" w:color="auto"/>
            <w:bottom w:val="none" w:sz="0" w:space="0" w:color="auto"/>
            <w:right w:val="none" w:sz="0" w:space="0" w:color="auto"/>
          </w:divBdr>
        </w:div>
        <w:div w:id="1303341267">
          <w:marLeft w:val="640"/>
          <w:marRight w:val="0"/>
          <w:marTop w:val="0"/>
          <w:marBottom w:val="0"/>
          <w:divBdr>
            <w:top w:val="none" w:sz="0" w:space="0" w:color="auto"/>
            <w:left w:val="none" w:sz="0" w:space="0" w:color="auto"/>
            <w:bottom w:val="none" w:sz="0" w:space="0" w:color="auto"/>
            <w:right w:val="none" w:sz="0" w:space="0" w:color="auto"/>
          </w:divBdr>
        </w:div>
        <w:div w:id="2092584403">
          <w:marLeft w:val="640"/>
          <w:marRight w:val="0"/>
          <w:marTop w:val="0"/>
          <w:marBottom w:val="0"/>
          <w:divBdr>
            <w:top w:val="none" w:sz="0" w:space="0" w:color="auto"/>
            <w:left w:val="none" w:sz="0" w:space="0" w:color="auto"/>
            <w:bottom w:val="none" w:sz="0" w:space="0" w:color="auto"/>
            <w:right w:val="none" w:sz="0" w:space="0" w:color="auto"/>
          </w:divBdr>
        </w:div>
        <w:div w:id="1222209566">
          <w:marLeft w:val="640"/>
          <w:marRight w:val="0"/>
          <w:marTop w:val="0"/>
          <w:marBottom w:val="0"/>
          <w:divBdr>
            <w:top w:val="none" w:sz="0" w:space="0" w:color="auto"/>
            <w:left w:val="none" w:sz="0" w:space="0" w:color="auto"/>
            <w:bottom w:val="none" w:sz="0" w:space="0" w:color="auto"/>
            <w:right w:val="none" w:sz="0" w:space="0" w:color="auto"/>
          </w:divBdr>
        </w:div>
        <w:div w:id="1327634038">
          <w:marLeft w:val="640"/>
          <w:marRight w:val="0"/>
          <w:marTop w:val="0"/>
          <w:marBottom w:val="0"/>
          <w:divBdr>
            <w:top w:val="none" w:sz="0" w:space="0" w:color="auto"/>
            <w:left w:val="none" w:sz="0" w:space="0" w:color="auto"/>
            <w:bottom w:val="none" w:sz="0" w:space="0" w:color="auto"/>
            <w:right w:val="none" w:sz="0" w:space="0" w:color="auto"/>
          </w:divBdr>
        </w:div>
        <w:div w:id="1081178919">
          <w:marLeft w:val="640"/>
          <w:marRight w:val="0"/>
          <w:marTop w:val="0"/>
          <w:marBottom w:val="0"/>
          <w:divBdr>
            <w:top w:val="none" w:sz="0" w:space="0" w:color="auto"/>
            <w:left w:val="none" w:sz="0" w:space="0" w:color="auto"/>
            <w:bottom w:val="none" w:sz="0" w:space="0" w:color="auto"/>
            <w:right w:val="none" w:sz="0" w:space="0" w:color="auto"/>
          </w:divBdr>
        </w:div>
        <w:div w:id="1112090127">
          <w:marLeft w:val="640"/>
          <w:marRight w:val="0"/>
          <w:marTop w:val="0"/>
          <w:marBottom w:val="0"/>
          <w:divBdr>
            <w:top w:val="none" w:sz="0" w:space="0" w:color="auto"/>
            <w:left w:val="none" w:sz="0" w:space="0" w:color="auto"/>
            <w:bottom w:val="none" w:sz="0" w:space="0" w:color="auto"/>
            <w:right w:val="none" w:sz="0" w:space="0" w:color="auto"/>
          </w:divBdr>
        </w:div>
        <w:div w:id="731734642">
          <w:marLeft w:val="640"/>
          <w:marRight w:val="0"/>
          <w:marTop w:val="0"/>
          <w:marBottom w:val="0"/>
          <w:divBdr>
            <w:top w:val="none" w:sz="0" w:space="0" w:color="auto"/>
            <w:left w:val="none" w:sz="0" w:space="0" w:color="auto"/>
            <w:bottom w:val="none" w:sz="0" w:space="0" w:color="auto"/>
            <w:right w:val="none" w:sz="0" w:space="0" w:color="auto"/>
          </w:divBdr>
        </w:div>
        <w:div w:id="1647464888">
          <w:marLeft w:val="640"/>
          <w:marRight w:val="0"/>
          <w:marTop w:val="0"/>
          <w:marBottom w:val="0"/>
          <w:divBdr>
            <w:top w:val="none" w:sz="0" w:space="0" w:color="auto"/>
            <w:left w:val="none" w:sz="0" w:space="0" w:color="auto"/>
            <w:bottom w:val="none" w:sz="0" w:space="0" w:color="auto"/>
            <w:right w:val="none" w:sz="0" w:space="0" w:color="auto"/>
          </w:divBdr>
        </w:div>
        <w:div w:id="254215830">
          <w:marLeft w:val="640"/>
          <w:marRight w:val="0"/>
          <w:marTop w:val="0"/>
          <w:marBottom w:val="0"/>
          <w:divBdr>
            <w:top w:val="none" w:sz="0" w:space="0" w:color="auto"/>
            <w:left w:val="none" w:sz="0" w:space="0" w:color="auto"/>
            <w:bottom w:val="none" w:sz="0" w:space="0" w:color="auto"/>
            <w:right w:val="none" w:sz="0" w:space="0" w:color="auto"/>
          </w:divBdr>
        </w:div>
        <w:div w:id="569190098">
          <w:marLeft w:val="640"/>
          <w:marRight w:val="0"/>
          <w:marTop w:val="0"/>
          <w:marBottom w:val="0"/>
          <w:divBdr>
            <w:top w:val="none" w:sz="0" w:space="0" w:color="auto"/>
            <w:left w:val="none" w:sz="0" w:space="0" w:color="auto"/>
            <w:bottom w:val="none" w:sz="0" w:space="0" w:color="auto"/>
            <w:right w:val="none" w:sz="0" w:space="0" w:color="auto"/>
          </w:divBdr>
        </w:div>
        <w:div w:id="1262059309">
          <w:marLeft w:val="640"/>
          <w:marRight w:val="0"/>
          <w:marTop w:val="0"/>
          <w:marBottom w:val="0"/>
          <w:divBdr>
            <w:top w:val="none" w:sz="0" w:space="0" w:color="auto"/>
            <w:left w:val="none" w:sz="0" w:space="0" w:color="auto"/>
            <w:bottom w:val="none" w:sz="0" w:space="0" w:color="auto"/>
            <w:right w:val="none" w:sz="0" w:space="0" w:color="auto"/>
          </w:divBdr>
        </w:div>
        <w:div w:id="26300032">
          <w:marLeft w:val="640"/>
          <w:marRight w:val="0"/>
          <w:marTop w:val="0"/>
          <w:marBottom w:val="0"/>
          <w:divBdr>
            <w:top w:val="none" w:sz="0" w:space="0" w:color="auto"/>
            <w:left w:val="none" w:sz="0" w:space="0" w:color="auto"/>
            <w:bottom w:val="none" w:sz="0" w:space="0" w:color="auto"/>
            <w:right w:val="none" w:sz="0" w:space="0" w:color="auto"/>
          </w:divBdr>
        </w:div>
        <w:div w:id="366217637">
          <w:marLeft w:val="640"/>
          <w:marRight w:val="0"/>
          <w:marTop w:val="0"/>
          <w:marBottom w:val="0"/>
          <w:divBdr>
            <w:top w:val="none" w:sz="0" w:space="0" w:color="auto"/>
            <w:left w:val="none" w:sz="0" w:space="0" w:color="auto"/>
            <w:bottom w:val="none" w:sz="0" w:space="0" w:color="auto"/>
            <w:right w:val="none" w:sz="0" w:space="0" w:color="auto"/>
          </w:divBdr>
        </w:div>
        <w:div w:id="371082025">
          <w:marLeft w:val="640"/>
          <w:marRight w:val="0"/>
          <w:marTop w:val="0"/>
          <w:marBottom w:val="0"/>
          <w:divBdr>
            <w:top w:val="none" w:sz="0" w:space="0" w:color="auto"/>
            <w:left w:val="none" w:sz="0" w:space="0" w:color="auto"/>
            <w:bottom w:val="none" w:sz="0" w:space="0" w:color="auto"/>
            <w:right w:val="none" w:sz="0" w:space="0" w:color="auto"/>
          </w:divBdr>
        </w:div>
        <w:div w:id="131486446">
          <w:marLeft w:val="640"/>
          <w:marRight w:val="0"/>
          <w:marTop w:val="0"/>
          <w:marBottom w:val="0"/>
          <w:divBdr>
            <w:top w:val="none" w:sz="0" w:space="0" w:color="auto"/>
            <w:left w:val="none" w:sz="0" w:space="0" w:color="auto"/>
            <w:bottom w:val="none" w:sz="0" w:space="0" w:color="auto"/>
            <w:right w:val="none" w:sz="0" w:space="0" w:color="auto"/>
          </w:divBdr>
        </w:div>
        <w:div w:id="287198645">
          <w:marLeft w:val="640"/>
          <w:marRight w:val="0"/>
          <w:marTop w:val="0"/>
          <w:marBottom w:val="0"/>
          <w:divBdr>
            <w:top w:val="none" w:sz="0" w:space="0" w:color="auto"/>
            <w:left w:val="none" w:sz="0" w:space="0" w:color="auto"/>
            <w:bottom w:val="none" w:sz="0" w:space="0" w:color="auto"/>
            <w:right w:val="none" w:sz="0" w:space="0" w:color="auto"/>
          </w:divBdr>
        </w:div>
        <w:div w:id="981545089">
          <w:marLeft w:val="640"/>
          <w:marRight w:val="0"/>
          <w:marTop w:val="0"/>
          <w:marBottom w:val="0"/>
          <w:divBdr>
            <w:top w:val="none" w:sz="0" w:space="0" w:color="auto"/>
            <w:left w:val="none" w:sz="0" w:space="0" w:color="auto"/>
            <w:bottom w:val="none" w:sz="0" w:space="0" w:color="auto"/>
            <w:right w:val="none" w:sz="0" w:space="0" w:color="auto"/>
          </w:divBdr>
        </w:div>
        <w:div w:id="1245381913">
          <w:marLeft w:val="640"/>
          <w:marRight w:val="0"/>
          <w:marTop w:val="0"/>
          <w:marBottom w:val="0"/>
          <w:divBdr>
            <w:top w:val="none" w:sz="0" w:space="0" w:color="auto"/>
            <w:left w:val="none" w:sz="0" w:space="0" w:color="auto"/>
            <w:bottom w:val="none" w:sz="0" w:space="0" w:color="auto"/>
            <w:right w:val="none" w:sz="0" w:space="0" w:color="auto"/>
          </w:divBdr>
        </w:div>
        <w:div w:id="193229131">
          <w:marLeft w:val="640"/>
          <w:marRight w:val="0"/>
          <w:marTop w:val="0"/>
          <w:marBottom w:val="0"/>
          <w:divBdr>
            <w:top w:val="none" w:sz="0" w:space="0" w:color="auto"/>
            <w:left w:val="none" w:sz="0" w:space="0" w:color="auto"/>
            <w:bottom w:val="none" w:sz="0" w:space="0" w:color="auto"/>
            <w:right w:val="none" w:sz="0" w:space="0" w:color="auto"/>
          </w:divBdr>
        </w:div>
        <w:div w:id="2105564382">
          <w:marLeft w:val="640"/>
          <w:marRight w:val="0"/>
          <w:marTop w:val="0"/>
          <w:marBottom w:val="0"/>
          <w:divBdr>
            <w:top w:val="none" w:sz="0" w:space="0" w:color="auto"/>
            <w:left w:val="none" w:sz="0" w:space="0" w:color="auto"/>
            <w:bottom w:val="none" w:sz="0" w:space="0" w:color="auto"/>
            <w:right w:val="none" w:sz="0" w:space="0" w:color="auto"/>
          </w:divBdr>
        </w:div>
        <w:div w:id="1715501146">
          <w:marLeft w:val="640"/>
          <w:marRight w:val="0"/>
          <w:marTop w:val="0"/>
          <w:marBottom w:val="0"/>
          <w:divBdr>
            <w:top w:val="none" w:sz="0" w:space="0" w:color="auto"/>
            <w:left w:val="none" w:sz="0" w:space="0" w:color="auto"/>
            <w:bottom w:val="none" w:sz="0" w:space="0" w:color="auto"/>
            <w:right w:val="none" w:sz="0" w:space="0" w:color="auto"/>
          </w:divBdr>
        </w:div>
        <w:div w:id="1284264926">
          <w:marLeft w:val="640"/>
          <w:marRight w:val="0"/>
          <w:marTop w:val="0"/>
          <w:marBottom w:val="0"/>
          <w:divBdr>
            <w:top w:val="none" w:sz="0" w:space="0" w:color="auto"/>
            <w:left w:val="none" w:sz="0" w:space="0" w:color="auto"/>
            <w:bottom w:val="none" w:sz="0" w:space="0" w:color="auto"/>
            <w:right w:val="none" w:sz="0" w:space="0" w:color="auto"/>
          </w:divBdr>
        </w:div>
        <w:div w:id="319578323">
          <w:marLeft w:val="640"/>
          <w:marRight w:val="0"/>
          <w:marTop w:val="0"/>
          <w:marBottom w:val="0"/>
          <w:divBdr>
            <w:top w:val="none" w:sz="0" w:space="0" w:color="auto"/>
            <w:left w:val="none" w:sz="0" w:space="0" w:color="auto"/>
            <w:bottom w:val="none" w:sz="0" w:space="0" w:color="auto"/>
            <w:right w:val="none" w:sz="0" w:space="0" w:color="auto"/>
          </w:divBdr>
        </w:div>
        <w:div w:id="455830816">
          <w:marLeft w:val="640"/>
          <w:marRight w:val="0"/>
          <w:marTop w:val="0"/>
          <w:marBottom w:val="0"/>
          <w:divBdr>
            <w:top w:val="none" w:sz="0" w:space="0" w:color="auto"/>
            <w:left w:val="none" w:sz="0" w:space="0" w:color="auto"/>
            <w:bottom w:val="none" w:sz="0" w:space="0" w:color="auto"/>
            <w:right w:val="none" w:sz="0" w:space="0" w:color="auto"/>
          </w:divBdr>
        </w:div>
        <w:div w:id="286938878">
          <w:marLeft w:val="640"/>
          <w:marRight w:val="0"/>
          <w:marTop w:val="0"/>
          <w:marBottom w:val="0"/>
          <w:divBdr>
            <w:top w:val="none" w:sz="0" w:space="0" w:color="auto"/>
            <w:left w:val="none" w:sz="0" w:space="0" w:color="auto"/>
            <w:bottom w:val="none" w:sz="0" w:space="0" w:color="auto"/>
            <w:right w:val="none" w:sz="0" w:space="0" w:color="auto"/>
          </w:divBdr>
        </w:div>
        <w:div w:id="1578054939">
          <w:marLeft w:val="640"/>
          <w:marRight w:val="0"/>
          <w:marTop w:val="0"/>
          <w:marBottom w:val="0"/>
          <w:divBdr>
            <w:top w:val="none" w:sz="0" w:space="0" w:color="auto"/>
            <w:left w:val="none" w:sz="0" w:space="0" w:color="auto"/>
            <w:bottom w:val="none" w:sz="0" w:space="0" w:color="auto"/>
            <w:right w:val="none" w:sz="0" w:space="0" w:color="auto"/>
          </w:divBdr>
        </w:div>
        <w:div w:id="1833526136">
          <w:marLeft w:val="640"/>
          <w:marRight w:val="0"/>
          <w:marTop w:val="0"/>
          <w:marBottom w:val="0"/>
          <w:divBdr>
            <w:top w:val="none" w:sz="0" w:space="0" w:color="auto"/>
            <w:left w:val="none" w:sz="0" w:space="0" w:color="auto"/>
            <w:bottom w:val="none" w:sz="0" w:space="0" w:color="auto"/>
            <w:right w:val="none" w:sz="0" w:space="0" w:color="auto"/>
          </w:divBdr>
        </w:div>
        <w:div w:id="390151040">
          <w:marLeft w:val="640"/>
          <w:marRight w:val="0"/>
          <w:marTop w:val="0"/>
          <w:marBottom w:val="0"/>
          <w:divBdr>
            <w:top w:val="none" w:sz="0" w:space="0" w:color="auto"/>
            <w:left w:val="none" w:sz="0" w:space="0" w:color="auto"/>
            <w:bottom w:val="none" w:sz="0" w:space="0" w:color="auto"/>
            <w:right w:val="none" w:sz="0" w:space="0" w:color="auto"/>
          </w:divBdr>
        </w:div>
        <w:div w:id="827670629">
          <w:marLeft w:val="640"/>
          <w:marRight w:val="0"/>
          <w:marTop w:val="0"/>
          <w:marBottom w:val="0"/>
          <w:divBdr>
            <w:top w:val="none" w:sz="0" w:space="0" w:color="auto"/>
            <w:left w:val="none" w:sz="0" w:space="0" w:color="auto"/>
            <w:bottom w:val="none" w:sz="0" w:space="0" w:color="auto"/>
            <w:right w:val="none" w:sz="0" w:space="0" w:color="auto"/>
          </w:divBdr>
        </w:div>
        <w:div w:id="133644049">
          <w:marLeft w:val="640"/>
          <w:marRight w:val="0"/>
          <w:marTop w:val="0"/>
          <w:marBottom w:val="0"/>
          <w:divBdr>
            <w:top w:val="none" w:sz="0" w:space="0" w:color="auto"/>
            <w:left w:val="none" w:sz="0" w:space="0" w:color="auto"/>
            <w:bottom w:val="none" w:sz="0" w:space="0" w:color="auto"/>
            <w:right w:val="none" w:sz="0" w:space="0" w:color="auto"/>
          </w:divBdr>
        </w:div>
        <w:div w:id="2142308350">
          <w:marLeft w:val="640"/>
          <w:marRight w:val="0"/>
          <w:marTop w:val="0"/>
          <w:marBottom w:val="0"/>
          <w:divBdr>
            <w:top w:val="none" w:sz="0" w:space="0" w:color="auto"/>
            <w:left w:val="none" w:sz="0" w:space="0" w:color="auto"/>
            <w:bottom w:val="none" w:sz="0" w:space="0" w:color="auto"/>
            <w:right w:val="none" w:sz="0" w:space="0" w:color="auto"/>
          </w:divBdr>
        </w:div>
        <w:div w:id="479617190">
          <w:marLeft w:val="640"/>
          <w:marRight w:val="0"/>
          <w:marTop w:val="0"/>
          <w:marBottom w:val="0"/>
          <w:divBdr>
            <w:top w:val="none" w:sz="0" w:space="0" w:color="auto"/>
            <w:left w:val="none" w:sz="0" w:space="0" w:color="auto"/>
            <w:bottom w:val="none" w:sz="0" w:space="0" w:color="auto"/>
            <w:right w:val="none" w:sz="0" w:space="0" w:color="auto"/>
          </w:divBdr>
        </w:div>
        <w:div w:id="1723478988">
          <w:marLeft w:val="640"/>
          <w:marRight w:val="0"/>
          <w:marTop w:val="0"/>
          <w:marBottom w:val="0"/>
          <w:divBdr>
            <w:top w:val="none" w:sz="0" w:space="0" w:color="auto"/>
            <w:left w:val="none" w:sz="0" w:space="0" w:color="auto"/>
            <w:bottom w:val="none" w:sz="0" w:space="0" w:color="auto"/>
            <w:right w:val="none" w:sz="0" w:space="0" w:color="auto"/>
          </w:divBdr>
        </w:div>
        <w:div w:id="584191393">
          <w:marLeft w:val="640"/>
          <w:marRight w:val="0"/>
          <w:marTop w:val="0"/>
          <w:marBottom w:val="0"/>
          <w:divBdr>
            <w:top w:val="none" w:sz="0" w:space="0" w:color="auto"/>
            <w:left w:val="none" w:sz="0" w:space="0" w:color="auto"/>
            <w:bottom w:val="none" w:sz="0" w:space="0" w:color="auto"/>
            <w:right w:val="none" w:sz="0" w:space="0" w:color="auto"/>
          </w:divBdr>
        </w:div>
        <w:div w:id="1860776429">
          <w:marLeft w:val="640"/>
          <w:marRight w:val="0"/>
          <w:marTop w:val="0"/>
          <w:marBottom w:val="0"/>
          <w:divBdr>
            <w:top w:val="none" w:sz="0" w:space="0" w:color="auto"/>
            <w:left w:val="none" w:sz="0" w:space="0" w:color="auto"/>
            <w:bottom w:val="none" w:sz="0" w:space="0" w:color="auto"/>
            <w:right w:val="none" w:sz="0" w:space="0" w:color="auto"/>
          </w:divBdr>
        </w:div>
        <w:div w:id="1867258047">
          <w:marLeft w:val="640"/>
          <w:marRight w:val="0"/>
          <w:marTop w:val="0"/>
          <w:marBottom w:val="0"/>
          <w:divBdr>
            <w:top w:val="none" w:sz="0" w:space="0" w:color="auto"/>
            <w:left w:val="none" w:sz="0" w:space="0" w:color="auto"/>
            <w:bottom w:val="none" w:sz="0" w:space="0" w:color="auto"/>
            <w:right w:val="none" w:sz="0" w:space="0" w:color="auto"/>
          </w:divBdr>
        </w:div>
        <w:div w:id="1766998741">
          <w:marLeft w:val="640"/>
          <w:marRight w:val="0"/>
          <w:marTop w:val="0"/>
          <w:marBottom w:val="0"/>
          <w:divBdr>
            <w:top w:val="none" w:sz="0" w:space="0" w:color="auto"/>
            <w:left w:val="none" w:sz="0" w:space="0" w:color="auto"/>
            <w:bottom w:val="none" w:sz="0" w:space="0" w:color="auto"/>
            <w:right w:val="none" w:sz="0" w:space="0" w:color="auto"/>
          </w:divBdr>
        </w:div>
        <w:div w:id="342980348">
          <w:marLeft w:val="640"/>
          <w:marRight w:val="0"/>
          <w:marTop w:val="0"/>
          <w:marBottom w:val="0"/>
          <w:divBdr>
            <w:top w:val="none" w:sz="0" w:space="0" w:color="auto"/>
            <w:left w:val="none" w:sz="0" w:space="0" w:color="auto"/>
            <w:bottom w:val="none" w:sz="0" w:space="0" w:color="auto"/>
            <w:right w:val="none" w:sz="0" w:space="0" w:color="auto"/>
          </w:divBdr>
        </w:div>
        <w:div w:id="1177159119">
          <w:marLeft w:val="640"/>
          <w:marRight w:val="0"/>
          <w:marTop w:val="0"/>
          <w:marBottom w:val="0"/>
          <w:divBdr>
            <w:top w:val="none" w:sz="0" w:space="0" w:color="auto"/>
            <w:left w:val="none" w:sz="0" w:space="0" w:color="auto"/>
            <w:bottom w:val="none" w:sz="0" w:space="0" w:color="auto"/>
            <w:right w:val="none" w:sz="0" w:space="0" w:color="auto"/>
          </w:divBdr>
        </w:div>
        <w:div w:id="1850824764">
          <w:marLeft w:val="640"/>
          <w:marRight w:val="0"/>
          <w:marTop w:val="0"/>
          <w:marBottom w:val="0"/>
          <w:divBdr>
            <w:top w:val="none" w:sz="0" w:space="0" w:color="auto"/>
            <w:left w:val="none" w:sz="0" w:space="0" w:color="auto"/>
            <w:bottom w:val="none" w:sz="0" w:space="0" w:color="auto"/>
            <w:right w:val="none" w:sz="0" w:space="0" w:color="auto"/>
          </w:divBdr>
        </w:div>
        <w:div w:id="187110180">
          <w:marLeft w:val="640"/>
          <w:marRight w:val="0"/>
          <w:marTop w:val="0"/>
          <w:marBottom w:val="0"/>
          <w:divBdr>
            <w:top w:val="none" w:sz="0" w:space="0" w:color="auto"/>
            <w:left w:val="none" w:sz="0" w:space="0" w:color="auto"/>
            <w:bottom w:val="none" w:sz="0" w:space="0" w:color="auto"/>
            <w:right w:val="none" w:sz="0" w:space="0" w:color="auto"/>
          </w:divBdr>
        </w:div>
        <w:div w:id="1654792787">
          <w:marLeft w:val="640"/>
          <w:marRight w:val="0"/>
          <w:marTop w:val="0"/>
          <w:marBottom w:val="0"/>
          <w:divBdr>
            <w:top w:val="none" w:sz="0" w:space="0" w:color="auto"/>
            <w:left w:val="none" w:sz="0" w:space="0" w:color="auto"/>
            <w:bottom w:val="none" w:sz="0" w:space="0" w:color="auto"/>
            <w:right w:val="none" w:sz="0" w:space="0" w:color="auto"/>
          </w:divBdr>
        </w:div>
        <w:div w:id="1379206255">
          <w:marLeft w:val="640"/>
          <w:marRight w:val="0"/>
          <w:marTop w:val="0"/>
          <w:marBottom w:val="0"/>
          <w:divBdr>
            <w:top w:val="none" w:sz="0" w:space="0" w:color="auto"/>
            <w:left w:val="none" w:sz="0" w:space="0" w:color="auto"/>
            <w:bottom w:val="none" w:sz="0" w:space="0" w:color="auto"/>
            <w:right w:val="none" w:sz="0" w:space="0" w:color="auto"/>
          </w:divBdr>
        </w:div>
        <w:div w:id="701368104">
          <w:marLeft w:val="640"/>
          <w:marRight w:val="0"/>
          <w:marTop w:val="0"/>
          <w:marBottom w:val="0"/>
          <w:divBdr>
            <w:top w:val="none" w:sz="0" w:space="0" w:color="auto"/>
            <w:left w:val="none" w:sz="0" w:space="0" w:color="auto"/>
            <w:bottom w:val="none" w:sz="0" w:space="0" w:color="auto"/>
            <w:right w:val="none" w:sz="0" w:space="0" w:color="auto"/>
          </w:divBdr>
        </w:div>
        <w:div w:id="150413678">
          <w:marLeft w:val="640"/>
          <w:marRight w:val="0"/>
          <w:marTop w:val="0"/>
          <w:marBottom w:val="0"/>
          <w:divBdr>
            <w:top w:val="none" w:sz="0" w:space="0" w:color="auto"/>
            <w:left w:val="none" w:sz="0" w:space="0" w:color="auto"/>
            <w:bottom w:val="none" w:sz="0" w:space="0" w:color="auto"/>
            <w:right w:val="none" w:sz="0" w:space="0" w:color="auto"/>
          </w:divBdr>
        </w:div>
        <w:div w:id="2129739686">
          <w:marLeft w:val="640"/>
          <w:marRight w:val="0"/>
          <w:marTop w:val="0"/>
          <w:marBottom w:val="0"/>
          <w:divBdr>
            <w:top w:val="none" w:sz="0" w:space="0" w:color="auto"/>
            <w:left w:val="none" w:sz="0" w:space="0" w:color="auto"/>
            <w:bottom w:val="none" w:sz="0" w:space="0" w:color="auto"/>
            <w:right w:val="none" w:sz="0" w:space="0" w:color="auto"/>
          </w:divBdr>
        </w:div>
        <w:div w:id="1393195572">
          <w:marLeft w:val="640"/>
          <w:marRight w:val="0"/>
          <w:marTop w:val="0"/>
          <w:marBottom w:val="0"/>
          <w:divBdr>
            <w:top w:val="none" w:sz="0" w:space="0" w:color="auto"/>
            <w:left w:val="none" w:sz="0" w:space="0" w:color="auto"/>
            <w:bottom w:val="none" w:sz="0" w:space="0" w:color="auto"/>
            <w:right w:val="none" w:sz="0" w:space="0" w:color="auto"/>
          </w:divBdr>
        </w:div>
        <w:div w:id="1439445839">
          <w:marLeft w:val="640"/>
          <w:marRight w:val="0"/>
          <w:marTop w:val="0"/>
          <w:marBottom w:val="0"/>
          <w:divBdr>
            <w:top w:val="none" w:sz="0" w:space="0" w:color="auto"/>
            <w:left w:val="none" w:sz="0" w:space="0" w:color="auto"/>
            <w:bottom w:val="none" w:sz="0" w:space="0" w:color="auto"/>
            <w:right w:val="none" w:sz="0" w:space="0" w:color="auto"/>
          </w:divBdr>
        </w:div>
        <w:div w:id="1645889340">
          <w:marLeft w:val="640"/>
          <w:marRight w:val="0"/>
          <w:marTop w:val="0"/>
          <w:marBottom w:val="0"/>
          <w:divBdr>
            <w:top w:val="none" w:sz="0" w:space="0" w:color="auto"/>
            <w:left w:val="none" w:sz="0" w:space="0" w:color="auto"/>
            <w:bottom w:val="none" w:sz="0" w:space="0" w:color="auto"/>
            <w:right w:val="none" w:sz="0" w:space="0" w:color="auto"/>
          </w:divBdr>
        </w:div>
        <w:div w:id="1865484815">
          <w:marLeft w:val="640"/>
          <w:marRight w:val="0"/>
          <w:marTop w:val="0"/>
          <w:marBottom w:val="0"/>
          <w:divBdr>
            <w:top w:val="none" w:sz="0" w:space="0" w:color="auto"/>
            <w:left w:val="none" w:sz="0" w:space="0" w:color="auto"/>
            <w:bottom w:val="none" w:sz="0" w:space="0" w:color="auto"/>
            <w:right w:val="none" w:sz="0" w:space="0" w:color="auto"/>
          </w:divBdr>
        </w:div>
        <w:div w:id="1688945211">
          <w:marLeft w:val="640"/>
          <w:marRight w:val="0"/>
          <w:marTop w:val="0"/>
          <w:marBottom w:val="0"/>
          <w:divBdr>
            <w:top w:val="none" w:sz="0" w:space="0" w:color="auto"/>
            <w:left w:val="none" w:sz="0" w:space="0" w:color="auto"/>
            <w:bottom w:val="none" w:sz="0" w:space="0" w:color="auto"/>
            <w:right w:val="none" w:sz="0" w:space="0" w:color="auto"/>
          </w:divBdr>
        </w:div>
        <w:div w:id="2053655249">
          <w:marLeft w:val="640"/>
          <w:marRight w:val="0"/>
          <w:marTop w:val="0"/>
          <w:marBottom w:val="0"/>
          <w:divBdr>
            <w:top w:val="none" w:sz="0" w:space="0" w:color="auto"/>
            <w:left w:val="none" w:sz="0" w:space="0" w:color="auto"/>
            <w:bottom w:val="none" w:sz="0" w:space="0" w:color="auto"/>
            <w:right w:val="none" w:sz="0" w:space="0" w:color="auto"/>
          </w:divBdr>
        </w:div>
        <w:div w:id="1599678607">
          <w:marLeft w:val="640"/>
          <w:marRight w:val="0"/>
          <w:marTop w:val="0"/>
          <w:marBottom w:val="0"/>
          <w:divBdr>
            <w:top w:val="none" w:sz="0" w:space="0" w:color="auto"/>
            <w:left w:val="none" w:sz="0" w:space="0" w:color="auto"/>
            <w:bottom w:val="none" w:sz="0" w:space="0" w:color="auto"/>
            <w:right w:val="none" w:sz="0" w:space="0" w:color="auto"/>
          </w:divBdr>
        </w:div>
        <w:div w:id="40061127">
          <w:marLeft w:val="640"/>
          <w:marRight w:val="0"/>
          <w:marTop w:val="0"/>
          <w:marBottom w:val="0"/>
          <w:divBdr>
            <w:top w:val="none" w:sz="0" w:space="0" w:color="auto"/>
            <w:left w:val="none" w:sz="0" w:space="0" w:color="auto"/>
            <w:bottom w:val="none" w:sz="0" w:space="0" w:color="auto"/>
            <w:right w:val="none" w:sz="0" w:space="0" w:color="auto"/>
          </w:divBdr>
        </w:div>
        <w:div w:id="340280112">
          <w:marLeft w:val="640"/>
          <w:marRight w:val="0"/>
          <w:marTop w:val="0"/>
          <w:marBottom w:val="0"/>
          <w:divBdr>
            <w:top w:val="none" w:sz="0" w:space="0" w:color="auto"/>
            <w:left w:val="none" w:sz="0" w:space="0" w:color="auto"/>
            <w:bottom w:val="none" w:sz="0" w:space="0" w:color="auto"/>
            <w:right w:val="none" w:sz="0" w:space="0" w:color="auto"/>
          </w:divBdr>
        </w:div>
        <w:div w:id="920064916">
          <w:marLeft w:val="640"/>
          <w:marRight w:val="0"/>
          <w:marTop w:val="0"/>
          <w:marBottom w:val="0"/>
          <w:divBdr>
            <w:top w:val="none" w:sz="0" w:space="0" w:color="auto"/>
            <w:left w:val="none" w:sz="0" w:space="0" w:color="auto"/>
            <w:bottom w:val="none" w:sz="0" w:space="0" w:color="auto"/>
            <w:right w:val="none" w:sz="0" w:space="0" w:color="auto"/>
          </w:divBdr>
        </w:div>
        <w:div w:id="711077545">
          <w:marLeft w:val="640"/>
          <w:marRight w:val="0"/>
          <w:marTop w:val="0"/>
          <w:marBottom w:val="0"/>
          <w:divBdr>
            <w:top w:val="none" w:sz="0" w:space="0" w:color="auto"/>
            <w:left w:val="none" w:sz="0" w:space="0" w:color="auto"/>
            <w:bottom w:val="none" w:sz="0" w:space="0" w:color="auto"/>
            <w:right w:val="none" w:sz="0" w:space="0" w:color="auto"/>
          </w:divBdr>
        </w:div>
        <w:div w:id="654728057">
          <w:marLeft w:val="640"/>
          <w:marRight w:val="0"/>
          <w:marTop w:val="0"/>
          <w:marBottom w:val="0"/>
          <w:divBdr>
            <w:top w:val="none" w:sz="0" w:space="0" w:color="auto"/>
            <w:left w:val="none" w:sz="0" w:space="0" w:color="auto"/>
            <w:bottom w:val="none" w:sz="0" w:space="0" w:color="auto"/>
            <w:right w:val="none" w:sz="0" w:space="0" w:color="auto"/>
          </w:divBdr>
        </w:div>
        <w:div w:id="1407414169">
          <w:marLeft w:val="640"/>
          <w:marRight w:val="0"/>
          <w:marTop w:val="0"/>
          <w:marBottom w:val="0"/>
          <w:divBdr>
            <w:top w:val="none" w:sz="0" w:space="0" w:color="auto"/>
            <w:left w:val="none" w:sz="0" w:space="0" w:color="auto"/>
            <w:bottom w:val="none" w:sz="0" w:space="0" w:color="auto"/>
            <w:right w:val="none" w:sz="0" w:space="0" w:color="auto"/>
          </w:divBdr>
        </w:div>
        <w:div w:id="1574001473">
          <w:marLeft w:val="640"/>
          <w:marRight w:val="0"/>
          <w:marTop w:val="0"/>
          <w:marBottom w:val="0"/>
          <w:divBdr>
            <w:top w:val="none" w:sz="0" w:space="0" w:color="auto"/>
            <w:left w:val="none" w:sz="0" w:space="0" w:color="auto"/>
            <w:bottom w:val="none" w:sz="0" w:space="0" w:color="auto"/>
            <w:right w:val="none" w:sz="0" w:space="0" w:color="auto"/>
          </w:divBdr>
        </w:div>
      </w:divsChild>
    </w:div>
    <w:div w:id="2052223067">
      <w:bodyDiv w:val="1"/>
      <w:marLeft w:val="0"/>
      <w:marRight w:val="0"/>
      <w:marTop w:val="0"/>
      <w:marBottom w:val="0"/>
      <w:divBdr>
        <w:top w:val="none" w:sz="0" w:space="0" w:color="auto"/>
        <w:left w:val="none" w:sz="0" w:space="0" w:color="auto"/>
        <w:bottom w:val="none" w:sz="0" w:space="0" w:color="auto"/>
        <w:right w:val="none" w:sz="0" w:space="0" w:color="auto"/>
      </w:divBdr>
    </w:div>
    <w:div w:id="2107537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1.png"/><Relationship Id="rId21" Type="http://schemas.openxmlformats.org/officeDocument/2006/relationships/image" Target="media/image13.png"/><Relationship Id="rId42" Type="http://schemas.openxmlformats.org/officeDocument/2006/relationships/image" Target="media/image34.png"/><Relationship Id="rId63" Type="http://schemas.openxmlformats.org/officeDocument/2006/relationships/image" Target="media/image470.wmf"/><Relationship Id="rId84" Type="http://schemas.openxmlformats.org/officeDocument/2006/relationships/image" Target="media/image68.png"/><Relationship Id="rId138" Type="http://schemas.openxmlformats.org/officeDocument/2006/relationships/image" Target="media/image122.png"/><Relationship Id="rId159" Type="http://schemas.openxmlformats.org/officeDocument/2006/relationships/image" Target="media/image143.png"/><Relationship Id="rId107" Type="http://schemas.openxmlformats.org/officeDocument/2006/relationships/image" Target="media/image91.png"/><Relationship Id="rId11" Type="http://schemas.openxmlformats.org/officeDocument/2006/relationships/image" Target="media/image3.png"/><Relationship Id="rId32" Type="http://schemas.openxmlformats.org/officeDocument/2006/relationships/image" Target="media/image24.svg"/><Relationship Id="rId53" Type="http://schemas.openxmlformats.org/officeDocument/2006/relationships/image" Target="media/image410.wmf"/><Relationship Id="rId74" Type="http://schemas.openxmlformats.org/officeDocument/2006/relationships/image" Target="media/image58.png"/><Relationship Id="rId128" Type="http://schemas.openxmlformats.org/officeDocument/2006/relationships/image" Target="media/image112.emf"/><Relationship Id="rId149" Type="http://schemas.openxmlformats.org/officeDocument/2006/relationships/image" Target="media/image133.png"/><Relationship Id="rId5" Type="http://schemas.openxmlformats.org/officeDocument/2006/relationships/webSettings" Target="webSettings.xml"/><Relationship Id="rId95" Type="http://schemas.openxmlformats.org/officeDocument/2006/relationships/image" Target="media/image79.png"/><Relationship Id="rId160" Type="http://schemas.openxmlformats.org/officeDocument/2006/relationships/image" Target="media/image144.png"/><Relationship Id="rId22" Type="http://schemas.openxmlformats.org/officeDocument/2006/relationships/image" Target="media/image14.svg"/><Relationship Id="rId43" Type="http://schemas.openxmlformats.org/officeDocument/2006/relationships/image" Target="media/image35.png"/><Relationship Id="rId64" Type="http://schemas.openxmlformats.org/officeDocument/2006/relationships/image" Target="media/image480.wmf"/><Relationship Id="rId118" Type="http://schemas.openxmlformats.org/officeDocument/2006/relationships/image" Target="media/image102.png"/><Relationship Id="rId139" Type="http://schemas.openxmlformats.org/officeDocument/2006/relationships/image" Target="media/image123.png"/><Relationship Id="rId85" Type="http://schemas.openxmlformats.org/officeDocument/2006/relationships/image" Target="media/image69.png"/><Relationship Id="rId150" Type="http://schemas.openxmlformats.org/officeDocument/2006/relationships/image" Target="media/image134.png"/><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5.png"/><Relationship Id="rId38" Type="http://schemas.openxmlformats.org/officeDocument/2006/relationships/image" Target="media/image30.png"/><Relationship Id="rId59" Type="http://schemas.openxmlformats.org/officeDocument/2006/relationships/image" Target="media/image47.wmf"/><Relationship Id="rId103" Type="http://schemas.openxmlformats.org/officeDocument/2006/relationships/image" Target="media/image87.png"/><Relationship Id="rId108" Type="http://schemas.openxmlformats.org/officeDocument/2006/relationships/image" Target="media/image92.png"/><Relationship Id="rId124" Type="http://schemas.openxmlformats.org/officeDocument/2006/relationships/image" Target="media/image108.png"/><Relationship Id="rId129" Type="http://schemas.openxmlformats.org/officeDocument/2006/relationships/image" Target="media/image113.png"/><Relationship Id="rId54" Type="http://schemas.openxmlformats.org/officeDocument/2006/relationships/image" Target="media/image420.wmf"/><Relationship Id="rId70" Type="http://schemas.openxmlformats.org/officeDocument/2006/relationships/image" Target="media/image54.png"/><Relationship Id="rId75" Type="http://schemas.openxmlformats.org/officeDocument/2006/relationships/image" Target="media/image59.png"/><Relationship Id="rId91" Type="http://schemas.openxmlformats.org/officeDocument/2006/relationships/image" Target="media/image75.png"/><Relationship Id="rId96" Type="http://schemas.openxmlformats.org/officeDocument/2006/relationships/image" Target="media/image80.png"/><Relationship Id="rId140" Type="http://schemas.openxmlformats.org/officeDocument/2006/relationships/image" Target="media/image124.png"/><Relationship Id="rId145" Type="http://schemas.openxmlformats.org/officeDocument/2006/relationships/image" Target="media/image129.png"/><Relationship Id="rId161" Type="http://schemas.openxmlformats.org/officeDocument/2006/relationships/image" Target="media/image145.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png"/><Relationship Id="rId28" Type="http://schemas.openxmlformats.org/officeDocument/2006/relationships/image" Target="media/image20.svg"/><Relationship Id="rId49" Type="http://schemas.openxmlformats.org/officeDocument/2006/relationships/image" Target="media/image41.wmf"/><Relationship Id="rId114" Type="http://schemas.openxmlformats.org/officeDocument/2006/relationships/image" Target="media/image98.png"/><Relationship Id="rId119" Type="http://schemas.openxmlformats.org/officeDocument/2006/relationships/image" Target="media/image103.png"/><Relationship Id="rId44" Type="http://schemas.openxmlformats.org/officeDocument/2006/relationships/image" Target="media/image36.png"/><Relationship Id="rId60" Type="http://schemas.openxmlformats.org/officeDocument/2006/relationships/image" Target="media/image48.wmf"/><Relationship Id="rId65" Type="http://schemas.openxmlformats.org/officeDocument/2006/relationships/image" Target="media/image49.png"/><Relationship Id="rId81" Type="http://schemas.openxmlformats.org/officeDocument/2006/relationships/image" Target="media/image65.png"/><Relationship Id="rId86" Type="http://schemas.openxmlformats.org/officeDocument/2006/relationships/image" Target="media/image70.png"/><Relationship Id="rId130" Type="http://schemas.openxmlformats.org/officeDocument/2006/relationships/image" Target="media/image114.png"/><Relationship Id="rId135" Type="http://schemas.openxmlformats.org/officeDocument/2006/relationships/image" Target="media/image119.png"/><Relationship Id="rId151" Type="http://schemas.openxmlformats.org/officeDocument/2006/relationships/image" Target="media/image135.png"/><Relationship Id="rId156" Type="http://schemas.openxmlformats.org/officeDocument/2006/relationships/image" Target="media/image140.png"/><Relationship Id="rId13" Type="http://schemas.openxmlformats.org/officeDocument/2006/relationships/image" Target="media/image5.png"/><Relationship Id="rId18" Type="http://schemas.openxmlformats.org/officeDocument/2006/relationships/image" Target="media/image10.svg"/><Relationship Id="rId39" Type="http://schemas.openxmlformats.org/officeDocument/2006/relationships/image" Target="media/image31.png"/><Relationship Id="rId109" Type="http://schemas.openxmlformats.org/officeDocument/2006/relationships/image" Target="media/image93.emf"/><Relationship Id="rId34" Type="http://schemas.openxmlformats.org/officeDocument/2006/relationships/image" Target="media/image26.png"/><Relationship Id="rId50" Type="http://schemas.openxmlformats.org/officeDocument/2006/relationships/image" Target="media/image42.wmf"/><Relationship Id="rId55" Type="http://schemas.openxmlformats.org/officeDocument/2006/relationships/image" Target="media/image430.wmf"/><Relationship Id="rId76" Type="http://schemas.openxmlformats.org/officeDocument/2006/relationships/image" Target="media/image60.png"/><Relationship Id="rId97" Type="http://schemas.openxmlformats.org/officeDocument/2006/relationships/image" Target="media/image81.png"/><Relationship Id="rId104" Type="http://schemas.openxmlformats.org/officeDocument/2006/relationships/image" Target="media/image88.png"/><Relationship Id="rId120" Type="http://schemas.openxmlformats.org/officeDocument/2006/relationships/image" Target="media/image104.png"/><Relationship Id="rId125" Type="http://schemas.openxmlformats.org/officeDocument/2006/relationships/image" Target="media/image109.png"/><Relationship Id="rId141" Type="http://schemas.openxmlformats.org/officeDocument/2006/relationships/image" Target="media/image125.png"/><Relationship Id="rId146" Type="http://schemas.openxmlformats.org/officeDocument/2006/relationships/image" Target="media/image130.png"/><Relationship Id="rId7" Type="http://schemas.openxmlformats.org/officeDocument/2006/relationships/endnotes" Target="endnotes.xml"/><Relationship Id="rId71" Type="http://schemas.openxmlformats.org/officeDocument/2006/relationships/image" Target="media/image55.png"/><Relationship Id="rId92" Type="http://schemas.openxmlformats.org/officeDocument/2006/relationships/image" Target="media/image76.png"/><Relationship Id="rId162" Type="http://schemas.openxmlformats.org/officeDocument/2006/relationships/footer" Target="footer2.xml"/><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sv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0.png"/><Relationship Id="rId87" Type="http://schemas.openxmlformats.org/officeDocument/2006/relationships/image" Target="media/image71.png"/><Relationship Id="rId110" Type="http://schemas.openxmlformats.org/officeDocument/2006/relationships/image" Target="media/image94.png"/><Relationship Id="rId115" Type="http://schemas.openxmlformats.org/officeDocument/2006/relationships/image" Target="media/image99.png"/><Relationship Id="rId131" Type="http://schemas.openxmlformats.org/officeDocument/2006/relationships/image" Target="media/image115.png"/><Relationship Id="rId136" Type="http://schemas.openxmlformats.org/officeDocument/2006/relationships/image" Target="media/image120.png"/><Relationship Id="rId157" Type="http://schemas.openxmlformats.org/officeDocument/2006/relationships/image" Target="media/image141.png"/><Relationship Id="rId61" Type="http://schemas.openxmlformats.org/officeDocument/2006/relationships/image" Target="media/image450.wmf"/><Relationship Id="rId82" Type="http://schemas.openxmlformats.org/officeDocument/2006/relationships/image" Target="media/image66.png"/><Relationship Id="rId152" Type="http://schemas.openxmlformats.org/officeDocument/2006/relationships/image" Target="media/image136.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svg"/><Relationship Id="rId35" Type="http://schemas.openxmlformats.org/officeDocument/2006/relationships/image" Target="media/image27.png"/><Relationship Id="rId56" Type="http://schemas.openxmlformats.org/officeDocument/2006/relationships/image" Target="media/image440.wmf"/><Relationship Id="rId77" Type="http://schemas.openxmlformats.org/officeDocument/2006/relationships/image" Target="media/image61.png"/><Relationship Id="rId100" Type="http://schemas.openxmlformats.org/officeDocument/2006/relationships/image" Target="media/image84.png"/><Relationship Id="rId105" Type="http://schemas.openxmlformats.org/officeDocument/2006/relationships/image" Target="media/image89.png"/><Relationship Id="rId126" Type="http://schemas.openxmlformats.org/officeDocument/2006/relationships/image" Target="media/image110.png"/><Relationship Id="rId147" Type="http://schemas.openxmlformats.org/officeDocument/2006/relationships/image" Target="media/image131.png"/><Relationship Id="rId8" Type="http://schemas.openxmlformats.org/officeDocument/2006/relationships/image" Target="media/image1.png"/><Relationship Id="rId51" Type="http://schemas.openxmlformats.org/officeDocument/2006/relationships/image" Target="media/image43.wmf"/><Relationship Id="rId72" Type="http://schemas.openxmlformats.org/officeDocument/2006/relationships/image" Target="media/image56.png"/><Relationship Id="rId93" Type="http://schemas.openxmlformats.org/officeDocument/2006/relationships/image" Target="media/image77.png"/><Relationship Id="rId98" Type="http://schemas.openxmlformats.org/officeDocument/2006/relationships/image" Target="media/image82.png"/><Relationship Id="rId121" Type="http://schemas.openxmlformats.org/officeDocument/2006/relationships/image" Target="media/image105.png"/><Relationship Id="rId142" Type="http://schemas.openxmlformats.org/officeDocument/2006/relationships/image" Target="media/image126.png"/><Relationship Id="rId163"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image" Target="media/image51.png"/><Relationship Id="rId116" Type="http://schemas.openxmlformats.org/officeDocument/2006/relationships/image" Target="media/image100.png"/><Relationship Id="rId137" Type="http://schemas.openxmlformats.org/officeDocument/2006/relationships/image" Target="media/image121.png"/><Relationship Id="rId158" Type="http://schemas.openxmlformats.org/officeDocument/2006/relationships/image" Target="media/image142.png"/><Relationship Id="rId20" Type="http://schemas.openxmlformats.org/officeDocument/2006/relationships/image" Target="media/image12.svg"/><Relationship Id="rId41" Type="http://schemas.openxmlformats.org/officeDocument/2006/relationships/image" Target="media/image33.png"/><Relationship Id="rId62" Type="http://schemas.openxmlformats.org/officeDocument/2006/relationships/image" Target="media/image460.wmf"/><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image" Target="media/image95.png"/><Relationship Id="rId132" Type="http://schemas.openxmlformats.org/officeDocument/2006/relationships/image" Target="media/image116.png"/><Relationship Id="rId153" Type="http://schemas.openxmlformats.org/officeDocument/2006/relationships/image" Target="media/image137.png"/><Relationship Id="rId15" Type="http://schemas.openxmlformats.org/officeDocument/2006/relationships/image" Target="media/image7.png"/><Relationship Id="rId36" Type="http://schemas.openxmlformats.org/officeDocument/2006/relationships/image" Target="media/image28.png"/><Relationship Id="rId57" Type="http://schemas.openxmlformats.org/officeDocument/2006/relationships/image" Target="media/image45.wmf"/><Relationship Id="rId106" Type="http://schemas.openxmlformats.org/officeDocument/2006/relationships/image" Target="media/image90.png"/><Relationship Id="rId127" Type="http://schemas.openxmlformats.org/officeDocument/2006/relationships/image" Target="media/image111.png"/><Relationship Id="rId10" Type="http://schemas.openxmlformats.org/officeDocument/2006/relationships/image" Target="media/image2.png"/><Relationship Id="rId31" Type="http://schemas.openxmlformats.org/officeDocument/2006/relationships/image" Target="media/image23.png"/><Relationship Id="rId52" Type="http://schemas.openxmlformats.org/officeDocument/2006/relationships/image" Target="media/image44.wmf"/><Relationship Id="rId73" Type="http://schemas.openxmlformats.org/officeDocument/2006/relationships/image" Target="media/image57.png"/><Relationship Id="rId78" Type="http://schemas.openxmlformats.org/officeDocument/2006/relationships/image" Target="media/image62.png"/><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image" Target="media/image106.png"/><Relationship Id="rId143" Type="http://schemas.openxmlformats.org/officeDocument/2006/relationships/image" Target="media/image127.png"/><Relationship Id="rId148" Type="http://schemas.openxmlformats.org/officeDocument/2006/relationships/image" Target="media/image132.png"/><Relationship Id="rId16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image" Target="media/image18.svg"/><Relationship Id="rId47" Type="http://schemas.openxmlformats.org/officeDocument/2006/relationships/image" Target="media/image39.png"/><Relationship Id="rId68" Type="http://schemas.openxmlformats.org/officeDocument/2006/relationships/image" Target="media/image52.emf"/><Relationship Id="rId89" Type="http://schemas.openxmlformats.org/officeDocument/2006/relationships/image" Target="media/image73.png"/><Relationship Id="rId112" Type="http://schemas.openxmlformats.org/officeDocument/2006/relationships/image" Target="media/image96.png"/><Relationship Id="rId133" Type="http://schemas.openxmlformats.org/officeDocument/2006/relationships/image" Target="media/image117.png"/><Relationship Id="rId154" Type="http://schemas.openxmlformats.org/officeDocument/2006/relationships/image" Target="media/image138.png"/><Relationship Id="rId16" Type="http://schemas.openxmlformats.org/officeDocument/2006/relationships/image" Target="media/image8.png"/><Relationship Id="rId37" Type="http://schemas.openxmlformats.org/officeDocument/2006/relationships/image" Target="media/image29.png"/><Relationship Id="rId58" Type="http://schemas.openxmlformats.org/officeDocument/2006/relationships/image" Target="media/image46.wmf"/><Relationship Id="rId79" Type="http://schemas.openxmlformats.org/officeDocument/2006/relationships/image" Target="media/image63.png"/><Relationship Id="rId102" Type="http://schemas.openxmlformats.org/officeDocument/2006/relationships/image" Target="media/image86.png"/><Relationship Id="rId123" Type="http://schemas.openxmlformats.org/officeDocument/2006/relationships/image" Target="media/image107.png"/><Relationship Id="rId144" Type="http://schemas.openxmlformats.org/officeDocument/2006/relationships/image" Target="media/image128.png"/><Relationship Id="rId90" Type="http://schemas.openxmlformats.org/officeDocument/2006/relationships/image" Target="media/image74.png"/><Relationship Id="rId165" Type="http://schemas.openxmlformats.org/officeDocument/2006/relationships/theme" Target="theme/theme1.xml"/><Relationship Id="rId27" Type="http://schemas.openxmlformats.org/officeDocument/2006/relationships/image" Target="media/image19.png"/><Relationship Id="rId48" Type="http://schemas.openxmlformats.org/officeDocument/2006/relationships/image" Target="media/image40.png"/><Relationship Id="rId69" Type="http://schemas.openxmlformats.org/officeDocument/2006/relationships/image" Target="media/image53.png"/><Relationship Id="rId113" Type="http://schemas.openxmlformats.org/officeDocument/2006/relationships/image" Target="media/image97.png"/><Relationship Id="rId134" Type="http://schemas.openxmlformats.org/officeDocument/2006/relationships/image" Target="media/image118.png"/><Relationship Id="rId80" Type="http://schemas.openxmlformats.org/officeDocument/2006/relationships/image" Target="media/image64.png"/><Relationship Id="rId155" Type="http://schemas.openxmlformats.org/officeDocument/2006/relationships/image" Target="media/image13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1E4FD86CE35426F88A7087D016C58DC"/>
        <w:category>
          <w:name w:val="General"/>
          <w:gallery w:val="placeholder"/>
        </w:category>
        <w:types>
          <w:type w:val="bbPlcHdr"/>
        </w:types>
        <w:behaviors>
          <w:behavior w:val="content"/>
        </w:behaviors>
        <w:guid w:val="{155983C1-9350-4FBC-A28D-96579CC32F7E}"/>
      </w:docPartPr>
      <w:docPartBody>
        <w:p w:rsidR="000637D0" w:rsidRDefault="00D42749" w:rsidP="00D42749">
          <w:pPr>
            <w:pStyle w:val="91E4FD86CE35426F88A7087D016C58DC"/>
          </w:pPr>
          <w:r w:rsidRPr="00E32090">
            <w:rPr>
              <w:rStyle w:val="PlaceholderText"/>
            </w:rPr>
            <w:t>Click or tap here to enter text.</w:t>
          </w:r>
        </w:p>
      </w:docPartBody>
    </w:docPart>
    <w:docPart>
      <w:docPartPr>
        <w:name w:val="AFCB6F2CBB244928B8CD5211F2DD417B"/>
        <w:category>
          <w:name w:val="General"/>
          <w:gallery w:val="placeholder"/>
        </w:category>
        <w:types>
          <w:type w:val="bbPlcHdr"/>
        </w:types>
        <w:behaviors>
          <w:behavior w:val="content"/>
        </w:behaviors>
        <w:guid w:val="{A88C4DFB-0CE7-40A6-9FB7-6EFC560C1688}"/>
      </w:docPartPr>
      <w:docPartBody>
        <w:p w:rsidR="000637D0" w:rsidRDefault="00D42749" w:rsidP="00D42749">
          <w:pPr>
            <w:pStyle w:val="AFCB6F2CBB244928B8CD5211F2DD417B"/>
          </w:pPr>
          <w:r w:rsidRPr="001A2C39">
            <w:rPr>
              <w:rStyle w:val="PlaceholderText"/>
            </w:rPr>
            <w:t>Click or tap here to enter text.</w:t>
          </w:r>
        </w:p>
      </w:docPartBody>
    </w:docPart>
    <w:docPart>
      <w:docPartPr>
        <w:name w:val="1B3FE7BD531F421C914E3C5551B65B3B"/>
        <w:category>
          <w:name w:val="General"/>
          <w:gallery w:val="placeholder"/>
        </w:category>
        <w:types>
          <w:type w:val="bbPlcHdr"/>
        </w:types>
        <w:behaviors>
          <w:behavior w:val="content"/>
        </w:behaviors>
        <w:guid w:val="{2B5D0813-291F-43FF-9722-7C0173219BF4}"/>
      </w:docPartPr>
      <w:docPartBody>
        <w:p w:rsidR="000637D0" w:rsidRDefault="00D42749" w:rsidP="00D42749">
          <w:pPr>
            <w:pStyle w:val="1B3FE7BD531F421C914E3C5551B65B3B"/>
          </w:pPr>
          <w:r w:rsidRPr="00B96D6B">
            <w:rPr>
              <w:rStyle w:val="PlaceholderText"/>
            </w:rPr>
            <w:t>Click or tap here to enter text.</w:t>
          </w:r>
        </w:p>
      </w:docPartBody>
    </w:docPart>
    <w:docPart>
      <w:docPartPr>
        <w:name w:val="1AB32AB2DC0A4A71892EAEDB2E7FF0E1"/>
        <w:category>
          <w:name w:val="General"/>
          <w:gallery w:val="placeholder"/>
        </w:category>
        <w:types>
          <w:type w:val="bbPlcHdr"/>
        </w:types>
        <w:behaviors>
          <w:behavior w:val="content"/>
        </w:behaviors>
        <w:guid w:val="{6EA215F3-ED3F-4B7E-9A72-E9ADE94EAA41}"/>
      </w:docPartPr>
      <w:docPartBody>
        <w:p w:rsidR="000637D0" w:rsidRDefault="00D42749" w:rsidP="00D42749">
          <w:pPr>
            <w:pStyle w:val="1AB32AB2DC0A4A71892EAEDB2E7FF0E1"/>
          </w:pPr>
          <w:r w:rsidRPr="00B96D6B">
            <w:rPr>
              <w:rStyle w:val="PlaceholderText"/>
            </w:rPr>
            <w:t>Click or tap here to enter text.</w:t>
          </w:r>
        </w:p>
      </w:docPartBody>
    </w:docPart>
    <w:docPart>
      <w:docPartPr>
        <w:name w:val="0854A41F3A464BB4A4C0AA3E687EAE02"/>
        <w:category>
          <w:name w:val="General"/>
          <w:gallery w:val="placeholder"/>
        </w:category>
        <w:types>
          <w:type w:val="bbPlcHdr"/>
        </w:types>
        <w:behaviors>
          <w:behavior w:val="content"/>
        </w:behaviors>
        <w:guid w:val="{E915B02E-8E1F-4C52-B35A-1BA66989F55A}"/>
      </w:docPartPr>
      <w:docPartBody>
        <w:p w:rsidR="000637D0" w:rsidRDefault="00D42749" w:rsidP="00D42749">
          <w:pPr>
            <w:pStyle w:val="0854A41F3A464BB4A4C0AA3E687EAE02"/>
          </w:pPr>
          <w:r w:rsidRPr="00B96D6B">
            <w:rPr>
              <w:rStyle w:val="PlaceholderText"/>
            </w:rPr>
            <w:t>Click or tap here to enter text.</w:t>
          </w:r>
        </w:p>
      </w:docPartBody>
    </w:docPart>
    <w:docPart>
      <w:docPartPr>
        <w:name w:val="9B879AF6899F4C9B9A6F3748217AA0E5"/>
        <w:category>
          <w:name w:val="General"/>
          <w:gallery w:val="placeholder"/>
        </w:category>
        <w:types>
          <w:type w:val="bbPlcHdr"/>
        </w:types>
        <w:behaviors>
          <w:behavior w:val="content"/>
        </w:behaviors>
        <w:guid w:val="{22C9C18F-28BF-4588-8051-5DB902D778EE}"/>
      </w:docPartPr>
      <w:docPartBody>
        <w:p w:rsidR="000637D0" w:rsidRDefault="00D42749" w:rsidP="00D42749">
          <w:pPr>
            <w:pStyle w:val="9B879AF6899F4C9B9A6F3748217AA0E5"/>
          </w:pPr>
          <w:r w:rsidRPr="00B96D6B">
            <w:rPr>
              <w:rStyle w:val="PlaceholderText"/>
            </w:rPr>
            <w:t>Click or tap here to enter text.</w:t>
          </w:r>
        </w:p>
      </w:docPartBody>
    </w:docPart>
    <w:docPart>
      <w:docPartPr>
        <w:name w:val="11DED716EB1F44508AEEC277105350B4"/>
        <w:category>
          <w:name w:val="General"/>
          <w:gallery w:val="placeholder"/>
        </w:category>
        <w:types>
          <w:type w:val="bbPlcHdr"/>
        </w:types>
        <w:behaviors>
          <w:behavior w:val="content"/>
        </w:behaviors>
        <w:guid w:val="{5FE1A9D1-E86D-4E5E-B878-4CD995EC1555}"/>
      </w:docPartPr>
      <w:docPartBody>
        <w:p w:rsidR="000637D0" w:rsidRDefault="00D42749" w:rsidP="00D42749">
          <w:pPr>
            <w:pStyle w:val="11DED716EB1F44508AEEC277105350B4"/>
          </w:pPr>
          <w:r w:rsidRPr="002D7AD6">
            <w:rPr>
              <w:rStyle w:val="PlaceholderText"/>
            </w:rPr>
            <w:t>Click or tap here to enter text.</w:t>
          </w:r>
        </w:p>
      </w:docPartBody>
    </w:docPart>
    <w:docPart>
      <w:docPartPr>
        <w:name w:val="46BD8FCE7E7A49628DBD6D52F4CA1C98"/>
        <w:category>
          <w:name w:val="General"/>
          <w:gallery w:val="placeholder"/>
        </w:category>
        <w:types>
          <w:type w:val="bbPlcHdr"/>
        </w:types>
        <w:behaviors>
          <w:behavior w:val="content"/>
        </w:behaviors>
        <w:guid w:val="{33E8652D-C5A4-4ABC-910A-E30650381E0E}"/>
      </w:docPartPr>
      <w:docPartBody>
        <w:p w:rsidR="000637D0" w:rsidRDefault="00D42749" w:rsidP="00D42749">
          <w:pPr>
            <w:pStyle w:val="46BD8FCE7E7A49628DBD6D52F4CA1C98"/>
          </w:pPr>
          <w:r w:rsidRPr="002D7AD6">
            <w:rPr>
              <w:rStyle w:val="PlaceholderText"/>
            </w:rPr>
            <w:t>Click or tap here to enter text.</w:t>
          </w:r>
        </w:p>
      </w:docPartBody>
    </w:docPart>
    <w:docPart>
      <w:docPartPr>
        <w:name w:val="947A05F854984B2380E985B9D3AFB3EB"/>
        <w:category>
          <w:name w:val="General"/>
          <w:gallery w:val="placeholder"/>
        </w:category>
        <w:types>
          <w:type w:val="bbPlcHdr"/>
        </w:types>
        <w:behaviors>
          <w:behavior w:val="content"/>
        </w:behaviors>
        <w:guid w:val="{FB3BDA05-0B16-42E8-B807-AA01F79EBE0B}"/>
      </w:docPartPr>
      <w:docPartBody>
        <w:p w:rsidR="000637D0" w:rsidRDefault="00D42749" w:rsidP="00D42749">
          <w:pPr>
            <w:pStyle w:val="947A05F854984B2380E985B9D3AFB3EB"/>
          </w:pPr>
          <w:r w:rsidRPr="002D7AD6">
            <w:rPr>
              <w:rStyle w:val="PlaceholderText"/>
            </w:rPr>
            <w:t>Click or tap here to enter text.</w:t>
          </w:r>
        </w:p>
      </w:docPartBody>
    </w:docPart>
    <w:docPart>
      <w:docPartPr>
        <w:name w:val="2EAF30AEF44C41A6AB2F58B3CF3C3C85"/>
        <w:category>
          <w:name w:val="General"/>
          <w:gallery w:val="placeholder"/>
        </w:category>
        <w:types>
          <w:type w:val="bbPlcHdr"/>
        </w:types>
        <w:behaviors>
          <w:behavior w:val="content"/>
        </w:behaviors>
        <w:guid w:val="{9CBC3E87-8092-45FC-84A1-9F4C7B872969}"/>
      </w:docPartPr>
      <w:docPartBody>
        <w:p w:rsidR="000637D0" w:rsidRDefault="00D42749" w:rsidP="00D42749">
          <w:pPr>
            <w:pStyle w:val="2EAF30AEF44C41A6AB2F58B3CF3C3C85"/>
          </w:pPr>
          <w:r w:rsidRPr="002D7AD6">
            <w:rPr>
              <w:rStyle w:val="PlaceholderText"/>
            </w:rPr>
            <w:t>Click or tap here to enter text.</w:t>
          </w:r>
        </w:p>
      </w:docPartBody>
    </w:docPart>
    <w:docPart>
      <w:docPartPr>
        <w:name w:val="E6E6AF17A8F94D2F849243A75294AA45"/>
        <w:category>
          <w:name w:val="General"/>
          <w:gallery w:val="placeholder"/>
        </w:category>
        <w:types>
          <w:type w:val="bbPlcHdr"/>
        </w:types>
        <w:behaviors>
          <w:behavior w:val="content"/>
        </w:behaviors>
        <w:guid w:val="{875DF4C6-3063-416A-A071-271F11583EF3}"/>
      </w:docPartPr>
      <w:docPartBody>
        <w:p w:rsidR="000637D0" w:rsidRDefault="00D42749" w:rsidP="00D42749">
          <w:pPr>
            <w:pStyle w:val="E6E6AF17A8F94D2F849243A75294AA45"/>
          </w:pPr>
          <w:r w:rsidRPr="001A2C39">
            <w:rPr>
              <w:rStyle w:val="PlaceholderText"/>
            </w:rPr>
            <w:t>Click or tap here to enter text.</w:t>
          </w:r>
        </w:p>
      </w:docPartBody>
    </w:docPart>
    <w:docPart>
      <w:docPartPr>
        <w:name w:val="B7C66969D8FA45798DE1590D161938CE"/>
        <w:category>
          <w:name w:val="General"/>
          <w:gallery w:val="placeholder"/>
        </w:category>
        <w:types>
          <w:type w:val="bbPlcHdr"/>
        </w:types>
        <w:behaviors>
          <w:behavior w:val="content"/>
        </w:behaviors>
        <w:guid w:val="{18FE5363-F4FC-4053-AE6B-396A9FD9DF54}"/>
      </w:docPartPr>
      <w:docPartBody>
        <w:p w:rsidR="000637D0" w:rsidRDefault="00D42749" w:rsidP="00D42749">
          <w:pPr>
            <w:pStyle w:val="B7C66969D8FA45798DE1590D161938CE"/>
          </w:pPr>
          <w:r w:rsidRPr="001A2C39">
            <w:rPr>
              <w:rStyle w:val="PlaceholderText"/>
            </w:rPr>
            <w:t>Click or tap here to enter text.</w:t>
          </w:r>
        </w:p>
      </w:docPartBody>
    </w:docPart>
    <w:docPart>
      <w:docPartPr>
        <w:name w:val="AB8EB951D6594799B364F2AAE5B246E0"/>
        <w:category>
          <w:name w:val="General"/>
          <w:gallery w:val="placeholder"/>
        </w:category>
        <w:types>
          <w:type w:val="bbPlcHdr"/>
        </w:types>
        <w:behaviors>
          <w:behavior w:val="content"/>
        </w:behaviors>
        <w:guid w:val="{1DE6ACEC-9D9C-4348-B4FD-9A38F3FD6FC6}"/>
      </w:docPartPr>
      <w:docPartBody>
        <w:p w:rsidR="000637D0" w:rsidRDefault="00D42749" w:rsidP="00D42749">
          <w:pPr>
            <w:pStyle w:val="AB8EB951D6594799B364F2AAE5B246E0"/>
          </w:pPr>
          <w:r w:rsidRPr="001A2C39">
            <w:rPr>
              <w:rStyle w:val="PlaceholderText"/>
            </w:rPr>
            <w:t>Click or tap here to enter text.</w:t>
          </w:r>
        </w:p>
      </w:docPartBody>
    </w:docPart>
    <w:docPart>
      <w:docPartPr>
        <w:name w:val="FEDA858703184682A582DEEEA3BEA80D"/>
        <w:category>
          <w:name w:val="General"/>
          <w:gallery w:val="placeholder"/>
        </w:category>
        <w:types>
          <w:type w:val="bbPlcHdr"/>
        </w:types>
        <w:behaviors>
          <w:behavior w:val="content"/>
        </w:behaviors>
        <w:guid w:val="{B790DF4C-781E-45A6-8CB9-7A08534E6DDA}"/>
      </w:docPartPr>
      <w:docPartBody>
        <w:p w:rsidR="000637D0" w:rsidRDefault="00D42749" w:rsidP="00D42749">
          <w:pPr>
            <w:pStyle w:val="FEDA858703184682A582DEEEA3BEA80D"/>
          </w:pPr>
          <w:r w:rsidRPr="00B96D6B">
            <w:rPr>
              <w:rStyle w:val="PlaceholderText"/>
            </w:rPr>
            <w:t>Click or tap here to enter text.</w:t>
          </w:r>
        </w:p>
      </w:docPartBody>
    </w:docPart>
    <w:docPart>
      <w:docPartPr>
        <w:name w:val="34D7C50C8DC64C8597C7F89E297DE3C4"/>
        <w:category>
          <w:name w:val="General"/>
          <w:gallery w:val="placeholder"/>
        </w:category>
        <w:types>
          <w:type w:val="bbPlcHdr"/>
        </w:types>
        <w:behaviors>
          <w:behavior w:val="content"/>
        </w:behaviors>
        <w:guid w:val="{0F661E78-9877-490C-B911-239F2D670946}"/>
      </w:docPartPr>
      <w:docPartBody>
        <w:p w:rsidR="000637D0" w:rsidRDefault="00D42749" w:rsidP="00D42749">
          <w:pPr>
            <w:pStyle w:val="34D7C50C8DC64C8597C7F89E297DE3C4"/>
          </w:pPr>
          <w:r w:rsidRPr="00B96D6B">
            <w:rPr>
              <w:rStyle w:val="PlaceholderText"/>
            </w:rPr>
            <w:t>Click or tap here to enter text.</w:t>
          </w:r>
        </w:p>
      </w:docPartBody>
    </w:docPart>
    <w:docPart>
      <w:docPartPr>
        <w:name w:val="B11D94936EFA4A5D89FF5BA3CC0EC95F"/>
        <w:category>
          <w:name w:val="General"/>
          <w:gallery w:val="placeholder"/>
        </w:category>
        <w:types>
          <w:type w:val="bbPlcHdr"/>
        </w:types>
        <w:behaviors>
          <w:behavior w:val="content"/>
        </w:behaviors>
        <w:guid w:val="{E4BC8EB8-8FEC-468E-841E-4F599093A0AB}"/>
      </w:docPartPr>
      <w:docPartBody>
        <w:p w:rsidR="000637D0" w:rsidRDefault="00D42749" w:rsidP="00D42749">
          <w:pPr>
            <w:pStyle w:val="B11D94936EFA4A5D89FF5BA3CC0EC95F"/>
          </w:pPr>
          <w:r w:rsidRPr="002D7AD6">
            <w:rPr>
              <w:rStyle w:val="PlaceholderText"/>
            </w:rPr>
            <w:t>Click or tap here to enter text.</w:t>
          </w:r>
        </w:p>
      </w:docPartBody>
    </w:docPart>
    <w:docPart>
      <w:docPartPr>
        <w:name w:val="AFB1364C681D41F8B1B2A440640ABE7E"/>
        <w:category>
          <w:name w:val="General"/>
          <w:gallery w:val="placeholder"/>
        </w:category>
        <w:types>
          <w:type w:val="bbPlcHdr"/>
        </w:types>
        <w:behaviors>
          <w:behavior w:val="content"/>
        </w:behaviors>
        <w:guid w:val="{4C94A65B-368E-4B58-8A76-7C6BFB6F297B}"/>
      </w:docPartPr>
      <w:docPartBody>
        <w:p w:rsidR="000637D0" w:rsidRDefault="00D42749" w:rsidP="00D42749">
          <w:pPr>
            <w:pStyle w:val="AFB1364C681D41F8B1B2A440640ABE7E"/>
          </w:pPr>
          <w:r w:rsidRPr="002D7AD6">
            <w:rPr>
              <w:rStyle w:val="PlaceholderText"/>
            </w:rPr>
            <w:t>Click or tap here to enter text.</w:t>
          </w:r>
        </w:p>
      </w:docPartBody>
    </w:docPart>
    <w:docPart>
      <w:docPartPr>
        <w:name w:val="3371C3A8D58848B49B182581F4B4420E"/>
        <w:category>
          <w:name w:val="General"/>
          <w:gallery w:val="placeholder"/>
        </w:category>
        <w:types>
          <w:type w:val="bbPlcHdr"/>
        </w:types>
        <w:behaviors>
          <w:behavior w:val="content"/>
        </w:behaviors>
        <w:guid w:val="{3C8FBD0E-A098-4F41-B1EC-7F6ED32053D7}"/>
      </w:docPartPr>
      <w:docPartBody>
        <w:p w:rsidR="000637D0" w:rsidRDefault="00D42749" w:rsidP="00D42749">
          <w:pPr>
            <w:pStyle w:val="3371C3A8D58848B49B182581F4B4420E"/>
          </w:pPr>
          <w:r w:rsidRPr="002D7AD6">
            <w:rPr>
              <w:rStyle w:val="PlaceholderText"/>
            </w:rPr>
            <w:t>Click or tap here to enter text.</w:t>
          </w:r>
        </w:p>
      </w:docPartBody>
    </w:docPart>
    <w:docPart>
      <w:docPartPr>
        <w:name w:val="1DF9F766C627466F8D24F532B7FFC0FB"/>
        <w:category>
          <w:name w:val="General"/>
          <w:gallery w:val="placeholder"/>
        </w:category>
        <w:types>
          <w:type w:val="bbPlcHdr"/>
        </w:types>
        <w:behaviors>
          <w:behavior w:val="content"/>
        </w:behaviors>
        <w:guid w:val="{AB72D5C9-381B-4A28-B1DA-BE2A7DDA2DE7}"/>
      </w:docPartPr>
      <w:docPartBody>
        <w:p w:rsidR="000637D0" w:rsidRDefault="00D42749" w:rsidP="00D42749">
          <w:pPr>
            <w:pStyle w:val="1DF9F766C627466F8D24F532B7FFC0FB"/>
          </w:pPr>
          <w:r w:rsidRPr="002D7AD6">
            <w:rPr>
              <w:rStyle w:val="PlaceholderText"/>
            </w:rPr>
            <w:t>Click or tap here to enter text.</w:t>
          </w:r>
        </w:p>
      </w:docPartBody>
    </w:docPart>
    <w:docPart>
      <w:docPartPr>
        <w:name w:val="9482EBCF09D94C7B85E004E358629C8B"/>
        <w:category>
          <w:name w:val="General"/>
          <w:gallery w:val="placeholder"/>
        </w:category>
        <w:types>
          <w:type w:val="bbPlcHdr"/>
        </w:types>
        <w:behaviors>
          <w:behavior w:val="content"/>
        </w:behaviors>
        <w:guid w:val="{9477EAC9-A955-47D1-94E2-186B72E2C33E}"/>
      </w:docPartPr>
      <w:docPartBody>
        <w:p w:rsidR="000637D0" w:rsidRDefault="00D42749" w:rsidP="00D42749">
          <w:pPr>
            <w:pStyle w:val="9482EBCF09D94C7B85E004E358629C8B"/>
          </w:pPr>
          <w:r w:rsidRPr="002D7AD6">
            <w:rPr>
              <w:rStyle w:val="PlaceholderText"/>
            </w:rPr>
            <w:t>Click or tap here to enter text.</w:t>
          </w:r>
        </w:p>
      </w:docPartBody>
    </w:docPart>
    <w:docPart>
      <w:docPartPr>
        <w:name w:val="156C82B4EFCB4C9092C7EB016FE2E3BE"/>
        <w:category>
          <w:name w:val="General"/>
          <w:gallery w:val="placeholder"/>
        </w:category>
        <w:types>
          <w:type w:val="bbPlcHdr"/>
        </w:types>
        <w:behaviors>
          <w:behavior w:val="content"/>
        </w:behaviors>
        <w:guid w:val="{9289874F-FDB6-43AE-9B48-C2DE0C41D215}"/>
      </w:docPartPr>
      <w:docPartBody>
        <w:p w:rsidR="000637D0" w:rsidRDefault="00D42749" w:rsidP="00D42749">
          <w:pPr>
            <w:pStyle w:val="156C82B4EFCB4C9092C7EB016FE2E3BE"/>
          </w:pPr>
          <w:r w:rsidRPr="002D7AD6">
            <w:rPr>
              <w:rStyle w:val="PlaceholderText"/>
            </w:rPr>
            <w:t>Click or tap here to enter text.</w:t>
          </w:r>
        </w:p>
      </w:docPartBody>
    </w:docPart>
    <w:docPart>
      <w:docPartPr>
        <w:name w:val="AA900629ADDB45D6A124B37EBFB76E44"/>
        <w:category>
          <w:name w:val="General"/>
          <w:gallery w:val="placeholder"/>
        </w:category>
        <w:types>
          <w:type w:val="bbPlcHdr"/>
        </w:types>
        <w:behaviors>
          <w:behavior w:val="content"/>
        </w:behaviors>
        <w:guid w:val="{8A5CBD11-0AEB-4E87-8816-A11E5B6448F3}"/>
      </w:docPartPr>
      <w:docPartBody>
        <w:p w:rsidR="000637D0" w:rsidRDefault="00D42749" w:rsidP="00D42749">
          <w:pPr>
            <w:pStyle w:val="AA900629ADDB45D6A124B37EBFB76E44"/>
          </w:pPr>
          <w:r w:rsidRPr="002D7AD6">
            <w:rPr>
              <w:rStyle w:val="PlaceholderText"/>
            </w:rPr>
            <w:t>Click or tap here to enter text.</w:t>
          </w:r>
        </w:p>
      </w:docPartBody>
    </w:docPart>
    <w:docPart>
      <w:docPartPr>
        <w:name w:val="071E162ADF9C46688E108AE112B22125"/>
        <w:category>
          <w:name w:val="General"/>
          <w:gallery w:val="placeholder"/>
        </w:category>
        <w:types>
          <w:type w:val="bbPlcHdr"/>
        </w:types>
        <w:behaviors>
          <w:behavior w:val="content"/>
        </w:behaviors>
        <w:guid w:val="{DC567090-7A8F-4C09-A4CB-DCE1888AFDE6}"/>
      </w:docPartPr>
      <w:docPartBody>
        <w:p w:rsidR="000637D0" w:rsidRDefault="00D42749" w:rsidP="00D42749">
          <w:pPr>
            <w:pStyle w:val="071E162ADF9C46688E108AE112B22125"/>
          </w:pPr>
          <w:r w:rsidRPr="001A2C39">
            <w:rPr>
              <w:rStyle w:val="PlaceholderText"/>
            </w:rPr>
            <w:t>Click or tap here to enter text.</w:t>
          </w:r>
        </w:p>
      </w:docPartBody>
    </w:docPart>
    <w:docPart>
      <w:docPartPr>
        <w:name w:val="592F187AFD3E43D4A01B752ED8FBA655"/>
        <w:category>
          <w:name w:val="General"/>
          <w:gallery w:val="placeholder"/>
        </w:category>
        <w:types>
          <w:type w:val="bbPlcHdr"/>
        </w:types>
        <w:behaviors>
          <w:behavior w:val="content"/>
        </w:behaviors>
        <w:guid w:val="{ADA39963-D715-4984-A272-09A3867C1088}"/>
      </w:docPartPr>
      <w:docPartBody>
        <w:p w:rsidR="000637D0" w:rsidRDefault="00D42749" w:rsidP="00D42749">
          <w:pPr>
            <w:pStyle w:val="592F187AFD3E43D4A01B752ED8FBA655"/>
          </w:pPr>
          <w:r w:rsidRPr="002D7AD6">
            <w:rPr>
              <w:rStyle w:val="PlaceholderText"/>
            </w:rPr>
            <w:t>Click or tap here to enter text.</w:t>
          </w:r>
        </w:p>
      </w:docPartBody>
    </w:docPart>
    <w:docPart>
      <w:docPartPr>
        <w:name w:val="0AA1E9BED9024A12817B0B5A981288DA"/>
        <w:category>
          <w:name w:val="General"/>
          <w:gallery w:val="placeholder"/>
        </w:category>
        <w:types>
          <w:type w:val="bbPlcHdr"/>
        </w:types>
        <w:behaviors>
          <w:behavior w:val="content"/>
        </w:behaviors>
        <w:guid w:val="{AFA172D4-090B-455B-9AF8-D3854F4E72B0}"/>
      </w:docPartPr>
      <w:docPartBody>
        <w:p w:rsidR="000637D0" w:rsidRDefault="00D42749" w:rsidP="00D42749">
          <w:pPr>
            <w:pStyle w:val="0AA1E9BED9024A12817B0B5A981288DA"/>
          </w:pPr>
          <w:r w:rsidRPr="00B96D6B">
            <w:rPr>
              <w:rStyle w:val="PlaceholderText"/>
            </w:rPr>
            <w:t>Click or tap here to enter text.</w:t>
          </w:r>
        </w:p>
      </w:docPartBody>
    </w:docPart>
    <w:docPart>
      <w:docPartPr>
        <w:name w:val="8220DD26112844E4AA682899740B4224"/>
        <w:category>
          <w:name w:val="General"/>
          <w:gallery w:val="placeholder"/>
        </w:category>
        <w:types>
          <w:type w:val="bbPlcHdr"/>
        </w:types>
        <w:behaviors>
          <w:behavior w:val="content"/>
        </w:behaviors>
        <w:guid w:val="{356B99F3-46F6-48B9-ACD9-1A8BD55D8F76}"/>
      </w:docPartPr>
      <w:docPartBody>
        <w:p w:rsidR="000637D0" w:rsidRDefault="00D42749" w:rsidP="00D42749">
          <w:pPr>
            <w:pStyle w:val="8220DD26112844E4AA682899740B4224"/>
          </w:pPr>
          <w:r w:rsidRPr="002D7AD6">
            <w:rPr>
              <w:rStyle w:val="PlaceholderText"/>
            </w:rPr>
            <w:t>Click or tap here to enter text.</w:t>
          </w:r>
        </w:p>
      </w:docPartBody>
    </w:docPart>
    <w:docPart>
      <w:docPartPr>
        <w:name w:val="752B710825444E3CB1E88E293DDBC702"/>
        <w:category>
          <w:name w:val="General"/>
          <w:gallery w:val="placeholder"/>
        </w:category>
        <w:types>
          <w:type w:val="bbPlcHdr"/>
        </w:types>
        <w:behaviors>
          <w:behavior w:val="content"/>
        </w:behaviors>
        <w:guid w:val="{D56D7A49-9972-432B-8F15-18CCC385D627}"/>
      </w:docPartPr>
      <w:docPartBody>
        <w:p w:rsidR="000637D0" w:rsidRDefault="00D42749" w:rsidP="00D42749">
          <w:pPr>
            <w:pStyle w:val="752B710825444E3CB1E88E293DDBC702"/>
          </w:pPr>
          <w:r w:rsidRPr="002D7AD6">
            <w:rPr>
              <w:rStyle w:val="PlaceholderText"/>
            </w:rPr>
            <w:t>Click or tap here to enter text.</w:t>
          </w:r>
        </w:p>
      </w:docPartBody>
    </w:docPart>
    <w:docPart>
      <w:docPartPr>
        <w:name w:val="92A3C9CCD48C4670B881461BD0733695"/>
        <w:category>
          <w:name w:val="General"/>
          <w:gallery w:val="placeholder"/>
        </w:category>
        <w:types>
          <w:type w:val="bbPlcHdr"/>
        </w:types>
        <w:behaviors>
          <w:behavior w:val="content"/>
        </w:behaviors>
        <w:guid w:val="{D0F778B3-45AD-4F10-8780-E7FB005D09E6}"/>
      </w:docPartPr>
      <w:docPartBody>
        <w:p w:rsidR="000637D0" w:rsidRDefault="00D42749" w:rsidP="00D42749">
          <w:pPr>
            <w:pStyle w:val="92A3C9CCD48C4670B881461BD0733695"/>
          </w:pPr>
          <w:r w:rsidRPr="002D7AD6">
            <w:rPr>
              <w:rStyle w:val="PlaceholderText"/>
            </w:rPr>
            <w:t>Click or tap here to enter text.</w:t>
          </w:r>
        </w:p>
      </w:docPartBody>
    </w:docPart>
    <w:docPart>
      <w:docPartPr>
        <w:name w:val="A990981ECEA44629943B29E4C7765880"/>
        <w:category>
          <w:name w:val="General"/>
          <w:gallery w:val="placeholder"/>
        </w:category>
        <w:types>
          <w:type w:val="bbPlcHdr"/>
        </w:types>
        <w:behaviors>
          <w:behavior w:val="content"/>
        </w:behaviors>
        <w:guid w:val="{6BF109F4-3479-416F-9D76-17256409D64D}"/>
      </w:docPartPr>
      <w:docPartBody>
        <w:p w:rsidR="000637D0" w:rsidRDefault="00D42749" w:rsidP="00D42749">
          <w:pPr>
            <w:pStyle w:val="A990981ECEA44629943B29E4C7765880"/>
          </w:pPr>
          <w:r w:rsidRPr="002D7AD6">
            <w:rPr>
              <w:rStyle w:val="PlaceholderText"/>
            </w:rPr>
            <w:t>Click or tap here to enter text.</w:t>
          </w:r>
        </w:p>
      </w:docPartBody>
    </w:docPart>
    <w:docPart>
      <w:docPartPr>
        <w:name w:val="37BF34D14FE14A7A9162EE20AAC1293B"/>
        <w:category>
          <w:name w:val="General"/>
          <w:gallery w:val="placeholder"/>
        </w:category>
        <w:types>
          <w:type w:val="bbPlcHdr"/>
        </w:types>
        <w:behaviors>
          <w:behavior w:val="content"/>
        </w:behaviors>
        <w:guid w:val="{D7F793CE-34AE-4FDF-86DA-B976D8DC357F}"/>
      </w:docPartPr>
      <w:docPartBody>
        <w:p w:rsidR="000637D0" w:rsidRDefault="00D42749" w:rsidP="00D42749">
          <w:pPr>
            <w:pStyle w:val="37BF34D14FE14A7A9162EE20AAC1293B"/>
          </w:pPr>
          <w:r w:rsidRPr="002D7AD6">
            <w:rPr>
              <w:rStyle w:val="PlaceholderText"/>
            </w:rPr>
            <w:t>Click or tap here to enter text.</w:t>
          </w:r>
        </w:p>
      </w:docPartBody>
    </w:docPart>
    <w:docPart>
      <w:docPartPr>
        <w:name w:val="7F508E2377494D0A87814F5CF9CFFCAF"/>
        <w:category>
          <w:name w:val="General"/>
          <w:gallery w:val="placeholder"/>
        </w:category>
        <w:types>
          <w:type w:val="bbPlcHdr"/>
        </w:types>
        <w:behaviors>
          <w:behavior w:val="content"/>
        </w:behaviors>
        <w:guid w:val="{45E503AF-D06F-45A1-9948-2AE29BC32D7F}"/>
      </w:docPartPr>
      <w:docPartBody>
        <w:p w:rsidR="000637D0" w:rsidRDefault="00D42749" w:rsidP="00D42749">
          <w:pPr>
            <w:pStyle w:val="7F508E2377494D0A87814F5CF9CFFCAF"/>
          </w:pPr>
          <w:r w:rsidRPr="002D7AD6">
            <w:rPr>
              <w:rStyle w:val="PlaceholderText"/>
            </w:rPr>
            <w:t>Click or tap here to enter text.</w:t>
          </w:r>
        </w:p>
      </w:docPartBody>
    </w:docPart>
    <w:docPart>
      <w:docPartPr>
        <w:name w:val="9AB0E83F149A42BDB246C94218252866"/>
        <w:category>
          <w:name w:val="General"/>
          <w:gallery w:val="placeholder"/>
        </w:category>
        <w:types>
          <w:type w:val="bbPlcHdr"/>
        </w:types>
        <w:behaviors>
          <w:behavior w:val="content"/>
        </w:behaviors>
        <w:guid w:val="{F0B8827D-12BD-40F5-87F1-7C294D792741}"/>
      </w:docPartPr>
      <w:docPartBody>
        <w:p w:rsidR="000637D0" w:rsidRDefault="00D42749" w:rsidP="00D42749">
          <w:pPr>
            <w:pStyle w:val="9AB0E83F149A42BDB246C94218252866"/>
          </w:pPr>
          <w:r w:rsidRPr="00B96D6B">
            <w:rPr>
              <w:rStyle w:val="PlaceholderText"/>
            </w:rPr>
            <w:t>Click or tap here to enter text.</w:t>
          </w:r>
        </w:p>
      </w:docPartBody>
    </w:docPart>
    <w:docPart>
      <w:docPartPr>
        <w:name w:val="CE435B4FF6A64A59915554F77D73A3AC"/>
        <w:category>
          <w:name w:val="General"/>
          <w:gallery w:val="placeholder"/>
        </w:category>
        <w:types>
          <w:type w:val="bbPlcHdr"/>
        </w:types>
        <w:behaviors>
          <w:behavior w:val="content"/>
        </w:behaviors>
        <w:guid w:val="{3B01E688-EFCA-4A37-AA7E-13596DA9B95D}"/>
      </w:docPartPr>
      <w:docPartBody>
        <w:p w:rsidR="000637D0" w:rsidRDefault="00D42749" w:rsidP="00D42749">
          <w:pPr>
            <w:pStyle w:val="CE435B4FF6A64A59915554F77D73A3AC"/>
          </w:pPr>
          <w:r w:rsidRPr="002D7AD6">
            <w:rPr>
              <w:rStyle w:val="PlaceholderText"/>
            </w:rPr>
            <w:t>Click or tap here to enter text.</w:t>
          </w:r>
        </w:p>
      </w:docPartBody>
    </w:docPart>
    <w:docPart>
      <w:docPartPr>
        <w:name w:val="A43C9F2094FC4F4B901641382618B129"/>
        <w:category>
          <w:name w:val="General"/>
          <w:gallery w:val="placeholder"/>
        </w:category>
        <w:types>
          <w:type w:val="bbPlcHdr"/>
        </w:types>
        <w:behaviors>
          <w:behavior w:val="content"/>
        </w:behaviors>
        <w:guid w:val="{E109FCD6-9B07-4F76-9A37-DF827C636566}"/>
      </w:docPartPr>
      <w:docPartBody>
        <w:p w:rsidR="000637D0" w:rsidRDefault="00D42749" w:rsidP="00D42749">
          <w:pPr>
            <w:pStyle w:val="A43C9F2094FC4F4B901641382618B129"/>
          </w:pPr>
          <w:r w:rsidRPr="002D7AD6">
            <w:rPr>
              <w:rStyle w:val="PlaceholderText"/>
            </w:rPr>
            <w:t>Click or tap here to enter text.</w:t>
          </w:r>
        </w:p>
      </w:docPartBody>
    </w:docPart>
    <w:docPart>
      <w:docPartPr>
        <w:name w:val="A1B342E9AF934BFE93D891005FD1483A"/>
        <w:category>
          <w:name w:val="General"/>
          <w:gallery w:val="placeholder"/>
        </w:category>
        <w:types>
          <w:type w:val="bbPlcHdr"/>
        </w:types>
        <w:behaviors>
          <w:behavior w:val="content"/>
        </w:behaviors>
        <w:guid w:val="{1D778FD4-02A6-4555-96A5-710190963DC3}"/>
      </w:docPartPr>
      <w:docPartBody>
        <w:p w:rsidR="000637D0" w:rsidRDefault="00D42749" w:rsidP="00D42749">
          <w:pPr>
            <w:pStyle w:val="A1B342E9AF934BFE93D891005FD1483A"/>
          </w:pPr>
          <w:r w:rsidRPr="00B96D6B">
            <w:rPr>
              <w:rStyle w:val="PlaceholderText"/>
            </w:rPr>
            <w:t>Click or tap here to enter text.</w:t>
          </w:r>
        </w:p>
      </w:docPartBody>
    </w:docPart>
    <w:docPart>
      <w:docPartPr>
        <w:name w:val="C86F7DF4E44A41A58416FDEDB5CA4BF3"/>
        <w:category>
          <w:name w:val="General"/>
          <w:gallery w:val="placeholder"/>
        </w:category>
        <w:types>
          <w:type w:val="bbPlcHdr"/>
        </w:types>
        <w:behaviors>
          <w:behavior w:val="content"/>
        </w:behaviors>
        <w:guid w:val="{0EC209E4-1CE8-4654-841B-23666E949164}"/>
      </w:docPartPr>
      <w:docPartBody>
        <w:p w:rsidR="000637D0" w:rsidRDefault="00D42749" w:rsidP="00D42749">
          <w:pPr>
            <w:pStyle w:val="C86F7DF4E44A41A58416FDEDB5CA4BF3"/>
          </w:pPr>
          <w:r w:rsidRPr="002D7AD6">
            <w:rPr>
              <w:rStyle w:val="PlaceholderText"/>
            </w:rPr>
            <w:t>Click or tap here to enter text.</w:t>
          </w:r>
        </w:p>
      </w:docPartBody>
    </w:docPart>
    <w:docPart>
      <w:docPartPr>
        <w:name w:val="88A619402DFA4DFCBB32B0F51779181B"/>
        <w:category>
          <w:name w:val="General"/>
          <w:gallery w:val="placeholder"/>
        </w:category>
        <w:types>
          <w:type w:val="bbPlcHdr"/>
        </w:types>
        <w:behaviors>
          <w:behavior w:val="content"/>
        </w:behaviors>
        <w:guid w:val="{89645FA1-28B7-4DE8-BE37-E112202D2C65}"/>
      </w:docPartPr>
      <w:docPartBody>
        <w:p w:rsidR="000637D0" w:rsidRDefault="00D42749" w:rsidP="00D42749">
          <w:pPr>
            <w:pStyle w:val="88A619402DFA4DFCBB32B0F51779181B"/>
          </w:pPr>
          <w:r w:rsidRPr="002D7AD6">
            <w:rPr>
              <w:rStyle w:val="PlaceholderText"/>
            </w:rPr>
            <w:t>Click or tap here to enter text.</w:t>
          </w:r>
        </w:p>
      </w:docPartBody>
    </w:docPart>
    <w:docPart>
      <w:docPartPr>
        <w:name w:val="BB12735069934489AB3A3B84F2957BBC"/>
        <w:category>
          <w:name w:val="General"/>
          <w:gallery w:val="placeholder"/>
        </w:category>
        <w:types>
          <w:type w:val="bbPlcHdr"/>
        </w:types>
        <w:behaviors>
          <w:behavior w:val="content"/>
        </w:behaviors>
        <w:guid w:val="{C36A8A9F-EC65-4831-9B80-4BDA9EFC27EC}"/>
      </w:docPartPr>
      <w:docPartBody>
        <w:p w:rsidR="000637D0" w:rsidRDefault="00D42749" w:rsidP="00D42749">
          <w:pPr>
            <w:pStyle w:val="BB12735069934489AB3A3B84F2957BBC"/>
          </w:pPr>
          <w:r w:rsidRPr="002D7AD6">
            <w:rPr>
              <w:rStyle w:val="PlaceholderText"/>
            </w:rPr>
            <w:t>Click or tap here to enter text.</w:t>
          </w:r>
        </w:p>
      </w:docPartBody>
    </w:docPart>
    <w:docPart>
      <w:docPartPr>
        <w:name w:val="80C09ED0AB2A4A38B870FB4D4D20E6C6"/>
        <w:category>
          <w:name w:val="General"/>
          <w:gallery w:val="placeholder"/>
        </w:category>
        <w:types>
          <w:type w:val="bbPlcHdr"/>
        </w:types>
        <w:behaviors>
          <w:behavior w:val="content"/>
        </w:behaviors>
        <w:guid w:val="{6ED16B99-D415-4204-B480-CC8A655D5D68}"/>
      </w:docPartPr>
      <w:docPartBody>
        <w:p w:rsidR="000637D0" w:rsidRDefault="00D42749" w:rsidP="00D42749">
          <w:pPr>
            <w:pStyle w:val="80C09ED0AB2A4A38B870FB4D4D20E6C6"/>
          </w:pPr>
          <w:r w:rsidRPr="002D7AD6">
            <w:rPr>
              <w:rStyle w:val="PlaceholderText"/>
            </w:rPr>
            <w:t>Click or tap here to enter text.</w:t>
          </w:r>
        </w:p>
      </w:docPartBody>
    </w:docPart>
    <w:docPart>
      <w:docPartPr>
        <w:name w:val="3F8D2D2710354B7FAE8D12E9E0C32B75"/>
        <w:category>
          <w:name w:val="General"/>
          <w:gallery w:val="placeholder"/>
        </w:category>
        <w:types>
          <w:type w:val="bbPlcHdr"/>
        </w:types>
        <w:behaviors>
          <w:behavior w:val="content"/>
        </w:behaviors>
        <w:guid w:val="{40741D5A-3F78-45C1-84E9-F9F0549E8BAA}"/>
      </w:docPartPr>
      <w:docPartBody>
        <w:p w:rsidR="000637D0" w:rsidRDefault="00D42749" w:rsidP="00D42749">
          <w:pPr>
            <w:pStyle w:val="3F8D2D2710354B7FAE8D12E9E0C32B75"/>
          </w:pPr>
          <w:r w:rsidRPr="002D7AD6">
            <w:rPr>
              <w:rStyle w:val="PlaceholderText"/>
            </w:rPr>
            <w:t>Click or tap here to enter text.</w:t>
          </w:r>
        </w:p>
      </w:docPartBody>
    </w:docPart>
    <w:docPart>
      <w:docPartPr>
        <w:name w:val="2CB06BADD1FC4CEF878A1CC4F839D864"/>
        <w:category>
          <w:name w:val="General"/>
          <w:gallery w:val="placeholder"/>
        </w:category>
        <w:types>
          <w:type w:val="bbPlcHdr"/>
        </w:types>
        <w:behaviors>
          <w:behavior w:val="content"/>
        </w:behaviors>
        <w:guid w:val="{E781F250-23FA-4BF6-B979-2CA04FB30288}"/>
      </w:docPartPr>
      <w:docPartBody>
        <w:p w:rsidR="000637D0" w:rsidRDefault="00D42749" w:rsidP="00D42749">
          <w:pPr>
            <w:pStyle w:val="2CB06BADD1FC4CEF878A1CC4F839D864"/>
          </w:pPr>
          <w:r w:rsidRPr="002D7AD6">
            <w:rPr>
              <w:rStyle w:val="PlaceholderText"/>
            </w:rPr>
            <w:t>Click or tap here to enter text.</w:t>
          </w:r>
        </w:p>
      </w:docPartBody>
    </w:docPart>
    <w:docPart>
      <w:docPartPr>
        <w:name w:val="090A10A4C1434D01B2BEC4CD44FBF6C3"/>
        <w:category>
          <w:name w:val="General"/>
          <w:gallery w:val="placeholder"/>
        </w:category>
        <w:types>
          <w:type w:val="bbPlcHdr"/>
        </w:types>
        <w:behaviors>
          <w:behavior w:val="content"/>
        </w:behaviors>
        <w:guid w:val="{F5D1F89A-9BEB-405B-85AD-476F40CA7604}"/>
      </w:docPartPr>
      <w:docPartBody>
        <w:p w:rsidR="000637D0" w:rsidRDefault="00D42749" w:rsidP="00D42749">
          <w:pPr>
            <w:pStyle w:val="090A10A4C1434D01B2BEC4CD44FBF6C3"/>
          </w:pPr>
          <w:r w:rsidRPr="002D7AD6">
            <w:rPr>
              <w:rStyle w:val="PlaceholderText"/>
            </w:rPr>
            <w:t>Click or tap here to enter text.</w:t>
          </w:r>
        </w:p>
      </w:docPartBody>
    </w:docPart>
    <w:docPart>
      <w:docPartPr>
        <w:name w:val="A139B623EC544516B110F9FA94343EDE"/>
        <w:category>
          <w:name w:val="General"/>
          <w:gallery w:val="placeholder"/>
        </w:category>
        <w:types>
          <w:type w:val="bbPlcHdr"/>
        </w:types>
        <w:behaviors>
          <w:behavior w:val="content"/>
        </w:behaviors>
        <w:guid w:val="{D823F538-DFDB-4186-9DA4-35D8E8269A73}"/>
      </w:docPartPr>
      <w:docPartBody>
        <w:p w:rsidR="000637D0" w:rsidRDefault="00D42749" w:rsidP="00D42749">
          <w:pPr>
            <w:pStyle w:val="A139B623EC544516B110F9FA94343EDE"/>
          </w:pPr>
          <w:r w:rsidRPr="002D7AD6">
            <w:rPr>
              <w:rStyle w:val="PlaceholderText"/>
            </w:rPr>
            <w:t>Click or tap here to enter text.</w:t>
          </w:r>
        </w:p>
      </w:docPartBody>
    </w:docPart>
    <w:docPart>
      <w:docPartPr>
        <w:name w:val="0082D9CA693E42BEB32F429FF978BB59"/>
        <w:category>
          <w:name w:val="General"/>
          <w:gallery w:val="placeholder"/>
        </w:category>
        <w:types>
          <w:type w:val="bbPlcHdr"/>
        </w:types>
        <w:behaviors>
          <w:behavior w:val="content"/>
        </w:behaviors>
        <w:guid w:val="{69AFE289-C5F8-415C-848A-EB115B0B2907}"/>
      </w:docPartPr>
      <w:docPartBody>
        <w:p w:rsidR="000637D0" w:rsidRDefault="00D42749" w:rsidP="00D42749">
          <w:pPr>
            <w:pStyle w:val="0082D9CA693E42BEB32F429FF978BB59"/>
          </w:pPr>
          <w:r w:rsidRPr="002D7AD6">
            <w:rPr>
              <w:rStyle w:val="PlaceholderText"/>
            </w:rPr>
            <w:t>Click or tap here to enter text.</w:t>
          </w:r>
        </w:p>
      </w:docPartBody>
    </w:docPart>
    <w:docPart>
      <w:docPartPr>
        <w:name w:val="662E0CD877AE4271903191D9E1F0C21F"/>
        <w:category>
          <w:name w:val="General"/>
          <w:gallery w:val="placeholder"/>
        </w:category>
        <w:types>
          <w:type w:val="bbPlcHdr"/>
        </w:types>
        <w:behaviors>
          <w:behavior w:val="content"/>
        </w:behaviors>
        <w:guid w:val="{87807474-97A6-4DD5-9D21-0615D539D1F9}"/>
      </w:docPartPr>
      <w:docPartBody>
        <w:p w:rsidR="000637D0" w:rsidRDefault="00D42749" w:rsidP="00D42749">
          <w:pPr>
            <w:pStyle w:val="662E0CD877AE4271903191D9E1F0C21F"/>
          </w:pPr>
          <w:r w:rsidRPr="002D7AD6">
            <w:rPr>
              <w:rStyle w:val="PlaceholderText"/>
            </w:rPr>
            <w:t>Click or tap here to enter text.</w:t>
          </w:r>
        </w:p>
      </w:docPartBody>
    </w:docPart>
    <w:docPart>
      <w:docPartPr>
        <w:name w:val="22CAC8B557BC45398B751388E859A05F"/>
        <w:category>
          <w:name w:val="General"/>
          <w:gallery w:val="placeholder"/>
        </w:category>
        <w:types>
          <w:type w:val="bbPlcHdr"/>
        </w:types>
        <w:behaviors>
          <w:behavior w:val="content"/>
        </w:behaviors>
        <w:guid w:val="{C4C34577-1568-402E-9D2A-8124367E2937}"/>
      </w:docPartPr>
      <w:docPartBody>
        <w:p w:rsidR="000637D0" w:rsidRDefault="00D42749" w:rsidP="00D42749">
          <w:pPr>
            <w:pStyle w:val="22CAC8B557BC45398B751388E859A05F"/>
          </w:pPr>
          <w:r w:rsidRPr="002D7AD6">
            <w:rPr>
              <w:rStyle w:val="PlaceholderText"/>
            </w:rPr>
            <w:t>Click or tap here to enter text.</w:t>
          </w:r>
        </w:p>
      </w:docPartBody>
    </w:docPart>
    <w:docPart>
      <w:docPartPr>
        <w:name w:val="ADEF4C19B9C74D3D93D5507C292072E3"/>
        <w:category>
          <w:name w:val="General"/>
          <w:gallery w:val="placeholder"/>
        </w:category>
        <w:types>
          <w:type w:val="bbPlcHdr"/>
        </w:types>
        <w:behaviors>
          <w:behavior w:val="content"/>
        </w:behaviors>
        <w:guid w:val="{CDFF895C-B458-4606-8DC9-0AB4479D390B}"/>
      </w:docPartPr>
      <w:docPartBody>
        <w:p w:rsidR="000637D0" w:rsidRDefault="00D42749" w:rsidP="00D42749">
          <w:pPr>
            <w:pStyle w:val="ADEF4C19B9C74D3D93D5507C292072E3"/>
          </w:pPr>
          <w:r w:rsidRPr="002D7AD6">
            <w:rPr>
              <w:rStyle w:val="PlaceholderText"/>
            </w:rPr>
            <w:t>Click or tap here to enter text.</w:t>
          </w:r>
        </w:p>
      </w:docPartBody>
    </w:docPart>
    <w:docPart>
      <w:docPartPr>
        <w:name w:val="3598A33D782849A9B9798C0519D1668F"/>
        <w:category>
          <w:name w:val="General"/>
          <w:gallery w:val="placeholder"/>
        </w:category>
        <w:types>
          <w:type w:val="bbPlcHdr"/>
        </w:types>
        <w:behaviors>
          <w:behavior w:val="content"/>
        </w:behaviors>
        <w:guid w:val="{592D5A0A-C0E5-4CAF-84BA-783ED30CD1BD}"/>
      </w:docPartPr>
      <w:docPartBody>
        <w:p w:rsidR="000637D0" w:rsidRDefault="00D42749" w:rsidP="00D42749">
          <w:pPr>
            <w:pStyle w:val="3598A33D782849A9B9798C0519D1668F"/>
          </w:pPr>
          <w:r w:rsidRPr="002D7AD6">
            <w:rPr>
              <w:rStyle w:val="PlaceholderText"/>
            </w:rPr>
            <w:t>Click or tap here to enter text.</w:t>
          </w:r>
        </w:p>
      </w:docPartBody>
    </w:docPart>
    <w:docPart>
      <w:docPartPr>
        <w:name w:val="ADB6224DE09C4F68A208682CCACB9151"/>
        <w:category>
          <w:name w:val="General"/>
          <w:gallery w:val="placeholder"/>
        </w:category>
        <w:types>
          <w:type w:val="bbPlcHdr"/>
        </w:types>
        <w:behaviors>
          <w:behavior w:val="content"/>
        </w:behaviors>
        <w:guid w:val="{FB15B272-197C-4F9D-BE4A-B79B55C94ABF}"/>
      </w:docPartPr>
      <w:docPartBody>
        <w:p w:rsidR="000637D0" w:rsidRDefault="00D42749" w:rsidP="00D42749">
          <w:pPr>
            <w:pStyle w:val="ADB6224DE09C4F68A208682CCACB9151"/>
          </w:pPr>
          <w:r w:rsidRPr="002D7AD6">
            <w:rPr>
              <w:rStyle w:val="PlaceholderText"/>
            </w:rPr>
            <w:t>Click or tap here to enter text.</w:t>
          </w:r>
        </w:p>
      </w:docPartBody>
    </w:docPart>
    <w:docPart>
      <w:docPartPr>
        <w:name w:val="FAF04EF2D48E4EADBAFBF113F6BA0755"/>
        <w:category>
          <w:name w:val="General"/>
          <w:gallery w:val="placeholder"/>
        </w:category>
        <w:types>
          <w:type w:val="bbPlcHdr"/>
        </w:types>
        <w:behaviors>
          <w:behavior w:val="content"/>
        </w:behaviors>
        <w:guid w:val="{5E41D3A5-9386-4611-AC19-FBA93E233BE3}"/>
      </w:docPartPr>
      <w:docPartBody>
        <w:p w:rsidR="000637D0" w:rsidRDefault="00D42749" w:rsidP="00D42749">
          <w:pPr>
            <w:pStyle w:val="FAF04EF2D48E4EADBAFBF113F6BA0755"/>
          </w:pPr>
          <w:r w:rsidRPr="002D7AD6">
            <w:rPr>
              <w:rStyle w:val="PlaceholderText"/>
            </w:rPr>
            <w:t>Click or tap here to enter text.</w:t>
          </w:r>
        </w:p>
      </w:docPartBody>
    </w:docPart>
    <w:docPart>
      <w:docPartPr>
        <w:name w:val="729B3148D10E4E788CFA6AEF1A113655"/>
        <w:category>
          <w:name w:val="General"/>
          <w:gallery w:val="placeholder"/>
        </w:category>
        <w:types>
          <w:type w:val="bbPlcHdr"/>
        </w:types>
        <w:behaviors>
          <w:behavior w:val="content"/>
        </w:behaviors>
        <w:guid w:val="{FF995833-13C4-4760-AB1A-3A07B839094E}"/>
      </w:docPartPr>
      <w:docPartBody>
        <w:p w:rsidR="000637D0" w:rsidRDefault="00D42749" w:rsidP="00D42749">
          <w:pPr>
            <w:pStyle w:val="729B3148D10E4E788CFA6AEF1A113655"/>
          </w:pPr>
          <w:r w:rsidRPr="002D7AD6">
            <w:rPr>
              <w:rStyle w:val="PlaceholderText"/>
            </w:rPr>
            <w:t>Click or tap here to enter text.</w:t>
          </w:r>
        </w:p>
      </w:docPartBody>
    </w:docPart>
    <w:docPart>
      <w:docPartPr>
        <w:name w:val="4C6D66621EA74D62BFB90F5EEC4B8B0C"/>
        <w:category>
          <w:name w:val="General"/>
          <w:gallery w:val="placeholder"/>
        </w:category>
        <w:types>
          <w:type w:val="bbPlcHdr"/>
        </w:types>
        <w:behaviors>
          <w:behavior w:val="content"/>
        </w:behaviors>
        <w:guid w:val="{DB1BAAFE-9F44-4918-A3F3-4001F84F7068}"/>
      </w:docPartPr>
      <w:docPartBody>
        <w:p w:rsidR="000637D0" w:rsidRDefault="00D42749" w:rsidP="00D42749">
          <w:pPr>
            <w:pStyle w:val="4C6D66621EA74D62BFB90F5EEC4B8B0C"/>
          </w:pPr>
          <w:r w:rsidRPr="002D7AD6">
            <w:rPr>
              <w:rStyle w:val="PlaceholderText"/>
            </w:rPr>
            <w:t>Click or tap here to enter text.</w:t>
          </w:r>
        </w:p>
      </w:docPartBody>
    </w:docPart>
    <w:docPart>
      <w:docPartPr>
        <w:name w:val="C2A6508E3229487798DFB313B0D6D993"/>
        <w:category>
          <w:name w:val="General"/>
          <w:gallery w:val="placeholder"/>
        </w:category>
        <w:types>
          <w:type w:val="bbPlcHdr"/>
        </w:types>
        <w:behaviors>
          <w:behavior w:val="content"/>
        </w:behaviors>
        <w:guid w:val="{2118B840-E2B0-4474-A2D7-753E34517FC4}"/>
      </w:docPartPr>
      <w:docPartBody>
        <w:p w:rsidR="000637D0" w:rsidRDefault="00D42749" w:rsidP="00D42749">
          <w:pPr>
            <w:pStyle w:val="C2A6508E3229487798DFB313B0D6D993"/>
          </w:pPr>
          <w:r w:rsidRPr="002D7AD6">
            <w:rPr>
              <w:rStyle w:val="PlaceholderText"/>
            </w:rPr>
            <w:t>Click or tap here to enter text.</w:t>
          </w:r>
        </w:p>
      </w:docPartBody>
    </w:docPart>
    <w:docPart>
      <w:docPartPr>
        <w:name w:val="93A89838AC614A70A067E1E5C83C1A76"/>
        <w:category>
          <w:name w:val="General"/>
          <w:gallery w:val="placeholder"/>
        </w:category>
        <w:types>
          <w:type w:val="bbPlcHdr"/>
        </w:types>
        <w:behaviors>
          <w:behavior w:val="content"/>
        </w:behaviors>
        <w:guid w:val="{ECC07A89-BEE7-4055-8794-9BA13979ECDE}"/>
      </w:docPartPr>
      <w:docPartBody>
        <w:p w:rsidR="000637D0" w:rsidRDefault="00D42749" w:rsidP="00D42749">
          <w:pPr>
            <w:pStyle w:val="93A89838AC614A70A067E1E5C83C1A76"/>
          </w:pPr>
          <w:r w:rsidRPr="002D7AD6">
            <w:rPr>
              <w:rStyle w:val="PlaceholderText"/>
            </w:rPr>
            <w:t>Click or tap here to enter text.</w:t>
          </w:r>
        </w:p>
      </w:docPartBody>
    </w:docPart>
    <w:docPart>
      <w:docPartPr>
        <w:name w:val="2D120502738644A68B0154077CEAB320"/>
        <w:category>
          <w:name w:val="General"/>
          <w:gallery w:val="placeholder"/>
        </w:category>
        <w:types>
          <w:type w:val="bbPlcHdr"/>
        </w:types>
        <w:behaviors>
          <w:behavior w:val="content"/>
        </w:behaviors>
        <w:guid w:val="{78098180-4821-4265-AB38-01170C95E362}"/>
      </w:docPartPr>
      <w:docPartBody>
        <w:p w:rsidR="000637D0" w:rsidRDefault="00D42749" w:rsidP="00D42749">
          <w:pPr>
            <w:pStyle w:val="2D120502738644A68B0154077CEAB320"/>
          </w:pPr>
          <w:r w:rsidRPr="002D7AD6">
            <w:rPr>
              <w:rStyle w:val="PlaceholderText"/>
            </w:rPr>
            <w:t>Click or tap here to enter text.</w:t>
          </w:r>
        </w:p>
      </w:docPartBody>
    </w:docPart>
    <w:docPart>
      <w:docPartPr>
        <w:name w:val="06BE0304B224451B904E96360E980757"/>
        <w:category>
          <w:name w:val="General"/>
          <w:gallery w:val="placeholder"/>
        </w:category>
        <w:types>
          <w:type w:val="bbPlcHdr"/>
        </w:types>
        <w:behaviors>
          <w:behavior w:val="content"/>
        </w:behaviors>
        <w:guid w:val="{A9E3DE73-692F-4A8D-87A1-95100A065654}"/>
      </w:docPartPr>
      <w:docPartBody>
        <w:p w:rsidR="000637D0" w:rsidRDefault="00D42749" w:rsidP="00D42749">
          <w:pPr>
            <w:pStyle w:val="06BE0304B224451B904E96360E980757"/>
          </w:pPr>
          <w:r w:rsidRPr="002D7AD6">
            <w:rPr>
              <w:rStyle w:val="PlaceholderText"/>
            </w:rPr>
            <w:t>Click or tap here to enter text.</w:t>
          </w:r>
        </w:p>
      </w:docPartBody>
    </w:docPart>
    <w:docPart>
      <w:docPartPr>
        <w:name w:val="90E22020AC4542B4B77D475D4AEF508C"/>
        <w:category>
          <w:name w:val="General"/>
          <w:gallery w:val="placeholder"/>
        </w:category>
        <w:types>
          <w:type w:val="bbPlcHdr"/>
        </w:types>
        <w:behaviors>
          <w:behavior w:val="content"/>
        </w:behaviors>
        <w:guid w:val="{37B7D95A-901B-4A25-9F32-C7E096E2A8CB}"/>
      </w:docPartPr>
      <w:docPartBody>
        <w:p w:rsidR="000637D0" w:rsidRDefault="00D42749" w:rsidP="00D42749">
          <w:pPr>
            <w:pStyle w:val="90E22020AC4542B4B77D475D4AEF508C"/>
          </w:pPr>
          <w:r w:rsidRPr="002D7AD6">
            <w:rPr>
              <w:rStyle w:val="PlaceholderText"/>
            </w:rPr>
            <w:t>Click or tap here to enter text.</w:t>
          </w:r>
        </w:p>
      </w:docPartBody>
    </w:docPart>
    <w:docPart>
      <w:docPartPr>
        <w:name w:val="4ADB3018433A4A86872F9C417157071C"/>
        <w:category>
          <w:name w:val="General"/>
          <w:gallery w:val="placeholder"/>
        </w:category>
        <w:types>
          <w:type w:val="bbPlcHdr"/>
        </w:types>
        <w:behaviors>
          <w:behavior w:val="content"/>
        </w:behaviors>
        <w:guid w:val="{698AA024-9EDC-42FF-AF09-FC1C096998B2}"/>
      </w:docPartPr>
      <w:docPartBody>
        <w:p w:rsidR="000637D0" w:rsidRDefault="00D42749" w:rsidP="00D42749">
          <w:pPr>
            <w:pStyle w:val="4ADB3018433A4A86872F9C417157071C"/>
          </w:pPr>
          <w:r w:rsidRPr="001A2C39">
            <w:rPr>
              <w:rStyle w:val="PlaceholderText"/>
            </w:rPr>
            <w:t>Click or tap here to enter text.</w:t>
          </w:r>
        </w:p>
      </w:docPartBody>
    </w:docPart>
    <w:docPart>
      <w:docPartPr>
        <w:name w:val="E6A065F7E6A6402E860164E1DF1271C1"/>
        <w:category>
          <w:name w:val="General"/>
          <w:gallery w:val="placeholder"/>
        </w:category>
        <w:types>
          <w:type w:val="bbPlcHdr"/>
        </w:types>
        <w:behaviors>
          <w:behavior w:val="content"/>
        </w:behaviors>
        <w:guid w:val="{C9D8A3DF-0ACA-4DFF-A4C1-ADD39A6863E6}"/>
      </w:docPartPr>
      <w:docPartBody>
        <w:p w:rsidR="000637D0" w:rsidRDefault="00D42749" w:rsidP="00D42749">
          <w:pPr>
            <w:pStyle w:val="E6A065F7E6A6402E860164E1DF1271C1"/>
          </w:pPr>
          <w:r w:rsidRPr="002D7AD6">
            <w:rPr>
              <w:rStyle w:val="PlaceholderText"/>
            </w:rPr>
            <w:t>Click or tap here to enter text.</w:t>
          </w:r>
        </w:p>
      </w:docPartBody>
    </w:docPart>
    <w:docPart>
      <w:docPartPr>
        <w:name w:val="870EAFFAAE2B4500A56E0D4BA41747E2"/>
        <w:category>
          <w:name w:val="General"/>
          <w:gallery w:val="placeholder"/>
        </w:category>
        <w:types>
          <w:type w:val="bbPlcHdr"/>
        </w:types>
        <w:behaviors>
          <w:behavior w:val="content"/>
        </w:behaviors>
        <w:guid w:val="{D6F322BC-6665-46C0-BE8B-08870B6FF364}"/>
      </w:docPartPr>
      <w:docPartBody>
        <w:p w:rsidR="000637D0" w:rsidRDefault="00D42749" w:rsidP="00D42749">
          <w:pPr>
            <w:pStyle w:val="870EAFFAAE2B4500A56E0D4BA41747E2"/>
          </w:pPr>
          <w:r w:rsidRPr="002D7AD6">
            <w:rPr>
              <w:rStyle w:val="PlaceholderText"/>
            </w:rPr>
            <w:t>Click or tap here to enter text.</w:t>
          </w:r>
        </w:p>
      </w:docPartBody>
    </w:docPart>
    <w:docPart>
      <w:docPartPr>
        <w:name w:val="F89FA3EAEA32497F8EA1AF46E3960F1B"/>
        <w:category>
          <w:name w:val="General"/>
          <w:gallery w:val="placeholder"/>
        </w:category>
        <w:types>
          <w:type w:val="bbPlcHdr"/>
        </w:types>
        <w:behaviors>
          <w:behavior w:val="content"/>
        </w:behaviors>
        <w:guid w:val="{017C4BDC-F3C2-444B-AA4E-8AC305CBA445}"/>
      </w:docPartPr>
      <w:docPartBody>
        <w:p w:rsidR="000637D0" w:rsidRDefault="00D42749" w:rsidP="00D42749">
          <w:pPr>
            <w:pStyle w:val="F89FA3EAEA32497F8EA1AF46E3960F1B"/>
          </w:pPr>
          <w:r w:rsidRPr="002D7AD6">
            <w:rPr>
              <w:rStyle w:val="PlaceholderText"/>
            </w:rPr>
            <w:t>Click or tap here to enter text.</w:t>
          </w:r>
        </w:p>
      </w:docPartBody>
    </w:docPart>
    <w:docPart>
      <w:docPartPr>
        <w:name w:val="7D6BD838B09140DB95C76C4C62C5025F"/>
        <w:category>
          <w:name w:val="General"/>
          <w:gallery w:val="placeholder"/>
        </w:category>
        <w:types>
          <w:type w:val="bbPlcHdr"/>
        </w:types>
        <w:behaviors>
          <w:behavior w:val="content"/>
        </w:behaviors>
        <w:guid w:val="{7ADC00A9-286E-44CF-AAB5-1E63DAB9BE6D}"/>
      </w:docPartPr>
      <w:docPartBody>
        <w:p w:rsidR="000637D0" w:rsidRDefault="00D42749" w:rsidP="00D42749">
          <w:pPr>
            <w:pStyle w:val="7D6BD838B09140DB95C76C4C62C5025F"/>
          </w:pPr>
          <w:r w:rsidRPr="002D7AD6">
            <w:rPr>
              <w:rStyle w:val="PlaceholderText"/>
            </w:rPr>
            <w:t>Click or tap here to enter text.</w:t>
          </w:r>
        </w:p>
      </w:docPartBody>
    </w:docPart>
    <w:docPart>
      <w:docPartPr>
        <w:name w:val="B1AD3CA9559B4D20A1D2C0B67E4DE5D0"/>
        <w:category>
          <w:name w:val="General"/>
          <w:gallery w:val="placeholder"/>
        </w:category>
        <w:types>
          <w:type w:val="bbPlcHdr"/>
        </w:types>
        <w:behaviors>
          <w:behavior w:val="content"/>
        </w:behaviors>
        <w:guid w:val="{A9317626-6AE7-4495-B6E9-75F0BA83F24E}"/>
      </w:docPartPr>
      <w:docPartBody>
        <w:p w:rsidR="000637D0" w:rsidRDefault="00D42749" w:rsidP="00D42749">
          <w:pPr>
            <w:pStyle w:val="B1AD3CA9559B4D20A1D2C0B67E4DE5D0"/>
          </w:pPr>
          <w:r w:rsidRPr="002D7AD6">
            <w:rPr>
              <w:rStyle w:val="PlaceholderText"/>
            </w:rPr>
            <w:t>Click or tap here to enter text.</w:t>
          </w:r>
        </w:p>
      </w:docPartBody>
    </w:docPart>
    <w:docPart>
      <w:docPartPr>
        <w:name w:val="88454713319F4DE4B02AC5767196E743"/>
        <w:category>
          <w:name w:val="General"/>
          <w:gallery w:val="placeholder"/>
        </w:category>
        <w:types>
          <w:type w:val="bbPlcHdr"/>
        </w:types>
        <w:behaviors>
          <w:behavior w:val="content"/>
        </w:behaviors>
        <w:guid w:val="{B758DF87-4C88-4697-8A9B-02B8939244E3}"/>
      </w:docPartPr>
      <w:docPartBody>
        <w:p w:rsidR="000637D0" w:rsidRDefault="00D42749" w:rsidP="00D42749">
          <w:pPr>
            <w:pStyle w:val="88454713319F4DE4B02AC5767196E743"/>
          </w:pPr>
          <w:r w:rsidRPr="00B96D6B">
            <w:rPr>
              <w:rStyle w:val="PlaceholderText"/>
            </w:rPr>
            <w:t>Click or tap here to enter text.</w:t>
          </w:r>
        </w:p>
      </w:docPartBody>
    </w:docPart>
    <w:docPart>
      <w:docPartPr>
        <w:name w:val="7F61A051B20C47B9A7F4730977DAF6DB"/>
        <w:category>
          <w:name w:val="General"/>
          <w:gallery w:val="placeholder"/>
        </w:category>
        <w:types>
          <w:type w:val="bbPlcHdr"/>
        </w:types>
        <w:behaviors>
          <w:behavior w:val="content"/>
        </w:behaviors>
        <w:guid w:val="{726E6420-6DC4-451B-B475-A647D9087772}"/>
      </w:docPartPr>
      <w:docPartBody>
        <w:p w:rsidR="000637D0" w:rsidRDefault="00D42749" w:rsidP="00D42749">
          <w:pPr>
            <w:pStyle w:val="7F61A051B20C47B9A7F4730977DAF6DB"/>
          </w:pPr>
          <w:r w:rsidRPr="002D7AD6">
            <w:rPr>
              <w:rStyle w:val="PlaceholderText"/>
            </w:rPr>
            <w:t>Click or tap here to enter text.</w:t>
          </w:r>
        </w:p>
      </w:docPartBody>
    </w:docPart>
    <w:docPart>
      <w:docPartPr>
        <w:name w:val="EDDA52105C3B40059962DDFD2B2A0533"/>
        <w:category>
          <w:name w:val="General"/>
          <w:gallery w:val="placeholder"/>
        </w:category>
        <w:types>
          <w:type w:val="bbPlcHdr"/>
        </w:types>
        <w:behaviors>
          <w:behavior w:val="content"/>
        </w:behaviors>
        <w:guid w:val="{D71F9C6C-E839-4867-B44A-AFF5FD020A12}"/>
      </w:docPartPr>
      <w:docPartBody>
        <w:p w:rsidR="000637D0" w:rsidRDefault="00D42749" w:rsidP="00D42749">
          <w:pPr>
            <w:pStyle w:val="EDDA52105C3B40059962DDFD2B2A0533"/>
          </w:pPr>
          <w:r w:rsidRPr="002D7AD6">
            <w:rPr>
              <w:rStyle w:val="PlaceholderText"/>
            </w:rPr>
            <w:t>Click or tap here to enter text.</w:t>
          </w:r>
        </w:p>
      </w:docPartBody>
    </w:docPart>
    <w:docPart>
      <w:docPartPr>
        <w:name w:val="A73A6768760A4D6FAC064F875CEF1C6D"/>
        <w:category>
          <w:name w:val="General"/>
          <w:gallery w:val="placeholder"/>
        </w:category>
        <w:types>
          <w:type w:val="bbPlcHdr"/>
        </w:types>
        <w:behaviors>
          <w:behavior w:val="content"/>
        </w:behaviors>
        <w:guid w:val="{44B00750-C6A1-4757-999B-935CDE4BC95C}"/>
      </w:docPartPr>
      <w:docPartBody>
        <w:p w:rsidR="000637D0" w:rsidRDefault="00D42749" w:rsidP="00D42749">
          <w:pPr>
            <w:pStyle w:val="A73A6768760A4D6FAC064F875CEF1C6D"/>
          </w:pPr>
          <w:r w:rsidRPr="002D7AD6">
            <w:rPr>
              <w:rStyle w:val="PlaceholderText"/>
            </w:rPr>
            <w:t>Click or tap here to enter text.</w:t>
          </w:r>
        </w:p>
      </w:docPartBody>
    </w:docPart>
    <w:docPart>
      <w:docPartPr>
        <w:name w:val="A0162F104AFD4099B02A6DB84C2D64BD"/>
        <w:category>
          <w:name w:val="General"/>
          <w:gallery w:val="placeholder"/>
        </w:category>
        <w:types>
          <w:type w:val="bbPlcHdr"/>
        </w:types>
        <w:behaviors>
          <w:behavior w:val="content"/>
        </w:behaviors>
        <w:guid w:val="{A62FA547-89E6-486E-B122-475967B43600}"/>
      </w:docPartPr>
      <w:docPartBody>
        <w:p w:rsidR="000637D0" w:rsidRDefault="00D42749" w:rsidP="00D42749">
          <w:pPr>
            <w:pStyle w:val="A0162F104AFD4099B02A6DB84C2D64BD"/>
          </w:pPr>
          <w:r w:rsidRPr="00B96D6B">
            <w:rPr>
              <w:rStyle w:val="PlaceholderText"/>
            </w:rPr>
            <w:t>Click or tap here to enter text.</w:t>
          </w:r>
        </w:p>
      </w:docPartBody>
    </w:docPart>
    <w:docPart>
      <w:docPartPr>
        <w:name w:val="FEE79DBCE6DB4ECF8D1E71BA62DC2877"/>
        <w:category>
          <w:name w:val="General"/>
          <w:gallery w:val="placeholder"/>
        </w:category>
        <w:types>
          <w:type w:val="bbPlcHdr"/>
        </w:types>
        <w:behaviors>
          <w:behavior w:val="content"/>
        </w:behaviors>
        <w:guid w:val="{877EAF2F-5EAB-4862-B988-57A7F1615741}"/>
      </w:docPartPr>
      <w:docPartBody>
        <w:p w:rsidR="000637D0" w:rsidRDefault="00D42749" w:rsidP="00D42749">
          <w:pPr>
            <w:pStyle w:val="FEE79DBCE6DB4ECF8D1E71BA62DC2877"/>
          </w:pPr>
          <w:r w:rsidRPr="00B96D6B">
            <w:rPr>
              <w:rStyle w:val="PlaceholderText"/>
            </w:rPr>
            <w:t>Click or tap here to enter text.</w:t>
          </w:r>
        </w:p>
      </w:docPartBody>
    </w:docPart>
    <w:docPart>
      <w:docPartPr>
        <w:name w:val="1A2525848BCC4DE7B92B0B94C48E934A"/>
        <w:category>
          <w:name w:val="General"/>
          <w:gallery w:val="placeholder"/>
        </w:category>
        <w:types>
          <w:type w:val="bbPlcHdr"/>
        </w:types>
        <w:behaviors>
          <w:behavior w:val="content"/>
        </w:behaviors>
        <w:guid w:val="{D9B2187C-DFA6-4BB6-901D-12D904F9CBFF}"/>
      </w:docPartPr>
      <w:docPartBody>
        <w:p w:rsidR="000637D0" w:rsidRDefault="00D42749" w:rsidP="00D42749">
          <w:pPr>
            <w:pStyle w:val="1A2525848BCC4DE7B92B0B94C48E934A"/>
          </w:pPr>
          <w:r w:rsidRPr="001A2C39">
            <w:rPr>
              <w:rStyle w:val="PlaceholderText"/>
            </w:rPr>
            <w:t>Click or tap here to enter text.</w:t>
          </w:r>
        </w:p>
      </w:docPartBody>
    </w:docPart>
    <w:docPart>
      <w:docPartPr>
        <w:name w:val="E6CC8F53038D4A9AAABAF91D456B42EB"/>
        <w:category>
          <w:name w:val="General"/>
          <w:gallery w:val="placeholder"/>
        </w:category>
        <w:types>
          <w:type w:val="bbPlcHdr"/>
        </w:types>
        <w:behaviors>
          <w:behavior w:val="content"/>
        </w:behaviors>
        <w:guid w:val="{D15A2A49-8716-487D-8ACA-2A3E00ADA303}"/>
      </w:docPartPr>
      <w:docPartBody>
        <w:p w:rsidR="000637D0" w:rsidRDefault="00D42749" w:rsidP="00D42749">
          <w:pPr>
            <w:pStyle w:val="E6CC8F53038D4A9AAABAF91D456B42EB"/>
          </w:pPr>
          <w:r w:rsidRPr="001A2C39">
            <w:rPr>
              <w:rStyle w:val="PlaceholderText"/>
            </w:rPr>
            <w:t>Click or tap here to enter text.</w:t>
          </w:r>
        </w:p>
      </w:docPartBody>
    </w:docPart>
    <w:docPart>
      <w:docPartPr>
        <w:name w:val="0D72E30BE8F441EF91366D2E3502DCA4"/>
        <w:category>
          <w:name w:val="General"/>
          <w:gallery w:val="placeholder"/>
        </w:category>
        <w:types>
          <w:type w:val="bbPlcHdr"/>
        </w:types>
        <w:behaviors>
          <w:behavior w:val="content"/>
        </w:behaviors>
        <w:guid w:val="{AB32D5DC-6CD6-499A-81E4-7A0CAE89B41B}"/>
      </w:docPartPr>
      <w:docPartBody>
        <w:p w:rsidR="000637D0" w:rsidRDefault="00D42749" w:rsidP="00D42749">
          <w:pPr>
            <w:pStyle w:val="0D72E30BE8F441EF91366D2E3502DCA4"/>
          </w:pPr>
          <w:r w:rsidRPr="001A2C39">
            <w:rPr>
              <w:rStyle w:val="PlaceholderText"/>
            </w:rPr>
            <w:t>Click or tap here to enter text.</w:t>
          </w:r>
        </w:p>
      </w:docPartBody>
    </w:docPart>
    <w:docPart>
      <w:docPartPr>
        <w:name w:val="057F506C30584E52B2D899913C2A64E1"/>
        <w:category>
          <w:name w:val="General"/>
          <w:gallery w:val="placeholder"/>
        </w:category>
        <w:types>
          <w:type w:val="bbPlcHdr"/>
        </w:types>
        <w:behaviors>
          <w:behavior w:val="content"/>
        </w:behaviors>
        <w:guid w:val="{17182F76-1C94-4B0F-872D-6E5A2E0A54D9}"/>
      </w:docPartPr>
      <w:docPartBody>
        <w:p w:rsidR="000637D0" w:rsidRDefault="00D42749" w:rsidP="00D42749">
          <w:pPr>
            <w:pStyle w:val="057F506C30584E52B2D899913C2A64E1"/>
          </w:pPr>
          <w:r w:rsidRPr="001A2C39">
            <w:rPr>
              <w:rStyle w:val="PlaceholderText"/>
            </w:rPr>
            <w:t>Click or tap here to enter text.</w:t>
          </w:r>
        </w:p>
      </w:docPartBody>
    </w:docPart>
    <w:docPart>
      <w:docPartPr>
        <w:name w:val="EA67E2A478364E0C993DF9E86B4CAC4E"/>
        <w:category>
          <w:name w:val="General"/>
          <w:gallery w:val="placeholder"/>
        </w:category>
        <w:types>
          <w:type w:val="bbPlcHdr"/>
        </w:types>
        <w:behaviors>
          <w:behavior w:val="content"/>
        </w:behaviors>
        <w:guid w:val="{E764C3EB-4DDC-486F-9360-68D7D7576902}"/>
      </w:docPartPr>
      <w:docPartBody>
        <w:p w:rsidR="000637D0" w:rsidRDefault="00D42749" w:rsidP="00D42749">
          <w:pPr>
            <w:pStyle w:val="EA67E2A478364E0C993DF9E86B4CAC4E"/>
          </w:pPr>
          <w:r w:rsidRPr="001A2C39">
            <w:rPr>
              <w:rStyle w:val="PlaceholderText"/>
            </w:rPr>
            <w:t>Click or tap here to enter text.</w:t>
          </w:r>
        </w:p>
      </w:docPartBody>
    </w:docPart>
    <w:docPart>
      <w:docPartPr>
        <w:name w:val="E33ADEFD23A04797A7BF91C59E6F6EA9"/>
        <w:category>
          <w:name w:val="General"/>
          <w:gallery w:val="placeholder"/>
        </w:category>
        <w:types>
          <w:type w:val="bbPlcHdr"/>
        </w:types>
        <w:behaviors>
          <w:behavior w:val="content"/>
        </w:behaviors>
        <w:guid w:val="{5F589D50-0322-4412-8108-3CCEDA119E04}"/>
      </w:docPartPr>
      <w:docPartBody>
        <w:p w:rsidR="000637D0" w:rsidRDefault="00D42749" w:rsidP="00D42749">
          <w:pPr>
            <w:pStyle w:val="E33ADEFD23A04797A7BF91C59E6F6EA9"/>
          </w:pPr>
          <w:r w:rsidRPr="001A2C39">
            <w:rPr>
              <w:rStyle w:val="PlaceholderText"/>
            </w:rPr>
            <w:t>Click or tap here to enter text.</w:t>
          </w:r>
        </w:p>
      </w:docPartBody>
    </w:docPart>
    <w:docPart>
      <w:docPartPr>
        <w:name w:val="F67AF242786040CD8F523A2EA65EC051"/>
        <w:category>
          <w:name w:val="General"/>
          <w:gallery w:val="placeholder"/>
        </w:category>
        <w:types>
          <w:type w:val="bbPlcHdr"/>
        </w:types>
        <w:behaviors>
          <w:behavior w:val="content"/>
        </w:behaviors>
        <w:guid w:val="{1A9184D1-E988-400E-94B5-04EF14E2547E}"/>
      </w:docPartPr>
      <w:docPartBody>
        <w:p w:rsidR="000637D0" w:rsidRDefault="00D42749" w:rsidP="00D42749">
          <w:pPr>
            <w:pStyle w:val="F67AF242786040CD8F523A2EA65EC051"/>
          </w:pPr>
          <w:r w:rsidRPr="001A2C39">
            <w:rPr>
              <w:rStyle w:val="PlaceholderText"/>
            </w:rPr>
            <w:t>Click or tap here to enter text.</w:t>
          </w:r>
        </w:p>
      </w:docPartBody>
    </w:docPart>
    <w:docPart>
      <w:docPartPr>
        <w:name w:val="72625A6A4C4B4DB88B1FD21D0B9254C8"/>
        <w:category>
          <w:name w:val="General"/>
          <w:gallery w:val="placeholder"/>
        </w:category>
        <w:types>
          <w:type w:val="bbPlcHdr"/>
        </w:types>
        <w:behaviors>
          <w:behavior w:val="content"/>
        </w:behaviors>
        <w:guid w:val="{A20AC3DE-47BF-4099-9A35-1D47392074AC}"/>
      </w:docPartPr>
      <w:docPartBody>
        <w:p w:rsidR="000637D0" w:rsidRDefault="00D42749" w:rsidP="00D42749">
          <w:pPr>
            <w:pStyle w:val="72625A6A4C4B4DB88B1FD21D0B9254C8"/>
          </w:pPr>
          <w:r w:rsidRPr="001A2C39">
            <w:rPr>
              <w:rStyle w:val="PlaceholderText"/>
            </w:rPr>
            <w:t>Click or tap here to enter text.</w:t>
          </w:r>
        </w:p>
      </w:docPartBody>
    </w:docPart>
    <w:docPart>
      <w:docPartPr>
        <w:name w:val="7EE9AB325D024241A8875B73C8DCF313"/>
        <w:category>
          <w:name w:val="General"/>
          <w:gallery w:val="placeholder"/>
        </w:category>
        <w:types>
          <w:type w:val="bbPlcHdr"/>
        </w:types>
        <w:behaviors>
          <w:behavior w:val="content"/>
        </w:behaviors>
        <w:guid w:val="{9242DDD5-BE26-46FC-9281-16FA89F54D45}"/>
      </w:docPartPr>
      <w:docPartBody>
        <w:p w:rsidR="000637D0" w:rsidRDefault="00D42749" w:rsidP="00D42749">
          <w:pPr>
            <w:pStyle w:val="7EE9AB325D024241A8875B73C8DCF313"/>
          </w:pPr>
          <w:r w:rsidRPr="001A2C39">
            <w:rPr>
              <w:rStyle w:val="PlaceholderText"/>
            </w:rPr>
            <w:t>Click or tap here to enter text.</w:t>
          </w:r>
        </w:p>
      </w:docPartBody>
    </w:docPart>
    <w:docPart>
      <w:docPartPr>
        <w:name w:val="55C7381D6B2547FE9FD0449E271CEFD4"/>
        <w:category>
          <w:name w:val="General"/>
          <w:gallery w:val="placeholder"/>
        </w:category>
        <w:types>
          <w:type w:val="bbPlcHdr"/>
        </w:types>
        <w:behaviors>
          <w:behavior w:val="content"/>
        </w:behaviors>
        <w:guid w:val="{93E3DEF1-192D-422D-8985-AAABB2B7877D}"/>
      </w:docPartPr>
      <w:docPartBody>
        <w:p w:rsidR="000637D0" w:rsidRDefault="00D42749" w:rsidP="00D42749">
          <w:pPr>
            <w:pStyle w:val="55C7381D6B2547FE9FD0449E271CEFD4"/>
          </w:pPr>
          <w:r w:rsidRPr="001A2C39">
            <w:rPr>
              <w:rStyle w:val="PlaceholderText"/>
            </w:rPr>
            <w:t>Click or tap here to enter text.</w:t>
          </w:r>
        </w:p>
      </w:docPartBody>
    </w:docPart>
    <w:docPart>
      <w:docPartPr>
        <w:name w:val="9DFDE43770904496AFDDFD5E3F89FE4B"/>
        <w:category>
          <w:name w:val="General"/>
          <w:gallery w:val="placeholder"/>
        </w:category>
        <w:types>
          <w:type w:val="bbPlcHdr"/>
        </w:types>
        <w:behaviors>
          <w:behavior w:val="content"/>
        </w:behaviors>
        <w:guid w:val="{DCAF89A8-F13E-42F4-8FB8-237D8544FA5F}"/>
      </w:docPartPr>
      <w:docPartBody>
        <w:p w:rsidR="000637D0" w:rsidRDefault="00D42749" w:rsidP="00D42749">
          <w:pPr>
            <w:pStyle w:val="9DFDE43770904496AFDDFD5E3F89FE4B"/>
          </w:pPr>
          <w:r w:rsidRPr="001A2C39">
            <w:rPr>
              <w:rStyle w:val="PlaceholderText"/>
            </w:rPr>
            <w:t>Click or tap here to enter text.</w:t>
          </w:r>
        </w:p>
      </w:docPartBody>
    </w:docPart>
    <w:docPart>
      <w:docPartPr>
        <w:name w:val="EB5D4069C3FA4995B6CD506EC0CFAFCB"/>
        <w:category>
          <w:name w:val="General"/>
          <w:gallery w:val="placeholder"/>
        </w:category>
        <w:types>
          <w:type w:val="bbPlcHdr"/>
        </w:types>
        <w:behaviors>
          <w:behavior w:val="content"/>
        </w:behaviors>
        <w:guid w:val="{35651B8D-C3E7-4B61-9013-283F8104BB0F}"/>
      </w:docPartPr>
      <w:docPartBody>
        <w:p w:rsidR="000637D0" w:rsidRDefault="00D42749" w:rsidP="00D42749">
          <w:pPr>
            <w:pStyle w:val="EB5D4069C3FA4995B6CD506EC0CFAFCB"/>
          </w:pPr>
          <w:r w:rsidRPr="001A2C39">
            <w:rPr>
              <w:rStyle w:val="PlaceholderText"/>
            </w:rPr>
            <w:t>Click or tap here to enter text.</w:t>
          </w:r>
        </w:p>
      </w:docPartBody>
    </w:docPart>
    <w:docPart>
      <w:docPartPr>
        <w:name w:val="3FBEE87C2ACF41AAA6C799838CEAD50F"/>
        <w:category>
          <w:name w:val="General"/>
          <w:gallery w:val="placeholder"/>
        </w:category>
        <w:types>
          <w:type w:val="bbPlcHdr"/>
        </w:types>
        <w:behaviors>
          <w:behavior w:val="content"/>
        </w:behaviors>
        <w:guid w:val="{E3C986CA-40A1-4703-BBDC-C2CF6692ADAD}"/>
      </w:docPartPr>
      <w:docPartBody>
        <w:p w:rsidR="000637D0" w:rsidRDefault="00D42749" w:rsidP="00D42749">
          <w:pPr>
            <w:pStyle w:val="3FBEE87C2ACF41AAA6C799838CEAD50F"/>
          </w:pPr>
          <w:r w:rsidRPr="001A2C39">
            <w:rPr>
              <w:rStyle w:val="PlaceholderText"/>
            </w:rPr>
            <w:t>Click or tap here to enter text.</w:t>
          </w:r>
        </w:p>
      </w:docPartBody>
    </w:docPart>
    <w:docPart>
      <w:docPartPr>
        <w:name w:val="57E036E9106643DDBD1077F807A18EB4"/>
        <w:category>
          <w:name w:val="General"/>
          <w:gallery w:val="placeholder"/>
        </w:category>
        <w:types>
          <w:type w:val="bbPlcHdr"/>
        </w:types>
        <w:behaviors>
          <w:behavior w:val="content"/>
        </w:behaviors>
        <w:guid w:val="{BE5C4FD7-FE17-4FA3-A4EA-710E047A5B9F}"/>
      </w:docPartPr>
      <w:docPartBody>
        <w:p w:rsidR="000637D0" w:rsidRDefault="00D42749" w:rsidP="00D42749">
          <w:pPr>
            <w:pStyle w:val="57E036E9106643DDBD1077F807A18EB4"/>
          </w:pPr>
          <w:r w:rsidRPr="001A2C39">
            <w:rPr>
              <w:rStyle w:val="PlaceholderText"/>
            </w:rPr>
            <w:t>Click or tap here to enter text.</w:t>
          </w:r>
        </w:p>
      </w:docPartBody>
    </w:docPart>
    <w:docPart>
      <w:docPartPr>
        <w:name w:val="1AFBB611DEC44BB9A9E18B8FB8DBE852"/>
        <w:category>
          <w:name w:val="General"/>
          <w:gallery w:val="placeholder"/>
        </w:category>
        <w:types>
          <w:type w:val="bbPlcHdr"/>
        </w:types>
        <w:behaviors>
          <w:behavior w:val="content"/>
        </w:behaviors>
        <w:guid w:val="{FFAEB21B-6FF9-48F2-928C-33F0B5B5A43C}"/>
      </w:docPartPr>
      <w:docPartBody>
        <w:p w:rsidR="000637D0" w:rsidRDefault="00D42749" w:rsidP="00D42749">
          <w:pPr>
            <w:pStyle w:val="1AFBB611DEC44BB9A9E18B8FB8DBE852"/>
          </w:pPr>
          <w:r w:rsidRPr="001A2C39">
            <w:rPr>
              <w:rStyle w:val="PlaceholderText"/>
            </w:rPr>
            <w:t>Click or tap here to enter text.</w:t>
          </w:r>
        </w:p>
      </w:docPartBody>
    </w:docPart>
    <w:docPart>
      <w:docPartPr>
        <w:name w:val="A3E939DF16EA47A08D79B68CC4DBA674"/>
        <w:category>
          <w:name w:val="General"/>
          <w:gallery w:val="placeholder"/>
        </w:category>
        <w:types>
          <w:type w:val="bbPlcHdr"/>
        </w:types>
        <w:behaviors>
          <w:behavior w:val="content"/>
        </w:behaviors>
        <w:guid w:val="{0FF86B04-0E8B-4AEC-91AE-180DD114BADD}"/>
      </w:docPartPr>
      <w:docPartBody>
        <w:p w:rsidR="000637D0" w:rsidRDefault="00D42749" w:rsidP="00D42749">
          <w:pPr>
            <w:pStyle w:val="A3E939DF16EA47A08D79B68CC4DBA674"/>
          </w:pPr>
          <w:r w:rsidRPr="001A2C39">
            <w:rPr>
              <w:rStyle w:val="PlaceholderText"/>
            </w:rPr>
            <w:t>Click or tap here to enter text.</w:t>
          </w:r>
        </w:p>
      </w:docPartBody>
    </w:docPart>
    <w:docPart>
      <w:docPartPr>
        <w:name w:val="C226BBE7F1FF443E970DEB669469C6BB"/>
        <w:category>
          <w:name w:val="General"/>
          <w:gallery w:val="placeholder"/>
        </w:category>
        <w:types>
          <w:type w:val="bbPlcHdr"/>
        </w:types>
        <w:behaviors>
          <w:behavior w:val="content"/>
        </w:behaviors>
        <w:guid w:val="{D837AE67-176F-4BA1-858E-F06260A89F0E}"/>
      </w:docPartPr>
      <w:docPartBody>
        <w:p w:rsidR="000637D0" w:rsidRDefault="00D42749" w:rsidP="00D42749">
          <w:pPr>
            <w:pStyle w:val="C226BBE7F1FF443E970DEB669469C6BB"/>
          </w:pPr>
          <w:r w:rsidRPr="00F43064">
            <w:rPr>
              <w:rStyle w:val="PlaceholderText"/>
            </w:rPr>
            <w:t>Click or tap here to enter text.</w:t>
          </w:r>
        </w:p>
      </w:docPartBody>
    </w:docPart>
    <w:docPart>
      <w:docPartPr>
        <w:name w:val="F6D002DCA3D04B7BB9AF4036A862D868"/>
        <w:category>
          <w:name w:val="General"/>
          <w:gallery w:val="placeholder"/>
        </w:category>
        <w:types>
          <w:type w:val="bbPlcHdr"/>
        </w:types>
        <w:behaviors>
          <w:behavior w:val="content"/>
        </w:behaviors>
        <w:guid w:val="{25B47E7F-211A-4E79-8165-B0C94D0E44DE}"/>
      </w:docPartPr>
      <w:docPartBody>
        <w:p w:rsidR="000637D0" w:rsidRDefault="00D42749" w:rsidP="00D42749">
          <w:pPr>
            <w:pStyle w:val="F6D002DCA3D04B7BB9AF4036A862D868"/>
          </w:pPr>
          <w:r w:rsidRPr="00F43064">
            <w:rPr>
              <w:rStyle w:val="PlaceholderText"/>
            </w:rPr>
            <w:t>Click or tap here to enter text.</w:t>
          </w:r>
        </w:p>
      </w:docPartBody>
    </w:docPart>
    <w:docPart>
      <w:docPartPr>
        <w:name w:val="6E877B9BE428406BAEF2EFA934C54E8F"/>
        <w:category>
          <w:name w:val="General"/>
          <w:gallery w:val="placeholder"/>
        </w:category>
        <w:types>
          <w:type w:val="bbPlcHdr"/>
        </w:types>
        <w:behaviors>
          <w:behavior w:val="content"/>
        </w:behaviors>
        <w:guid w:val="{D167B169-8741-4EDE-96E6-EA12A7F20FAE}"/>
      </w:docPartPr>
      <w:docPartBody>
        <w:p w:rsidR="000637D0" w:rsidRDefault="00D42749" w:rsidP="00D42749">
          <w:pPr>
            <w:pStyle w:val="6E877B9BE428406BAEF2EFA934C54E8F"/>
          </w:pPr>
          <w:r w:rsidRPr="00F43064">
            <w:rPr>
              <w:rStyle w:val="PlaceholderText"/>
            </w:rPr>
            <w:t>Click or tap here to enter text.</w:t>
          </w:r>
        </w:p>
      </w:docPartBody>
    </w:docPart>
    <w:docPart>
      <w:docPartPr>
        <w:name w:val="BF83C226CC9B481B93DC3812290CE76B"/>
        <w:category>
          <w:name w:val="General"/>
          <w:gallery w:val="placeholder"/>
        </w:category>
        <w:types>
          <w:type w:val="bbPlcHdr"/>
        </w:types>
        <w:behaviors>
          <w:behavior w:val="content"/>
        </w:behaviors>
        <w:guid w:val="{AF57FFE7-1B8C-404F-BA84-BCD75B036B9F}"/>
      </w:docPartPr>
      <w:docPartBody>
        <w:p w:rsidR="000637D0" w:rsidRDefault="00D42749" w:rsidP="00D42749">
          <w:pPr>
            <w:pStyle w:val="BF83C226CC9B481B93DC3812290CE76B"/>
          </w:pPr>
          <w:r w:rsidRPr="00F43064">
            <w:rPr>
              <w:rStyle w:val="PlaceholderText"/>
            </w:rPr>
            <w:t>Click or tap here to enter text.</w:t>
          </w:r>
        </w:p>
      </w:docPartBody>
    </w:docPart>
    <w:docPart>
      <w:docPartPr>
        <w:name w:val="A6BE8F64A3364D81AD50324CD74C90EE"/>
        <w:category>
          <w:name w:val="General"/>
          <w:gallery w:val="placeholder"/>
        </w:category>
        <w:types>
          <w:type w:val="bbPlcHdr"/>
        </w:types>
        <w:behaviors>
          <w:behavior w:val="content"/>
        </w:behaviors>
        <w:guid w:val="{03E0163F-2740-4ACC-8BF3-B3CAE73023B3}"/>
      </w:docPartPr>
      <w:docPartBody>
        <w:p w:rsidR="000637D0" w:rsidRDefault="00D42749" w:rsidP="00D42749">
          <w:pPr>
            <w:pStyle w:val="A6BE8F64A3364D81AD50324CD74C90EE"/>
          </w:pPr>
          <w:r w:rsidRPr="00F43064">
            <w:rPr>
              <w:rStyle w:val="PlaceholderText"/>
            </w:rPr>
            <w:t>Click or tap here to enter text.</w:t>
          </w:r>
        </w:p>
      </w:docPartBody>
    </w:docPart>
    <w:docPart>
      <w:docPartPr>
        <w:name w:val="47711CDCD83E4969A392D3D9B822644B"/>
        <w:category>
          <w:name w:val="General"/>
          <w:gallery w:val="placeholder"/>
        </w:category>
        <w:types>
          <w:type w:val="bbPlcHdr"/>
        </w:types>
        <w:behaviors>
          <w:behavior w:val="content"/>
        </w:behaviors>
        <w:guid w:val="{910EB9BD-1573-4F00-A0CB-EDE6C2C84131}"/>
      </w:docPartPr>
      <w:docPartBody>
        <w:p w:rsidR="000637D0" w:rsidRDefault="00D42749" w:rsidP="00D42749">
          <w:pPr>
            <w:pStyle w:val="47711CDCD83E4969A392D3D9B822644B"/>
          </w:pPr>
          <w:r w:rsidRPr="00E32090">
            <w:rPr>
              <w:rStyle w:val="PlaceholderText"/>
            </w:rPr>
            <w:t>Click or tap here to enter text.</w:t>
          </w:r>
        </w:p>
      </w:docPartBody>
    </w:docPart>
    <w:docPart>
      <w:docPartPr>
        <w:name w:val="0D5B2A864B484645AB98B872BDC92CE2"/>
        <w:category>
          <w:name w:val="General"/>
          <w:gallery w:val="placeholder"/>
        </w:category>
        <w:types>
          <w:type w:val="bbPlcHdr"/>
        </w:types>
        <w:behaviors>
          <w:behavior w:val="content"/>
        </w:behaviors>
        <w:guid w:val="{216AC87F-2776-4161-94D3-E9A903071437}"/>
      </w:docPartPr>
      <w:docPartBody>
        <w:p w:rsidR="000637D0" w:rsidRDefault="00D42749" w:rsidP="00D42749">
          <w:pPr>
            <w:pStyle w:val="0D5B2A864B484645AB98B872BDC92CE2"/>
          </w:pPr>
          <w:r w:rsidRPr="001A2C39">
            <w:rPr>
              <w:rStyle w:val="PlaceholderText"/>
            </w:rPr>
            <w:t>Click or tap here to enter text.</w:t>
          </w:r>
        </w:p>
      </w:docPartBody>
    </w:docPart>
    <w:docPart>
      <w:docPartPr>
        <w:name w:val="1C468A653C424DAB9D55C507F2EF04C8"/>
        <w:category>
          <w:name w:val="General"/>
          <w:gallery w:val="placeholder"/>
        </w:category>
        <w:types>
          <w:type w:val="bbPlcHdr"/>
        </w:types>
        <w:behaviors>
          <w:behavior w:val="content"/>
        </w:behaviors>
        <w:guid w:val="{67ADCB56-BC28-44C1-B80B-7999906008B8}"/>
      </w:docPartPr>
      <w:docPartBody>
        <w:p w:rsidR="000637D0" w:rsidRDefault="00D42749" w:rsidP="00D42749">
          <w:pPr>
            <w:pStyle w:val="1C468A653C424DAB9D55C507F2EF04C8"/>
          </w:pPr>
          <w:r w:rsidRPr="001A2C39">
            <w:rPr>
              <w:rStyle w:val="PlaceholderText"/>
            </w:rPr>
            <w:t>Click or tap here to enter text.</w:t>
          </w:r>
        </w:p>
      </w:docPartBody>
    </w:docPart>
    <w:docPart>
      <w:docPartPr>
        <w:name w:val="557E742691FF47E583884E1952A26A89"/>
        <w:category>
          <w:name w:val="General"/>
          <w:gallery w:val="placeholder"/>
        </w:category>
        <w:types>
          <w:type w:val="bbPlcHdr"/>
        </w:types>
        <w:behaviors>
          <w:behavior w:val="content"/>
        </w:behaviors>
        <w:guid w:val="{6853FEBA-05F7-4876-B86A-7B32645517C5}"/>
      </w:docPartPr>
      <w:docPartBody>
        <w:p w:rsidR="000637D0" w:rsidRDefault="00D42749" w:rsidP="00D42749">
          <w:pPr>
            <w:pStyle w:val="557E742691FF47E583884E1952A26A89"/>
          </w:pPr>
          <w:r w:rsidRPr="00E32090">
            <w:rPr>
              <w:rStyle w:val="PlaceholderText"/>
            </w:rPr>
            <w:t>Click or tap here to enter text.</w:t>
          </w:r>
        </w:p>
      </w:docPartBody>
    </w:docPart>
    <w:docPart>
      <w:docPartPr>
        <w:name w:val="664DCFD9FD5E4FC99ABB097AE72DE459"/>
        <w:category>
          <w:name w:val="General"/>
          <w:gallery w:val="placeholder"/>
        </w:category>
        <w:types>
          <w:type w:val="bbPlcHdr"/>
        </w:types>
        <w:behaviors>
          <w:behavior w:val="content"/>
        </w:behaviors>
        <w:guid w:val="{245ACE2F-DB0B-481C-AE4C-C095C14DBF2A}"/>
      </w:docPartPr>
      <w:docPartBody>
        <w:p w:rsidR="000637D0" w:rsidRDefault="00D42749" w:rsidP="00D42749">
          <w:pPr>
            <w:pStyle w:val="664DCFD9FD5E4FC99ABB097AE72DE459"/>
          </w:pPr>
          <w:r w:rsidRPr="001A2C39">
            <w:rPr>
              <w:rStyle w:val="PlaceholderText"/>
            </w:rPr>
            <w:t>Click or tap here to enter text.</w:t>
          </w:r>
        </w:p>
      </w:docPartBody>
    </w:docPart>
    <w:docPart>
      <w:docPartPr>
        <w:name w:val="8FE07A01F52D47AF85CB14DD91BE5DCB"/>
        <w:category>
          <w:name w:val="General"/>
          <w:gallery w:val="placeholder"/>
        </w:category>
        <w:types>
          <w:type w:val="bbPlcHdr"/>
        </w:types>
        <w:behaviors>
          <w:behavior w:val="content"/>
        </w:behaviors>
        <w:guid w:val="{FB89B3AB-6D20-458C-8268-B136882726E0}"/>
      </w:docPartPr>
      <w:docPartBody>
        <w:p w:rsidR="000637D0" w:rsidRDefault="00D42749" w:rsidP="00D42749">
          <w:pPr>
            <w:pStyle w:val="8FE07A01F52D47AF85CB14DD91BE5DCB"/>
          </w:pPr>
          <w:r w:rsidRPr="001A2C39">
            <w:rPr>
              <w:rStyle w:val="PlaceholderText"/>
            </w:rPr>
            <w:t>Click or tap here to enter text.</w:t>
          </w:r>
        </w:p>
      </w:docPartBody>
    </w:docPart>
    <w:docPart>
      <w:docPartPr>
        <w:name w:val="513D13F826DC4338994072FB0656B897"/>
        <w:category>
          <w:name w:val="General"/>
          <w:gallery w:val="placeholder"/>
        </w:category>
        <w:types>
          <w:type w:val="bbPlcHdr"/>
        </w:types>
        <w:behaviors>
          <w:behavior w:val="content"/>
        </w:behaviors>
        <w:guid w:val="{B4EFB64C-FB1A-4E0E-9DE1-D480F3A4612D}"/>
      </w:docPartPr>
      <w:docPartBody>
        <w:p w:rsidR="000637D0" w:rsidRDefault="00D42749" w:rsidP="00D42749">
          <w:pPr>
            <w:pStyle w:val="513D13F826DC4338994072FB0656B897"/>
          </w:pPr>
          <w:r w:rsidRPr="00E32090">
            <w:rPr>
              <w:rStyle w:val="PlaceholderText"/>
            </w:rPr>
            <w:t>Click or tap here to enter text.</w:t>
          </w:r>
        </w:p>
      </w:docPartBody>
    </w:docPart>
    <w:docPart>
      <w:docPartPr>
        <w:name w:val="C70450D639554399A0E8E578DFB1139F"/>
        <w:category>
          <w:name w:val="General"/>
          <w:gallery w:val="placeholder"/>
        </w:category>
        <w:types>
          <w:type w:val="bbPlcHdr"/>
        </w:types>
        <w:behaviors>
          <w:behavior w:val="content"/>
        </w:behaviors>
        <w:guid w:val="{619A5A00-AE94-4C77-8DF9-CFC39FEADA6E}"/>
      </w:docPartPr>
      <w:docPartBody>
        <w:p w:rsidR="000637D0" w:rsidRDefault="00D42749" w:rsidP="00D42749">
          <w:pPr>
            <w:pStyle w:val="C70450D639554399A0E8E578DFB1139F"/>
          </w:pPr>
          <w:r w:rsidRPr="00E32090">
            <w:rPr>
              <w:rStyle w:val="PlaceholderText"/>
            </w:rPr>
            <w:t>Click or tap here to enter text.</w:t>
          </w:r>
        </w:p>
      </w:docPartBody>
    </w:docPart>
    <w:docPart>
      <w:docPartPr>
        <w:name w:val="8179E32C220A43B9B2BB684338114BE7"/>
        <w:category>
          <w:name w:val="General"/>
          <w:gallery w:val="placeholder"/>
        </w:category>
        <w:types>
          <w:type w:val="bbPlcHdr"/>
        </w:types>
        <w:behaviors>
          <w:behavior w:val="content"/>
        </w:behaviors>
        <w:guid w:val="{A1DFEFB9-6EA3-48E0-93B9-CF4B1235053C}"/>
      </w:docPartPr>
      <w:docPartBody>
        <w:p w:rsidR="000637D0" w:rsidRDefault="00D42749" w:rsidP="00D42749">
          <w:pPr>
            <w:pStyle w:val="8179E32C220A43B9B2BB684338114BE7"/>
          </w:pPr>
          <w:r w:rsidRPr="001A2C39">
            <w:rPr>
              <w:rStyle w:val="PlaceholderText"/>
            </w:rPr>
            <w:t>Click or tap here to enter text.</w:t>
          </w:r>
        </w:p>
      </w:docPartBody>
    </w:docPart>
    <w:docPart>
      <w:docPartPr>
        <w:name w:val="945F7A50E6E64ED086385E71C7E3297D"/>
        <w:category>
          <w:name w:val="General"/>
          <w:gallery w:val="placeholder"/>
        </w:category>
        <w:types>
          <w:type w:val="bbPlcHdr"/>
        </w:types>
        <w:behaviors>
          <w:behavior w:val="content"/>
        </w:behaviors>
        <w:guid w:val="{E479A10F-C615-493D-865F-6E5AF45FA68C}"/>
      </w:docPartPr>
      <w:docPartBody>
        <w:p w:rsidR="000637D0" w:rsidRDefault="00D42749" w:rsidP="00D42749">
          <w:pPr>
            <w:pStyle w:val="945F7A50E6E64ED086385E71C7E3297D"/>
          </w:pPr>
          <w:r w:rsidRPr="00E32090">
            <w:rPr>
              <w:rStyle w:val="PlaceholderText"/>
            </w:rPr>
            <w:t>Click or tap here to enter text.</w:t>
          </w:r>
        </w:p>
      </w:docPartBody>
    </w:docPart>
    <w:docPart>
      <w:docPartPr>
        <w:name w:val="372038D0E23840099C659F21D4140B3B"/>
        <w:category>
          <w:name w:val="General"/>
          <w:gallery w:val="placeholder"/>
        </w:category>
        <w:types>
          <w:type w:val="bbPlcHdr"/>
        </w:types>
        <w:behaviors>
          <w:behavior w:val="content"/>
        </w:behaviors>
        <w:guid w:val="{096EB957-5686-4392-9BE3-51834F9780FF}"/>
      </w:docPartPr>
      <w:docPartBody>
        <w:p w:rsidR="000637D0" w:rsidRDefault="00D42749" w:rsidP="00D42749">
          <w:pPr>
            <w:pStyle w:val="372038D0E23840099C659F21D4140B3B"/>
          </w:pPr>
          <w:r w:rsidRPr="001A2C39">
            <w:rPr>
              <w:rStyle w:val="PlaceholderText"/>
            </w:rPr>
            <w:t>Click or tap here to enter text.</w:t>
          </w:r>
        </w:p>
      </w:docPartBody>
    </w:docPart>
    <w:docPart>
      <w:docPartPr>
        <w:name w:val="B49DC1B93F254BA681F788A2999BE55E"/>
        <w:category>
          <w:name w:val="General"/>
          <w:gallery w:val="placeholder"/>
        </w:category>
        <w:types>
          <w:type w:val="bbPlcHdr"/>
        </w:types>
        <w:behaviors>
          <w:behavior w:val="content"/>
        </w:behaviors>
        <w:guid w:val="{B5DE8A9C-0F37-410F-8BF4-BE041541E677}"/>
      </w:docPartPr>
      <w:docPartBody>
        <w:p w:rsidR="000637D0" w:rsidRDefault="00D42749" w:rsidP="00D42749">
          <w:pPr>
            <w:pStyle w:val="B49DC1B93F254BA681F788A2999BE55E"/>
          </w:pPr>
          <w:r w:rsidRPr="00E32090">
            <w:rPr>
              <w:rStyle w:val="PlaceholderText"/>
            </w:rPr>
            <w:t>Click or tap here to enter text.</w:t>
          </w:r>
        </w:p>
      </w:docPartBody>
    </w:docPart>
    <w:docPart>
      <w:docPartPr>
        <w:name w:val="A89890DED42C4FAFA09DEBDD03F755A6"/>
        <w:category>
          <w:name w:val="General"/>
          <w:gallery w:val="placeholder"/>
        </w:category>
        <w:types>
          <w:type w:val="bbPlcHdr"/>
        </w:types>
        <w:behaviors>
          <w:behavior w:val="content"/>
        </w:behaviors>
        <w:guid w:val="{13C7BE91-9398-4BA7-A874-EEC1D9B3A871}"/>
      </w:docPartPr>
      <w:docPartBody>
        <w:p w:rsidR="000637D0" w:rsidRDefault="00D42749" w:rsidP="00D42749">
          <w:pPr>
            <w:pStyle w:val="A89890DED42C4FAFA09DEBDD03F755A6"/>
          </w:pPr>
          <w:r w:rsidRPr="001A2C39">
            <w:rPr>
              <w:rStyle w:val="PlaceholderText"/>
            </w:rPr>
            <w:t>Click or tap here to enter text.</w:t>
          </w:r>
        </w:p>
      </w:docPartBody>
    </w:docPart>
    <w:docPart>
      <w:docPartPr>
        <w:name w:val="C707A59392DA490CB109859AF1C95859"/>
        <w:category>
          <w:name w:val="General"/>
          <w:gallery w:val="placeholder"/>
        </w:category>
        <w:types>
          <w:type w:val="bbPlcHdr"/>
        </w:types>
        <w:behaviors>
          <w:behavior w:val="content"/>
        </w:behaviors>
        <w:guid w:val="{02224178-D4FB-446E-988A-8D3ECC1534BF}"/>
      </w:docPartPr>
      <w:docPartBody>
        <w:p w:rsidR="000637D0" w:rsidRDefault="00D42749" w:rsidP="00D42749">
          <w:pPr>
            <w:pStyle w:val="C707A59392DA490CB109859AF1C95859"/>
          </w:pPr>
          <w:r w:rsidRPr="00E32090">
            <w:rPr>
              <w:rStyle w:val="PlaceholderText"/>
            </w:rPr>
            <w:t>Click or tap here to enter text.</w:t>
          </w:r>
        </w:p>
      </w:docPartBody>
    </w:docPart>
    <w:docPart>
      <w:docPartPr>
        <w:name w:val="83283363D7B94AE79D4BEC586CD263FE"/>
        <w:category>
          <w:name w:val="General"/>
          <w:gallery w:val="placeholder"/>
        </w:category>
        <w:types>
          <w:type w:val="bbPlcHdr"/>
        </w:types>
        <w:behaviors>
          <w:behavior w:val="content"/>
        </w:behaviors>
        <w:guid w:val="{DBDEFC36-222F-471B-B922-0E73FB13C8D8}"/>
      </w:docPartPr>
      <w:docPartBody>
        <w:p w:rsidR="000637D0" w:rsidRDefault="00D42749" w:rsidP="00D42749">
          <w:pPr>
            <w:pStyle w:val="83283363D7B94AE79D4BEC586CD263FE"/>
          </w:pPr>
          <w:r w:rsidRPr="00C9311B">
            <w:rPr>
              <w:rStyle w:val="PlaceholderText"/>
            </w:rPr>
            <w:t>Click or tap here to enter text.</w:t>
          </w:r>
        </w:p>
      </w:docPartBody>
    </w:docPart>
    <w:docPart>
      <w:docPartPr>
        <w:name w:val="E74E5F9C2A8C469091D49A8C5724758B"/>
        <w:category>
          <w:name w:val="General"/>
          <w:gallery w:val="placeholder"/>
        </w:category>
        <w:types>
          <w:type w:val="bbPlcHdr"/>
        </w:types>
        <w:behaviors>
          <w:behavior w:val="content"/>
        </w:behaviors>
        <w:guid w:val="{404F06B4-E481-47E0-BE6A-F65762CAB03F}"/>
      </w:docPartPr>
      <w:docPartBody>
        <w:p w:rsidR="000637D0" w:rsidRDefault="00D42749" w:rsidP="00D42749">
          <w:pPr>
            <w:pStyle w:val="E74E5F9C2A8C469091D49A8C5724758B"/>
          </w:pPr>
          <w:r w:rsidRPr="003378A2">
            <w:rPr>
              <w:rStyle w:val="PlaceholderText"/>
            </w:rPr>
            <w:t>Click or tap here to enter text.</w:t>
          </w:r>
        </w:p>
      </w:docPartBody>
    </w:docPart>
    <w:docPart>
      <w:docPartPr>
        <w:name w:val="EB7B5B18569E4DCEA689B6BF0EA36B46"/>
        <w:category>
          <w:name w:val="General"/>
          <w:gallery w:val="placeholder"/>
        </w:category>
        <w:types>
          <w:type w:val="bbPlcHdr"/>
        </w:types>
        <w:behaviors>
          <w:behavior w:val="content"/>
        </w:behaviors>
        <w:guid w:val="{11415188-85AD-4BDB-B55E-4AE5EE20975E}"/>
      </w:docPartPr>
      <w:docPartBody>
        <w:p w:rsidR="000637D0" w:rsidRDefault="00D42749" w:rsidP="00D42749">
          <w:pPr>
            <w:pStyle w:val="EB7B5B18569E4DCEA689B6BF0EA36B46"/>
          </w:pPr>
          <w:r w:rsidRPr="00E32090">
            <w:rPr>
              <w:rStyle w:val="PlaceholderText"/>
            </w:rPr>
            <w:t>Click or tap here to enter text.</w:t>
          </w:r>
        </w:p>
      </w:docPartBody>
    </w:docPart>
    <w:docPart>
      <w:docPartPr>
        <w:name w:val="521A02E0E81D4D2C96FFB9B31BA85261"/>
        <w:category>
          <w:name w:val="General"/>
          <w:gallery w:val="placeholder"/>
        </w:category>
        <w:types>
          <w:type w:val="bbPlcHdr"/>
        </w:types>
        <w:behaviors>
          <w:behavior w:val="content"/>
        </w:behaviors>
        <w:guid w:val="{0F0B1329-AF0C-4851-956B-FE44DDE0D821}"/>
      </w:docPartPr>
      <w:docPartBody>
        <w:p w:rsidR="000637D0" w:rsidRDefault="00D42749" w:rsidP="00D42749">
          <w:pPr>
            <w:pStyle w:val="521A02E0E81D4D2C96FFB9B31BA85261"/>
          </w:pPr>
          <w:r w:rsidRPr="00075C61">
            <w:rPr>
              <w:rStyle w:val="PlaceholderText"/>
            </w:rPr>
            <w:t>Click or tap here to enter text.</w:t>
          </w:r>
        </w:p>
      </w:docPartBody>
    </w:docPart>
    <w:docPart>
      <w:docPartPr>
        <w:name w:val="3FDB414333074DD9B640901BBE23B543"/>
        <w:category>
          <w:name w:val="General"/>
          <w:gallery w:val="placeholder"/>
        </w:category>
        <w:types>
          <w:type w:val="bbPlcHdr"/>
        </w:types>
        <w:behaviors>
          <w:behavior w:val="content"/>
        </w:behaviors>
        <w:guid w:val="{25948775-37B4-4EB9-A72E-532C726D5A2F}"/>
      </w:docPartPr>
      <w:docPartBody>
        <w:p w:rsidR="000637D0" w:rsidRDefault="00D42749" w:rsidP="00D42749">
          <w:pPr>
            <w:pStyle w:val="3FDB414333074DD9B640901BBE23B543"/>
          </w:pPr>
          <w:r w:rsidRPr="00075C61">
            <w:rPr>
              <w:rStyle w:val="PlaceholderText"/>
            </w:rPr>
            <w:t>Click or tap here to enter text.</w:t>
          </w:r>
        </w:p>
      </w:docPartBody>
    </w:docPart>
    <w:docPart>
      <w:docPartPr>
        <w:name w:val="3CE2FB2A6ED34D3AA46FFEF9C2CE4A29"/>
        <w:category>
          <w:name w:val="General"/>
          <w:gallery w:val="placeholder"/>
        </w:category>
        <w:types>
          <w:type w:val="bbPlcHdr"/>
        </w:types>
        <w:behaviors>
          <w:behavior w:val="content"/>
        </w:behaviors>
        <w:guid w:val="{88D3FBB1-9256-48FD-B1E7-9A58B7BDE014}"/>
      </w:docPartPr>
      <w:docPartBody>
        <w:p w:rsidR="000637D0" w:rsidRDefault="00D42749" w:rsidP="00D42749">
          <w:pPr>
            <w:pStyle w:val="3CE2FB2A6ED34D3AA46FFEF9C2CE4A29"/>
          </w:pPr>
          <w:r w:rsidRPr="00C9311B">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EF531ED3-4B22-4E21-8457-AAD11DAFB682}"/>
      </w:docPartPr>
      <w:docPartBody>
        <w:p w:rsidR="000637D0" w:rsidRDefault="00D42749">
          <w:r w:rsidRPr="003779DB">
            <w:rPr>
              <w:rStyle w:val="PlaceholderText"/>
            </w:rPr>
            <w:t>Click or tap here to enter text.</w:t>
          </w:r>
        </w:p>
      </w:docPartBody>
    </w:docPart>
    <w:docPart>
      <w:docPartPr>
        <w:name w:val="4D3192F8A22EAF4BB9D1788E7737DB17"/>
        <w:category>
          <w:name w:val="General"/>
          <w:gallery w:val="placeholder"/>
        </w:category>
        <w:types>
          <w:type w:val="bbPlcHdr"/>
        </w:types>
        <w:behaviors>
          <w:behavior w:val="content"/>
        </w:behaviors>
        <w:guid w:val="{F07D4689-107E-F745-8AD6-F63A07A98447}"/>
      </w:docPartPr>
      <w:docPartBody>
        <w:p w:rsidR="00BD2F6A" w:rsidRDefault="00F979E2" w:rsidP="00F979E2">
          <w:pPr>
            <w:pStyle w:val="4D3192F8A22EAF4BB9D1788E7737DB17"/>
          </w:pPr>
          <w:r w:rsidRPr="003779DB">
            <w:rPr>
              <w:rStyle w:val="PlaceholderText"/>
            </w:rPr>
            <w:t>Click or tap here to enter text.</w:t>
          </w:r>
        </w:p>
      </w:docPartBody>
    </w:docPart>
    <w:docPart>
      <w:docPartPr>
        <w:name w:val="20BEAAFE486841B7A0FAE1AB9AD2768C"/>
        <w:category>
          <w:name w:val="General"/>
          <w:gallery w:val="placeholder"/>
        </w:category>
        <w:types>
          <w:type w:val="bbPlcHdr"/>
        </w:types>
        <w:behaviors>
          <w:behavior w:val="content"/>
        </w:behaviors>
        <w:guid w:val="{FB4323E4-ABC8-4392-B16B-2CD8BCCEDD3F}"/>
      </w:docPartPr>
      <w:docPartBody>
        <w:p w:rsidR="00025167" w:rsidRDefault="00211940" w:rsidP="00211940">
          <w:pPr>
            <w:pStyle w:val="20BEAAFE486841B7A0FAE1AB9AD2768C"/>
          </w:pPr>
          <w:r w:rsidRPr="003779DB">
            <w:rPr>
              <w:rStyle w:val="PlaceholderText"/>
            </w:rPr>
            <w:t>Click or tap here to enter text.</w:t>
          </w:r>
        </w:p>
      </w:docPartBody>
    </w:docPart>
    <w:docPart>
      <w:docPartPr>
        <w:name w:val="86DB78860671B143A5DC679A6C3B4182"/>
        <w:category>
          <w:name w:val="General"/>
          <w:gallery w:val="placeholder"/>
        </w:category>
        <w:types>
          <w:type w:val="bbPlcHdr"/>
        </w:types>
        <w:behaviors>
          <w:behavior w:val="content"/>
        </w:behaviors>
        <w:guid w:val="{7BF7F80E-6F22-2F40-B10F-578B465C66C0}"/>
      </w:docPartPr>
      <w:docPartBody>
        <w:p w:rsidR="003A02EE" w:rsidRDefault="00F71256" w:rsidP="00F71256">
          <w:pPr>
            <w:pStyle w:val="86DB78860671B143A5DC679A6C3B4182"/>
          </w:pPr>
          <w:r w:rsidRPr="00E32090">
            <w:rPr>
              <w:rStyle w:val="PlaceholderText"/>
            </w:rPr>
            <w:t>Click or tap here to enter text.</w:t>
          </w:r>
        </w:p>
      </w:docPartBody>
    </w:docPart>
    <w:docPart>
      <w:docPartPr>
        <w:name w:val="4A4CACD0B2E7A442AC7A1D796345AAE6"/>
        <w:category>
          <w:name w:val="General"/>
          <w:gallery w:val="placeholder"/>
        </w:category>
        <w:types>
          <w:type w:val="bbPlcHdr"/>
        </w:types>
        <w:behaviors>
          <w:behavior w:val="content"/>
        </w:behaviors>
        <w:guid w:val="{F25D48B0-F23A-344B-83BF-167035988FB9}"/>
      </w:docPartPr>
      <w:docPartBody>
        <w:p w:rsidR="003A02EE" w:rsidRDefault="00F71256" w:rsidP="00F71256">
          <w:pPr>
            <w:pStyle w:val="4A4CACD0B2E7A442AC7A1D796345AAE6"/>
          </w:pPr>
          <w:r w:rsidRPr="00E32090">
            <w:rPr>
              <w:rStyle w:val="PlaceholderText"/>
            </w:rPr>
            <w:t>Click or tap here to enter text.</w:t>
          </w:r>
        </w:p>
      </w:docPartBody>
    </w:docPart>
    <w:docPart>
      <w:docPartPr>
        <w:name w:val="75E8BEE73510DB4B8FF4552BDBAAE765"/>
        <w:category>
          <w:name w:val="General"/>
          <w:gallery w:val="placeholder"/>
        </w:category>
        <w:types>
          <w:type w:val="bbPlcHdr"/>
        </w:types>
        <w:behaviors>
          <w:behavior w:val="content"/>
        </w:behaviors>
        <w:guid w:val="{3E35FC74-76A9-F843-8924-CA0D94F06FAD}"/>
      </w:docPartPr>
      <w:docPartBody>
        <w:p w:rsidR="003A02EE" w:rsidRDefault="00F71256" w:rsidP="00F71256">
          <w:pPr>
            <w:pStyle w:val="75E8BEE73510DB4B8FF4552BDBAAE765"/>
          </w:pPr>
          <w:r w:rsidRPr="00E32090">
            <w:rPr>
              <w:rStyle w:val="PlaceholderText"/>
            </w:rPr>
            <w:t>Click or tap here to enter text.</w:t>
          </w:r>
        </w:p>
      </w:docPartBody>
    </w:docPart>
    <w:docPart>
      <w:docPartPr>
        <w:name w:val="6FD96BC490F628459C566CC25067806A"/>
        <w:category>
          <w:name w:val="General"/>
          <w:gallery w:val="placeholder"/>
        </w:category>
        <w:types>
          <w:type w:val="bbPlcHdr"/>
        </w:types>
        <w:behaviors>
          <w:behavior w:val="content"/>
        </w:behaviors>
        <w:guid w:val="{2FE88FBA-99F9-8F4E-8D53-2E7B8E9F1738}"/>
      </w:docPartPr>
      <w:docPartBody>
        <w:p w:rsidR="003A02EE" w:rsidRDefault="00F71256" w:rsidP="00F71256">
          <w:pPr>
            <w:pStyle w:val="6FD96BC490F628459C566CC25067806A"/>
          </w:pPr>
          <w:r w:rsidRPr="00E32090">
            <w:rPr>
              <w:rStyle w:val="PlaceholderText"/>
            </w:rPr>
            <w:t>Click or tap here to enter text.</w:t>
          </w:r>
        </w:p>
      </w:docPartBody>
    </w:docPart>
    <w:docPart>
      <w:docPartPr>
        <w:name w:val="170A79B9610FA548BD782D5946CEDE91"/>
        <w:category>
          <w:name w:val="General"/>
          <w:gallery w:val="placeholder"/>
        </w:category>
        <w:types>
          <w:type w:val="bbPlcHdr"/>
        </w:types>
        <w:behaviors>
          <w:behavior w:val="content"/>
        </w:behaviors>
        <w:guid w:val="{8F2BB692-3AB5-9E49-B558-5033C793A33E}"/>
      </w:docPartPr>
      <w:docPartBody>
        <w:p w:rsidR="003A02EE" w:rsidRDefault="00F71256" w:rsidP="00F71256">
          <w:pPr>
            <w:pStyle w:val="170A79B9610FA548BD782D5946CEDE91"/>
          </w:pPr>
          <w:r w:rsidRPr="00C9311B">
            <w:rPr>
              <w:rStyle w:val="PlaceholderText"/>
            </w:rPr>
            <w:t>Click or tap here to enter text.</w:t>
          </w:r>
        </w:p>
      </w:docPartBody>
    </w:docPart>
    <w:docPart>
      <w:docPartPr>
        <w:name w:val="F9360FDCF9E9C444B81A4F8EC76866A7"/>
        <w:category>
          <w:name w:val="General"/>
          <w:gallery w:val="placeholder"/>
        </w:category>
        <w:types>
          <w:type w:val="bbPlcHdr"/>
        </w:types>
        <w:behaviors>
          <w:behavior w:val="content"/>
        </w:behaviors>
        <w:guid w:val="{CBF31CBB-739E-5D41-AB42-E7E5A3FEF14B}"/>
      </w:docPartPr>
      <w:docPartBody>
        <w:p w:rsidR="003A02EE" w:rsidRDefault="00F71256" w:rsidP="00F71256">
          <w:pPr>
            <w:pStyle w:val="F9360FDCF9E9C444B81A4F8EC76866A7"/>
          </w:pPr>
          <w:r w:rsidRPr="00C9311B">
            <w:rPr>
              <w:rStyle w:val="PlaceholderText"/>
            </w:rPr>
            <w:t>Click or tap here to enter text.</w:t>
          </w:r>
        </w:p>
      </w:docPartBody>
    </w:docPart>
    <w:docPart>
      <w:docPartPr>
        <w:name w:val="70D0C41E41CA5C44B61BC36CC0F5E850"/>
        <w:category>
          <w:name w:val="General"/>
          <w:gallery w:val="placeholder"/>
        </w:category>
        <w:types>
          <w:type w:val="bbPlcHdr"/>
        </w:types>
        <w:behaviors>
          <w:behavior w:val="content"/>
        </w:behaviors>
        <w:guid w:val="{4E96209B-3CEE-C245-A1E2-04070AAE3D14}"/>
      </w:docPartPr>
      <w:docPartBody>
        <w:p w:rsidR="003A02EE" w:rsidRDefault="00F71256" w:rsidP="00F71256">
          <w:pPr>
            <w:pStyle w:val="70D0C41E41CA5C44B61BC36CC0F5E850"/>
          </w:pPr>
          <w:r w:rsidRPr="00C9311B">
            <w:rPr>
              <w:rStyle w:val="PlaceholderText"/>
            </w:rPr>
            <w:t>Click or tap here to enter text.</w:t>
          </w:r>
        </w:p>
      </w:docPartBody>
    </w:docPart>
    <w:docPart>
      <w:docPartPr>
        <w:name w:val="A8039FFC8F1E6545A0FBAEF31096B25F"/>
        <w:category>
          <w:name w:val="General"/>
          <w:gallery w:val="placeholder"/>
        </w:category>
        <w:types>
          <w:type w:val="bbPlcHdr"/>
        </w:types>
        <w:behaviors>
          <w:behavior w:val="content"/>
        </w:behaviors>
        <w:guid w:val="{4AEDA0A0-D270-0A41-8EBF-04CE18882896}"/>
      </w:docPartPr>
      <w:docPartBody>
        <w:p w:rsidR="003A02EE" w:rsidRDefault="00F71256" w:rsidP="00F71256">
          <w:pPr>
            <w:pStyle w:val="A8039FFC8F1E6545A0FBAEF31096B25F"/>
          </w:pPr>
          <w:r w:rsidRPr="002D7AD6">
            <w:rPr>
              <w:rStyle w:val="PlaceholderText"/>
            </w:rPr>
            <w:t>Click or tap here to enter text.</w:t>
          </w:r>
        </w:p>
      </w:docPartBody>
    </w:docPart>
    <w:docPart>
      <w:docPartPr>
        <w:name w:val="189FC339502520458B42BE5906728C77"/>
        <w:category>
          <w:name w:val="General"/>
          <w:gallery w:val="placeholder"/>
        </w:category>
        <w:types>
          <w:type w:val="bbPlcHdr"/>
        </w:types>
        <w:behaviors>
          <w:behavior w:val="content"/>
        </w:behaviors>
        <w:guid w:val="{4F909DF4-BEC1-FE4F-B96D-13483D4B0A3F}"/>
      </w:docPartPr>
      <w:docPartBody>
        <w:p w:rsidR="003A02EE" w:rsidRDefault="00F71256" w:rsidP="00F71256">
          <w:pPr>
            <w:pStyle w:val="189FC339502520458B42BE5906728C77"/>
          </w:pPr>
          <w:r w:rsidRPr="002D7AD6">
            <w:rPr>
              <w:rStyle w:val="PlaceholderText"/>
            </w:rPr>
            <w:t>Click or tap here to enter text.</w:t>
          </w:r>
        </w:p>
      </w:docPartBody>
    </w:docPart>
    <w:docPart>
      <w:docPartPr>
        <w:name w:val="1DE326E5000AAA40A06EFE869C90546C"/>
        <w:category>
          <w:name w:val="General"/>
          <w:gallery w:val="placeholder"/>
        </w:category>
        <w:types>
          <w:type w:val="bbPlcHdr"/>
        </w:types>
        <w:behaviors>
          <w:behavior w:val="content"/>
        </w:behaviors>
        <w:guid w:val="{0F3711A4-357B-8744-AFA9-6804C32BF341}"/>
      </w:docPartPr>
      <w:docPartBody>
        <w:p w:rsidR="003A02EE" w:rsidRDefault="00F71256" w:rsidP="00F71256">
          <w:pPr>
            <w:pStyle w:val="1DE326E5000AAA40A06EFE869C90546C"/>
          </w:pPr>
          <w:r w:rsidRPr="002D7AD6">
            <w:rPr>
              <w:rStyle w:val="PlaceholderText"/>
            </w:rPr>
            <w:t>Click or tap here to enter text.</w:t>
          </w:r>
        </w:p>
      </w:docPartBody>
    </w:docPart>
    <w:docPart>
      <w:docPartPr>
        <w:name w:val="EC469CF5016DD740A4F63043E437E0F5"/>
        <w:category>
          <w:name w:val="General"/>
          <w:gallery w:val="placeholder"/>
        </w:category>
        <w:types>
          <w:type w:val="bbPlcHdr"/>
        </w:types>
        <w:behaviors>
          <w:behavior w:val="content"/>
        </w:behaviors>
        <w:guid w:val="{54BA6FA6-CA40-F043-A07A-ABA88DFF9BB9}"/>
      </w:docPartPr>
      <w:docPartBody>
        <w:p w:rsidR="003A02EE" w:rsidRDefault="00F71256" w:rsidP="00F71256">
          <w:pPr>
            <w:pStyle w:val="EC469CF5016DD740A4F63043E437E0F5"/>
          </w:pPr>
          <w:r w:rsidRPr="002D7AD6">
            <w:rPr>
              <w:rStyle w:val="PlaceholderText"/>
            </w:rPr>
            <w:t>Click or tap here to enter text.</w:t>
          </w:r>
        </w:p>
      </w:docPartBody>
    </w:docPart>
    <w:docPart>
      <w:docPartPr>
        <w:name w:val="A77CFC017D463F4491C70286759F036F"/>
        <w:category>
          <w:name w:val="General"/>
          <w:gallery w:val="placeholder"/>
        </w:category>
        <w:types>
          <w:type w:val="bbPlcHdr"/>
        </w:types>
        <w:behaviors>
          <w:behavior w:val="content"/>
        </w:behaviors>
        <w:guid w:val="{2B78EBC7-6A90-5047-84EA-A418FB7C48E8}"/>
      </w:docPartPr>
      <w:docPartBody>
        <w:p w:rsidR="003A02EE" w:rsidRDefault="00F71256" w:rsidP="00F71256">
          <w:pPr>
            <w:pStyle w:val="A77CFC017D463F4491C70286759F036F"/>
          </w:pPr>
          <w:r w:rsidRPr="002D7AD6">
            <w:rPr>
              <w:rStyle w:val="PlaceholderText"/>
            </w:rPr>
            <w:t>Click or tap here to enter text.</w:t>
          </w:r>
        </w:p>
      </w:docPartBody>
    </w:docPart>
    <w:docPart>
      <w:docPartPr>
        <w:name w:val="F1A174669AD8334ABBC822AABA5447B8"/>
        <w:category>
          <w:name w:val="General"/>
          <w:gallery w:val="placeholder"/>
        </w:category>
        <w:types>
          <w:type w:val="bbPlcHdr"/>
        </w:types>
        <w:behaviors>
          <w:behavior w:val="content"/>
        </w:behaviors>
        <w:guid w:val="{3677E65F-9408-E34C-8967-F2EF2B7B9E70}"/>
      </w:docPartPr>
      <w:docPartBody>
        <w:p w:rsidR="003A02EE" w:rsidRDefault="00F71256" w:rsidP="00F71256">
          <w:pPr>
            <w:pStyle w:val="F1A174669AD8334ABBC822AABA5447B8"/>
          </w:pPr>
          <w:r w:rsidRPr="002D7AD6">
            <w:rPr>
              <w:rStyle w:val="PlaceholderText"/>
            </w:rPr>
            <w:t>Click or tap here to enter text.</w:t>
          </w:r>
        </w:p>
      </w:docPartBody>
    </w:docPart>
    <w:docPart>
      <w:docPartPr>
        <w:name w:val="C4CD5BA984F4F94A80378D14CFAB0B71"/>
        <w:category>
          <w:name w:val="General"/>
          <w:gallery w:val="placeholder"/>
        </w:category>
        <w:types>
          <w:type w:val="bbPlcHdr"/>
        </w:types>
        <w:behaviors>
          <w:behavior w:val="content"/>
        </w:behaviors>
        <w:guid w:val="{E83EC5A5-A530-094D-BAB5-8DC2E379DBD1}"/>
      </w:docPartPr>
      <w:docPartBody>
        <w:p w:rsidR="003A02EE" w:rsidRDefault="00F71256" w:rsidP="00F71256">
          <w:pPr>
            <w:pStyle w:val="C4CD5BA984F4F94A80378D14CFAB0B71"/>
          </w:pPr>
          <w:r w:rsidRPr="002D7AD6">
            <w:rPr>
              <w:rStyle w:val="PlaceholderText"/>
            </w:rPr>
            <w:t>Click or tap here to enter text.</w:t>
          </w:r>
        </w:p>
      </w:docPartBody>
    </w:docPart>
    <w:docPart>
      <w:docPartPr>
        <w:name w:val="9424CAA92A73464F862BAB90334D3C8A"/>
        <w:category>
          <w:name w:val="General"/>
          <w:gallery w:val="placeholder"/>
        </w:category>
        <w:types>
          <w:type w:val="bbPlcHdr"/>
        </w:types>
        <w:behaviors>
          <w:behavior w:val="content"/>
        </w:behaviors>
        <w:guid w:val="{0D83595A-D1BF-1E45-862B-CA8B780B2B43}"/>
      </w:docPartPr>
      <w:docPartBody>
        <w:p w:rsidR="003A02EE" w:rsidRDefault="00F71256" w:rsidP="00F71256">
          <w:pPr>
            <w:pStyle w:val="9424CAA92A73464F862BAB90334D3C8A"/>
          </w:pPr>
          <w:r w:rsidRPr="002D7AD6">
            <w:rPr>
              <w:rStyle w:val="PlaceholderText"/>
            </w:rPr>
            <w:t>Click or tap here to enter text.</w:t>
          </w:r>
        </w:p>
      </w:docPartBody>
    </w:docPart>
    <w:docPart>
      <w:docPartPr>
        <w:name w:val="C2961DC6C39CA3409C8602289A63BB97"/>
        <w:category>
          <w:name w:val="General"/>
          <w:gallery w:val="placeholder"/>
        </w:category>
        <w:types>
          <w:type w:val="bbPlcHdr"/>
        </w:types>
        <w:behaviors>
          <w:behavior w:val="content"/>
        </w:behaviors>
        <w:guid w:val="{55BDCBD6-C0E3-AC43-8658-DF726A35D199}"/>
      </w:docPartPr>
      <w:docPartBody>
        <w:p w:rsidR="003A02EE" w:rsidRDefault="00F71256" w:rsidP="00F71256">
          <w:pPr>
            <w:pStyle w:val="C2961DC6C39CA3409C8602289A63BB97"/>
          </w:pPr>
          <w:r w:rsidRPr="002D7AD6">
            <w:rPr>
              <w:rStyle w:val="PlaceholderText"/>
            </w:rPr>
            <w:t>Click or tap here to enter text.</w:t>
          </w:r>
        </w:p>
      </w:docPartBody>
    </w:docPart>
    <w:docPart>
      <w:docPartPr>
        <w:name w:val="2B68A6BD5522D94B8AD8B2E8DE72C633"/>
        <w:category>
          <w:name w:val="General"/>
          <w:gallery w:val="placeholder"/>
        </w:category>
        <w:types>
          <w:type w:val="bbPlcHdr"/>
        </w:types>
        <w:behaviors>
          <w:behavior w:val="content"/>
        </w:behaviors>
        <w:guid w:val="{FFAE66B6-4E96-1A42-9AF6-DB736039030F}"/>
      </w:docPartPr>
      <w:docPartBody>
        <w:p w:rsidR="003A02EE" w:rsidRDefault="00F71256" w:rsidP="00F71256">
          <w:pPr>
            <w:pStyle w:val="2B68A6BD5522D94B8AD8B2E8DE72C633"/>
          </w:pPr>
          <w:r w:rsidRPr="002D7AD6">
            <w:rPr>
              <w:rStyle w:val="PlaceholderText"/>
            </w:rPr>
            <w:t>Click or tap here to enter text.</w:t>
          </w:r>
        </w:p>
      </w:docPartBody>
    </w:docPart>
    <w:docPart>
      <w:docPartPr>
        <w:name w:val="5EB3EDB96234B441921EBE305BC3E3C1"/>
        <w:category>
          <w:name w:val="General"/>
          <w:gallery w:val="placeholder"/>
        </w:category>
        <w:types>
          <w:type w:val="bbPlcHdr"/>
        </w:types>
        <w:behaviors>
          <w:behavior w:val="content"/>
        </w:behaviors>
        <w:guid w:val="{3C773977-1252-B449-BEB6-46307A02B6A0}"/>
      </w:docPartPr>
      <w:docPartBody>
        <w:p w:rsidR="003A02EE" w:rsidRDefault="00F71256" w:rsidP="00F71256">
          <w:pPr>
            <w:pStyle w:val="5EB3EDB96234B441921EBE305BC3E3C1"/>
          </w:pPr>
          <w:r w:rsidRPr="002D7AD6">
            <w:rPr>
              <w:rStyle w:val="PlaceholderText"/>
            </w:rPr>
            <w:t>Click or tap here to enter text.</w:t>
          </w:r>
        </w:p>
      </w:docPartBody>
    </w:docPart>
    <w:docPart>
      <w:docPartPr>
        <w:name w:val="C00753EE3FDCB14B97A379B65FDB9FD9"/>
        <w:category>
          <w:name w:val="General"/>
          <w:gallery w:val="placeholder"/>
        </w:category>
        <w:types>
          <w:type w:val="bbPlcHdr"/>
        </w:types>
        <w:behaviors>
          <w:behavior w:val="content"/>
        </w:behaviors>
        <w:guid w:val="{FC0DD501-1EB2-1C4F-848C-26484D983B3C}"/>
      </w:docPartPr>
      <w:docPartBody>
        <w:p w:rsidR="003A02EE" w:rsidRDefault="00F71256" w:rsidP="00F71256">
          <w:pPr>
            <w:pStyle w:val="C00753EE3FDCB14B97A379B65FDB9FD9"/>
          </w:pPr>
          <w:r w:rsidRPr="002D7AD6">
            <w:rPr>
              <w:rStyle w:val="PlaceholderText"/>
            </w:rPr>
            <w:t>Click or tap here to enter text.</w:t>
          </w:r>
        </w:p>
      </w:docPartBody>
    </w:docPart>
    <w:docPart>
      <w:docPartPr>
        <w:name w:val="AA30F55377D5A248A659D8AF8A53644F"/>
        <w:category>
          <w:name w:val="General"/>
          <w:gallery w:val="placeholder"/>
        </w:category>
        <w:types>
          <w:type w:val="bbPlcHdr"/>
        </w:types>
        <w:behaviors>
          <w:behavior w:val="content"/>
        </w:behaviors>
        <w:guid w:val="{D69745B5-FAA6-7846-9719-4B720D67F30C}"/>
      </w:docPartPr>
      <w:docPartBody>
        <w:p w:rsidR="003A02EE" w:rsidRDefault="00F71256" w:rsidP="00F71256">
          <w:pPr>
            <w:pStyle w:val="AA30F55377D5A248A659D8AF8A53644F"/>
          </w:pPr>
          <w:r w:rsidRPr="002D7AD6">
            <w:rPr>
              <w:rStyle w:val="PlaceholderText"/>
            </w:rPr>
            <w:t>Click or tap here to enter text.</w:t>
          </w:r>
        </w:p>
      </w:docPartBody>
    </w:docPart>
    <w:docPart>
      <w:docPartPr>
        <w:name w:val="1D4BE2F82EA9FB4D994D0E6D12E32DF0"/>
        <w:category>
          <w:name w:val="General"/>
          <w:gallery w:val="placeholder"/>
        </w:category>
        <w:types>
          <w:type w:val="bbPlcHdr"/>
        </w:types>
        <w:behaviors>
          <w:behavior w:val="content"/>
        </w:behaviors>
        <w:guid w:val="{517FF12D-F7C0-234C-BA6D-BE4BF846AEF2}"/>
      </w:docPartPr>
      <w:docPartBody>
        <w:p w:rsidR="003A02EE" w:rsidRDefault="00F71256" w:rsidP="00F71256">
          <w:pPr>
            <w:pStyle w:val="1D4BE2F82EA9FB4D994D0E6D12E32DF0"/>
          </w:pPr>
          <w:r w:rsidRPr="002D7AD6">
            <w:rPr>
              <w:rStyle w:val="PlaceholderText"/>
            </w:rPr>
            <w:t>Click or tap here to enter text.</w:t>
          </w:r>
        </w:p>
      </w:docPartBody>
    </w:docPart>
    <w:docPart>
      <w:docPartPr>
        <w:name w:val="545B29B559DC8149AC245388B429B4C5"/>
        <w:category>
          <w:name w:val="General"/>
          <w:gallery w:val="placeholder"/>
        </w:category>
        <w:types>
          <w:type w:val="bbPlcHdr"/>
        </w:types>
        <w:behaviors>
          <w:behavior w:val="content"/>
        </w:behaviors>
        <w:guid w:val="{D4A2714F-4680-E540-B9E0-C223176C6C43}"/>
      </w:docPartPr>
      <w:docPartBody>
        <w:p w:rsidR="003A02EE" w:rsidRDefault="00F71256" w:rsidP="00F71256">
          <w:pPr>
            <w:pStyle w:val="545B29B559DC8149AC245388B429B4C5"/>
          </w:pPr>
          <w:r w:rsidRPr="002D7AD6">
            <w:rPr>
              <w:rStyle w:val="PlaceholderText"/>
            </w:rPr>
            <w:t>Click or tap here to enter text.</w:t>
          </w:r>
        </w:p>
      </w:docPartBody>
    </w:docPart>
    <w:docPart>
      <w:docPartPr>
        <w:name w:val="3A20CAEECBBEAD48B73F14EC4EA20DF7"/>
        <w:category>
          <w:name w:val="General"/>
          <w:gallery w:val="placeholder"/>
        </w:category>
        <w:types>
          <w:type w:val="bbPlcHdr"/>
        </w:types>
        <w:behaviors>
          <w:behavior w:val="content"/>
        </w:behaviors>
        <w:guid w:val="{5D6DE207-A03F-254D-AD08-19C45D097DF4}"/>
      </w:docPartPr>
      <w:docPartBody>
        <w:p w:rsidR="003A02EE" w:rsidRDefault="00F71256" w:rsidP="00F71256">
          <w:pPr>
            <w:pStyle w:val="3A20CAEECBBEAD48B73F14EC4EA20DF7"/>
          </w:pPr>
          <w:r w:rsidRPr="002D7AD6">
            <w:rPr>
              <w:rStyle w:val="PlaceholderText"/>
            </w:rPr>
            <w:t>Click or tap here to enter text.</w:t>
          </w:r>
        </w:p>
      </w:docPartBody>
    </w:docPart>
    <w:docPart>
      <w:docPartPr>
        <w:name w:val="1C542C5CC9CD914893CDF68DC9870B1F"/>
        <w:category>
          <w:name w:val="General"/>
          <w:gallery w:val="placeholder"/>
        </w:category>
        <w:types>
          <w:type w:val="bbPlcHdr"/>
        </w:types>
        <w:behaviors>
          <w:behavior w:val="content"/>
        </w:behaviors>
        <w:guid w:val="{4FC01248-E825-B34D-9091-494324FBE9A2}"/>
      </w:docPartPr>
      <w:docPartBody>
        <w:p w:rsidR="003A02EE" w:rsidRDefault="00F71256" w:rsidP="00F71256">
          <w:pPr>
            <w:pStyle w:val="1C542C5CC9CD914893CDF68DC9870B1F"/>
          </w:pPr>
          <w:r w:rsidRPr="002D7AD6">
            <w:rPr>
              <w:rStyle w:val="PlaceholderText"/>
            </w:rPr>
            <w:t>Click or tap here to enter text.</w:t>
          </w:r>
        </w:p>
      </w:docPartBody>
    </w:docPart>
    <w:docPart>
      <w:docPartPr>
        <w:name w:val="0221337F1DC58C4A9710C667EA5BE32A"/>
        <w:category>
          <w:name w:val="General"/>
          <w:gallery w:val="placeholder"/>
        </w:category>
        <w:types>
          <w:type w:val="bbPlcHdr"/>
        </w:types>
        <w:behaviors>
          <w:behavior w:val="content"/>
        </w:behaviors>
        <w:guid w:val="{233CE307-9AB7-7D42-97ED-266B5925B9C1}"/>
      </w:docPartPr>
      <w:docPartBody>
        <w:p w:rsidR="003A02EE" w:rsidRDefault="00F71256" w:rsidP="00F71256">
          <w:pPr>
            <w:pStyle w:val="0221337F1DC58C4A9710C667EA5BE32A"/>
          </w:pPr>
          <w:r w:rsidRPr="002D7AD6">
            <w:rPr>
              <w:rStyle w:val="PlaceholderText"/>
            </w:rPr>
            <w:t>Click or tap here to enter text.</w:t>
          </w:r>
        </w:p>
      </w:docPartBody>
    </w:docPart>
    <w:docPart>
      <w:docPartPr>
        <w:name w:val="65A8552D2FD12D46ACCA033C7D3A33E5"/>
        <w:category>
          <w:name w:val="General"/>
          <w:gallery w:val="placeholder"/>
        </w:category>
        <w:types>
          <w:type w:val="bbPlcHdr"/>
        </w:types>
        <w:behaviors>
          <w:behavior w:val="content"/>
        </w:behaviors>
        <w:guid w:val="{6BEFD484-868A-7E4B-8880-57ABDA1C5BDB}"/>
      </w:docPartPr>
      <w:docPartBody>
        <w:p w:rsidR="003A02EE" w:rsidRDefault="00F71256" w:rsidP="00F71256">
          <w:pPr>
            <w:pStyle w:val="65A8552D2FD12D46ACCA033C7D3A33E5"/>
          </w:pPr>
          <w:r w:rsidRPr="002D7AD6">
            <w:rPr>
              <w:rStyle w:val="PlaceholderText"/>
            </w:rPr>
            <w:t>Click or tap here to enter text.</w:t>
          </w:r>
        </w:p>
      </w:docPartBody>
    </w:docPart>
    <w:docPart>
      <w:docPartPr>
        <w:name w:val="546E9A71387CB640B37AA59022359D76"/>
        <w:category>
          <w:name w:val="General"/>
          <w:gallery w:val="placeholder"/>
        </w:category>
        <w:types>
          <w:type w:val="bbPlcHdr"/>
        </w:types>
        <w:behaviors>
          <w:behavior w:val="content"/>
        </w:behaviors>
        <w:guid w:val="{8C5915FB-4EE4-9F4C-828D-19D03836673D}"/>
      </w:docPartPr>
      <w:docPartBody>
        <w:p w:rsidR="003A02EE" w:rsidRDefault="00F71256" w:rsidP="00F71256">
          <w:pPr>
            <w:pStyle w:val="546E9A71387CB640B37AA59022359D76"/>
          </w:pPr>
          <w:r w:rsidRPr="002D7AD6">
            <w:rPr>
              <w:rStyle w:val="PlaceholderText"/>
            </w:rPr>
            <w:t>Click or tap here to enter text.</w:t>
          </w:r>
        </w:p>
      </w:docPartBody>
    </w:docPart>
    <w:docPart>
      <w:docPartPr>
        <w:name w:val="DD3ABE08E7AC4940AB40301799491F2D"/>
        <w:category>
          <w:name w:val="General"/>
          <w:gallery w:val="placeholder"/>
        </w:category>
        <w:types>
          <w:type w:val="bbPlcHdr"/>
        </w:types>
        <w:behaviors>
          <w:behavior w:val="content"/>
        </w:behaviors>
        <w:guid w:val="{5DD11D95-7FEE-4645-B5DC-0D6A30E7639F}"/>
      </w:docPartPr>
      <w:docPartBody>
        <w:p w:rsidR="003A02EE" w:rsidRDefault="00F71256" w:rsidP="00F71256">
          <w:pPr>
            <w:pStyle w:val="DD3ABE08E7AC4940AB40301799491F2D"/>
          </w:pPr>
          <w:r w:rsidRPr="002D7AD6">
            <w:rPr>
              <w:rStyle w:val="PlaceholderText"/>
            </w:rPr>
            <w:t>Click or tap here to enter text.</w:t>
          </w:r>
        </w:p>
      </w:docPartBody>
    </w:docPart>
    <w:docPart>
      <w:docPartPr>
        <w:name w:val="7977B7CC4F81474191FB8734EEC7751A"/>
        <w:category>
          <w:name w:val="General"/>
          <w:gallery w:val="placeholder"/>
        </w:category>
        <w:types>
          <w:type w:val="bbPlcHdr"/>
        </w:types>
        <w:behaviors>
          <w:behavior w:val="content"/>
        </w:behaviors>
        <w:guid w:val="{56765C4E-AF4A-524A-8F86-BD08BAB4A381}"/>
      </w:docPartPr>
      <w:docPartBody>
        <w:p w:rsidR="003A02EE" w:rsidRDefault="00F71256" w:rsidP="00F71256">
          <w:pPr>
            <w:pStyle w:val="7977B7CC4F81474191FB8734EEC7751A"/>
          </w:pPr>
          <w:r w:rsidRPr="002D7AD6">
            <w:rPr>
              <w:rStyle w:val="PlaceholderText"/>
            </w:rPr>
            <w:t>Click or tap here to enter text.</w:t>
          </w:r>
        </w:p>
      </w:docPartBody>
    </w:docPart>
    <w:docPart>
      <w:docPartPr>
        <w:name w:val="C21FF244103E9D48B2AC7240CE960CC2"/>
        <w:category>
          <w:name w:val="General"/>
          <w:gallery w:val="placeholder"/>
        </w:category>
        <w:types>
          <w:type w:val="bbPlcHdr"/>
        </w:types>
        <w:behaviors>
          <w:behavior w:val="content"/>
        </w:behaviors>
        <w:guid w:val="{5B2D5A4B-6E0E-A544-8E3E-A7D57E86228E}"/>
      </w:docPartPr>
      <w:docPartBody>
        <w:p w:rsidR="003A02EE" w:rsidRDefault="00F71256" w:rsidP="00F71256">
          <w:pPr>
            <w:pStyle w:val="C21FF244103E9D48B2AC7240CE960CC2"/>
          </w:pPr>
          <w:r w:rsidRPr="002D7AD6">
            <w:rPr>
              <w:rStyle w:val="PlaceholderText"/>
            </w:rPr>
            <w:t>Click or tap here to enter text.</w:t>
          </w:r>
        </w:p>
      </w:docPartBody>
    </w:docPart>
    <w:docPart>
      <w:docPartPr>
        <w:name w:val="C4BF2BD8AA6CBD41944B6E1DE9F48D9E"/>
        <w:category>
          <w:name w:val="General"/>
          <w:gallery w:val="placeholder"/>
        </w:category>
        <w:types>
          <w:type w:val="bbPlcHdr"/>
        </w:types>
        <w:behaviors>
          <w:behavior w:val="content"/>
        </w:behaviors>
        <w:guid w:val="{64030705-31C5-7C48-8DF9-0BABE3E03ED6}"/>
      </w:docPartPr>
      <w:docPartBody>
        <w:p w:rsidR="003A02EE" w:rsidRDefault="00F71256" w:rsidP="00F71256">
          <w:pPr>
            <w:pStyle w:val="C4BF2BD8AA6CBD41944B6E1DE9F48D9E"/>
          </w:pPr>
          <w:r w:rsidRPr="002D7AD6">
            <w:rPr>
              <w:rStyle w:val="PlaceholderText"/>
            </w:rPr>
            <w:t>Click or tap here to enter text.</w:t>
          </w:r>
        </w:p>
      </w:docPartBody>
    </w:docPart>
    <w:docPart>
      <w:docPartPr>
        <w:name w:val="007B819853C2EC40B863A95A73D7844F"/>
        <w:category>
          <w:name w:val="General"/>
          <w:gallery w:val="placeholder"/>
        </w:category>
        <w:types>
          <w:type w:val="bbPlcHdr"/>
        </w:types>
        <w:behaviors>
          <w:behavior w:val="content"/>
        </w:behaviors>
        <w:guid w:val="{359D8E26-CA4F-F848-A1E5-EB3F8EE664F5}"/>
      </w:docPartPr>
      <w:docPartBody>
        <w:p w:rsidR="003A02EE" w:rsidRDefault="00F71256" w:rsidP="00F71256">
          <w:pPr>
            <w:pStyle w:val="007B819853C2EC40B863A95A73D7844F"/>
          </w:pPr>
          <w:r w:rsidRPr="002D7AD6">
            <w:rPr>
              <w:rStyle w:val="PlaceholderText"/>
            </w:rPr>
            <w:t>Click or tap here to enter text.</w:t>
          </w:r>
        </w:p>
      </w:docPartBody>
    </w:docPart>
    <w:docPart>
      <w:docPartPr>
        <w:name w:val="0891849A4790B340B8760E3A70F753EA"/>
        <w:category>
          <w:name w:val="General"/>
          <w:gallery w:val="placeholder"/>
        </w:category>
        <w:types>
          <w:type w:val="bbPlcHdr"/>
        </w:types>
        <w:behaviors>
          <w:behavior w:val="content"/>
        </w:behaviors>
        <w:guid w:val="{E032F2C9-0064-1540-9804-C1AD465C48A1}"/>
      </w:docPartPr>
      <w:docPartBody>
        <w:p w:rsidR="003A02EE" w:rsidRDefault="00F71256" w:rsidP="00F71256">
          <w:pPr>
            <w:pStyle w:val="0891849A4790B340B8760E3A70F753EA"/>
          </w:pPr>
          <w:r w:rsidRPr="002D7AD6">
            <w:rPr>
              <w:rStyle w:val="PlaceholderText"/>
            </w:rPr>
            <w:t>Click or tap here to enter text.</w:t>
          </w:r>
        </w:p>
      </w:docPartBody>
    </w:docPart>
    <w:docPart>
      <w:docPartPr>
        <w:name w:val="BED181A93196A64E928139BE88A08185"/>
        <w:category>
          <w:name w:val="General"/>
          <w:gallery w:val="placeholder"/>
        </w:category>
        <w:types>
          <w:type w:val="bbPlcHdr"/>
        </w:types>
        <w:behaviors>
          <w:behavior w:val="content"/>
        </w:behaviors>
        <w:guid w:val="{C20C67ED-D58B-5343-A113-0C99A036C061}"/>
      </w:docPartPr>
      <w:docPartBody>
        <w:p w:rsidR="003A02EE" w:rsidRDefault="00F71256" w:rsidP="00F71256">
          <w:pPr>
            <w:pStyle w:val="BED181A93196A64E928139BE88A08185"/>
          </w:pPr>
          <w:r w:rsidRPr="002D7AD6">
            <w:rPr>
              <w:rStyle w:val="PlaceholderText"/>
            </w:rPr>
            <w:t>Click or tap here to enter text.</w:t>
          </w:r>
        </w:p>
      </w:docPartBody>
    </w:docPart>
    <w:docPart>
      <w:docPartPr>
        <w:name w:val="CC92B3F1F42A9F4B9EC75BFEC94F0939"/>
        <w:category>
          <w:name w:val="General"/>
          <w:gallery w:val="placeholder"/>
        </w:category>
        <w:types>
          <w:type w:val="bbPlcHdr"/>
        </w:types>
        <w:behaviors>
          <w:behavior w:val="content"/>
        </w:behaviors>
        <w:guid w:val="{21A93CE5-6F37-064A-9C15-A13825566FF8}"/>
      </w:docPartPr>
      <w:docPartBody>
        <w:p w:rsidR="003A02EE" w:rsidRDefault="00F71256" w:rsidP="00F71256">
          <w:pPr>
            <w:pStyle w:val="CC92B3F1F42A9F4B9EC75BFEC94F0939"/>
          </w:pPr>
          <w:r w:rsidRPr="002D7AD6">
            <w:rPr>
              <w:rStyle w:val="PlaceholderText"/>
            </w:rPr>
            <w:t>Click or tap here to enter text.</w:t>
          </w:r>
        </w:p>
      </w:docPartBody>
    </w:docPart>
    <w:docPart>
      <w:docPartPr>
        <w:name w:val="9610EFE1C76DEE4C8164C03D6F7E3110"/>
        <w:category>
          <w:name w:val="General"/>
          <w:gallery w:val="placeholder"/>
        </w:category>
        <w:types>
          <w:type w:val="bbPlcHdr"/>
        </w:types>
        <w:behaviors>
          <w:behavior w:val="content"/>
        </w:behaviors>
        <w:guid w:val="{60F17990-24F6-294E-A9B2-C5800707A95D}"/>
      </w:docPartPr>
      <w:docPartBody>
        <w:p w:rsidR="003A02EE" w:rsidRDefault="00F71256" w:rsidP="00F71256">
          <w:pPr>
            <w:pStyle w:val="9610EFE1C76DEE4C8164C03D6F7E3110"/>
          </w:pPr>
          <w:r w:rsidRPr="002D7AD6">
            <w:rPr>
              <w:rStyle w:val="PlaceholderText"/>
            </w:rPr>
            <w:t>Click or tap here to enter text.</w:t>
          </w:r>
        </w:p>
      </w:docPartBody>
    </w:docPart>
    <w:docPart>
      <w:docPartPr>
        <w:name w:val="D116837E37487E408433BA5B0B91A233"/>
        <w:category>
          <w:name w:val="General"/>
          <w:gallery w:val="placeholder"/>
        </w:category>
        <w:types>
          <w:type w:val="bbPlcHdr"/>
        </w:types>
        <w:behaviors>
          <w:behavior w:val="content"/>
        </w:behaviors>
        <w:guid w:val="{97FCC6DB-D8D7-3448-B355-8959069629FF}"/>
      </w:docPartPr>
      <w:docPartBody>
        <w:p w:rsidR="003A02EE" w:rsidRDefault="00F71256" w:rsidP="00F71256">
          <w:pPr>
            <w:pStyle w:val="D116837E37487E408433BA5B0B91A233"/>
          </w:pPr>
          <w:r w:rsidRPr="002D7AD6">
            <w:rPr>
              <w:rStyle w:val="PlaceholderText"/>
            </w:rPr>
            <w:t>Click or tap here to enter text.</w:t>
          </w:r>
        </w:p>
      </w:docPartBody>
    </w:docPart>
    <w:docPart>
      <w:docPartPr>
        <w:name w:val="F04D110658D46A42B3F29FEED74EE13D"/>
        <w:category>
          <w:name w:val="General"/>
          <w:gallery w:val="placeholder"/>
        </w:category>
        <w:types>
          <w:type w:val="bbPlcHdr"/>
        </w:types>
        <w:behaviors>
          <w:behavior w:val="content"/>
        </w:behaviors>
        <w:guid w:val="{FBABF70A-8DB7-3049-9768-5D8FAB7AE862}"/>
      </w:docPartPr>
      <w:docPartBody>
        <w:p w:rsidR="003A02EE" w:rsidRDefault="00F71256" w:rsidP="00F71256">
          <w:pPr>
            <w:pStyle w:val="F04D110658D46A42B3F29FEED74EE13D"/>
          </w:pPr>
          <w:r w:rsidRPr="002D7AD6">
            <w:rPr>
              <w:rStyle w:val="PlaceholderText"/>
            </w:rPr>
            <w:t>Click or tap here to enter text.</w:t>
          </w:r>
        </w:p>
      </w:docPartBody>
    </w:docPart>
    <w:docPart>
      <w:docPartPr>
        <w:name w:val="5239357EB5736545815BBA4210CE2F55"/>
        <w:category>
          <w:name w:val="General"/>
          <w:gallery w:val="placeholder"/>
        </w:category>
        <w:types>
          <w:type w:val="bbPlcHdr"/>
        </w:types>
        <w:behaviors>
          <w:behavior w:val="content"/>
        </w:behaviors>
        <w:guid w:val="{01C91715-5CF1-1A40-B69D-1E36DFB8D8E1}"/>
      </w:docPartPr>
      <w:docPartBody>
        <w:p w:rsidR="003A02EE" w:rsidRDefault="00F71256" w:rsidP="00F71256">
          <w:pPr>
            <w:pStyle w:val="5239357EB5736545815BBA4210CE2F55"/>
          </w:pPr>
          <w:r w:rsidRPr="00B96D6B">
            <w:rPr>
              <w:rStyle w:val="PlaceholderText"/>
            </w:rPr>
            <w:t>Click or tap here to enter text.</w:t>
          </w:r>
        </w:p>
      </w:docPartBody>
    </w:docPart>
    <w:docPart>
      <w:docPartPr>
        <w:name w:val="6993230D1B3F7F4CA327AFA4ACDD7239"/>
        <w:category>
          <w:name w:val="General"/>
          <w:gallery w:val="placeholder"/>
        </w:category>
        <w:types>
          <w:type w:val="bbPlcHdr"/>
        </w:types>
        <w:behaviors>
          <w:behavior w:val="content"/>
        </w:behaviors>
        <w:guid w:val="{B51461A0-C932-8245-8799-D01A4870EE0A}"/>
      </w:docPartPr>
      <w:docPartBody>
        <w:p w:rsidR="003A02EE" w:rsidRDefault="00F71256" w:rsidP="00F71256">
          <w:pPr>
            <w:pStyle w:val="6993230D1B3F7F4CA327AFA4ACDD7239"/>
          </w:pPr>
          <w:r w:rsidRPr="00B96D6B">
            <w:rPr>
              <w:rStyle w:val="PlaceholderText"/>
            </w:rPr>
            <w:t>Click or tap here to enter text.</w:t>
          </w:r>
        </w:p>
      </w:docPartBody>
    </w:docPart>
    <w:docPart>
      <w:docPartPr>
        <w:name w:val="B7A71AD9DC2AEB49A6DFEA7069171B5A"/>
        <w:category>
          <w:name w:val="General"/>
          <w:gallery w:val="placeholder"/>
        </w:category>
        <w:types>
          <w:type w:val="bbPlcHdr"/>
        </w:types>
        <w:behaviors>
          <w:behavior w:val="content"/>
        </w:behaviors>
        <w:guid w:val="{729D56FF-98BA-F84F-9B9A-98A140645C69}"/>
      </w:docPartPr>
      <w:docPartBody>
        <w:p w:rsidR="003A02EE" w:rsidRDefault="00F71256" w:rsidP="00F71256">
          <w:pPr>
            <w:pStyle w:val="B7A71AD9DC2AEB49A6DFEA7069171B5A"/>
          </w:pPr>
          <w:r w:rsidRPr="00B96D6B">
            <w:rPr>
              <w:rStyle w:val="PlaceholderText"/>
            </w:rPr>
            <w:t>Click or tap here to enter text.</w:t>
          </w:r>
        </w:p>
      </w:docPartBody>
    </w:docPart>
    <w:docPart>
      <w:docPartPr>
        <w:name w:val="F3E5DAF58A9B6C48A032C95A449B466A"/>
        <w:category>
          <w:name w:val="General"/>
          <w:gallery w:val="placeholder"/>
        </w:category>
        <w:types>
          <w:type w:val="bbPlcHdr"/>
        </w:types>
        <w:behaviors>
          <w:behavior w:val="content"/>
        </w:behaviors>
        <w:guid w:val="{A596E20B-EF90-D24D-8C1F-2DF0497D81F5}"/>
      </w:docPartPr>
      <w:docPartBody>
        <w:p w:rsidR="003A02EE" w:rsidRDefault="00F71256" w:rsidP="00F71256">
          <w:pPr>
            <w:pStyle w:val="F3E5DAF58A9B6C48A032C95A449B466A"/>
          </w:pPr>
          <w:r w:rsidRPr="001A2C39">
            <w:rPr>
              <w:rStyle w:val="PlaceholderText"/>
            </w:rPr>
            <w:t>Click or tap here to enter text.</w:t>
          </w:r>
        </w:p>
      </w:docPartBody>
    </w:docPart>
    <w:docPart>
      <w:docPartPr>
        <w:name w:val="B184BA98A7FEA241AECE0B90580BD794"/>
        <w:category>
          <w:name w:val="General"/>
          <w:gallery w:val="placeholder"/>
        </w:category>
        <w:types>
          <w:type w:val="bbPlcHdr"/>
        </w:types>
        <w:behaviors>
          <w:behavior w:val="content"/>
        </w:behaviors>
        <w:guid w:val="{66E5AF8B-90E7-7047-94C7-B9936E3BBE15}"/>
      </w:docPartPr>
      <w:docPartBody>
        <w:p w:rsidR="003A02EE" w:rsidRDefault="00F71256" w:rsidP="00F71256">
          <w:pPr>
            <w:pStyle w:val="B184BA98A7FEA241AECE0B90580BD794"/>
          </w:pPr>
          <w:r w:rsidRPr="003779DB">
            <w:rPr>
              <w:rStyle w:val="PlaceholderText"/>
            </w:rPr>
            <w:t>Click or tap here to enter text.</w:t>
          </w:r>
        </w:p>
      </w:docPartBody>
    </w:docPart>
    <w:docPart>
      <w:docPartPr>
        <w:name w:val="A1BD4A1185242E4A84CFBE65FCBBF3C6"/>
        <w:category>
          <w:name w:val="General"/>
          <w:gallery w:val="placeholder"/>
        </w:category>
        <w:types>
          <w:type w:val="bbPlcHdr"/>
        </w:types>
        <w:behaviors>
          <w:behavior w:val="content"/>
        </w:behaviors>
        <w:guid w:val="{01531019-9581-5B4F-BF05-FB8FDC96AC31}"/>
      </w:docPartPr>
      <w:docPartBody>
        <w:p w:rsidR="003A02EE" w:rsidRDefault="00F71256" w:rsidP="00F71256">
          <w:pPr>
            <w:pStyle w:val="A1BD4A1185242E4A84CFBE65FCBBF3C6"/>
          </w:pPr>
          <w:r w:rsidRPr="003779DB">
            <w:rPr>
              <w:rStyle w:val="PlaceholderText"/>
            </w:rPr>
            <w:t>Click or tap here to enter text.</w:t>
          </w:r>
        </w:p>
      </w:docPartBody>
    </w:docPart>
    <w:docPart>
      <w:docPartPr>
        <w:name w:val="D29A95A90AF7EB4DA28F5B0D98583A68"/>
        <w:category>
          <w:name w:val="General"/>
          <w:gallery w:val="placeholder"/>
        </w:category>
        <w:types>
          <w:type w:val="bbPlcHdr"/>
        </w:types>
        <w:behaviors>
          <w:behavior w:val="content"/>
        </w:behaviors>
        <w:guid w:val="{51C944F5-6C26-9645-9539-DCA40117040F}"/>
      </w:docPartPr>
      <w:docPartBody>
        <w:p w:rsidR="003A02EE" w:rsidRDefault="00F71256" w:rsidP="00F71256">
          <w:pPr>
            <w:pStyle w:val="D29A95A90AF7EB4DA28F5B0D98583A68"/>
          </w:pPr>
          <w:r w:rsidRPr="00F43064">
            <w:rPr>
              <w:rStyle w:val="PlaceholderText"/>
            </w:rPr>
            <w:t>Click or tap here to enter text.</w:t>
          </w:r>
        </w:p>
      </w:docPartBody>
    </w:docPart>
    <w:docPart>
      <w:docPartPr>
        <w:name w:val="75B30E075EAC1242AA3E5FB4EE8FD5B0"/>
        <w:category>
          <w:name w:val="General"/>
          <w:gallery w:val="placeholder"/>
        </w:category>
        <w:types>
          <w:type w:val="bbPlcHdr"/>
        </w:types>
        <w:behaviors>
          <w:behavior w:val="content"/>
        </w:behaviors>
        <w:guid w:val="{26806BB4-191D-DF49-8C1D-E51540E52284}"/>
      </w:docPartPr>
      <w:docPartBody>
        <w:p w:rsidR="003A02EE" w:rsidRDefault="00F71256" w:rsidP="00F71256">
          <w:pPr>
            <w:pStyle w:val="75B30E075EAC1242AA3E5FB4EE8FD5B0"/>
          </w:pPr>
          <w:r w:rsidRPr="00F43064">
            <w:rPr>
              <w:rStyle w:val="PlaceholderText"/>
            </w:rPr>
            <w:t>Click or tap here to enter text.</w:t>
          </w:r>
        </w:p>
      </w:docPartBody>
    </w:docPart>
    <w:docPart>
      <w:docPartPr>
        <w:name w:val="2EC25C77E39E5A4A94DFBCA2C8143088"/>
        <w:category>
          <w:name w:val="General"/>
          <w:gallery w:val="placeholder"/>
        </w:category>
        <w:types>
          <w:type w:val="bbPlcHdr"/>
        </w:types>
        <w:behaviors>
          <w:behavior w:val="content"/>
        </w:behaviors>
        <w:guid w:val="{AE7C2807-2DA6-6C46-8687-928399F98AF4}"/>
      </w:docPartPr>
      <w:docPartBody>
        <w:p w:rsidR="003A02EE" w:rsidRDefault="00F71256" w:rsidP="00F71256">
          <w:pPr>
            <w:pStyle w:val="2EC25C77E39E5A4A94DFBCA2C8143088"/>
          </w:pPr>
          <w:r w:rsidRPr="00F43064">
            <w:rPr>
              <w:rStyle w:val="PlaceholderText"/>
            </w:rPr>
            <w:t>Click or tap here to enter text.</w:t>
          </w:r>
        </w:p>
      </w:docPartBody>
    </w:docPart>
    <w:docPart>
      <w:docPartPr>
        <w:name w:val="62496DAB67582A4EBD42E89A63EE83EB"/>
        <w:category>
          <w:name w:val="General"/>
          <w:gallery w:val="placeholder"/>
        </w:category>
        <w:types>
          <w:type w:val="bbPlcHdr"/>
        </w:types>
        <w:behaviors>
          <w:behavior w:val="content"/>
        </w:behaviors>
        <w:guid w:val="{D65EF36C-934E-0E43-BBAF-B14D95A52A70}"/>
      </w:docPartPr>
      <w:docPartBody>
        <w:p w:rsidR="003A02EE" w:rsidRDefault="00F71256" w:rsidP="00F71256">
          <w:pPr>
            <w:pStyle w:val="62496DAB67582A4EBD42E89A63EE83EB"/>
          </w:pPr>
          <w:r w:rsidRPr="00F43064">
            <w:rPr>
              <w:rStyle w:val="PlaceholderText"/>
            </w:rPr>
            <w:t>Click or tap here to enter text.</w:t>
          </w:r>
        </w:p>
      </w:docPartBody>
    </w:docPart>
    <w:docPart>
      <w:docPartPr>
        <w:name w:val="46DAC3EAFB33B743A0B304B80B7C7523"/>
        <w:category>
          <w:name w:val="General"/>
          <w:gallery w:val="placeholder"/>
        </w:category>
        <w:types>
          <w:type w:val="bbPlcHdr"/>
        </w:types>
        <w:behaviors>
          <w:behavior w:val="content"/>
        </w:behaviors>
        <w:guid w:val="{5BC67117-9393-D140-8C1B-B1C29900708E}"/>
      </w:docPartPr>
      <w:docPartBody>
        <w:p w:rsidR="003A02EE" w:rsidRDefault="00F71256" w:rsidP="00F71256">
          <w:pPr>
            <w:pStyle w:val="46DAC3EAFB33B743A0B304B80B7C7523"/>
          </w:pPr>
          <w:r w:rsidRPr="00F43064">
            <w:rPr>
              <w:rStyle w:val="PlaceholderText"/>
            </w:rPr>
            <w:t>Click or tap here to enter text.</w:t>
          </w:r>
        </w:p>
      </w:docPartBody>
    </w:docPart>
    <w:docPart>
      <w:docPartPr>
        <w:name w:val="954CCEEA371C064598877EBBD6DB0E91"/>
        <w:category>
          <w:name w:val="General"/>
          <w:gallery w:val="placeholder"/>
        </w:category>
        <w:types>
          <w:type w:val="bbPlcHdr"/>
        </w:types>
        <w:behaviors>
          <w:behavior w:val="content"/>
        </w:behaviors>
        <w:guid w:val="{4E8B69F8-0714-AB48-B24C-48AF040852C3}"/>
      </w:docPartPr>
      <w:docPartBody>
        <w:p w:rsidR="003A02EE" w:rsidRDefault="00F71256" w:rsidP="00F71256">
          <w:pPr>
            <w:pStyle w:val="954CCEEA371C064598877EBBD6DB0E91"/>
          </w:pPr>
          <w:r w:rsidRPr="00E32090">
            <w:rPr>
              <w:rStyle w:val="PlaceholderText"/>
            </w:rPr>
            <w:t>Click or tap here to enter text.</w:t>
          </w:r>
        </w:p>
      </w:docPartBody>
    </w:docPart>
    <w:docPart>
      <w:docPartPr>
        <w:name w:val="D8514824C8D6F848930C1DC678B369A5"/>
        <w:category>
          <w:name w:val="General"/>
          <w:gallery w:val="placeholder"/>
        </w:category>
        <w:types>
          <w:type w:val="bbPlcHdr"/>
        </w:types>
        <w:behaviors>
          <w:behavior w:val="content"/>
        </w:behaviors>
        <w:guid w:val="{5BCFF71C-8AB5-FD48-8C82-606D59A0F46B}"/>
      </w:docPartPr>
      <w:docPartBody>
        <w:p w:rsidR="003A02EE" w:rsidRDefault="00F71256" w:rsidP="00F71256">
          <w:pPr>
            <w:pStyle w:val="D8514824C8D6F848930C1DC678B369A5"/>
          </w:pPr>
          <w:r w:rsidRPr="003378A2">
            <w:rPr>
              <w:rStyle w:val="PlaceholderText"/>
            </w:rPr>
            <w:t>Click or tap here to enter text.</w:t>
          </w:r>
        </w:p>
      </w:docPartBody>
    </w:docPart>
    <w:docPart>
      <w:docPartPr>
        <w:name w:val="855EA40644413F46BBACCEADF7B0A2AD"/>
        <w:category>
          <w:name w:val="General"/>
          <w:gallery w:val="placeholder"/>
        </w:category>
        <w:types>
          <w:type w:val="bbPlcHdr"/>
        </w:types>
        <w:behaviors>
          <w:behavior w:val="content"/>
        </w:behaviors>
        <w:guid w:val="{FBEB7B66-01FF-BA41-9BF9-E472692CF91B}"/>
      </w:docPartPr>
      <w:docPartBody>
        <w:p w:rsidR="003A02EE" w:rsidRDefault="00F71256" w:rsidP="00F71256">
          <w:pPr>
            <w:pStyle w:val="855EA40644413F46BBACCEADF7B0A2AD"/>
          </w:pPr>
          <w:r w:rsidRPr="00E32090">
            <w:rPr>
              <w:rStyle w:val="PlaceholderText"/>
            </w:rPr>
            <w:t>Click or tap here to enter text.</w:t>
          </w:r>
        </w:p>
      </w:docPartBody>
    </w:docPart>
    <w:docPart>
      <w:docPartPr>
        <w:name w:val="96FBA1FBDBACBA428EB68F5BFB545A5E"/>
        <w:category>
          <w:name w:val="General"/>
          <w:gallery w:val="placeholder"/>
        </w:category>
        <w:types>
          <w:type w:val="bbPlcHdr"/>
        </w:types>
        <w:behaviors>
          <w:behavior w:val="content"/>
        </w:behaviors>
        <w:guid w:val="{421B629B-07E6-1E4A-B8EB-677BEB0269BB}"/>
      </w:docPartPr>
      <w:docPartBody>
        <w:p w:rsidR="003A02EE" w:rsidRDefault="00F71256" w:rsidP="00F71256">
          <w:pPr>
            <w:pStyle w:val="96FBA1FBDBACBA428EB68F5BFB545A5E"/>
          </w:pPr>
          <w:r w:rsidRPr="00E3209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904"/>
    <w:rsid w:val="00025167"/>
    <w:rsid w:val="0006003F"/>
    <w:rsid w:val="000637D0"/>
    <w:rsid w:val="000859D9"/>
    <w:rsid w:val="00086C76"/>
    <w:rsid w:val="000A47BF"/>
    <w:rsid w:val="000C525E"/>
    <w:rsid w:val="000E68C9"/>
    <w:rsid w:val="001174C6"/>
    <w:rsid w:val="00130904"/>
    <w:rsid w:val="001E035F"/>
    <w:rsid w:val="001E6185"/>
    <w:rsid w:val="00211940"/>
    <w:rsid w:val="0028725F"/>
    <w:rsid w:val="002C574F"/>
    <w:rsid w:val="002D1EBE"/>
    <w:rsid w:val="003302AE"/>
    <w:rsid w:val="003327B5"/>
    <w:rsid w:val="003A02EE"/>
    <w:rsid w:val="003D190E"/>
    <w:rsid w:val="003F3A5C"/>
    <w:rsid w:val="00413541"/>
    <w:rsid w:val="00445140"/>
    <w:rsid w:val="004852E1"/>
    <w:rsid w:val="004B4048"/>
    <w:rsid w:val="00596614"/>
    <w:rsid w:val="005B219D"/>
    <w:rsid w:val="00615F6C"/>
    <w:rsid w:val="00634DB1"/>
    <w:rsid w:val="00644317"/>
    <w:rsid w:val="006C56D9"/>
    <w:rsid w:val="0070235A"/>
    <w:rsid w:val="0071568D"/>
    <w:rsid w:val="00785750"/>
    <w:rsid w:val="007E0076"/>
    <w:rsid w:val="008055CC"/>
    <w:rsid w:val="00814115"/>
    <w:rsid w:val="009115FF"/>
    <w:rsid w:val="0095648A"/>
    <w:rsid w:val="00A17999"/>
    <w:rsid w:val="00A76A91"/>
    <w:rsid w:val="00A87CAD"/>
    <w:rsid w:val="00AB2E26"/>
    <w:rsid w:val="00AE2E50"/>
    <w:rsid w:val="00B41130"/>
    <w:rsid w:val="00B75089"/>
    <w:rsid w:val="00B8076B"/>
    <w:rsid w:val="00BD2F6A"/>
    <w:rsid w:val="00C045CD"/>
    <w:rsid w:val="00C17E3A"/>
    <w:rsid w:val="00C7600E"/>
    <w:rsid w:val="00CD18E6"/>
    <w:rsid w:val="00D114E9"/>
    <w:rsid w:val="00D129B0"/>
    <w:rsid w:val="00D42749"/>
    <w:rsid w:val="00D45D58"/>
    <w:rsid w:val="00D573FF"/>
    <w:rsid w:val="00D72922"/>
    <w:rsid w:val="00D8118B"/>
    <w:rsid w:val="00D955FD"/>
    <w:rsid w:val="00E45CC2"/>
    <w:rsid w:val="00E64DC8"/>
    <w:rsid w:val="00E75276"/>
    <w:rsid w:val="00F12C19"/>
    <w:rsid w:val="00F525A0"/>
    <w:rsid w:val="00F71256"/>
    <w:rsid w:val="00F979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1256"/>
    <w:rPr>
      <w:color w:val="808080"/>
    </w:rPr>
  </w:style>
  <w:style w:type="paragraph" w:customStyle="1" w:styleId="91E4FD86CE35426F88A7087D016C58DC">
    <w:name w:val="91E4FD86CE35426F88A7087D016C58DC"/>
    <w:rsid w:val="00D42749"/>
  </w:style>
  <w:style w:type="paragraph" w:customStyle="1" w:styleId="AFCB6F2CBB244928B8CD5211F2DD417B">
    <w:name w:val="AFCB6F2CBB244928B8CD5211F2DD417B"/>
    <w:rsid w:val="00D42749"/>
  </w:style>
  <w:style w:type="paragraph" w:customStyle="1" w:styleId="1B3FE7BD531F421C914E3C5551B65B3B">
    <w:name w:val="1B3FE7BD531F421C914E3C5551B65B3B"/>
    <w:rsid w:val="00D42749"/>
  </w:style>
  <w:style w:type="paragraph" w:customStyle="1" w:styleId="1AB32AB2DC0A4A71892EAEDB2E7FF0E1">
    <w:name w:val="1AB32AB2DC0A4A71892EAEDB2E7FF0E1"/>
    <w:rsid w:val="00D42749"/>
  </w:style>
  <w:style w:type="paragraph" w:customStyle="1" w:styleId="0854A41F3A464BB4A4C0AA3E687EAE02">
    <w:name w:val="0854A41F3A464BB4A4C0AA3E687EAE02"/>
    <w:rsid w:val="00D42749"/>
  </w:style>
  <w:style w:type="paragraph" w:customStyle="1" w:styleId="9B879AF6899F4C9B9A6F3748217AA0E5">
    <w:name w:val="9B879AF6899F4C9B9A6F3748217AA0E5"/>
    <w:rsid w:val="00D42749"/>
  </w:style>
  <w:style w:type="paragraph" w:customStyle="1" w:styleId="11DED716EB1F44508AEEC277105350B4">
    <w:name w:val="11DED716EB1F44508AEEC277105350B4"/>
    <w:rsid w:val="00D42749"/>
  </w:style>
  <w:style w:type="paragraph" w:customStyle="1" w:styleId="46BD8FCE7E7A49628DBD6D52F4CA1C98">
    <w:name w:val="46BD8FCE7E7A49628DBD6D52F4CA1C98"/>
    <w:rsid w:val="00D42749"/>
  </w:style>
  <w:style w:type="paragraph" w:customStyle="1" w:styleId="947A05F854984B2380E985B9D3AFB3EB">
    <w:name w:val="947A05F854984B2380E985B9D3AFB3EB"/>
    <w:rsid w:val="00D42749"/>
  </w:style>
  <w:style w:type="paragraph" w:customStyle="1" w:styleId="2EAF30AEF44C41A6AB2F58B3CF3C3C85">
    <w:name w:val="2EAF30AEF44C41A6AB2F58B3CF3C3C85"/>
    <w:rsid w:val="00D42749"/>
  </w:style>
  <w:style w:type="paragraph" w:customStyle="1" w:styleId="E6E6AF17A8F94D2F849243A75294AA45">
    <w:name w:val="E6E6AF17A8F94D2F849243A75294AA45"/>
    <w:rsid w:val="00D42749"/>
  </w:style>
  <w:style w:type="paragraph" w:customStyle="1" w:styleId="B7C66969D8FA45798DE1590D161938CE">
    <w:name w:val="B7C66969D8FA45798DE1590D161938CE"/>
    <w:rsid w:val="00D42749"/>
  </w:style>
  <w:style w:type="paragraph" w:customStyle="1" w:styleId="AB8EB951D6594799B364F2AAE5B246E0">
    <w:name w:val="AB8EB951D6594799B364F2AAE5B246E0"/>
    <w:rsid w:val="00D42749"/>
  </w:style>
  <w:style w:type="paragraph" w:customStyle="1" w:styleId="FEDA858703184682A582DEEEA3BEA80D">
    <w:name w:val="FEDA858703184682A582DEEEA3BEA80D"/>
    <w:rsid w:val="00D42749"/>
  </w:style>
  <w:style w:type="paragraph" w:customStyle="1" w:styleId="34D7C50C8DC64C8597C7F89E297DE3C4">
    <w:name w:val="34D7C50C8DC64C8597C7F89E297DE3C4"/>
    <w:rsid w:val="00D42749"/>
  </w:style>
  <w:style w:type="paragraph" w:customStyle="1" w:styleId="B11D94936EFA4A5D89FF5BA3CC0EC95F">
    <w:name w:val="B11D94936EFA4A5D89FF5BA3CC0EC95F"/>
    <w:rsid w:val="00D42749"/>
  </w:style>
  <w:style w:type="paragraph" w:customStyle="1" w:styleId="AFB1364C681D41F8B1B2A440640ABE7E">
    <w:name w:val="AFB1364C681D41F8B1B2A440640ABE7E"/>
    <w:rsid w:val="00D42749"/>
  </w:style>
  <w:style w:type="paragraph" w:customStyle="1" w:styleId="3371C3A8D58848B49B182581F4B4420E">
    <w:name w:val="3371C3A8D58848B49B182581F4B4420E"/>
    <w:rsid w:val="00D42749"/>
  </w:style>
  <w:style w:type="paragraph" w:customStyle="1" w:styleId="1DF9F766C627466F8D24F532B7FFC0FB">
    <w:name w:val="1DF9F766C627466F8D24F532B7FFC0FB"/>
    <w:rsid w:val="00D42749"/>
  </w:style>
  <w:style w:type="paragraph" w:customStyle="1" w:styleId="9482EBCF09D94C7B85E004E358629C8B">
    <w:name w:val="9482EBCF09D94C7B85E004E358629C8B"/>
    <w:rsid w:val="00D42749"/>
  </w:style>
  <w:style w:type="paragraph" w:customStyle="1" w:styleId="156C82B4EFCB4C9092C7EB016FE2E3BE">
    <w:name w:val="156C82B4EFCB4C9092C7EB016FE2E3BE"/>
    <w:rsid w:val="00D42749"/>
  </w:style>
  <w:style w:type="paragraph" w:customStyle="1" w:styleId="AA900629ADDB45D6A124B37EBFB76E44">
    <w:name w:val="AA900629ADDB45D6A124B37EBFB76E44"/>
    <w:rsid w:val="00D42749"/>
  </w:style>
  <w:style w:type="paragraph" w:customStyle="1" w:styleId="071E162ADF9C46688E108AE112B22125">
    <w:name w:val="071E162ADF9C46688E108AE112B22125"/>
    <w:rsid w:val="00D42749"/>
  </w:style>
  <w:style w:type="paragraph" w:customStyle="1" w:styleId="592F187AFD3E43D4A01B752ED8FBA655">
    <w:name w:val="592F187AFD3E43D4A01B752ED8FBA655"/>
    <w:rsid w:val="00D42749"/>
  </w:style>
  <w:style w:type="paragraph" w:customStyle="1" w:styleId="0AA1E9BED9024A12817B0B5A981288DA">
    <w:name w:val="0AA1E9BED9024A12817B0B5A981288DA"/>
    <w:rsid w:val="00D42749"/>
  </w:style>
  <w:style w:type="paragraph" w:customStyle="1" w:styleId="8220DD26112844E4AA682899740B4224">
    <w:name w:val="8220DD26112844E4AA682899740B4224"/>
    <w:rsid w:val="00D42749"/>
  </w:style>
  <w:style w:type="paragraph" w:customStyle="1" w:styleId="752B710825444E3CB1E88E293DDBC702">
    <w:name w:val="752B710825444E3CB1E88E293DDBC702"/>
    <w:rsid w:val="00D42749"/>
  </w:style>
  <w:style w:type="paragraph" w:customStyle="1" w:styleId="92A3C9CCD48C4670B881461BD0733695">
    <w:name w:val="92A3C9CCD48C4670B881461BD0733695"/>
    <w:rsid w:val="00D42749"/>
  </w:style>
  <w:style w:type="paragraph" w:customStyle="1" w:styleId="A990981ECEA44629943B29E4C7765880">
    <w:name w:val="A990981ECEA44629943B29E4C7765880"/>
    <w:rsid w:val="00D42749"/>
  </w:style>
  <w:style w:type="paragraph" w:customStyle="1" w:styleId="37BF34D14FE14A7A9162EE20AAC1293B">
    <w:name w:val="37BF34D14FE14A7A9162EE20AAC1293B"/>
    <w:rsid w:val="00D42749"/>
  </w:style>
  <w:style w:type="paragraph" w:customStyle="1" w:styleId="7F508E2377494D0A87814F5CF9CFFCAF">
    <w:name w:val="7F508E2377494D0A87814F5CF9CFFCAF"/>
    <w:rsid w:val="00D42749"/>
  </w:style>
  <w:style w:type="paragraph" w:customStyle="1" w:styleId="9AB0E83F149A42BDB246C94218252866">
    <w:name w:val="9AB0E83F149A42BDB246C94218252866"/>
    <w:rsid w:val="00D42749"/>
  </w:style>
  <w:style w:type="paragraph" w:customStyle="1" w:styleId="CE435B4FF6A64A59915554F77D73A3AC">
    <w:name w:val="CE435B4FF6A64A59915554F77D73A3AC"/>
    <w:rsid w:val="00D42749"/>
  </w:style>
  <w:style w:type="paragraph" w:customStyle="1" w:styleId="A43C9F2094FC4F4B901641382618B129">
    <w:name w:val="A43C9F2094FC4F4B901641382618B129"/>
    <w:rsid w:val="00D42749"/>
  </w:style>
  <w:style w:type="paragraph" w:customStyle="1" w:styleId="A1B342E9AF934BFE93D891005FD1483A">
    <w:name w:val="A1B342E9AF934BFE93D891005FD1483A"/>
    <w:rsid w:val="00D42749"/>
  </w:style>
  <w:style w:type="paragraph" w:customStyle="1" w:styleId="C86F7DF4E44A41A58416FDEDB5CA4BF3">
    <w:name w:val="C86F7DF4E44A41A58416FDEDB5CA4BF3"/>
    <w:rsid w:val="00D42749"/>
  </w:style>
  <w:style w:type="paragraph" w:customStyle="1" w:styleId="88A619402DFA4DFCBB32B0F51779181B">
    <w:name w:val="88A619402DFA4DFCBB32B0F51779181B"/>
    <w:rsid w:val="00D42749"/>
  </w:style>
  <w:style w:type="paragraph" w:customStyle="1" w:styleId="BB12735069934489AB3A3B84F2957BBC">
    <w:name w:val="BB12735069934489AB3A3B84F2957BBC"/>
    <w:rsid w:val="00D42749"/>
  </w:style>
  <w:style w:type="paragraph" w:customStyle="1" w:styleId="80C09ED0AB2A4A38B870FB4D4D20E6C6">
    <w:name w:val="80C09ED0AB2A4A38B870FB4D4D20E6C6"/>
    <w:rsid w:val="00D42749"/>
  </w:style>
  <w:style w:type="paragraph" w:customStyle="1" w:styleId="3F8D2D2710354B7FAE8D12E9E0C32B75">
    <w:name w:val="3F8D2D2710354B7FAE8D12E9E0C32B75"/>
    <w:rsid w:val="00D42749"/>
  </w:style>
  <w:style w:type="paragraph" w:customStyle="1" w:styleId="2CB06BADD1FC4CEF878A1CC4F839D864">
    <w:name w:val="2CB06BADD1FC4CEF878A1CC4F839D864"/>
    <w:rsid w:val="00D42749"/>
  </w:style>
  <w:style w:type="paragraph" w:customStyle="1" w:styleId="090A10A4C1434D01B2BEC4CD44FBF6C3">
    <w:name w:val="090A10A4C1434D01B2BEC4CD44FBF6C3"/>
    <w:rsid w:val="00D42749"/>
  </w:style>
  <w:style w:type="paragraph" w:customStyle="1" w:styleId="A139B623EC544516B110F9FA94343EDE">
    <w:name w:val="A139B623EC544516B110F9FA94343EDE"/>
    <w:rsid w:val="00D42749"/>
  </w:style>
  <w:style w:type="paragraph" w:customStyle="1" w:styleId="0082D9CA693E42BEB32F429FF978BB59">
    <w:name w:val="0082D9CA693E42BEB32F429FF978BB59"/>
    <w:rsid w:val="00D42749"/>
  </w:style>
  <w:style w:type="paragraph" w:customStyle="1" w:styleId="662E0CD877AE4271903191D9E1F0C21F">
    <w:name w:val="662E0CD877AE4271903191D9E1F0C21F"/>
    <w:rsid w:val="00D42749"/>
  </w:style>
  <w:style w:type="paragraph" w:customStyle="1" w:styleId="22CAC8B557BC45398B751388E859A05F">
    <w:name w:val="22CAC8B557BC45398B751388E859A05F"/>
    <w:rsid w:val="00D42749"/>
  </w:style>
  <w:style w:type="paragraph" w:customStyle="1" w:styleId="ADEF4C19B9C74D3D93D5507C292072E3">
    <w:name w:val="ADEF4C19B9C74D3D93D5507C292072E3"/>
    <w:rsid w:val="00D42749"/>
  </w:style>
  <w:style w:type="paragraph" w:customStyle="1" w:styleId="3598A33D782849A9B9798C0519D1668F">
    <w:name w:val="3598A33D782849A9B9798C0519D1668F"/>
    <w:rsid w:val="00D42749"/>
  </w:style>
  <w:style w:type="paragraph" w:customStyle="1" w:styleId="ADB6224DE09C4F68A208682CCACB9151">
    <w:name w:val="ADB6224DE09C4F68A208682CCACB9151"/>
    <w:rsid w:val="00D42749"/>
  </w:style>
  <w:style w:type="paragraph" w:customStyle="1" w:styleId="FAF04EF2D48E4EADBAFBF113F6BA0755">
    <w:name w:val="FAF04EF2D48E4EADBAFBF113F6BA0755"/>
    <w:rsid w:val="00D42749"/>
  </w:style>
  <w:style w:type="paragraph" w:customStyle="1" w:styleId="729B3148D10E4E788CFA6AEF1A113655">
    <w:name w:val="729B3148D10E4E788CFA6AEF1A113655"/>
    <w:rsid w:val="00D42749"/>
  </w:style>
  <w:style w:type="paragraph" w:customStyle="1" w:styleId="4C6D66621EA74D62BFB90F5EEC4B8B0C">
    <w:name w:val="4C6D66621EA74D62BFB90F5EEC4B8B0C"/>
    <w:rsid w:val="00D42749"/>
  </w:style>
  <w:style w:type="paragraph" w:customStyle="1" w:styleId="C2A6508E3229487798DFB313B0D6D993">
    <w:name w:val="C2A6508E3229487798DFB313B0D6D993"/>
    <w:rsid w:val="00D42749"/>
  </w:style>
  <w:style w:type="paragraph" w:customStyle="1" w:styleId="93A89838AC614A70A067E1E5C83C1A76">
    <w:name w:val="93A89838AC614A70A067E1E5C83C1A76"/>
    <w:rsid w:val="00D42749"/>
  </w:style>
  <w:style w:type="paragraph" w:customStyle="1" w:styleId="2D120502738644A68B0154077CEAB320">
    <w:name w:val="2D120502738644A68B0154077CEAB320"/>
    <w:rsid w:val="00D42749"/>
  </w:style>
  <w:style w:type="paragraph" w:customStyle="1" w:styleId="06BE0304B224451B904E96360E980757">
    <w:name w:val="06BE0304B224451B904E96360E980757"/>
    <w:rsid w:val="00D42749"/>
  </w:style>
  <w:style w:type="paragraph" w:customStyle="1" w:styleId="90E22020AC4542B4B77D475D4AEF508C">
    <w:name w:val="90E22020AC4542B4B77D475D4AEF508C"/>
    <w:rsid w:val="00D42749"/>
  </w:style>
  <w:style w:type="paragraph" w:customStyle="1" w:styleId="4ADB3018433A4A86872F9C417157071C">
    <w:name w:val="4ADB3018433A4A86872F9C417157071C"/>
    <w:rsid w:val="00D42749"/>
  </w:style>
  <w:style w:type="paragraph" w:customStyle="1" w:styleId="E6A065F7E6A6402E860164E1DF1271C1">
    <w:name w:val="E6A065F7E6A6402E860164E1DF1271C1"/>
    <w:rsid w:val="00D42749"/>
  </w:style>
  <w:style w:type="paragraph" w:customStyle="1" w:styleId="870EAFFAAE2B4500A56E0D4BA41747E2">
    <w:name w:val="870EAFFAAE2B4500A56E0D4BA41747E2"/>
    <w:rsid w:val="00D42749"/>
  </w:style>
  <w:style w:type="paragraph" w:customStyle="1" w:styleId="F89FA3EAEA32497F8EA1AF46E3960F1B">
    <w:name w:val="F89FA3EAEA32497F8EA1AF46E3960F1B"/>
    <w:rsid w:val="00D42749"/>
  </w:style>
  <w:style w:type="paragraph" w:customStyle="1" w:styleId="7D6BD838B09140DB95C76C4C62C5025F">
    <w:name w:val="7D6BD838B09140DB95C76C4C62C5025F"/>
    <w:rsid w:val="00D42749"/>
  </w:style>
  <w:style w:type="paragraph" w:customStyle="1" w:styleId="B1AD3CA9559B4D20A1D2C0B67E4DE5D0">
    <w:name w:val="B1AD3CA9559B4D20A1D2C0B67E4DE5D0"/>
    <w:rsid w:val="00D42749"/>
  </w:style>
  <w:style w:type="paragraph" w:customStyle="1" w:styleId="88454713319F4DE4B02AC5767196E743">
    <w:name w:val="88454713319F4DE4B02AC5767196E743"/>
    <w:rsid w:val="00D42749"/>
  </w:style>
  <w:style w:type="paragraph" w:customStyle="1" w:styleId="7F61A051B20C47B9A7F4730977DAF6DB">
    <w:name w:val="7F61A051B20C47B9A7F4730977DAF6DB"/>
    <w:rsid w:val="00D42749"/>
  </w:style>
  <w:style w:type="paragraph" w:customStyle="1" w:styleId="EDDA52105C3B40059962DDFD2B2A0533">
    <w:name w:val="EDDA52105C3B40059962DDFD2B2A0533"/>
    <w:rsid w:val="00D42749"/>
  </w:style>
  <w:style w:type="paragraph" w:customStyle="1" w:styleId="A73A6768760A4D6FAC064F875CEF1C6D">
    <w:name w:val="A73A6768760A4D6FAC064F875CEF1C6D"/>
    <w:rsid w:val="00D42749"/>
  </w:style>
  <w:style w:type="paragraph" w:customStyle="1" w:styleId="A0162F104AFD4099B02A6DB84C2D64BD">
    <w:name w:val="A0162F104AFD4099B02A6DB84C2D64BD"/>
    <w:rsid w:val="00D42749"/>
  </w:style>
  <w:style w:type="paragraph" w:customStyle="1" w:styleId="FEE79DBCE6DB4ECF8D1E71BA62DC2877">
    <w:name w:val="FEE79DBCE6DB4ECF8D1E71BA62DC2877"/>
    <w:rsid w:val="00D42749"/>
  </w:style>
  <w:style w:type="paragraph" w:customStyle="1" w:styleId="1A2525848BCC4DE7B92B0B94C48E934A">
    <w:name w:val="1A2525848BCC4DE7B92B0B94C48E934A"/>
    <w:rsid w:val="00D42749"/>
  </w:style>
  <w:style w:type="paragraph" w:customStyle="1" w:styleId="E6CC8F53038D4A9AAABAF91D456B42EB">
    <w:name w:val="E6CC8F53038D4A9AAABAF91D456B42EB"/>
    <w:rsid w:val="00D42749"/>
  </w:style>
  <w:style w:type="paragraph" w:customStyle="1" w:styleId="0D72E30BE8F441EF91366D2E3502DCA4">
    <w:name w:val="0D72E30BE8F441EF91366D2E3502DCA4"/>
    <w:rsid w:val="00D42749"/>
  </w:style>
  <w:style w:type="paragraph" w:customStyle="1" w:styleId="057F506C30584E52B2D899913C2A64E1">
    <w:name w:val="057F506C30584E52B2D899913C2A64E1"/>
    <w:rsid w:val="00D42749"/>
  </w:style>
  <w:style w:type="paragraph" w:customStyle="1" w:styleId="EA67E2A478364E0C993DF9E86B4CAC4E">
    <w:name w:val="EA67E2A478364E0C993DF9E86B4CAC4E"/>
    <w:rsid w:val="00D42749"/>
  </w:style>
  <w:style w:type="paragraph" w:customStyle="1" w:styleId="E33ADEFD23A04797A7BF91C59E6F6EA9">
    <w:name w:val="E33ADEFD23A04797A7BF91C59E6F6EA9"/>
    <w:rsid w:val="00D42749"/>
  </w:style>
  <w:style w:type="paragraph" w:customStyle="1" w:styleId="F67AF242786040CD8F523A2EA65EC051">
    <w:name w:val="F67AF242786040CD8F523A2EA65EC051"/>
    <w:rsid w:val="00D42749"/>
  </w:style>
  <w:style w:type="paragraph" w:customStyle="1" w:styleId="72625A6A4C4B4DB88B1FD21D0B9254C8">
    <w:name w:val="72625A6A4C4B4DB88B1FD21D0B9254C8"/>
    <w:rsid w:val="00D42749"/>
  </w:style>
  <w:style w:type="paragraph" w:customStyle="1" w:styleId="7EE9AB325D024241A8875B73C8DCF313">
    <w:name w:val="7EE9AB325D024241A8875B73C8DCF313"/>
    <w:rsid w:val="00D42749"/>
  </w:style>
  <w:style w:type="paragraph" w:customStyle="1" w:styleId="55C7381D6B2547FE9FD0449E271CEFD4">
    <w:name w:val="55C7381D6B2547FE9FD0449E271CEFD4"/>
    <w:rsid w:val="00D42749"/>
  </w:style>
  <w:style w:type="paragraph" w:customStyle="1" w:styleId="9DFDE43770904496AFDDFD5E3F89FE4B">
    <w:name w:val="9DFDE43770904496AFDDFD5E3F89FE4B"/>
    <w:rsid w:val="00D42749"/>
  </w:style>
  <w:style w:type="paragraph" w:customStyle="1" w:styleId="EB5D4069C3FA4995B6CD506EC0CFAFCB">
    <w:name w:val="EB5D4069C3FA4995B6CD506EC0CFAFCB"/>
    <w:rsid w:val="00D42749"/>
  </w:style>
  <w:style w:type="paragraph" w:customStyle="1" w:styleId="3FBEE87C2ACF41AAA6C799838CEAD50F">
    <w:name w:val="3FBEE87C2ACF41AAA6C799838CEAD50F"/>
    <w:rsid w:val="00D42749"/>
  </w:style>
  <w:style w:type="paragraph" w:customStyle="1" w:styleId="57E036E9106643DDBD1077F807A18EB4">
    <w:name w:val="57E036E9106643DDBD1077F807A18EB4"/>
    <w:rsid w:val="00D42749"/>
  </w:style>
  <w:style w:type="paragraph" w:customStyle="1" w:styleId="1AFBB611DEC44BB9A9E18B8FB8DBE852">
    <w:name w:val="1AFBB611DEC44BB9A9E18B8FB8DBE852"/>
    <w:rsid w:val="00D42749"/>
  </w:style>
  <w:style w:type="paragraph" w:customStyle="1" w:styleId="A3E939DF16EA47A08D79B68CC4DBA674">
    <w:name w:val="A3E939DF16EA47A08D79B68CC4DBA674"/>
    <w:rsid w:val="00D42749"/>
  </w:style>
  <w:style w:type="paragraph" w:customStyle="1" w:styleId="C226BBE7F1FF443E970DEB669469C6BB">
    <w:name w:val="C226BBE7F1FF443E970DEB669469C6BB"/>
    <w:rsid w:val="00D42749"/>
  </w:style>
  <w:style w:type="paragraph" w:customStyle="1" w:styleId="F6D002DCA3D04B7BB9AF4036A862D868">
    <w:name w:val="F6D002DCA3D04B7BB9AF4036A862D868"/>
    <w:rsid w:val="00D42749"/>
  </w:style>
  <w:style w:type="paragraph" w:customStyle="1" w:styleId="6E877B9BE428406BAEF2EFA934C54E8F">
    <w:name w:val="6E877B9BE428406BAEF2EFA934C54E8F"/>
    <w:rsid w:val="00D42749"/>
  </w:style>
  <w:style w:type="paragraph" w:customStyle="1" w:styleId="BF83C226CC9B481B93DC3812290CE76B">
    <w:name w:val="BF83C226CC9B481B93DC3812290CE76B"/>
    <w:rsid w:val="00D42749"/>
  </w:style>
  <w:style w:type="paragraph" w:customStyle="1" w:styleId="A6BE8F64A3364D81AD50324CD74C90EE">
    <w:name w:val="A6BE8F64A3364D81AD50324CD74C90EE"/>
    <w:rsid w:val="00D42749"/>
  </w:style>
  <w:style w:type="paragraph" w:customStyle="1" w:styleId="47711CDCD83E4969A392D3D9B822644B">
    <w:name w:val="47711CDCD83E4969A392D3D9B822644B"/>
    <w:rsid w:val="00D42749"/>
  </w:style>
  <w:style w:type="paragraph" w:customStyle="1" w:styleId="0D5B2A864B484645AB98B872BDC92CE2">
    <w:name w:val="0D5B2A864B484645AB98B872BDC92CE2"/>
    <w:rsid w:val="00D42749"/>
  </w:style>
  <w:style w:type="paragraph" w:customStyle="1" w:styleId="1C468A653C424DAB9D55C507F2EF04C8">
    <w:name w:val="1C468A653C424DAB9D55C507F2EF04C8"/>
    <w:rsid w:val="00D42749"/>
  </w:style>
  <w:style w:type="paragraph" w:customStyle="1" w:styleId="557E742691FF47E583884E1952A26A89">
    <w:name w:val="557E742691FF47E583884E1952A26A89"/>
    <w:rsid w:val="00D42749"/>
  </w:style>
  <w:style w:type="paragraph" w:customStyle="1" w:styleId="664DCFD9FD5E4FC99ABB097AE72DE459">
    <w:name w:val="664DCFD9FD5E4FC99ABB097AE72DE459"/>
    <w:rsid w:val="00D42749"/>
  </w:style>
  <w:style w:type="paragraph" w:customStyle="1" w:styleId="8FE07A01F52D47AF85CB14DD91BE5DCB">
    <w:name w:val="8FE07A01F52D47AF85CB14DD91BE5DCB"/>
    <w:rsid w:val="00D42749"/>
  </w:style>
  <w:style w:type="paragraph" w:customStyle="1" w:styleId="513D13F826DC4338994072FB0656B897">
    <w:name w:val="513D13F826DC4338994072FB0656B897"/>
    <w:rsid w:val="00D42749"/>
  </w:style>
  <w:style w:type="paragraph" w:customStyle="1" w:styleId="C70450D639554399A0E8E578DFB1139F">
    <w:name w:val="C70450D639554399A0E8E578DFB1139F"/>
    <w:rsid w:val="00D42749"/>
  </w:style>
  <w:style w:type="paragraph" w:customStyle="1" w:styleId="8179E32C220A43B9B2BB684338114BE7">
    <w:name w:val="8179E32C220A43B9B2BB684338114BE7"/>
    <w:rsid w:val="00D42749"/>
  </w:style>
  <w:style w:type="paragraph" w:customStyle="1" w:styleId="945F7A50E6E64ED086385E71C7E3297D">
    <w:name w:val="945F7A50E6E64ED086385E71C7E3297D"/>
    <w:rsid w:val="00D42749"/>
  </w:style>
  <w:style w:type="paragraph" w:customStyle="1" w:styleId="372038D0E23840099C659F21D4140B3B">
    <w:name w:val="372038D0E23840099C659F21D4140B3B"/>
    <w:rsid w:val="00D42749"/>
  </w:style>
  <w:style w:type="paragraph" w:customStyle="1" w:styleId="B49DC1B93F254BA681F788A2999BE55E">
    <w:name w:val="B49DC1B93F254BA681F788A2999BE55E"/>
    <w:rsid w:val="00D42749"/>
  </w:style>
  <w:style w:type="paragraph" w:customStyle="1" w:styleId="A89890DED42C4FAFA09DEBDD03F755A6">
    <w:name w:val="A89890DED42C4FAFA09DEBDD03F755A6"/>
    <w:rsid w:val="00D42749"/>
  </w:style>
  <w:style w:type="paragraph" w:customStyle="1" w:styleId="C707A59392DA490CB109859AF1C95859">
    <w:name w:val="C707A59392DA490CB109859AF1C95859"/>
    <w:rsid w:val="00D42749"/>
  </w:style>
  <w:style w:type="paragraph" w:customStyle="1" w:styleId="83283363D7B94AE79D4BEC586CD263FE">
    <w:name w:val="83283363D7B94AE79D4BEC586CD263FE"/>
    <w:rsid w:val="00D42749"/>
  </w:style>
  <w:style w:type="paragraph" w:customStyle="1" w:styleId="E74E5F9C2A8C469091D49A8C5724758B">
    <w:name w:val="E74E5F9C2A8C469091D49A8C5724758B"/>
    <w:rsid w:val="00D42749"/>
  </w:style>
  <w:style w:type="paragraph" w:customStyle="1" w:styleId="EB7B5B18569E4DCEA689B6BF0EA36B46">
    <w:name w:val="EB7B5B18569E4DCEA689B6BF0EA36B46"/>
    <w:rsid w:val="00D42749"/>
  </w:style>
  <w:style w:type="paragraph" w:customStyle="1" w:styleId="521A02E0E81D4D2C96FFB9B31BA85261">
    <w:name w:val="521A02E0E81D4D2C96FFB9B31BA85261"/>
    <w:rsid w:val="00D42749"/>
  </w:style>
  <w:style w:type="paragraph" w:customStyle="1" w:styleId="3FDB414333074DD9B640901BBE23B543">
    <w:name w:val="3FDB414333074DD9B640901BBE23B543"/>
    <w:rsid w:val="00D42749"/>
  </w:style>
  <w:style w:type="paragraph" w:customStyle="1" w:styleId="3CE2FB2A6ED34D3AA46FFEF9C2CE4A29">
    <w:name w:val="3CE2FB2A6ED34D3AA46FFEF9C2CE4A29"/>
    <w:rsid w:val="00D42749"/>
  </w:style>
  <w:style w:type="paragraph" w:customStyle="1" w:styleId="4D3192F8A22EAF4BB9D1788E7737DB17">
    <w:name w:val="4D3192F8A22EAF4BB9D1788E7737DB17"/>
    <w:rsid w:val="00F979E2"/>
    <w:pPr>
      <w:spacing w:after="0" w:line="240" w:lineRule="auto"/>
    </w:pPr>
    <w:rPr>
      <w:sz w:val="24"/>
      <w:szCs w:val="24"/>
    </w:rPr>
  </w:style>
  <w:style w:type="paragraph" w:customStyle="1" w:styleId="20BEAAFE486841B7A0FAE1AB9AD2768C">
    <w:name w:val="20BEAAFE486841B7A0FAE1AB9AD2768C"/>
    <w:rsid w:val="00211940"/>
  </w:style>
  <w:style w:type="paragraph" w:customStyle="1" w:styleId="86DB78860671B143A5DC679A6C3B4182">
    <w:name w:val="86DB78860671B143A5DC679A6C3B4182"/>
    <w:rsid w:val="00F71256"/>
    <w:pPr>
      <w:spacing w:after="0" w:line="240" w:lineRule="auto"/>
    </w:pPr>
    <w:rPr>
      <w:sz w:val="24"/>
      <w:szCs w:val="24"/>
    </w:rPr>
  </w:style>
  <w:style w:type="paragraph" w:customStyle="1" w:styleId="4A4CACD0B2E7A442AC7A1D796345AAE6">
    <w:name w:val="4A4CACD0B2E7A442AC7A1D796345AAE6"/>
    <w:rsid w:val="00F71256"/>
    <w:pPr>
      <w:spacing w:after="0" w:line="240" w:lineRule="auto"/>
    </w:pPr>
    <w:rPr>
      <w:sz w:val="24"/>
      <w:szCs w:val="24"/>
    </w:rPr>
  </w:style>
  <w:style w:type="paragraph" w:customStyle="1" w:styleId="75E8BEE73510DB4B8FF4552BDBAAE765">
    <w:name w:val="75E8BEE73510DB4B8FF4552BDBAAE765"/>
    <w:rsid w:val="00F71256"/>
    <w:pPr>
      <w:spacing w:after="0" w:line="240" w:lineRule="auto"/>
    </w:pPr>
    <w:rPr>
      <w:sz w:val="24"/>
      <w:szCs w:val="24"/>
    </w:rPr>
  </w:style>
  <w:style w:type="paragraph" w:customStyle="1" w:styleId="6FD96BC490F628459C566CC25067806A">
    <w:name w:val="6FD96BC490F628459C566CC25067806A"/>
    <w:rsid w:val="00F71256"/>
    <w:pPr>
      <w:spacing w:after="0" w:line="240" w:lineRule="auto"/>
    </w:pPr>
    <w:rPr>
      <w:sz w:val="24"/>
      <w:szCs w:val="24"/>
    </w:rPr>
  </w:style>
  <w:style w:type="paragraph" w:customStyle="1" w:styleId="170A79B9610FA548BD782D5946CEDE91">
    <w:name w:val="170A79B9610FA548BD782D5946CEDE91"/>
    <w:rsid w:val="00F71256"/>
    <w:pPr>
      <w:spacing w:after="0" w:line="240" w:lineRule="auto"/>
    </w:pPr>
    <w:rPr>
      <w:sz w:val="24"/>
      <w:szCs w:val="24"/>
    </w:rPr>
  </w:style>
  <w:style w:type="paragraph" w:customStyle="1" w:styleId="F9360FDCF9E9C444B81A4F8EC76866A7">
    <w:name w:val="F9360FDCF9E9C444B81A4F8EC76866A7"/>
    <w:rsid w:val="00F71256"/>
    <w:pPr>
      <w:spacing w:after="0" w:line="240" w:lineRule="auto"/>
    </w:pPr>
    <w:rPr>
      <w:sz w:val="24"/>
      <w:szCs w:val="24"/>
    </w:rPr>
  </w:style>
  <w:style w:type="paragraph" w:customStyle="1" w:styleId="70D0C41E41CA5C44B61BC36CC0F5E850">
    <w:name w:val="70D0C41E41CA5C44B61BC36CC0F5E850"/>
    <w:rsid w:val="00F71256"/>
    <w:pPr>
      <w:spacing w:after="0" w:line="240" w:lineRule="auto"/>
    </w:pPr>
    <w:rPr>
      <w:sz w:val="24"/>
      <w:szCs w:val="24"/>
    </w:rPr>
  </w:style>
  <w:style w:type="paragraph" w:customStyle="1" w:styleId="A8039FFC8F1E6545A0FBAEF31096B25F">
    <w:name w:val="A8039FFC8F1E6545A0FBAEF31096B25F"/>
    <w:rsid w:val="00F71256"/>
    <w:pPr>
      <w:spacing w:after="0" w:line="240" w:lineRule="auto"/>
    </w:pPr>
    <w:rPr>
      <w:sz w:val="24"/>
      <w:szCs w:val="24"/>
    </w:rPr>
  </w:style>
  <w:style w:type="paragraph" w:customStyle="1" w:styleId="189FC339502520458B42BE5906728C77">
    <w:name w:val="189FC339502520458B42BE5906728C77"/>
    <w:rsid w:val="00F71256"/>
    <w:pPr>
      <w:spacing w:after="0" w:line="240" w:lineRule="auto"/>
    </w:pPr>
    <w:rPr>
      <w:sz w:val="24"/>
      <w:szCs w:val="24"/>
    </w:rPr>
  </w:style>
  <w:style w:type="paragraph" w:customStyle="1" w:styleId="1DE326E5000AAA40A06EFE869C90546C">
    <w:name w:val="1DE326E5000AAA40A06EFE869C90546C"/>
    <w:rsid w:val="00F71256"/>
    <w:pPr>
      <w:spacing w:after="0" w:line="240" w:lineRule="auto"/>
    </w:pPr>
    <w:rPr>
      <w:sz w:val="24"/>
      <w:szCs w:val="24"/>
    </w:rPr>
  </w:style>
  <w:style w:type="paragraph" w:customStyle="1" w:styleId="EC469CF5016DD740A4F63043E437E0F5">
    <w:name w:val="EC469CF5016DD740A4F63043E437E0F5"/>
    <w:rsid w:val="00F71256"/>
    <w:pPr>
      <w:spacing w:after="0" w:line="240" w:lineRule="auto"/>
    </w:pPr>
    <w:rPr>
      <w:sz w:val="24"/>
      <w:szCs w:val="24"/>
    </w:rPr>
  </w:style>
  <w:style w:type="paragraph" w:customStyle="1" w:styleId="A77CFC017D463F4491C70286759F036F">
    <w:name w:val="A77CFC017D463F4491C70286759F036F"/>
    <w:rsid w:val="00F71256"/>
    <w:pPr>
      <w:spacing w:after="0" w:line="240" w:lineRule="auto"/>
    </w:pPr>
    <w:rPr>
      <w:sz w:val="24"/>
      <w:szCs w:val="24"/>
    </w:rPr>
  </w:style>
  <w:style w:type="paragraph" w:customStyle="1" w:styleId="F1A174669AD8334ABBC822AABA5447B8">
    <w:name w:val="F1A174669AD8334ABBC822AABA5447B8"/>
    <w:rsid w:val="00F71256"/>
    <w:pPr>
      <w:spacing w:after="0" w:line="240" w:lineRule="auto"/>
    </w:pPr>
    <w:rPr>
      <w:sz w:val="24"/>
      <w:szCs w:val="24"/>
    </w:rPr>
  </w:style>
  <w:style w:type="paragraph" w:customStyle="1" w:styleId="C4CD5BA984F4F94A80378D14CFAB0B71">
    <w:name w:val="C4CD5BA984F4F94A80378D14CFAB0B71"/>
    <w:rsid w:val="00F71256"/>
    <w:pPr>
      <w:spacing w:after="0" w:line="240" w:lineRule="auto"/>
    </w:pPr>
    <w:rPr>
      <w:sz w:val="24"/>
      <w:szCs w:val="24"/>
    </w:rPr>
  </w:style>
  <w:style w:type="paragraph" w:customStyle="1" w:styleId="9424CAA92A73464F862BAB90334D3C8A">
    <w:name w:val="9424CAA92A73464F862BAB90334D3C8A"/>
    <w:rsid w:val="00F71256"/>
    <w:pPr>
      <w:spacing w:after="0" w:line="240" w:lineRule="auto"/>
    </w:pPr>
    <w:rPr>
      <w:sz w:val="24"/>
      <w:szCs w:val="24"/>
    </w:rPr>
  </w:style>
  <w:style w:type="paragraph" w:customStyle="1" w:styleId="C2961DC6C39CA3409C8602289A63BB97">
    <w:name w:val="C2961DC6C39CA3409C8602289A63BB97"/>
    <w:rsid w:val="00F71256"/>
    <w:pPr>
      <w:spacing w:after="0" w:line="240" w:lineRule="auto"/>
    </w:pPr>
    <w:rPr>
      <w:sz w:val="24"/>
      <w:szCs w:val="24"/>
    </w:rPr>
  </w:style>
  <w:style w:type="paragraph" w:customStyle="1" w:styleId="2B68A6BD5522D94B8AD8B2E8DE72C633">
    <w:name w:val="2B68A6BD5522D94B8AD8B2E8DE72C633"/>
    <w:rsid w:val="00F71256"/>
    <w:pPr>
      <w:spacing w:after="0" w:line="240" w:lineRule="auto"/>
    </w:pPr>
    <w:rPr>
      <w:sz w:val="24"/>
      <w:szCs w:val="24"/>
    </w:rPr>
  </w:style>
  <w:style w:type="paragraph" w:customStyle="1" w:styleId="5EB3EDB96234B441921EBE305BC3E3C1">
    <w:name w:val="5EB3EDB96234B441921EBE305BC3E3C1"/>
    <w:rsid w:val="00F71256"/>
    <w:pPr>
      <w:spacing w:after="0" w:line="240" w:lineRule="auto"/>
    </w:pPr>
    <w:rPr>
      <w:sz w:val="24"/>
      <w:szCs w:val="24"/>
    </w:rPr>
  </w:style>
  <w:style w:type="paragraph" w:customStyle="1" w:styleId="C00753EE3FDCB14B97A379B65FDB9FD9">
    <w:name w:val="C00753EE3FDCB14B97A379B65FDB9FD9"/>
    <w:rsid w:val="00F71256"/>
    <w:pPr>
      <w:spacing w:after="0" w:line="240" w:lineRule="auto"/>
    </w:pPr>
    <w:rPr>
      <w:sz w:val="24"/>
      <w:szCs w:val="24"/>
    </w:rPr>
  </w:style>
  <w:style w:type="paragraph" w:customStyle="1" w:styleId="AA30F55377D5A248A659D8AF8A53644F">
    <w:name w:val="AA30F55377D5A248A659D8AF8A53644F"/>
    <w:rsid w:val="00F71256"/>
    <w:pPr>
      <w:spacing w:after="0" w:line="240" w:lineRule="auto"/>
    </w:pPr>
    <w:rPr>
      <w:sz w:val="24"/>
      <w:szCs w:val="24"/>
    </w:rPr>
  </w:style>
  <w:style w:type="paragraph" w:customStyle="1" w:styleId="1D4BE2F82EA9FB4D994D0E6D12E32DF0">
    <w:name w:val="1D4BE2F82EA9FB4D994D0E6D12E32DF0"/>
    <w:rsid w:val="00F71256"/>
    <w:pPr>
      <w:spacing w:after="0" w:line="240" w:lineRule="auto"/>
    </w:pPr>
    <w:rPr>
      <w:sz w:val="24"/>
      <w:szCs w:val="24"/>
    </w:rPr>
  </w:style>
  <w:style w:type="paragraph" w:customStyle="1" w:styleId="545B29B559DC8149AC245388B429B4C5">
    <w:name w:val="545B29B559DC8149AC245388B429B4C5"/>
    <w:rsid w:val="00F71256"/>
    <w:pPr>
      <w:spacing w:after="0" w:line="240" w:lineRule="auto"/>
    </w:pPr>
    <w:rPr>
      <w:sz w:val="24"/>
      <w:szCs w:val="24"/>
    </w:rPr>
  </w:style>
  <w:style w:type="paragraph" w:customStyle="1" w:styleId="3A20CAEECBBEAD48B73F14EC4EA20DF7">
    <w:name w:val="3A20CAEECBBEAD48B73F14EC4EA20DF7"/>
    <w:rsid w:val="00F71256"/>
    <w:pPr>
      <w:spacing w:after="0" w:line="240" w:lineRule="auto"/>
    </w:pPr>
    <w:rPr>
      <w:sz w:val="24"/>
      <w:szCs w:val="24"/>
    </w:rPr>
  </w:style>
  <w:style w:type="paragraph" w:customStyle="1" w:styleId="1C542C5CC9CD914893CDF68DC9870B1F">
    <w:name w:val="1C542C5CC9CD914893CDF68DC9870B1F"/>
    <w:rsid w:val="00F71256"/>
    <w:pPr>
      <w:spacing w:after="0" w:line="240" w:lineRule="auto"/>
    </w:pPr>
    <w:rPr>
      <w:sz w:val="24"/>
      <w:szCs w:val="24"/>
    </w:rPr>
  </w:style>
  <w:style w:type="paragraph" w:customStyle="1" w:styleId="0221337F1DC58C4A9710C667EA5BE32A">
    <w:name w:val="0221337F1DC58C4A9710C667EA5BE32A"/>
    <w:rsid w:val="00F71256"/>
    <w:pPr>
      <w:spacing w:after="0" w:line="240" w:lineRule="auto"/>
    </w:pPr>
    <w:rPr>
      <w:sz w:val="24"/>
      <w:szCs w:val="24"/>
    </w:rPr>
  </w:style>
  <w:style w:type="paragraph" w:customStyle="1" w:styleId="65A8552D2FD12D46ACCA033C7D3A33E5">
    <w:name w:val="65A8552D2FD12D46ACCA033C7D3A33E5"/>
    <w:rsid w:val="00F71256"/>
    <w:pPr>
      <w:spacing w:after="0" w:line="240" w:lineRule="auto"/>
    </w:pPr>
    <w:rPr>
      <w:sz w:val="24"/>
      <w:szCs w:val="24"/>
    </w:rPr>
  </w:style>
  <w:style w:type="paragraph" w:customStyle="1" w:styleId="546E9A71387CB640B37AA59022359D76">
    <w:name w:val="546E9A71387CB640B37AA59022359D76"/>
    <w:rsid w:val="00F71256"/>
    <w:pPr>
      <w:spacing w:after="0" w:line="240" w:lineRule="auto"/>
    </w:pPr>
    <w:rPr>
      <w:sz w:val="24"/>
      <w:szCs w:val="24"/>
    </w:rPr>
  </w:style>
  <w:style w:type="paragraph" w:customStyle="1" w:styleId="DD3ABE08E7AC4940AB40301799491F2D">
    <w:name w:val="DD3ABE08E7AC4940AB40301799491F2D"/>
    <w:rsid w:val="00F71256"/>
    <w:pPr>
      <w:spacing w:after="0" w:line="240" w:lineRule="auto"/>
    </w:pPr>
    <w:rPr>
      <w:sz w:val="24"/>
      <w:szCs w:val="24"/>
    </w:rPr>
  </w:style>
  <w:style w:type="paragraph" w:customStyle="1" w:styleId="7977B7CC4F81474191FB8734EEC7751A">
    <w:name w:val="7977B7CC4F81474191FB8734EEC7751A"/>
    <w:rsid w:val="00F71256"/>
    <w:pPr>
      <w:spacing w:after="0" w:line="240" w:lineRule="auto"/>
    </w:pPr>
    <w:rPr>
      <w:sz w:val="24"/>
      <w:szCs w:val="24"/>
    </w:rPr>
  </w:style>
  <w:style w:type="paragraph" w:customStyle="1" w:styleId="C21FF244103E9D48B2AC7240CE960CC2">
    <w:name w:val="C21FF244103E9D48B2AC7240CE960CC2"/>
    <w:rsid w:val="00F71256"/>
    <w:pPr>
      <w:spacing w:after="0" w:line="240" w:lineRule="auto"/>
    </w:pPr>
    <w:rPr>
      <w:sz w:val="24"/>
      <w:szCs w:val="24"/>
    </w:rPr>
  </w:style>
  <w:style w:type="paragraph" w:customStyle="1" w:styleId="C4BF2BD8AA6CBD41944B6E1DE9F48D9E">
    <w:name w:val="C4BF2BD8AA6CBD41944B6E1DE9F48D9E"/>
    <w:rsid w:val="00F71256"/>
    <w:pPr>
      <w:spacing w:after="0" w:line="240" w:lineRule="auto"/>
    </w:pPr>
    <w:rPr>
      <w:sz w:val="24"/>
      <w:szCs w:val="24"/>
    </w:rPr>
  </w:style>
  <w:style w:type="paragraph" w:customStyle="1" w:styleId="007B819853C2EC40B863A95A73D7844F">
    <w:name w:val="007B819853C2EC40B863A95A73D7844F"/>
    <w:rsid w:val="00F71256"/>
    <w:pPr>
      <w:spacing w:after="0" w:line="240" w:lineRule="auto"/>
    </w:pPr>
    <w:rPr>
      <w:sz w:val="24"/>
      <w:szCs w:val="24"/>
    </w:rPr>
  </w:style>
  <w:style w:type="paragraph" w:customStyle="1" w:styleId="0891849A4790B340B8760E3A70F753EA">
    <w:name w:val="0891849A4790B340B8760E3A70F753EA"/>
    <w:rsid w:val="00F71256"/>
    <w:pPr>
      <w:spacing w:after="0" w:line="240" w:lineRule="auto"/>
    </w:pPr>
    <w:rPr>
      <w:sz w:val="24"/>
      <w:szCs w:val="24"/>
    </w:rPr>
  </w:style>
  <w:style w:type="paragraph" w:customStyle="1" w:styleId="BED181A93196A64E928139BE88A08185">
    <w:name w:val="BED181A93196A64E928139BE88A08185"/>
    <w:rsid w:val="00F71256"/>
    <w:pPr>
      <w:spacing w:after="0" w:line="240" w:lineRule="auto"/>
    </w:pPr>
    <w:rPr>
      <w:sz w:val="24"/>
      <w:szCs w:val="24"/>
    </w:rPr>
  </w:style>
  <w:style w:type="paragraph" w:customStyle="1" w:styleId="CC92B3F1F42A9F4B9EC75BFEC94F0939">
    <w:name w:val="CC92B3F1F42A9F4B9EC75BFEC94F0939"/>
    <w:rsid w:val="00F71256"/>
    <w:pPr>
      <w:spacing w:after="0" w:line="240" w:lineRule="auto"/>
    </w:pPr>
    <w:rPr>
      <w:sz w:val="24"/>
      <w:szCs w:val="24"/>
    </w:rPr>
  </w:style>
  <w:style w:type="paragraph" w:customStyle="1" w:styleId="9610EFE1C76DEE4C8164C03D6F7E3110">
    <w:name w:val="9610EFE1C76DEE4C8164C03D6F7E3110"/>
    <w:rsid w:val="00F71256"/>
    <w:pPr>
      <w:spacing w:after="0" w:line="240" w:lineRule="auto"/>
    </w:pPr>
    <w:rPr>
      <w:sz w:val="24"/>
      <w:szCs w:val="24"/>
    </w:rPr>
  </w:style>
  <w:style w:type="paragraph" w:customStyle="1" w:styleId="D116837E37487E408433BA5B0B91A233">
    <w:name w:val="D116837E37487E408433BA5B0B91A233"/>
    <w:rsid w:val="00F71256"/>
    <w:pPr>
      <w:spacing w:after="0" w:line="240" w:lineRule="auto"/>
    </w:pPr>
    <w:rPr>
      <w:sz w:val="24"/>
      <w:szCs w:val="24"/>
    </w:rPr>
  </w:style>
  <w:style w:type="paragraph" w:customStyle="1" w:styleId="F04D110658D46A42B3F29FEED74EE13D">
    <w:name w:val="F04D110658D46A42B3F29FEED74EE13D"/>
    <w:rsid w:val="00F71256"/>
    <w:pPr>
      <w:spacing w:after="0" w:line="240" w:lineRule="auto"/>
    </w:pPr>
    <w:rPr>
      <w:sz w:val="24"/>
      <w:szCs w:val="24"/>
    </w:rPr>
  </w:style>
  <w:style w:type="paragraph" w:customStyle="1" w:styleId="5239357EB5736545815BBA4210CE2F55">
    <w:name w:val="5239357EB5736545815BBA4210CE2F55"/>
    <w:rsid w:val="00F71256"/>
    <w:pPr>
      <w:spacing w:after="0" w:line="240" w:lineRule="auto"/>
    </w:pPr>
    <w:rPr>
      <w:sz w:val="24"/>
      <w:szCs w:val="24"/>
    </w:rPr>
  </w:style>
  <w:style w:type="paragraph" w:customStyle="1" w:styleId="6993230D1B3F7F4CA327AFA4ACDD7239">
    <w:name w:val="6993230D1B3F7F4CA327AFA4ACDD7239"/>
    <w:rsid w:val="00F71256"/>
    <w:pPr>
      <w:spacing w:after="0" w:line="240" w:lineRule="auto"/>
    </w:pPr>
    <w:rPr>
      <w:sz w:val="24"/>
      <w:szCs w:val="24"/>
    </w:rPr>
  </w:style>
  <w:style w:type="paragraph" w:customStyle="1" w:styleId="B7A71AD9DC2AEB49A6DFEA7069171B5A">
    <w:name w:val="B7A71AD9DC2AEB49A6DFEA7069171B5A"/>
    <w:rsid w:val="00F71256"/>
    <w:pPr>
      <w:spacing w:after="0" w:line="240" w:lineRule="auto"/>
    </w:pPr>
    <w:rPr>
      <w:sz w:val="24"/>
      <w:szCs w:val="24"/>
    </w:rPr>
  </w:style>
  <w:style w:type="paragraph" w:customStyle="1" w:styleId="F3E5DAF58A9B6C48A032C95A449B466A">
    <w:name w:val="F3E5DAF58A9B6C48A032C95A449B466A"/>
    <w:rsid w:val="00F71256"/>
    <w:pPr>
      <w:spacing w:after="0" w:line="240" w:lineRule="auto"/>
    </w:pPr>
    <w:rPr>
      <w:sz w:val="24"/>
      <w:szCs w:val="24"/>
    </w:rPr>
  </w:style>
  <w:style w:type="paragraph" w:customStyle="1" w:styleId="B184BA98A7FEA241AECE0B90580BD794">
    <w:name w:val="B184BA98A7FEA241AECE0B90580BD794"/>
    <w:rsid w:val="00F71256"/>
    <w:pPr>
      <w:spacing w:after="0" w:line="240" w:lineRule="auto"/>
    </w:pPr>
    <w:rPr>
      <w:sz w:val="24"/>
      <w:szCs w:val="24"/>
    </w:rPr>
  </w:style>
  <w:style w:type="paragraph" w:customStyle="1" w:styleId="A1BD4A1185242E4A84CFBE65FCBBF3C6">
    <w:name w:val="A1BD4A1185242E4A84CFBE65FCBBF3C6"/>
    <w:rsid w:val="00F71256"/>
    <w:pPr>
      <w:spacing w:after="0" w:line="240" w:lineRule="auto"/>
    </w:pPr>
    <w:rPr>
      <w:sz w:val="24"/>
      <w:szCs w:val="24"/>
    </w:rPr>
  </w:style>
  <w:style w:type="paragraph" w:customStyle="1" w:styleId="D29A95A90AF7EB4DA28F5B0D98583A68">
    <w:name w:val="D29A95A90AF7EB4DA28F5B0D98583A68"/>
    <w:rsid w:val="00F71256"/>
    <w:pPr>
      <w:spacing w:after="0" w:line="240" w:lineRule="auto"/>
    </w:pPr>
    <w:rPr>
      <w:sz w:val="24"/>
      <w:szCs w:val="24"/>
    </w:rPr>
  </w:style>
  <w:style w:type="paragraph" w:customStyle="1" w:styleId="75B30E075EAC1242AA3E5FB4EE8FD5B0">
    <w:name w:val="75B30E075EAC1242AA3E5FB4EE8FD5B0"/>
    <w:rsid w:val="00F71256"/>
    <w:pPr>
      <w:spacing w:after="0" w:line="240" w:lineRule="auto"/>
    </w:pPr>
    <w:rPr>
      <w:sz w:val="24"/>
      <w:szCs w:val="24"/>
    </w:rPr>
  </w:style>
  <w:style w:type="paragraph" w:customStyle="1" w:styleId="2EC25C77E39E5A4A94DFBCA2C8143088">
    <w:name w:val="2EC25C77E39E5A4A94DFBCA2C8143088"/>
    <w:rsid w:val="00F71256"/>
    <w:pPr>
      <w:spacing w:after="0" w:line="240" w:lineRule="auto"/>
    </w:pPr>
    <w:rPr>
      <w:sz w:val="24"/>
      <w:szCs w:val="24"/>
    </w:rPr>
  </w:style>
  <w:style w:type="paragraph" w:customStyle="1" w:styleId="62496DAB67582A4EBD42E89A63EE83EB">
    <w:name w:val="62496DAB67582A4EBD42E89A63EE83EB"/>
    <w:rsid w:val="00F71256"/>
    <w:pPr>
      <w:spacing w:after="0" w:line="240" w:lineRule="auto"/>
    </w:pPr>
    <w:rPr>
      <w:sz w:val="24"/>
      <w:szCs w:val="24"/>
    </w:rPr>
  </w:style>
  <w:style w:type="paragraph" w:customStyle="1" w:styleId="46DAC3EAFB33B743A0B304B80B7C7523">
    <w:name w:val="46DAC3EAFB33B743A0B304B80B7C7523"/>
    <w:rsid w:val="00F71256"/>
    <w:pPr>
      <w:spacing w:after="0" w:line="240" w:lineRule="auto"/>
    </w:pPr>
    <w:rPr>
      <w:sz w:val="24"/>
      <w:szCs w:val="24"/>
    </w:rPr>
  </w:style>
  <w:style w:type="paragraph" w:customStyle="1" w:styleId="954CCEEA371C064598877EBBD6DB0E91">
    <w:name w:val="954CCEEA371C064598877EBBD6DB0E91"/>
    <w:rsid w:val="00F71256"/>
    <w:pPr>
      <w:spacing w:after="0" w:line="240" w:lineRule="auto"/>
    </w:pPr>
    <w:rPr>
      <w:sz w:val="24"/>
      <w:szCs w:val="24"/>
    </w:rPr>
  </w:style>
  <w:style w:type="paragraph" w:customStyle="1" w:styleId="D8514824C8D6F848930C1DC678B369A5">
    <w:name w:val="D8514824C8D6F848930C1DC678B369A5"/>
    <w:rsid w:val="00F71256"/>
    <w:pPr>
      <w:spacing w:after="0" w:line="240" w:lineRule="auto"/>
    </w:pPr>
    <w:rPr>
      <w:sz w:val="24"/>
      <w:szCs w:val="24"/>
    </w:rPr>
  </w:style>
  <w:style w:type="paragraph" w:customStyle="1" w:styleId="855EA40644413F46BBACCEADF7B0A2AD">
    <w:name w:val="855EA40644413F46BBACCEADF7B0A2AD"/>
    <w:rsid w:val="00F71256"/>
    <w:pPr>
      <w:spacing w:after="0" w:line="240" w:lineRule="auto"/>
    </w:pPr>
    <w:rPr>
      <w:sz w:val="24"/>
      <w:szCs w:val="24"/>
    </w:rPr>
  </w:style>
  <w:style w:type="paragraph" w:customStyle="1" w:styleId="96FBA1FBDBACBA428EB68F5BFB545A5E">
    <w:name w:val="96FBA1FBDBACBA428EB68F5BFB545A5E"/>
    <w:rsid w:val="00F71256"/>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7A602F8-2F35-470D-80CD-0B674FCF711A}">
  <we:reference id="wa104382081" version="1.55.1.0" store="en-US" storeType="OMEX"/>
  <we:alternateReferences>
    <we:reference id="WA104382081" version="1.55.1.0" store="" storeType="OMEX"/>
  </we:alternateReferences>
  <we:properties>
    <we:property name="MENDELEY_CITATIONS" value="[{&quot;citationID&quot;:&quot;MENDELEY_CITATION_4c2474c2-11ca-47cf-ae3e-f497e0f731eb&quot;,&quot;properties&quot;:{&quot;noteIndex&quot;:0},&quot;isEdited&quot;:false,&quot;manualOverride&quot;:{&quot;isManuallyOverridden&quot;:false,&quot;citeprocText&quot;:&quot;[1]–[3]&quot;,&quot;manualOverrideText&quot;:&quot;&quot;},&quot;citationTag&quot;:&quot;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&quot;,&quot;citationItems&quot;:[{&quot;id&quot;:&quot;120b1b1d-d017-3375-9e86-adfedb999be9&quot;,&quot;itemData&quot;:{&quot;type&quot;:&quot;report&quot;,&quot;id&quot;:&quot;120b1b1d-d017-3375-9e86-adfedb999be9&quot;,&quot;title&quot;:&quot;Annual Energy Outlook 2020&quot;,&quot;author&quot;:[{&quot;family&quot;:&quot;U.S. EIA&quot;,&quot;given&quot;:&quot;&quot;,&quot;parse-names&quot;:false,&quot;dropping-particle&quot;:&quot;&quot;,&quot;non-dropping-particle&quot;:&quot;&quot;}],&quot;accessed&quot;:{&quot;date-parts&quot;:[[2020,4,19]]},&quot;URL&quot;:&quot;https://www.eia.gov/outlooks/aeo/&quot;,&quot;issued&quot;:{&quot;date-parts&quot;:[[2020]]},&quot;number-of-pages&quot;:&quot;1-161&quot;,&quot;container-title-short&quot;:&quot;&quot;},&quot;isTemporary&quot;:false},{&quot;id&quot;:&quot;a9b5d851-2126-3a57-b292-1b1efa907dcd&quot;,&quot;itemData&quot;:{&quot;type&quot;:&quot;article-journal&quot;,&quot;id&quot;:&quot;a9b5d851-2126-3a57-b292-1b1efa907dcd&quot;,&quot;title&quot;:&quot;Addressing energy storage needs at lower cost via on-site thermal energy storage in buildings&quot;,&quot;author&quot;:[{&quot;family&quot;:&quot;Odukomaiya&quot;,&quot;given&quot;:&quot;Adewale&quot;,&quot;parse-names&quot;:false,&quot;dropping-particle&quot;:&quot;&quot;,&quot;non-dropping-particle&quot;:&quot;&quot;},{&quot;family&quot;:&quot;Woods&quot;,&quot;given&quot;:&quot;Jason&quot;,&quot;parse-names&quot;:false,&quot;dropping-particle&quot;:&quot;&quot;,&quot;non-dropping-particle&quot;:&quot;&quot;},{&quot;family&quot;:&quot;James&quot;,&quot;given&quot;:&quot;Nelson&quot;,&quot;parse-names&quot;:false,&quot;dropping-particle&quot;:&quot;&quot;,&quot;non-dropping-particle&quot;:&quot;&quot;},{&quot;family&quot;:&quot;Kaur&quot;,&quot;given&quot;:&quot;Sumanjeet&quot;,&quot;parse-names&quot;:false,&quot;dropping-particle&quot;:&quot;&quot;,&quot;non-dropping-particle&quot;:&quot;&quot;},{&quot;family&quot;:&quot;Gluesenkamp&quot;,&quot;given&quot;:&quot;Kyle R.&quot;,&quot;parse-names&quot;:false,&quot;dropping-particle&quot;:&quot;&quot;,&quot;non-dropping-particle&quot;:&quot;&quot;},{&quot;family&quot;:&quot;Kumar&quot;,&quot;given&quot;:&quot;Navin&quot;,&quot;parse-names&quot;:false,&quot;dropping-particle&quot;:&quot;&quot;,&quot;non-dropping-particle&quot;:&quot;&quot;},{&quot;family&quot;:&quot;Mumme&quot;,&quot;given&quot;:&quot;Sven&quot;,&quot;parse-names&quot;:false,&quot;dropping-particle&quot;:&quot;&quot;,&quot;non-dropping-particle&quot;:&quot;&quot;},{&quot;family&quot;:&quot;Jackson&quot;,&quot;given&quot;:&quot;Roderick&quot;,&quot;parse-names&quot;:false,&quot;dropping-particle&quot;:&quot;&quot;,&quot;non-dropping-particle&quot;:&quot;&quot;},{&quot;family&quot;:&quot;Prasher&quot;,&quot;given&quot;:&quot;Ravi&quot;,&quot;parse-names&quot;:false,&quot;dropping-particle&quot;:&quot;&quot;,&quot;non-dropping-particle&quot;:&quot;&quot;}],&quot;container-title&quot;:&quot;Energy &amp; Environmental Science&quot;,&quot;accessed&quot;:{&quot;date-parts&quot;:[[2022,4,18]]},&quot;DOI&quot;:&quot;10.1039/D1EE01992A&quot;,&quot;ISSN&quot;:&quot;17545706&quot;,&quot;URL&quot;:&quot;https://pubs.rsc.org/en/content/articlehtml/2021/ee/d1ee01992a&quot;,&quot;issued&quot;:{&quot;date-parts&quot;:[[2021,10,13]]},&quot;page&quot;:&quot;5315-5329&quot;,&quot;abstract&quot;:&quot;Cost-effective energy storage is a critical enabler for the large-scale deployment of renewable electricity. Significant resources have been directed toward developing cost-effective energy storage, with research and development efforts dominated by work on lithium ion (Li-ion) battery technology. Though Li-ion batteries have many attractive qualities, it is not clear whether they can provide an affordable levelized cost of storage (LCOS) for certain applications, such as buildings. Buildings consume most of the world's electricity, and as much as 50% of their consumption goes toward meeting thermal loads. Thermal energy storage (TES) can provide a cost-effective alternative to Li-ion batteries for buildings; however, two questions remain to be answered. First, how much of total building energy storage requirements can be met via thermal storage for building loads? Second, can the LCOS for TES be favorable compared with Li-ion batteries? In this perspective, using the United States as a case study, we show that the total requirement for TES in buildings is in the range of ∼1200-4500 electrical GW h, depending on the fraction of solar versus wind in the generation mix. Furthermore, we show that with at least 25% wind generation, all of the storage needed by buildings to support the grid can be met by TES. We also introduce a framework to calculate LCOS for on-site TES in buildings to enable a direct comparison with electrical storage technologies such as Li-ion batteries. This is not trivial, because the input energy type for TES (electricity) differs from the output energy type (thermal energy), and the efficiency can depend on ambient conditions. Our LCOS analysis shows that in many situations, TES can be more cost-effective for buildings than Li-ion batteries. We conclude our perspective by discussing future research and development opportunities that can significantly advance the deployment of TES for buildings to help enable a renewable electricity-dependent grid.&quot;,&quot;publisher&quot;:&quot;Royal Society of Chemistry&quot;,&quot;issue&quot;:&quot;10&quot;,&quot;volume&quot;:&quot;14&quot;,&quot;container-title-short&quot;:&quot;Energy Environ Sci&quot;},&quot;isTemporary&quot;:false},{&quot;id&quot;:&quot;d58303d9-4049-3b21-b4ce-c77cfc399f52&quot;,&quot;itemData&quot;:{&quot;type&quot;:&quot;paper-conference&quot;,&quot;id&quot;:&quot;d58303d9-4049-3b21-b4ce-c77cfc399f52&quot;,&quot;title&quot;:&quot;Novel PCM Integration with Electrical Heat Pump for Demand Response&quot;,&quot;author&quot;:[{&quot;family&quot;:&quot;Dong&quot;,&quot;given&quot;:&quot;Jin&quot;,&quot;parse-names&quot;:false,&quot;dropping-particle&quot;:&quot;&quot;,&quot;non-dropping-particle&quot;:&quot;&quot;},{&quot;family&quot;:&quot;Shen&quot;,&quot;given&quot;:&quot;Bo&quot;,&quot;parse-names&quot;:false,&quot;dropping-particle&quot;:&quot;&quot;,&quot;non-dropping-particle&quot;:&quot;&quot;},{&quot;family&quot;:&quot;Munk&quot;,&quot;given&quot;:&quot;Jeffrey&quot;,&quot;parse-names&quot;:false,&quot;dropping-particle&quot;:&quot;&quot;,&quot;non-dropping-particle&quot;:&quot;&quot;},{&quot;family&quot;:&quot;Gluesenkamp&quot;,&quot;given&quot;:&quot;Kyle R.&quot;,&quot;parse-names&quot;:false,&quot;dropping-particle&quot;:&quot;&quot;,&quot;non-dropping-particle&quot;:&quot;&quot;},{&quot;family&quot;:&quot;Laclair&quot;,&quot;given&quot;:&quot;Tim&quot;,&quot;parse-names&quot;:false,&quot;dropping-particle&quot;:&quot;&quot;,&quot;non-dropping-particle&quot;:&quot;&quot;},{&quot;family&quot;:&quot;Kuruganti&quot;,&quot;given&quot;:&quot;Teja&quot;,&quot;parse-names&quot;:false,&quot;dropping-particle&quot;:&quot;&quot;,&quot;non-dropping-particle&quot;:&quot;&quot;}],&quot;container-title&quot;:&quot;IEEE Power and Energy Society General Meeting&quot;,&quot;DOI&quot;:&quot;10.1109/PESGM40551.2019.8973936&quot;,&quot;ISBN&quot;:&quot;9781728119816&quot;,&quot;ISSN&quot;:&quot;19449933&quot;,&quot;issued&quot;:{&quot;date-parts&quot;:[[2019]]},&quot;abstract&quot;:&quot;In this paper, we examine the potential for using phase change material (PCM) as a thermal storage medium for improving the efficiency as well as enabling grid-responsive control of heat pump (HP) systems. Previous research in PCM integration in buildings has primarily been focused on integration with building envelopes. An objective of our research is to design a novel and practical PCM integration with existing HP systems. High-fidelity models for building, HP and PCM are developed to facilitate the model-based predictive control (MPC) design. To optimize the operation of HP and PCM, we introduce an optimization problem considering various constraints for both comfort and hardware constraints. We include experimental results in which a house fleet are optimized to minimize their power consumption or electricity cost. We numerically demonstrate the designs potential for reducing power consumption or electricity cost by 13% or 19%, respectively.&quot;,&quot;container-title-short&quot;:&quot;&quot;},&quot;isTemporary&quot;:false}]},{&quot;citationID&quot;:&quot;MENDELEY_CITATION_c904b23e-af0a-482a-9608-f4a3fb0364fe&quot;,&quot;properties&quot;:{&quot;noteIndex&quot;:0},&quot;isEdited&quot;:false,&quot;manualOverride&quot;:{&quot;citeprocText&quot;:&quot;[4]&quot;,&quot;isManuallyOverridden&quot;:false,&quot;manualOverrideText&quot;:&quot;&quot;},&quot;citationTag&quot;:&quot;MENDELEY_CITATION_v3_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&quot;,&quot;citationItems&quot;:[{&quot;id&quot;:&quot;9b992cb5-311c-3532-a5d3-0f42c93dfc84&quot;,&quot;itemData&quot;:{&quot;type&quot;:&quot;paper-conference&quot;,&quot;id&quot;:&quot;9b992cb5-311c-3532-a5d3-0f42c93dfc84&quot;,&quot;title&quot;:&quot;Building thermal model development of typical house in U.S. for virtual storage control of aggregated building loads based on limited available information&quot;,&quot;author&quot;:[{&quot;family&quot;:&quot;Cui&quot;,&quot;given&quot;:&quot;Borui&quot;,&quot;parse-names&quot;:false,&quot;dropping-particle&quot;:&quot;&quot;,&quot;non-dropping-particle&quot;:&quot;&quot;},{&quot;family&quot;:&quot;Munk&quot;,&quot;given&quot;:&quot;Jeffrey&quot;,&quot;parse-names&quot;:false,&quot;dropping-particle&quot;:&quot;&quot;,&quot;non-dropping-particle&quot;:&quot;&quot;},{&quot;family&quot;:&quot;Jackson&quot;,&quot;given&quot;:&quot;Roderick&quot;,&quot;parse-names&quot;:false,&quot;dropping-particle&quot;:&quot;&quot;,&quot;non-dropping-particle&quot;:&quot;&quot;},{&quot;family&quot;:&quot;Fugate&quot;,&quot;given&quot;:&quot;David&quot;,&quot;parse-names&quot;:false,&quot;dropping-particle&quot;:&quot;&quot;,&quot;non-dropping-particle&quot;:&quot;&quot;},{&quot;family&quot;:&quot;Starke&quot;,&quot;given&quot;:&quot;Michael&quot;,&quot;parse-names&quot;:false,&quot;dropping-particle&quot;:&quot;&quot;,&quot;non-dropping-particle&quot;:&quot;&quot;}],&quot;container-title&quot;:&quot;30th International Conference on Efficiency, Cost, Optimization, Simulation and Environmental Impact of Energy Systems, ECOS 2017&quot;,&quot;issued&quot;:{&quot;date-parts&quot;:[[2017]]},&quot;abstract&quot;:&quot;A building thermal model is an essential component for achieving optimal control of a building’s heating, ventilation, and air conditioning (HVAC). A self-learning grey-box model has been developed by implementing data-driven techniques and utilizing limited available information about the building. In previous research, detailed foreknown knowledge/information, e.g. physical and thermal properties of building materials, as well as sufficient number of observation points, e.g. indoor temperature sensors in different zones, are available for making the decision of model structure and parameters searching range easier. The availability of measured data and a narrowed searching range of model parameters, e.g. resistance and capacity for each wall, made the adopted algorithms quickly achieve near optimal values, which closely approximate the actual heat transfer of a building. Meanwhile, the details of pre-processing of the key inputs were seldom explained. Compared to the previous research, in this study, the available information is assumed to be limited which can fill the requirement for large scale virtual storage control of real residential community in near future, where it may be impractically or over time-consuming to acquire the detailed information for each single house. The developed model is validated by comparing the results to measured data in a recently-built home typical of the southeastern United States.&quot;,&quot;container-title-short&quot;:&quot;&quot;},&quot;uris&quot;:[&quot;http://www.mendeley.com/documents/?uuid=a53df107-3569-4eb5-88b2-356ad657358d&quot;],&quot;isTemporary&quot;:false,&quot;legacyDesktopId&quot;:&quot;a53df107-3569-4eb5-88b2-356ad657358d&quot;}]},{&quot;citationID&quot;:&quot;MENDELEY_CITATION_2683402b-36aa-473f-ada0-bba9e2f8541c&quot;,&quot;properties&quot;:{&quot;noteIndex&quot;:0},&quot;isEdited&quot;:false,&quot;manualOverride&quot;:{&quot;isManuallyOverridden&quot;:false,&quot;citeprocText&quot;:&quot;[2]&quot;,&quot;manualOverrideText&quot;:&quot;&quot;},&quot;citationTag&quot;:&quot;MENDELEY_CITATION_v3_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&quot;,&quot;citationItems&quot;:[{&quot;id&quot;:&quot;a9b5d851-2126-3a57-b292-1b1efa907dcd&quot;,&quot;itemData&quot;:{&quot;type&quot;:&quot;article-journal&quot;,&quot;id&quot;:&quot;a9b5d851-2126-3a57-b292-1b1efa907dcd&quot;,&quot;title&quot;:&quot;Addressing energy storage needs at lower cost via on-site thermal energy storage in buildings&quot;,&quot;author&quot;:[{&quot;family&quot;:&quot;Odukomaiya&quot;,&quot;given&quot;:&quot;Adewale&quot;,&quot;parse-names&quot;:false,&quot;dropping-particle&quot;:&quot;&quot;,&quot;non-dropping-particle&quot;:&quot;&quot;},{&quot;family&quot;:&quot;Woods&quot;,&quot;given&quot;:&quot;Jason&quot;,&quot;parse-names&quot;:false,&quot;dropping-particle&quot;:&quot;&quot;,&quot;non-dropping-particle&quot;:&quot;&quot;},{&quot;family&quot;:&quot;James&quot;,&quot;given&quot;:&quot;Nelson&quot;,&quot;parse-names&quot;:false,&quot;dropping-particle&quot;:&quot;&quot;,&quot;non-dropping-particle&quot;:&quot;&quot;},{&quot;family&quot;:&quot;Kaur&quot;,&quot;given&quot;:&quot;Sumanjeet&quot;,&quot;parse-names&quot;:false,&quot;dropping-particle&quot;:&quot;&quot;,&quot;non-dropping-particle&quot;:&quot;&quot;},{&quot;family&quot;:&quot;Gluesenkamp&quot;,&quot;given&quot;:&quot;Kyle R.&quot;,&quot;parse-names&quot;:false,&quot;dropping-particle&quot;:&quot;&quot;,&quot;non-dropping-particle&quot;:&quot;&quot;},{&quot;family&quot;:&quot;Kumar&quot;,&quot;given&quot;:&quot;Navin&quot;,&quot;parse-names&quot;:false,&quot;dropping-particle&quot;:&quot;&quot;,&quot;non-dropping-particle&quot;:&quot;&quot;},{&quot;family&quot;:&quot;Mumme&quot;,&quot;given&quot;:&quot;Sven&quot;,&quot;parse-names&quot;:false,&quot;dropping-particle&quot;:&quot;&quot;,&quot;non-dropping-particle&quot;:&quot;&quot;},{&quot;family&quot;:&quot;Jackson&quot;,&quot;given&quot;:&quot;Roderick&quot;,&quot;parse-names&quot;:false,&quot;dropping-particle&quot;:&quot;&quot;,&quot;non-dropping-particle&quot;:&quot;&quot;},{&quot;family&quot;:&quot;Prasher&quot;,&quot;given&quot;:&quot;Ravi&quot;,&quot;parse-names&quot;:false,&quot;dropping-particle&quot;:&quot;&quot;,&quot;non-dropping-particle&quot;:&quot;&quot;}],&quot;container-title&quot;:&quot;Energy &amp; Environmental Science&quot;,&quot;accessed&quot;:{&quot;date-parts&quot;:[[2022,4,18]]},&quot;DOI&quot;:&quot;10.1039/D1EE01992A&quot;,&quot;ISSN&quot;:&quot;17545706&quot;,&quot;URL&quot;:&quot;https://pubs.rsc.org/en/content/articlehtml/2021/ee/d1ee01992a&quot;,&quot;issued&quot;:{&quot;date-parts&quot;:[[2021,10,13]]},&quot;page&quot;:&quot;5315-5329&quot;,&quot;abstract&quot;:&quot;Cost-effective energy storage is a critical enabler for the large-scale deployment of renewable electricity. Significant resources have been directed toward developing cost-effective energy storage, with research and development efforts dominated by work on lithium ion (Li-ion) battery technology. Though Li-ion batteries have many attractive qualities, it is not clear whether they can provide an affordable levelized cost of storage (LCOS) for certain applications, such as buildings. Buildings consume most of the world's electricity, and as much as 50% of their consumption goes toward meeting thermal loads. Thermal energy storage (TES) can provide a cost-effective alternative to Li-ion batteries for buildings; however, two questions remain to be answered. First, how much of total building energy storage requirements can be met via thermal storage for building loads? Second, can the LCOS for TES be favorable compared with Li-ion batteries? In this perspective, using the United States as a case study, we show that the total requirement for TES in buildings is in the range of ∼1200-4500 electrical GW h, depending on the fraction of solar versus wind in the generation mix. Furthermore, we show that with at least 25% wind generation, all of the storage needed by buildings to support the grid can be met by TES. We also introduce a framework to calculate LCOS for on-site TES in buildings to enable a direct comparison with electrical storage technologies such as Li-ion batteries. This is not trivial, because the input energy type for TES (electricity) differs from the output energy type (thermal energy), and the efficiency can depend on ambient conditions. Our LCOS analysis shows that in many situations, TES can be more cost-effective for buildings than Li-ion batteries. We conclude our perspective by discussing future research and development opportunities that can significantly advance the deployment of TES for buildings to help enable a renewable electricity-dependent grid.&quot;,&quot;publisher&quot;:&quot;Royal Society of Chemistry&quot;,&quot;issue&quot;:&quot;10&quot;,&quot;volume&quot;:&quot;14&quot;,&quot;container-title-short&quot;:&quot;Energy Environ Sci&quot;},&quot;isTemporary&quot;:false}]},{&quot;citationID&quot;:&quot;MENDELEY_CITATION_1e2ea09c-06c3-479a-86b1-4d8ced14da1c&quot;,&quot;properties&quot;:{&quot;noteIndex&quot;:0},&quot;isEdited&quot;:false,&quot;manualOverride&quot;:{&quot;isManuallyOverridden&quot;:false,&quot;citeprocText&quot;:&quot;[5], [6]&quot;,&quot;manualOverrideText&quot;:&quot;&quot;},&quot;citationTag&quot;:&quot;MENDELEY_CITATION_v3_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&quot;,&quot;citationItems&quot;:[{&quot;id&quot;:&quot;6eb7fc6c-3223-3b88-b8c2-828c31a888dd&quot;,&quot;itemData&quot;:{&quot;type&quot;:&quot;article-journal&quot;,&quot;id&quot;:&quot;6eb7fc6c-3223-3b88-b8c2-828c31a888dd&quot;,&quot;title&quot;:&quot;Introduction and Literature Review of Building Components with Passive Thermal Energy Storage Systems&quot;,&quot;author&quot;:[{&quot;family&quot;:&quot;Sepehri&quot;,&quot;given&quot;:&quot;Amin&quot;,&quot;parse-names&quot;:false,&quot;dropping-particle&quot;:&quot;&quot;,&quot;non-dropping-particle&quot;:&quot;&quot;}],&quot;container-title&quot;:&quot;Green Energy and Technology&quot;,&quot;accessed&quot;:{&quot;date-parts&quot;:[[2023,3,13]]},&quot;DOI&quot;:&quot;10.1007/978-3-031-08732-5_1/FIGURES/11&quot;,&quot;ISSN&quot;:&quot;18653537&quot;,&quot;URL&quot;:&quot;https://link.springer.com/chapter/10.1007/978-3-031-08732-5_1&quot;,&quot;issued&quot;:{&quot;date-parts&quot;:[[2022]]},&quot;page&quot;:&quot;1-18&quot;,&quot;abstract&quot;:&quot;Heating, ventilating, and air-conditioning (HVAC) systems account for almost half of the total energy consumption in buildings. While many studies have evaluated active thermal energy storage (TES) systems integrated into the building HVAC system, some other studies have focused on passive TES systems that may be incorporated in different parts of a building and use no mechanical force to charge/discharge. Passive TES systems could improve building energy efficiency by reducing the energy consumption in the building. There are two primary classifications of passive systems in buildings known as sensible heat and latent heat storage systems. While sensible heat storage can be used in traditional solid building materials like concrete, earth, brick, and stone, researchers have found a greater potential of energy use reduction in the case of latent heat storage via integrating phase change material (PCM) in the building structure. PCM can passively be incorporated in building envelope inside building materials using incorporation or encapsulation techniques or as a new layer in the construction procedure. This chapter presents a comprehensive review of the literature about both sensible and latent heat storage systems which are implemented in building components, focusing mainly on the performance of various techniques. The advantages and disadvantages of the different research approaches have been also highlighted.&quot;,&quot;publisher&quot;:&quot;Springer Science and Business Media Deutschland GmbH&quot;,&quot;container-title-short&quot;:&quot;&quot;},&quot;isTemporary&quot;:false},{&quot;id&quot;:&quot;03d3da3e-0d1a-3f09-a03b-a60ba95a1c72&quot;,&quot;itemData&quot;:{&quot;type&quot;:&quot;article-journal&quot;,&quot;id&quot;:&quot;03d3da3e-0d1a-3f09-a03b-a60ba95a1c72&quot;,&quot;title&quot;:&quot;Smart design and control of thermal energy storage in low-temperature heating and high-temperature cooling systems: A comprehensive review&quot;,&quot;author&quot;:[{&quot;family&quot;:&quot;Behzadi&quot;,&quot;given&quot;:&quot;Amirmohammad&quot;,&quot;parse-names&quot;:false,&quot;dropping-particle&quot;:&quot;&quot;,&quot;non-dropping-particle&quot;:&quot;&quot;},{&quot;family&quot;:&quot;Holmberg&quot;,&quot;given&quot;:&quot;Sture&quot;,&quot;parse-names&quot;:false,&quot;dropping-particle&quot;:&quot;&quot;,&quot;non-dropping-particle&quot;:&quot;&quot;},{&quot;family&quot;:&quot;Duwig&quot;,&quot;given&quot;:&quot;Christophe&quot;,&quot;parse-names&quot;:false,&quot;dropping-particle&quot;:&quot;&quot;,&quot;non-dropping-particle&quot;:&quot;&quot;},{&quot;family&quot;:&quot;Haghighat&quot;,&quot;given&quot;:&quot;Fariborz&quot;,&quot;parse-names&quot;:false,&quot;dropping-particle&quot;:&quot;&quot;,&quot;non-dropping-particle&quot;:&quot;&quot;},{&quot;family&quot;:&quot;Ooka&quot;,&quot;given&quot;:&quot;Ryozo&quot;,&quot;parse-names&quot;:false,&quot;dropping-particle&quot;:&quot;&quot;,&quot;non-dropping-particle&quot;:&quot;&quot;},{&quot;family&quot;:&quot;Sadrizadeh&quot;,&quot;given&quot;:&quot;Sasan&quot;,&quot;parse-names&quot;:false,&quot;dropping-particle&quot;:&quot;&quot;,&quot;non-dropping-particle&quot;:&quot;&quot;}],&quot;container-title&quot;:&quot;Renewable and Sustainable Energy Reviews&quot;,&quot;accessed&quot;:{&quot;date-parts&quot;:[[2023,3,13]]},&quot;DOI&quot;:&quot;10.1016/J.RSER.2022.112625&quot;,&quot;ISSN&quot;:&quot;1364-0321&quot;,&quot;issued&quot;:{&quot;date-parts&quot;:[[2022,9,1]]},&quot;page&quot;:&quot;112625&quot;,&quot;abstract&quot;:&quot;Thermal energy storage (TES) is recognized as a well-established technology added to the smart energy systems to support the immediate increase in energy demand, flatten the rapid supply-side changes, and reduce energy costs through an efficient and sustainable integration. On the utilization side, low-temperature heating (LTH) and high-temperature cooling (HTC) systems have grown popular because of their excellent performance in terms of energy efficiency, cost-effectiveness, and ease of integration with renewable resources. This article presents the current state-of-the-art regarding the smart design of TES integrated with LTH and HTC systems. TES is first explained in basic concepts, classification, and design possibilities. Secondly, the literature on well-known existing control approaches, strategies, and optimization methods applied to thermal energy storage is reviewed. Thirdly, the specifications, types, benefits, and drawbacks of the LTH and HTC systems from the viewpoints of supply and demand sides are discussed. Fourthly, the smart design of TES integrated with the LTH and HTC systems based on the control approach/strategy, optimization method, building type, and energy supplier is investigated to find the newest technology, ideas, and features and detect the existing gaps. The present article will provide a realistically feasible solution for having a smart storage configuration with the maximum possible energy efficiency, reliability, and cost-effectiveness for the building owners and the energy suppliers.&quot;,&quot;publisher&quot;:&quot;Pergamon&quot;,&quot;volume&quot;:&quot;166&quot;,&quot;container-title-short&quot;:&quot;&quot;},&quot;isTemporary&quot;:false}]},{&quot;citationID&quot;:&quot;MENDELEY_CITATION_b0002aeb-8e75-4e00-84e7-d04f9f7e5de4&quot;,&quot;properties&quot;:{&quot;noteIndex&quot;:0},&quot;isEdited&quot;:false,&quot;manualOverride&quot;:{&quot;isManuallyOverridden&quot;:false,&quot;citeprocText&quot;:&quot;[7]&quot;,&quot;manualOverrideText&quot;:&quot;&quot;},&quot;citationTag&quot;:&quot;MENDELEY_CITATION_v3_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&quot;,&quot;citationItems&quot;:[{&quot;id&quot;:&quot;1a442f40-58bd-3908-a451-337be8d4a84d&quot;,&quot;itemData&quot;:{&quot;type&quot;:&quot;article-journal&quot;,&quot;id&quot;:&quot;1a442f40-58bd-3908-a451-337be8d4a84d&quot;,&quot;title&quot;:&quot;A comprehensive review on current advances of thermal energy storage and its applications&quot;,&quot;author&quot;:[{&quot;family&quot;:&quot;Chavan&quot;,&quot;given&quot;:&quot;Santosh&quot;,&quot;parse-names&quot;:false,&quot;dropping-particle&quot;:&quot;&quot;,&quot;non-dropping-particle&quot;:&quot;&quot;},{&quot;family&quot;:&quot;Rudrapati&quot;,&quot;given&quot;:&quot;Ramesh&quot;,&quot;parse-names&quot;:false,&quot;dropping-particle&quot;:&quot;&quot;,&quot;non-dropping-particle&quot;:&quot;&quot;},{&quot;family&quot;:&quot;Manickam&quot;,&quot;given&quot;:&quot;Selvaraj&quot;,&quot;parse-names&quot;:false,&quot;dropping-particle&quot;:&quot;&quot;,&quot;non-dropping-particle&quot;:&quot;&quot;}],&quot;container-title&quot;:&quot;Alexandria Engineering Journal&quot;,&quot;accessed&quot;:{&quot;date-parts&quot;:[[2023,3,13]]},&quot;DOI&quot;:&quot;10.1016/J.AEJ.2021.11.003&quot;,&quot;ISSN&quot;:&quot;1110-0168&quot;,&quot;issued&quot;:{&quot;date-parts&quot;:[[2022,7,1]]},&quot;page&quot;:&quot;5455-5463&quot;,&quot;abstract&quot;:&quot;Thermal energy storage (TES) is playing a vital role in various applications and this paper intends to provide an overview of different applications involved in various areas. This work mainly focuses on review of TES applications in wide area such as waste heat recovery, Heavy electronic equipment's cooling etc. The comprehensive study shows that thermal energy stored can be used for heating and cooling applications and have a great scope for developing new technology and methods for utilizing it to maximum extent. Exploring various thermal storage materials and methods for different application opening many ways towards the sustainable development and utilization of available thermal energy.&quot;,&quot;publisher&quot;:&quot;Elsevier&quot;,&quot;issue&quot;:&quot;7&quot;,&quot;volume&quot;:&quot;61&quot;,&quot;container-title-short&quot;:&quot;&quot;},&quot;isTemporary&quot;:false}]},{&quot;citationID&quot;:&quot;MENDELEY_CITATION_8549f018-e241-4cd8-98c1-dc0c6d20b027&quot;,&quot;properties&quot;:{&quot;noteIndex&quot;:0},&quot;isEdited&quot;:false,&quot;manualOverride&quot;:{&quot;isManuallyOverridden&quot;:false,&quot;citeprocText&quot;:&quot;[8]–[12]&quot;,&quot;manualOverrideText&quot;:&quot;&quot;},&quot;citationTag&quot;:&quot;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&quot;,&quot;citationItems&quot;:[{&quot;id&quot;:&quot;2132e2b9-1976-3687-b02d-1142503b9d80&quot;,&quot;itemData&quot;:{&quot;type&quot;:&quot;article-journal&quot;,&quot;id&quot;:&quot;2132e2b9-1976-3687-b02d-1142503b9d80&quot;,&quot;title&quot;:&quot;Potential Phase Change Materials in Building Wall Construction—A Review&quot;,&quot;author&quot;:[{&quot;family&quot;:&quot;Kurdi&quot;,&quot;given&quot;:&quot;Abdulaziz&quot;,&quot;parse-names&quot;:false,&quot;dropping-particle&quot;:&quot;&quot;,&quot;non-dropping-particle&quot;:&quot;&quot;},{&quot;family&quot;:&quot;Almoatham&quot;,&quot;given&quot;:&quot;Nasser&quot;,&quot;parse-names&quot;:false,&quot;dropping-particle&quot;:&quot;&quot;,&quot;non-dropping-particle&quot;:&quot;&quot;},{&quot;family&quot;:&quot;Mirza&quot;,&quot;given&quot;:&quot;Mark&quot;,&quot;parse-names&quot;:false,&quot;dropping-particle&quot;:&quot;&quot;,&quot;non-dropping-particle&quot;:&quot;&quot;},{&quot;family&quot;:&quot;Ballweg&quot;,&quot;given&quot;:&quot;Thomas&quot;,&quot;parse-names&quot;:false,&quot;dropping-particle&quot;:&quot;&quot;,&quot;non-dropping-particle&quot;:&quot;&quot;},{&quot;family&quot;:&quot;Alkahlan&quot;,&quot;given&quot;:&quot;Bandar&quot;,&quot;parse-names&quot;:false,&quot;dropping-particle&quot;:&quot;&quot;,&quot;non-dropping-particle&quot;:&quot;&quot;}],&quot;container-title&quot;:&quot;Materials 2021, Vol. 14, Page 5328&quot;,&quot;accessed&quot;:{&quot;date-parts&quot;:[[2023,3,13]]},&quot;DOI&quot;:&quot;10.3390/MA14185328&quot;,&quot;ISSN&quot;:&quot;1996-1944&quot;,&quot;URL&quot;:&quot;https://www.mdpi.com/1996-1944/14/18/5328/htm&quot;,&quot;issued&quot;:{&quot;date-parts&quot;:[[2021,9,15]]},&quot;page&quot;:&quot;5328&quot;,&quot;abstract&quot;:&quot;Phase change materials (PCMs) are an effective thermal mass and their integration into the structure of a building can reduce the ongoing costs of building operation, such as daily heating/cooling. PCMs as a thermal mass can absorb and retard heat loss to the building interior, maintaining comfort in the building. Although a large number of PCMs have been reported in the literature, only a handful of them, with their respective advantages and disadvantages, are suitable for building wall construction. Based on the information available in the literature, a critical evaluation of PCMs was performed in this paper, focusing on two aspects: (i) PCMs for building wall applications and (ii) the inclusion of PCMs in building wall applications. Four different PCMs, namely paraffin wax, fatty acids, hydrated salts, and butyl stearate, were identified as being the most suitable for building wall applications and these are explained in detail in terms of their physical and thermal properties. Although there are several PCM encapsulation techniques, the direct application of PCM in concrete admixtures is the most economical method to keep costs within manageable limits. However, care should be taken to ensure that PCM does not leak or drip from the building wall.&quot;,&quot;publisher&quot;:&quot;Multidisciplinary Digital Publishing Institute&quot;,&quot;issue&quot;:&quot;18&quot;,&quot;volume&quot;:&quot;14&quot;,&quot;container-title-short&quot;:&quot;&quot;},&quot;isTemporary&quot;:false},{&quot;id&quot;:&quot;bb4b0011-d4a7-3923-ab0c-5369014ec7f5&quot;,&quot;itemData&quot;:{&quot;type&quot;:&quot;article-journal&quot;,&quot;id&quot;:&quot;bb4b0011-d4a7-3923-ab0c-5369014ec7f5&quot;,&quot;title&quot;:&quot;Thermal energy management in buildings and constructions with phase change material-epoxy composites: a review&quot;,&quot;author&quot;:[{&quot;family&quot;:&quot;Amberkar&quot;,&quot;given&quot;:&quot;Tejashree&quot;,&quot;parse-names&quot;:false,&quot;dropping-particle&quot;:&quot;&quot;,&quot;non-dropping-particle&quot;:&quot;&quot;},{&quot;family&quot;:&quot;Mahanwar&quot;,&quot;given&quot;:&quot;Prakash&quot;,&quot;parse-names&quot;:false,&quot;dropping-particle&quot;:&quot;&quot;,&quot;non-dropping-particle&quot;:&quot;&quot;}],&quot;container-title&quot;:&quot;https://doi.org/10.1080/15567036.2023.2171514&quot;,&quot;accessed&quot;:{&quot;date-parts&quot;:[[2023,3,13]]},&quot;DOI&quot;:&quot;10.1080/15567036.2023.2171514&quot;,&quot;ISSN&quot;:&quot;1556-7036&quot;,&quot;URL&quot;:&quot;https://www.tandfonline.com/doi/abs/10.1080/15567036.2023.2171514&quot;,&quot;issued&quot;:{&quot;date-parts&quot;:[[2023,12,31]]},&quot;page&quot;:&quot;727-761&quot;,&quot;abstract&quot;:&quot;The research has shown that combining phase change materials (PCMs) in construction materials improves thermal performance and longevity of construction. PCM absorbs latent heat of phase transition...&quot;,&quot;publisher&quot;:&quot;Taylor &amp; Francis&quot;,&quot;issue&quot;:&quot;1&quot;,&quot;volume&quot;:&quot;45&quot;,&quot;container-title-short&quot;:&quot;&quot;},&quot;isTemporary&quot;:false},{&quot;id&quot;:&quot;e147ceef-ee4b-3a0d-a362-f8f3397f606a&quot;,&quot;itemData&quot;:{&quot;type&quot;:&quot;article-journal&quot;,&quot;id&quot;:&quot;e147ceef-ee4b-3a0d-a362-f8f3397f606a&quot;,&quot;title&quot;:&quot;Energy storage using phase change materials - Challenges and opportunities for power savings in residential buildings&quot;,&quot;author&quot;:[{&quot;family&quot;:&quot;Rahman&quot;,&quot;given&quot;:&quot;Muhammad Mustafizur&quot;,&quot;parse-names&quot;:false,&quot;dropping-particle&quot;:&quot;&quot;,&quot;non-dropping-particle&quot;:&quot;&quot;},{&quot;family&quot;:&quot;Habib&quot;,&quot;given&quot;:&quot;Md Ahsan&quot;,&quot;parse-names&quot;:false,&quot;dropping-particle&quot;:&quot;&quot;,&quot;non-dropping-particle&quot;:&quot;&quot;}],&quot;container-title&quot;:&quot;AIP Conference Proceedings&quot;,&quot;container-title-short&quot;:&quot;AIP Conf Proc&quot;,&quot;accessed&quot;:{&quot;date-parts&quot;:[[2023,3,13]]},&quot;DOI&quot;:&quot;10.1063/5.0117296&quot;,&quot;ISBN&quot;:&quot;9780735442573&quot;,&quot;ISSN&quot;:&quot;0094-243X&quot;,&quot;URL&quot;:&quot;https://aip.scitation.org/doi/abs/10.1063/5.0117296&quot;,&quot;issued&quot;:{&quot;date-parts&quot;:[[2022,11,17]]},&quot;page&quot;:&quot;020054&quot;,&quot;abstract&quot;:&quot;The energy consumption in residential buildings is mainly combined with the interior environment's heating and cooling energy demand. One solution is to reduce these energy consumptions by implemen...&quot;,&quot;publisher&quot;:&quot;AIP Publishing LLCAIP Publishing&quot;,&quot;issue&quot;:&quot;1&quot;,&quot;volume&quot;:&quot;2681&quot;},&quot;isTemporary&quot;:false},{&quot;id&quot;:&quot;8e93e8f0-a381-3c9e-b0e3-fc3a61472b49&quot;,&quot;itemData&quot;:{&quot;type&quot;:&quot;article-journal&quot;,&quot;id&quot;:&quot;8e93e8f0-a381-3c9e-b0e3-fc3a61472b49&quot;,&quot;title&quot;:&quot;Recent advancements in latent heat phase change materials and their applications for thermal energy storage and buildings: A state of the art review&quot;,&quot;author&quot;:[{&quot;family&quot;:&quot;Hassan&quot;,&quot;given&quot;:&quot;Faisal&quot;,&quot;parse-names&quot;:false,&quot;dropping-particle&quot;:&quot;&quot;,&quot;non-dropping-particle&quot;:&quot;&quot;},{&quot;family&quot;:&quot;Jamil&quot;,&quot;given&quot;:&quot;Furqan&quot;,&quot;parse-names&quot;:false,&quot;dropping-particle&quot;:&quot;&quot;,&quot;non-dropping-particle&quot;:&quot;&quot;},{&quot;family&quot;:&quot;Hussain&quot;,&quot;given&quot;:&quot;Abid&quot;,&quot;parse-names&quot;:false,&quot;dropping-particle&quot;:&quot;&quot;,&quot;non-dropping-particle&quot;:&quot;&quot;},{&quot;family&quot;:&quot;Ali&quot;,&quot;given&quot;:&quot;Hafiz Muhammad&quot;,&quot;parse-names&quot;:false,&quot;dropping-particle&quot;:&quot;&quot;,&quot;non-dropping-particle&quot;:&quot;&quot;},{&quot;family&quot;:&quot;Janjua&quot;,&quot;given&quot;:&quot;Muhammad Mansoor&quot;,&quot;parse-names&quot;:false,&quot;dropping-particle&quot;:&quot;&quot;,&quot;non-dropping-particle&quot;:&quot;&quot;},{&quot;family&quot;:&quot;Khushnood&quot;,&quot;given&quot;:&quot;Shahab&quot;,&quot;parse-names&quot;:false,&quot;dropping-particle&quot;:&quot;&quot;,&quot;non-dropping-particle&quot;:&quot;&quot;},{&quot;family&quot;:&quot;Farhan&quot;,&quot;given&quot;:&quot;Muhammad&quot;,&quot;parse-names&quot;:false,&quot;dropping-particle&quot;:&quot;&quot;,&quot;non-dropping-particle&quot;:&quot;&quot;},{&quot;family&quot;:&quot;Altaf&quot;,&quot;given&quot;:&quot;Khurram&quot;,&quot;parse-names&quot;:false,&quot;dropping-particle&quot;:&quot;&quot;,&quot;non-dropping-particle&quot;:&quot;&quot;},{&quot;family&quot;:&quot;Said&quot;,&quot;given&quot;:&quot;Zafar&quot;,&quot;parse-names&quot;:false,&quot;dropping-particle&quot;:&quot;&quot;,&quot;non-dropping-particle&quot;:&quot;&quot;},{&quot;family&quot;:&quot;Li&quot;,&quot;given&quot;:&quot;Changhe&quot;,&quot;parse-names&quot;:false,&quot;dropping-particle&quot;:&quot;&quot;,&quot;non-dropping-particle&quot;:&quot;&quot;}],&quot;container-title&quot;:&quot;Sustainable Energy Technologies and Assessments&quot;,&quot;accessed&quot;:{&quot;date-parts&quot;:[[2023,3,13]]},&quot;DOI&quot;:&quot;10.1016/J.SETA.2021.101646&quot;,&quot;ISSN&quot;:&quot;2213-1388&quot;,&quot;issued&quot;:{&quot;date-parts&quot;:[[2022,2,1]]},&quot;page&quot;:&quot;101646&quot;,&quot;abstract&quot;:&quot;Phase change materials (PCMs) have received substantial interest for their ability to store and release latent heat for energy conservation and thermal control purposes. PCMs are available in a variety of latent heat and melting points but their performance is low due to low value of thermal conductivity which limits its usage. The addition of highly thermal conductivity nanoparticles, porous metal foams and encapsulation methods have been used to address this issue and try to fix the low thermal conductivity of PCMs which is broadly discussed in this manuscript. The ability of PCM to store and release the thermal energy prompted the researchers to use it in potential applications. The energy retained and emitted by PCMs may be used for a variety of purposes, such as in photovoltaic (PV) panels, thermoelectric generators, building air-conditioning, air and water heating systems, heat exchangers, desalination solar stills, textiles, thermal management of electronic equipment and batteries and food packaging. Therefore, in this review, first the advancements in thermal properties of PCMs are thoroughly discussed in terms of enhancement in melting and solidification rates. After that, the use of PCMs in various applications is then explored, and conclusions are drawn accordingly. Based on analysis of recent literature, it was discovered that the phase transition temperature, phase transition enthalpy and thermal conductivity are three important parameters for the selection of an appropriate PCM for use in various applications. The current status of these advanced energy storage materials is also presented in this review. Lastly, some challenges and future recommendation are also proposed for future researchers which will bring a revolution in thermal management field.&quot;,&quot;publisher&quot;:&quot;Elsevier&quot;,&quot;volume&quot;:&quot;49&quot;,&quot;container-title-short&quot;:&quot;&quot;},&quot;isTemporary&quot;:false},{&quot;id&quot;:&quot;ad84d926-3986-3f3a-8898-9c867a401197&quot;,&quot;itemData&quot;:{&quot;type&quot;:&quot;article-journal&quot;,&quot;id&quot;:&quot;ad84d926-3986-3f3a-8898-9c867a401197&quot;,&quot;title&quot;:&quot;Current, Projected Performance and Costs of Thermal Energy Storage&quot;,&quot;author&quot;:[{&quot;family&quot;:&quot;Jon Chua&quot;,&quot;given&quot;:&quot;Kian&quot;,&quot;parse-names&quot;:false,&quot;dropping-particle&quot;:&quot;&quot;,&quot;non-dropping-particle&quot;:&quot;&quot;},{&quot;family&quot;:&quot;Pompei&quot;,&quot;given&quot;:&quot;Laura&quot;,&quot;parse-names&quot;:false,&quot;dropping-particle&quot;:&quot;&quot;,&quot;non-dropping-particle&quot;:&quot;&quot;},{&quot;family&quot;:&quot;Nardecchia&quot;,&quot;given&quot;:&quot;Fabio&quot;,&quot;parse-names&quot;:false,&quot;dropping-particle&quot;:&quot;&quot;,&quot;non-dropping-particle&quot;:&quot;&quot;},{&quot;family&quot;:&quot;Miliozzi&quot;,&quot;given&quot;:&quot;Adio&quot;,&quot;parse-names&quot;:false,&quot;dropping-particle&quot;:&quot;&quot;,&quot;non-dropping-particle&quot;:&quot;&quot;}],&quot;container-title&quot;:&quot;Processes 2023, Vol. 11, Page 729&quot;,&quot;accessed&quot;:{&quot;date-parts&quot;:[[2023,3,13]]},&quot;DOI&quot;:&quot;10.3390/PR11030729&quot;,&quot;ISSN&quot;:&quot;2227-9717&quot;,&quot;URL&quot;:&quot;https://www.mdpi.com/2227-9717/11/3/729/htm&quot;,&quot;issued&quot;:{&quot;date-parts&quot;:[[2023,2,28]]},&quot;page&quot;:&quot;729&quot;,&quot;abstract&quot;:&quot;The technology for storing thermal energy as sensible heat, latent heat, or thermochemical energy has greatly evolved in recent years, and it is expected to grow up to about 10.1 billion US dollars by 2027. A thermal energy storage (TES) system can significantly improve industrial energy efficiency and eliminate the need for additional energy supply in commercial and residential applications. This study is a first-of-its-kind specific review of the current projected performance and costs of thermal energy storage. This paper presents an overview of the main typologies of sensible heat (SH-TES), latent heat (LH-TES), and thermochemical energy (TCS) as well as their application in European countries. With regard to future challenges, the installation of TES systems in buildings is being implemented at a rate of 5%; cogeneration application with TES is attested to 10.2%; TES installation in the industry sector accounts for 5% of the final energy consumption. From the market perspective, the share of TES is expected to be dominated by SH-TES technologies due to their residential and industrial applications. With regard to the cost, the SH-TES system is typically more affordable than the LH-TES system or the TCS system because it consists of a simple tank containing the medium and the charging/discharging equipment.&quot;,&quot;publisher&quot;:&quot;Multidisciplinary Digital Publishing Institute&quot;,&quot;issue&quot;:&quot;3&quot;,&quot;volume&quot;:&quot;11&quot;,&quot;container-title-short&quot;:&quot;&quot;},&quot;isTemporary&quot;:false}]},{&quot;citationID&quot;:&quot;MENDELEY_CITATION_2e764feb-1acb-4bfd-8eba-098d1f9c2604&quot;,&quot;properties&quot;:{&quot;noteIndex&quot;:0},&quot;isEdited&quot;:false,&quot;manualOverride&quot;:{&quot;isManuallyOverridden&quot;:false,&quot;citeprocText&quot;:&quot;[13]–[16]&quot;,&quot;manualOverrideText&quot;:&quot;&quot;},&quot;citationTag&quot;:&quot;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&quot;,&quot;citationItems&quot;:[{&quot;id&quot;:&quot;e8bbd9b8-d092-30cf-9a33-ab405d011c59&quot;,&quot;itemData&quot;:{&quot;type&quot;:&quot;article-journal&quot;,&quot;id&quot;:&quot;e8bbd9b8-d092-30cf-9a33-ab405d011c59&quot;,&quot;title&quot;:&quot;Phase Change Material Evolution in Thermal Energy Storage Systems for the Building Sector, with a Focus on Ground-Coupled Heat Pumps&quot;,&quot;author&quot;:[{&quot;family&quot;:&quot;Barbi&quot;,&quot;given&quot;:&quot;Silvia&quot;,&quot;parse-names&quot;:false,&quot;dropping-particle&quot;:&quot;&quot;,&quot;non-dropping-particle&quot;:&quot;&quot;},{&quot;family&quot;:&quot;Barbieri&quot;,&quot;given&quot;:&quot;Francesco&quot;,&quot;parse-names&quot;:false,&quot;dropping-particle&quot;:&quot;&quot;,&quot;non-dropping-particle&quot;:&quot;&quot;},{&quot;family&quot;:&quot;Marinelli&quot;,&quot;given&quot;:&quot;Simona&quot;,&quot;parse-names&quot;:false,&quot;dropping-particle&quot;:&quot;&quot;,&quot;non-dropping-particle&quot;:&quot;&quot;},{&quot;family&quot;:&quot;Rimini&quot;,&quot;given&quot;:&quot;Bianca&quot;,&quot;parse-names&quot;:false,&quot;dropping-particle&quot;:&quot;&quot;,&quot;non-dropping-particle&quot;:&quot;&quot;},{&quot;family&quot;:&quot;Merchiori&quot;,&quot;given&quot;:&quot;Sebastiano&quot;,&quot;parse-names&quot;:false,&quot;dropping-particle&quot;:&quot;&quot;,&quot;non-dropping-particle&quot;:&quot;&quot;},{&quot;family&quot;:&quot;Bottarelli&quot;,&quot;given&quot;:&quot;Michele&quot;,&quot;parse-names&quot;:false,&quot;dropping-particle&quot;:&quot;&quot;,&quot;non-dropping-particle&quot;:&quot;&quot;},{&quot;family&quot;:&quot;Montorsi&quot;,&quot;given&quot;:&quot;Monia&quot;,&quot;parse-names&quot;:false,&quot;dropping-particle&quot;:&quot;&quot;,&quot;non-dropping-particle&quot;:&quot;&quot;}],&quot;container-title&quot;:&quot;Polymers 2022, Vol. 14, Page 620&quot;,&quot;accessed&quot;:{&quot;date-parts&quot;:[[2023,3,13]]},&quot;DOI&quot;:&quot;10.3390/POLYM14030620&quot;,&quot;ISSN&quot;:&quot;2073-4360&quot;,&quot;URL&quot;:&quot;https://www.mdpi.com/2073-4360/14/3/620/htm&quot;,&quot;issued&quot;:{&quot;date-parts&quot;:[[2022,2,5]]},&quot;page&quot;:&quot;620&quot;,&quot;abstract&quot;:&quot;The building sector is responsible for a third of the global energy consumption and a quarter of greenhouse gas emissions. Phase change materials (PCMs) have shown high potential for latent thermal energy storage (LTES) through their integration in building materials, with the aim of enhancing the efficient use of energy. Although research on PCMs began decades ago, this technology is still far from being widespread. This work analyses the main contributions to the employment of PCMs in the building sector, to better understand the motivations behind the restricted employment of PCM-based LTES technologies. The main research and review studies are critically discussed, focusing on: strategies used to regulate indoor thermal conditions, the variation of mechanical properties in PCMs-based mortars and cements, and applications with ground-coupled heat pumps. The employment of materials obtained from wastes and natural sources was also taken in account as a possible key to developing composite materials with good performance and sustainability at the same time. As a result, the integration of PCMs in LTES is still in its early stages, but reveals high potential for employment in the building sector, thanks to the continuous design improvement and optimization driven by high-performance materials and a new way of coupling with tailored envelopes.&quot;,&quot;publisher&quot;:&quot;Multidisciplinary Digital Publishing Institute&quot;,&quot;issue&quot;:&quot;3&quot;,&quot;volume&quot;:&quot;14&quot;,&quot;container-title-short&quot;:&quot;&quot;},&quot;isTemporary&quot;:false},{&quot;id&quot;:&quot;951055c1-d774-366b-a465-8d99d35d0ec1&quot;,&quot;itemData&quot;:{&quot;type&quot;:&quot;article-journal&quot;,&quot;id&quot;:&quot;951055c1-d774-366b-a465-8d99d35d0ec1&quot;,&quot;title&quot;:&quot;Thermal energy storage in buildings: opportunities and challenges&quot;,&quot;author&quot;:[{&quot;family&quot;:&quot;Deka&quot;,&quot;given&quot;:&quot;Priyam&quot;,&quot;parse-names&quot;:false,&quot;dropping-particle&quot;:&quot;&quot;,&quot;non-dropping-particle&quot;:&quot;&quot;},{&quot;family&quot;:&quot;Szlęk&quot;,&quot;given&quot;:&quot;Andrzej&quot;,&quot;parse-names&quot;:false,&quot;dropping-particle&quot;:&quot;&quot;,&quot;non-dropping-particle&quot;:&quot;&quot;},{&quot;family&quot;:&quot;Deka&quot;,&quot;given&quot;:&quot;P&quot;,&quot;parse-names&quot;:false,&quot;dropping-particle&quot;:&quot;&quot;,&quot;non-dropping-particle&quot;:&quot;&quot;},{&quot;family&quot;:&quot;Szlęk&quot;,&quot;given&quot;:&quot;A&quot;,&quot;parse-names&quot;:false,&quot;dropping-particle&quot;:&quot;&quot;,&quot;non-dropping-particle&quot;:&quot;&quot;}],&quot;container-title&quot;:&quot;journals.pan.pl&quot;,&quot;accessed&quot;:{&quot;date-parts&quot;:[[2023,3,13]]},&quot;DOI&quot;:&quot;10.24425/ather.2022.144405&quot;,&quot;URL&quot;:&quot;https://journals.pan.pl/Content/126300/PDF/art02_int.pdf&quot;,&quot;issued&quot;:{&quot;date-parts&quot;:[[2022]]},&quot;page&quot;:&quot;21-61&quot;,&quot;abstract&quot;:&quot;The energy sector is a majorarea that is responsible for the country development. Almost 40% of the total energy requirement of an EU country is consumed by the building sector and 60% of which is only used for heating and cooling requirements. This is a prime concern as fossil fuel stocks are depleting and global warming is rising. This is where thermal energy storage can play a major role and reduce the dependence on the use of fossil fuels for energy requirements (heating and cooling) of the building sector. Thermal energy storage refers to the technology which is related to the transfer and storage of heat energy predominantly from solar radiation, alternatively to the transfer and storage of cold from the environment to maintain a comfortable temperature for the inhabitants in the buildings by providing cold in the summer and heat in the winter. This work is an extensive study on the use of thermal energy storage in buildings. It discusses different methods of implementing thermal energy storage into buildings, specifically the use of phase change materials, and also highlights the challenges and opportunities related to implementing this technology. Moreover, this work explains the principles of different types and methods involved in thermal energy storage.&quot;,&quot;issue&quot;:&quot;4&quot;,&quot;volume&quot;:&quot;43&quot;,&quot;container-title-short&quot;:&quot;&quot;},&quot;isTemporary&quot;:false},{&quot;id&quot;:&quot;53e660ce-5e68-307f-8981-01d99f052903&quot;,&quot;itemData&quot;:{&quot;type&quot;:&quot;article-journal&quot;,&quot;id&quot;:&quot;53e660ce-5e68-307f-8981-01d99f052903&quot;,&quot;title&quot;:&quot;Experimental performance analysis of a dual source heat pump integrated with thermal energy storage&quot;,&quot;author&quot;:[{&quot;family&quot;:&quot;Wang&quot;,&quot;given&quot;:&quot;Lingshi&quot;,&quot;parse-names&quot;:false,&quot;dropping-particle&quot;:&quot;&quot;,&quot;non-dropping-particle&quot;:&quot;&quot;},{&quot;family&quot;:&quot;Liu&quot;,&quot;given&quot;:&quot;Xiaobing&quot;,&quot;parse-names&quot;:false,&quot;dropping-particle&quot;:&quot;&quot;,&quot;non-dropping-particle&quot;:&quot;&quot;},{&quot;family&quot;:&quot;Shen&quot;,&quot;given&quot;:&quot;Bo&quot;,&quot;parse-names&quot;:false,&quot;dropping-particle&quot;:&quot;&quot;,&quot;non-dropping-particle&quot;:&quot;&quot;},{&quot;family&quot;:&quot;Liu&quot;,&quot;given&quot;:&quot;Xiaoli&quot;,&quot;parse-names&quot;:false,&quot;dropping-particle&quot;:&quot;&quot;,&quot;non-dropping-particle&quot;:&quot;&quot;},{&quot;family&quot;:&quot;Gehl&quot;,&quot;given&quot;:&quot;Anthony&quot;,&quot;parse-names&quot;:false,&quot;dropping-particle&quot;:&quot;&quot;,&quot;non-dropping-particle&quot;:&quot;&quot;},{&quot;family&quot;:&quot;Shi&quot;,&quot;given&quot;:&quot;Liang&quot;,&quot;parse-names&quot;:false,&quot;dropping-particle&quot;:&quot;&quot;,&quot;non-dropping-particle&quot;:&quot;&quot;},{&quot;family&quot;:&quot;Qu&quot;,&quot;given&quot;:&quot;Ming&quot;,&quot;parse-names&quot;:false,&quot;dropping-particle&quot;:&quot;&quot;,&quot;non-dropping-particle&quot;:&quot;&quot;}],&quot;accessed&quot;:{&quot;date-parts&quot;:[[2023,3,13]]},&quot;DOI&quot;:&quot;10.22488/OKSTATE.22.000036&quot;,&quot;URL&quot;:&quot;https://shareok.org/handle/11244/336851&quot;,&quot;issued&quot;:{&quot;date-parts&quot;:[[2022,12,4]]},&quot;abstract&quot;:&quot;To mitigate disturbances to the electric grid resulting from the growing penetration of intermittent and decentralized renewable generation, a dual-source (air source and ground source) heat pump (DSHP) integrated with thermal energy storage (TES) was developed. The DSHP can use either ambient air or the shallow subsurface of the ground to provide space heating or space cooling to the building as the conventional heat pump and produce hot/cold water for charging TES. Using dual sources (air and ground) can reduce the required size of the expensive ground heat exchangers while retaining high energy efficiency. During the off-peak period, the DSHP cools/heats the TES with low-cost electricity or overproduced renewable power. The stored cooling/heating energy in the TES is released during peak hours of the electric grid to meet the thermal demands of the building without consuming electricity to run the DSHP. A 2-ton (7 kW) prototype DSHP was developed and integrated with a 50-gallon (189 L) TES tank filled with a phase change material. Field tests were conducted to characterize the performance of the integrated system operating in various operation modes.&quot;,&quot;publisher&quot;:&quot;International Ground Source Heat Pump Association&quot;,&quot;container-title-short&quot;:&quot;&quot;},&quot;isTemporary&quot;:false},{&quot;id&quot;:&quot;958bd170-6c73-3a9c-94c8-2ea4b60d027f&quot;,&quot;itemData&quot;:{&quot;type&quot;:&quot;article-journal&quot;,&quot;id&quot;:&quot;958bd170-6c73-3a9c-94c8-2ea4b60d027f&quot;,&quot;title&quot;:&quot;Performance analysis of novel thermal storage integrated heat pump system in a residential building at the hot climate for demand flexibility&quot;,&quot;author&quot;:[{&quot;family&quot;:&quot;Shi&quot;,&quot;given&quot;:&quot;L&quot;,&quot;parse-names&quot;:false,&quot;dropping-particle&quot;:&quot;&quot;,&quot;non-dropping-particle&quot;:&quot;&quot;},{&quot;family&quot;:&quot;Liu&quot;,&quot;given&quot;:&quot;X&quot;,&quot;parse-names&quot;:false,&quot;dropping-particle&quot;:&quot;&quot;,&quot;non-dropping-particle&quot;:&quot;&quot;},{&quot;family&quot;:&quot;Qu&quot;,&quot;given&quot;:&quot;M&quot;,&quot;parse-names&quot;:false,&quot;dropping-particle&quot;:&quot;&quot;,&quot;non-dropping-particle&quot;:&quot;&quot;},{&quot;family&quot;:&quot;Shen&quot;,&quot;given&quot;:&quot;B&quot;,&quot;parse-names&quot;:false,&quot;dropping-particle&quot;:&quot;&quot;,&quot;non-dropping-particle&quot;:&quot;&quot;}],&quot;accessed&quot;:{&quot;date-parts&quot;:[[2023,3,13]]},&quot;URL&quot;:&quot;https://www.osti.gov/biblio/1877462&quot;,&quot;issued&quot;:{&quot;date-parts&quot;:[[2022]]},&quot;container-title-short&quot;:&quot;&quot;},&quot;isTemporary&quot;:false}]},{&quot;citationID&quot;:&quot;MENDELEY_CITATION_2ae98560-ac05-45ad-a5da-2614aa3cfd51&quot;,&quot;properties&quot;:{&quot;noteIndex&quot;:0},&quot;isEdited&quot;:false,&quot;manualOverride&quot;:{&quot;isManuallyOverridden&quot;:false,&quot;citeprocText&quot;:&quot;[17]–[19]&quot;,&quot;manualOverrideText&quot;:&quot;&quot;},&quot;citationTag&quot;:&quot;MENDELEY_CITATION_v3_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&quot;,&quot;citationItems&quot;:[{&quot;id&quot;:&quot;c6642f1d-1992-36dd-bbb7-42ecc533bd36&quot;,&quot;itemData&quot;:{&quot;type&quot;:&quot;article-journal&quot;,&quot;id&quot;:&quot;c6642f1d-1992-36dd-bbb7-42ecc533bd36&quot;,&quot;title&quot;:&quot;Simulation and experiment of a photovoltaic—air source heat pump system with thermal energy storage for heating and domestic hot water supply&quot;,&quot;author&quot;:[{&quot;family&quot;:&quot;Da&quot;,&quot;given&quot;:&quot;Junyu&quot;,&quot;parse-names&quot;:false,&quot;dropping-particle&quot;:&quot;&quot;,&quot;non-dropping-particle&quot;:&quot;&quot;},{&quot;family&quot;:&quot;Li&quot;,&quot;given&quot;:&quot;Ming&quot;,&quot;parse-names&quot;:false,&quot;dropping-particle&quot;:&quot;&quot;,&quot;non-dropping-particle&quot;:&quot;&quot;},{&quot;family&quot;:&quot;Li&quot;,&quot;given&quot;:&quot;Guoliang&quot;,&quot;parse-names&quot;:false,&quot;dropping-particle&quot;:&quot;&quot;,&quot;non-dropping-particle&quot;:&quot;&quot;},{&quot;family&quot;:&quot;Wang&quot;,&quot;given&quot;:&quot;Yunfeng&quot;,&quot;parse-names&quot;:false,&quot;dropping-particle&quot;:&quot;&quot;,&quot;non-dropping-particle&quot;:&quot;&quot;},{&quot;family&quot;:&quot;Zhang&quot;,&quot;given&quot;:&quot;Ying&quot;,&quot;parse-names&quot;:false,&quot;dropping-particle&quot;:&quot;&quot;,&quot;non-dropping-particle&quot;:&quot;&quot;}],&quot;container-title&quot;:&quot;Building Simulation&quot;,&quot;container-title-short&quot;:&quot;Build Simul&quot;,&quot;accessed&quot;:{&quot;date-parts&quot;:[[2023,3,13]]},&quot;DOI&quot;:&quot;10.1007/S12273-022-0960-6/METRICS&quot;,&quot;ISSN&quot;:&quot;19968744&quot;,&quot;URL&quot;:&quot;https://link.springer.com/article/10.1007/s12273-022-0960-6&quot;,&quot;issued&quot;:{&quot;date-parts&quot;:[[2023,1,19]]},&quot;page&quot;:&quot;1-17&quot;,&quot;abstract&quot;:&quot;For China, the development of low-energy buildings is one of the necessary routes for achieving carbon neutrality. Combining photovoltaic (PV) with air source heat pump (ASHP) yields a great potential in providing heating and domestic hot water (DHW) supply in non-central heating areas. However, the diurnal and seasonal inconsistencies between solar availability and building heat load can severely affect the efficacy of solar energy systems. This study creates and numerically simulates a PV-ASHP system with thermal energy storage (TES) in transient system simulation software, TRNSYS. Experimental studies are conducted to validate the simulation model. The system’s yearly operational characteristics are simulated to reveal the energy conversion relationship between the system’s thermoelectric storage and heating and DHW demand. The results show that the synergy between heating and DHW simultaneously improves the direct utilization of solar energy compared to single heating. The yearly self-consumption and self-satisfaction rates of PV and the COP of the ASHP increase by 131.25%, 10.53% and 9.56%, respectively. Solar energy contributes 55.54% to the system, with a PV capacity of 82 W per square meter of building area. This study provides fresh approaches to developing flexible building-integrated PV-ASHP technologies and balance of the energy exchange among the PV, building load and TES.&quot;,&quot;publisher&quot;:&quot;Tsinghua University&quot;},&quot;isTemporary&quot;:false},{&quot;id&quot;:&quot;812787b1-871e-377d-acd9-63cd5a23fd63&quot;,&quot;itemData&quot;:{&quot;type&quot;:&quot;article-journal&quot;,&quot;id&quot;:&quot;812787b1-871e-377d-acd9-63cd5a23fd63&quot;,&quot;title&quot;:&quot;Energy-saving potential of compression heat pump using thermal energy storage of phase change materials for cooling and heating applications&quot;,&quot;author&quot;:[{&quot;family&quot;:&quot;Gado&quot;,&quot;given&quot;:&quot;Mohamed G.&quot;,&quot;parse-names&quot;:false,&quot;dropping-particle&quot;:&quot;&quot;,&quot;non-dropping-particle&quot;:&quot;&quot;},{&quot;family&quot;:&quot;Hassan&quot;,&quot;given&quot;:&quot;Hamdy&quot;,&quot;parse-names&quot;:false,&quot;dropping-particle&quot;:&quot;&quot;,&quot;non-dropping-particle&quot;:&quot;&quot;}],&quot;container-title&quot;:&quot;Energy&quot;,&quot;accessed&quot;:{&quot;date-parts&quot;:[[2023,3,13]]},&quot;DOI&quot;:&quot;10.1016/J.ENERGY.2022.126046&quot;,&quot;ISSN&quot;:&quot;0360-5442&quot;,&quot;issued&quot;:{&quot;date-parts&quot;:[[2023,1,15]]},&quot;page&quot;:&quot;126046&quot;,&quot;abstract&quot;:&quot;This study highlights the PCM potential application with heat pump (HP) throughout the year under Egypt's climatic conditions. In summer, the stored cooling energy at night is used inside the hot space to reduce the HP cooling load during the daytime. However, in winter, the hot storage energy inside the PCM during the daytime reduces the HP heating load at night. RT 18 HC of 17–19 °C phase change temperature is employed in building space for summer and winter, respectively. Mathematical modeling of PCM-based HP system is developed using MATLAB-Simulink and validated with literature. During summer, results demonstrate that PCM-based HP, under forced convection, significantly attains 4.6% electricity saving compared to HP without PCM. Increasing outdoor temperature from 35 to 40 °C dwindles the average cooling capacity and COP from 2.8 kW and 12 to 2.6 kW and 8, respectively. There is a remarkable distinction when adopting natural convection over PCM platers rather than forced convection counterpart, highlighting 8.6% electricity saving, at 35 °C ambient temperature. In winter, incorporating the same PCM inside the conditioned room reduces the energy-saving potential by 1.4%, under natural convection. PCM-based HP attains a substantial payback period of 7.9 years and carbon dioxide mitigation of 7.5 kg/year.&quot;,&quot;publisher&quot;:&quot;Pergamon&quot;,&quot;volume&quot;:&quot;263&quot;,&quot;container-title-short&quot;:&quot;&quot;},&quot;isTemporary&quot;:false},{&quot;id&quot;:&quot;a6ff469d-34cf-3b95-a793-34d82207cff6&quot;,&quot;itemData&quot;:{&quot;type&quot;:&quot;article-journal&quot;,&quot;id&quot;:&quot;a6ff469d-34cf-3b95-a793-34d82207cff6&quot;,&quot;title&quot;:&quot;A Framework for Analyzing Widespread Grid Intervening Technologies: A Case Study of Heat Pump-Integrated Thermal Energy Storage Systems in Buildings&quot;,&quot;author&quot;:[{&quot;family&quot;:&quot;Hirschey&quot;,&quot;given&quot;:&quot;J&quot;,&quot;parse-names&quot;:false,&quot;dropping-particle&quot;:&quot;&quot;,&quot;non-dropping-particle&quot;:&quot;&quot;},{&quot;family&quot;:&quot;Simmons&quot;,&quot;given&quot;:&quot;R&quot;,&quot;parse-names&quot;:false,&quot;dropping-particle&quot;:&quot;&quot;,&quot;non-dropping-particle&quot;:&quot;&quot;},{&quot;family&quot;:&quot;Laclair&quot;,&quot;given&quot;:&quot;T&quot;,&quot;parse-names&quot;:false,&quot;dropping-particle&quot;:&quot;&quot;,&quot;non-dropping-particle&quot;:&quot;&quot;},{&quot;family&quot;:&quot;Gluesenkamp&quot;,&quot;given&quot;:&quot;K&quot;,&quot;parse-names&quot;:false,&quot;dropping-particle&quot;:&quot;&quot;,&quot;non-dropping-particle&quot;:&quot;&quot;}],&quot;accessed&quot;:{&quot;date-parts&quot;:[[2023,3,13]]},&quot;URL&quot;:&quot;https://www.osti.gov/servlets/purl/1876256&quot;,&quot;issued&quot;:{&quot;date-parts&quot;:[[2022]]},&quot;container-title-short&quot;:&quot;&quot;},&quot;isTemporary&quot;:false}]},{&quot;citationID&quot;:&quot;MENDELEY_CITATION_1b7436e5-413b-4fd7-97dc-548fcc408d02&quot;,&quot;properties&quot;:{&quot;noteIndex&quot;:0},&quot;isEdited&quot;:false,&quot;manualOverride&quot;:{&quot;isManuallyOverridden&quot;:false,&quot;citeprocText&quot;:&quot;[20]–[22]&quot;,&quot;manualOverrideText&quot;:&quot;&quot;},&quot;citationTag&quot;:&quot;MENDELEY_CITATION_v3_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&quot;,&quot;citationItems&quot;:[{&quot;id&quot;:&quot;a4f1ad57-419a-3b28-8f88-b4a4e83a691d&quot;,&quot;itemData&quot;:{&quot;type&quot;:&quot;article-journal&quot;,&quot;id&quot;:&quot;a4f1ad57-419a-3b28-8f88-b4a4e83a691d&quot;,&quot;title&quot;:&quot;PCM Material Selection For Heat Pump Integrated With Thermal Energy Storage For Demand Response in Residential Buildings&quot;,&quot;author&quot;:[{&quot;family&quot;:&quot;Sultan&quot;,&quot;given&quot;:&quot;Sara&quot;,&quot;parse-names&quot;:false,&quot;dropping-particle&quot;:&quot;&quot;,&quot;non-dropping-particle&quot;:&quot;&quot;},{&quot;family&quot;:&quot;Turnaoglu&quot;,&quot;given&quot;:&quot;Tugba&quot;,&quot;parse-names&quot;:false,&quot;dropping-particle&quot;:&quot;&quot;,&quot;non-dropping-particle&quot;:&quot;&quot;},{&quot;family&quot;:&quot;Akamo&quot;,&quot;given&quot;:&quot;Damilola&quot;,&quot;parse-names&quot;:false,&quot;dropping-particle&quot;:&quot;&quot;,&quot;non-dropping-particle&quot;:&quot;&quot;},{&quot;family&quot;:&quot;Hirschey&quot;,&quot;given&quot;:&quot;Jason&quot;,&quot;parse-names&quot;:false,&quot;dropping-particle&quot;:&quot;&quot;,&quot;non-dropping-particle&quot;:&quot;&quot;},{&quot;family&quot;:&quot;Laclair&quot;,&quot;given&quot;:&quot;Tim&quot;,&quot;parse-names&quot;:false,&quot;dropping-particle&quot;:&quot;&quot;,&quot;non-dropping-particle&quot;:&quot;&quot;},{&quot;family&quot;:&quot;Liu&quot;,&quot;given&quot;:&quot;Xiaobing&quot;,&quot;parse-names&quot;:false,&quot;dropping-particle&quot;:&quot;&quot;,&quot;non-dropping-particle&quot;:&quot;&quot;},{&quot;family&quot;:&quot;Gluesenkamp&quot;,&quot;given&quot;:&quot;Kyle R.&quot;,&quot;parse-names&quot;:false,&quot;dropping-particle&quot;:&quot;&quot;,&quot;non-dropping-particle&quot;:&quot;&quot;}],&quot;container-title&quot;:&quot;International High Performance Buildings Conference&quot;,&quot;accessed&quot;:{&quot;date-parts&quot;:[[2023,1,19]]},&quot;URL&quot;:&quot;https://docs.lib.purdue.edu/ihpbc/427&quot;,&quot;issued&quot;:{&quot;date-parts&quot;:[[2022,7,14]]},&quot;container-title-short&quot;:&quot;&quot;},&quot;isTemporary&quot;:false},{&quot;id&quot;:&quot;897e1048-c2d5-34cf-9f73-49e0dc5f9a26&quot;,&quot;itemData&quot;:{&quot;type&quot;:&quot;article-journal&quot;,&quot;id&quot;:&quot;897e1048-c2d5-34cf-9f73-49e0dc5f9a26&quot;,&quot;title&quot;:&quot;Cold Climate Integrated Heat Pump&quot;,&quot;author&quot;:[{&quot;family&quot;:&quot;Shen&quot;,&quot;given&quot;:&quot;B&quot;,&quot;parse-names&quot;:false,&quot;dropping-particle&quot;:&quot;&quot;,&quot;non-dropping-particle&quot;:&quot;&quot;},{&quot;family&quot;:&quot;Munk&quot;,&quot;given&quot;:&quot;J&quot;,&quot;parse-names&quot;:false,&quot;dropping-particle&quot;:&quot;&quot;,&quot;non-dropping-particle&quot;:&quot;&quot;},{&quot;family&quot;:&quot;Gluesenkamp&quot;,&quot;given&quot;:&quot;K&quot;,&quot;parse-names&quot;:false,&quot;dropping-particle&quot;:&quot;&quot;,&quot;non-dropping-particle&quot;:&quot;&quot;}],&quot;accessed&quot;:{&quot;date-parts&quot;:[[2023,3,13]]},&quot;URL&quot;:&quot;https://www.osti.gov/biblio/1879942&quot;,&quot;issued&quot;:{&quot;date-parts&quot;:[[2022]]},&quot;container-title-short&quot;:&quot;&quot;},&quot;isTemporary&quot;:false},{&quot;id&quot;:&quot;df5bf95f-b24d-347b-84e0-f077c637df07&quot;,&quot;itemData&quot;:{&quot;type&quot;:&quot;article-journal&quot;,&quot;id&quot;:&quot;df5bf95f-b24d-347b-84e0-f077c637df07&quot;,&quot;title&quot;:&quot;Implications of Electrifying Residential Space Heating in Cold Climates with Heat Pumps, Envelope Improvements, and Thermal Storage&quot;,&quot;author&quot;:[{&quot;family&quot;:&quot;Mumme&quot;,&quot;given&quot;:&quot;S&quot;,&quot;parse-names&quot;:false,&quot;dropping-particle&quot;:&quot;&quot;,&quot;non-dropping-particle&quot;:&quot;&quot;},{&quot;family&quot;:&quot;Brown&quot;,&quot;given&quot;:&quot;F&quot;,&quot;parse-names&quot;:false,&quot;dropping-particle&quot;:&quot;&quot;,&quot;non-dropping-particle&quot;:&quot;&quot;},{&quot;family&quot;:&quot;Bass&quot;,&quot;given&quot;:&quot;B&quot;,&quot;parse-names&quot;:false,&quot;dropping-particle&quot;:&quot;&quot;,&quot;non-dropping-particle&quot;:&quot;&quot;},{&quot;family&quot;:&quot;Shen&quot;,&quot;given&quot;:&quot;B&quot;,&quot;parse-names&quot;:false,&quot;dropping-particle&quot;:&quot;&quot;,&quot;non-dropping-particle&quot;:&quot;&quot;},{&quot;family&quot;:&quot;Shrestha&quot;,&quot;given&quot;:&quot;S&quot;,&quot;parse-names&quot;:false,&quot;dropping-particle&quot;:&quot;&quot;,&quot;non-dropping-particle&quot;:&quot;&quot;}],&quot;accessed&quot;:{&quot;date-parts&quot;:[[2023,3,13]]},&quot;URL&quot;:&quot;https://www.osti.gov/servlets/purl/1885299&quot;,&quot;issued&quot;:{&quot;date-parts&quot;:[[2022]]},&quot;container-title-short&quot;:&quot;&quot;},&quot;isTemporary&quot;:false}]},{&quot;citationID&quot;:&quot;MENDELEY_CITATION_7a9ebf8c-4a42-42bd-8dc2-11f56ca5cdae&quot;,&quot;properties&quot;:{&quot;noteIndex&quot;:0},&quot;isEdited&quot;:false,&quot;manualOverride&quot;:{&quot;isManuallyOverridden&quot;:false,&quot;citeprocText&quot;:&quot;[23], [24]&quot;,&quot;manualOverrideText&quot;:&quot;&quot;},&quot;citationTag&quot;:&quot;MENDELEY_CITATION_v3_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&quot;,&quot;citationItems&quot;:[{&quot;id&quot;:&quot;a99d46fa-950a-3fd3-904d-7caca65d5bdc&quot;,&quot;itemData&quot;:{&quot;type&quot;:&quot;article-magazine&quot;,&quot;id&quot;:&quot;a99d46fa-950a-3fd3-904d-7caca65d5bdc&quot;,&quot;title&quot;:&quot;The State of Art of Heat-Pump integrated Thermal Energy Storage for Demand Response&quot;,&quot;author&quot;:[{&quot;family&quot;:&quot;Sultan&quot;,&quot;given&quot;:&quot;Sara&quot;,&quot;parse-names&quot;:false,&quot;dropping-particle&quot;:&quot;&quot;,&quot;non-dropping-particle&quot;:&quot;&quot;},{&quot;family&quot;:&quot;Gluesenkamp&quot;,&quot;given&quot;:&quot;Kyle R&quot;,&quot;parse-names&quot;:false,&quot;dropping-particle&quot;:&quot;&quot;,&quot;non-dropping-particle&quot;:&quot;&quot;},{&quot;family&quot;:&quot;States&quot;,&quot;given&quot;:&quot;United&quot;,&quot;parse-names&quot;:false,&quot;dropping-particle&quot;:&quot;&quot;,&quot;non-dropping-particle&quot;:&quot;&quot;}],&quot;container-title&quot;:&quot;IEA Heat Pump Technologies Magazine&quot;,&quot;DOI&quot;:&quot;https://doi.org/10.23697/62tr-nt79&quot;,&quot;URL&quot;:&quot;https://heatpumpingtechnologies.org/publications/the-state-of-art-of-heat-pump-integrated-thermal-energy-storage-for-demand-response/&quot;,&quot;issued&quot;:{&quot;date-parts&quot;:[[2021]]},&quot;page&quot;:&quot;27-30&quot;,&quot;issue&quot;:&quot;2&quot;,&quot;volume&quot;:&quot;40&quot;,&quot;container-title-short&quot;:&quot;&quot;},&quot;isTemporary&quot;:false},{&quot;id&quot;:&quot;8a460422-8913-3db6-b81d-bc05be4b7184&quot;,&quot;itemData&quot;:{&quot;type&quot;:&quot;article-journal&quot;,&quot;id&quot;:&quot;8a460422-8913-3db6-b81d-bc05be4b7184&quot;,&quot;title&quot;:&quot;Model Predictive Control for a Grid-interactive Efficiency Thermal-storage-integrated Heat Pump System&quot;,&quot;author&quot;:[{&quot;family&quot;:&quot;Shi&quot;,&quot;given&quot;:&quot;Liang&quot;,&quot;parse-names&quot;:false,&quot;dropping-particle&quot;:&quot;&quot;,&quot;non-dropping-particle&quot;:&quot;&quot;},{&quot;family&quot;:&quot;Qu&quot;,&quot;given&quot;:&quot;Ming&quot;,&quot;parse-names&quot;:false,&quot;dropping-particle&quot;:&quot;&quot;,&quot;non-dropping-particle&quot;:&quot;&quot;},{&quot;family&quot;:&quot;Liu&quot;,&quot;given&quot;:&quot;Xiaobing&quot;,&quot;parse-names&quot;:false,&quot;dropping-particle&quot;:&quot;&quot;,&quot;non-dropping-particle&quot;:&quot;&quot;},{&quot;family&quot;:&quot;Dong&quot;,&quot;given&quot;:&quot;Jin&quot;,&quot;parse-names&quot;:false,&quot;dropping-particle&quot;:&quot;&quot;,&quot;non-dropping-particle&quot;:&quot;&quot;},{&quot;family&quot;:&quot;Cui&quot;,&quot;given&quot;:&quot;Borui&quot;,&quot;parse-names&quot;:false,&quot;dropping-particle&quot;:&quot;&quot;,&quot;non-dropping-particle&quot;:&quot;&quot;},{&quot;family&quot;:&quot;Wang&quot;,&quot;given&quot;:&quot;Lingshi&quot;,&quot;parse-names&quot;:false,&quot;dropping-particle&quot;:&quot;&quot;,&quot;non-dropping-particle&quot;:&quot;&quot;}],&quot;accessed&quot;:{&quot;date-parts&quot;:[[2023,3,13]]},&quot;URL&quot;:&quot;https://docs.lib.purdue.edu/cgi/viewcontent.cgi?article=1414&amp;context=ihpbc&quot;,&quot;issued&quot;:{&quot;date-parts&quot;:[[2022]]},&quot;abstract&quot;:&quot;Building heating and cooling systems can be used to overcome the mismatch between the intermittent supply of renewable power and the fluctuating demand for electricity. A novel underground thermal energy storage integrated with a dual-source heat pump has been proposed to mitigate the mismatch while meeting the thermal demand of buildings efficiently. Conventional thermostat control with heuristic rules cannot provide intelligent decisions to maximize the thermal efficiency and flexibility of the proposed system. Advanced control strategies like model predictive control (MPC) have provided a new paradigm for grid-interactive efficient building operation with the advancement of computation and sensing. This study developed an MPC for the proposed system to provide grid service for Demand Side Management and minimize the operating cost of building owners. A control-oriented dynamic model of the proposed system has been developed. Given an objective function and proper constraints, an optimization problem is formulated to determine the optimal control strategy of the system. Dynamic Programming is adopted to solve the optimization problem. A rule-based control (RBC) is also developed to achieve similar goals. Short-term simulations are conducted to compare the system performance resulting from the two controls. The simulation results indicate that the MPC performs more intelligently than the RBC in charging thermal energy storage and selecting heat pump sources by taking advantage of the predicted cooling demands of the building and the performance of the integrated system. As a result, the MPC could save energy and reduce operating costs compared with the RBC. A case study shows that, for a 3-day operation, the MPC saves 36.9% energy and reduces 38.5% operating cost compared with the RBC.&quot;,&quot;container-title-short&quot;:&quot;&quot;},&quot;isTemporary&quot;:false}]},{&quot;citationID&quot;:&quot;MENDELEY_CITATION_da33a297-dacb-4f58-8d48-59694406670f&quot;,&quot;properties&quot;:{&quot;noteIndex&quot;:0},&quot;isEdited&quot;:false,&quot;manualOverride&quot;:{&quot;isManuallyOverridden&quot;:false,&quot;citeprocText&quot;:&quot;[25]&quot;,&quot;manualOverrideText&quot;:&quot;&quot;},&quot;citationTag&quot;:&quot;MENDELEY_CITATION_v3_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&quot;,&quot;citationItems&quot;:[{&quot;id&quot;:&quot;3f90e572-1a13-37f8-9bb0-111ef256752e&quot;,&quot;itemData&quot;:{&quot;type&quot;:&quot;article-journal&quot;,&quot;id&quot;:&quot;3f90e572-1a13-37f8-9bb0-111ef256752e&quot;,&quot;title&quot;:&quot;Demand Reduction and Energy Saving Potential of Thermal Energy Storage Integrated Heat Pumps&quot;,&quot;author&quot;:[{&quot;family&quot;:&quot;Hirschey&quot;,&quot;given&quot;:&quot;Jason&quot;,&quot;parse-names&quot;:false,&quot;dropping-particle&quot;:&quot;&quot;,&quot;non-dropping-particle&quot;:&quot;&quot;},{&quot;family&quot;:&quot;Li&quot;,&quot;given&quot;:&quot;Zhenning&quot;,&quot;parse-names&quot;:false,&quot;dropping-particle&quot;:&quot;&quot;,&quot;non-dropping-particle&quot;:&quot;&quot;},{&quot;family&quot;:&quot;Gluesenkamp&quot;,&quot;given&quot;:&quot;Kyle R.&quot;,&quot;parse-names&quot;:false,&quot;dropping-particle&quot;:&quot;&quot;,&quot;non-dropping-particle&quot;:&quot;&quot;},{&quot;family&quot;:&quot;LaClair&quot;,&quot;given&quot;:&quot;Tim J.&quot;,&quot;parse-names&quot;:false,&quot;dropping-particle&quot;:&quot;&quot;,&quot;non-dropping-particle&quot;:&quot;&quot;},{&quot;family&quot;:&quot;Graham&quot;,&quot;given&quot;:&quot;Samuel&quot;,&quot;parse-names&quot;:false,&quot;dropping-particle&quot;:&quot;&quot;,&quot;non-dropping-particle&quot;:&quot;&quot;}],&quot;container-title&quot;:&quot;International Journal of Refrigeration&quot;,&quot;accessed&quot;:{&quot;date-parts&quot;:[[2023,3,13]]},&quot;DOI&quot;:&quot;10.1016/J.IJREFRIG.2023.01.026&quot;,&quot;ISSN&quot;:&quot;0140-7007&quot;,&quot;URL&quot;:&quot;https://linkinghub.elsevier.com/retrieve/pii/S0140700723000348&quot;,&quot;issued&quot;:{&quot;date-parts&quot;:[[2023,2,4]]},&quot;publisher&quot;:&quot;Elsevier&quot;,&quot;container-title-short&quot;:&quot;&quot;},&quot;isTemporary&quot;:false}]},{&quot;citationID&quot;:&quot;MENDELEY_CITATION_805d9736-ea0f-498b-8627-dd4e9a421d46&quot;,&quot;properties&quot;:{&quot;noteIndex&quot;:0},&quot;isEdited&quot;:false,&quot;manualOverride&quot;:{&quot;isManuallyOverridden&quot;:false,&quot;citeprocText&quot;:&quot;[26]–[29]&quot;,&quot;manualOverrideText&quot;:&quot;&quot;},&quot;citationTag&quot;:&quot;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&quot;,&quot;citationItems&quot;:[{&quot;id&quot;:&quot;66dd3e86-c72b-30de-bd18-56f509c9642b&quot;,&quot;itemData&quot;:{&quot;type&quot;:&quot;article-journal&quot;,&quot;id&quot;:&quot;66dd3e86-c72b-30de-bd18-56f509c9642b&quot;,&quot;title&quot;:&quot;Demand response with active phase change material based thermal energy storage in buildings&quot;,&quot;author&quot;:[{&quot;family&quot;:&quot;Nunna&quot;,&quot;given&quot;:&quot;Aneesh Chandra&quot;,&quot;parse-names&quot;:false,&quot;dropping-particle&quot;:&quot;&quot;,&quot;non-dropping-particle&quot;:&quot;&quot;},{&quot;family&quot;:&quot;Zong&quot;,&quot;given&quot;:&quot;Yi&quot;,&quot;parse-names&quot;:false,&quot;dropping-particle&quot;:&quot;&quot;,&quot;non-dropping-particle&quot;:&quot;&quot;},{&quot;family&quot;:&quot;Georges&quot;,&quot;given&quot;:&quot;Laurent&quot;,&quot;parse-names&quot;:false,&quot;dropping-particle&quot;:&quot;&quot;,&quot;non-dropping-particle&quot;:&quot;&quot;},{&quot;family&quot;:&quot;You&quot;,&quot;given&quot;:&quot;Shi&quot;,&quot;parse-names&quot;:false,&quot;dropping-particle&quot;:&quot;&quot;,&quot;non-dropping-particle&quot;:&quot;&quot;}],&quot;container-title&quot;:&quot;Energy Reports&quot;,&quot;accessed&quot;:{&quot;date-parts&quot;:[[2023,3,13]]},&quot;DOI&quot;:&quot;10.1016/J.EGYR.2022.12.131&quot;,&quot;ISSN&quot;:&quot;2352-4847&quot;,&quot;issued&quot;:{&quot;date-parts&quot;:[[2023,5,1]]},&quot;page&quot;:&quot;227-235&quot;,&quot;abstract&quot;:&quot;A large potential to shift the electricity consumption to adapt to the stochastic renewable electricity generation is identified through the utilisation of a combination of Heat Pumps (HP) and local Thermal Energy Storage (TES) devices in building heating systems. In this paper, a building heating system coupled with an active Phase Change Material (PCM) TES device and a HP is simulated to characterise its potential for Demand Response (DR) applications. A control-oriented numerical model for the PCM TES is developed and previously validated numerical models of the building, HP and hot water radiators are integrated to simulate the dynamics of the coupled building heating system. A Genetic Algorithm (GA) based control strategy is designed to optimise the building heating energy consumption and operational cost with respect to time-varying electricity price signals. The developed control strategy is successfully implemented to utilise the TES capability of the PCM and the thermal inertia of the building to intelligently shift the electrical load of the HP to low price periods, while satisfying the specified indoor comfort requirements. In comparison to a reference case utilising a sensible TES, cost savings and consumption reductions of more than 40% and 30%, respectively, are attained with the active PCM TES. Simulation results indicate that utilising an active PCM TES over a sensible TES offers significant advantages for DR applications in building heating systems in terms of load shift flexibility, energy costs and consumption.&quot;,&quot;publisher&quot;:&quot;Elsevier&quot;,&quot;volume&quot;:&quot;9&quot;,&quot;container-title-short&quot;:&quot;&quot;},&quot;isTemporary&quot;:false},{&quot;id&quot;:&quot;443cbfb1-4b64-321d-b42d-63d0af169841&quot;,&quot;itemData&quot;:{&quot;type&quot;:&quot;article-journal&quot;,&quot;id&quot;:&quot;443cbfb1-4b64-321d-b42d-63d0af169841&quot;,&quot;title&quot;:&quot;Energy and economic performance of the heat pump integrated with latent heat thermal energy storage for peak demand shifting&quot;,&quot;author&quot;:[{&quot;family&quot;:&quot;Jin&quot;,&quot;given&quot;:&quot;Xin&quot;,&quot;parse-names&quot;:false,&quot;dropping-particle&quot;:&quot;&quot;,&quot;non-dropping-particle&quot;:&quot;&quot;},{&quot;family&quot;:&quot;Zheng&quot;,&quot;given&quot;:&quot;Siqian&quot;,&quot;parse-names&quot;:false,&quot;dropping-particle&quot;:&quot;&quot;,&quot;non-dropping-particle&quot;:&quot;&quot;},{&quot;family&quot;:&quot;Huang&quot;,&quot;given&quot;:&quot;Gongsheng&quot;,&quot;parse-names&quot;:false,&quot;dropping-particle&quot;:&quot;&quot;,&quot;non-dropping-particle&quot;:&quot;&quot;},{&quot;family&quot;:&quot;CK Lai&quot;,&quot;given&quot;:&quot;Alvin&quot;,&quot;parse-names&quot;:false,&quot;dropping-particle&quot;:&quot;&quot;,&quot;non-dropping-particle&quot;:&quot;&quot;}],&quot;container-title&quot;:&quot;Applied Thermal Engineering&quot;,&quot;container-title-short&quot;:&quot;Appl Therm Eng&quot;,&quot;accessed&quot;:{&quot;date-parts&quot;:[[2023,3,13]]},&quot;DOI&quot;:&quot;10.1016/J.APPLTHERMALENG.2022.119337&quot;,&quot;ISSN&quot;:&quot;1359-4311&quot;,&quot;issued&quot;:{&quot;date-parts&quot;:[[2023,1,5]]},&quot;page&quot;:&quot;119337&quot;,&quot;abstract&quot;:&quot;Air-source heat pumps have become a prominent alternative to conventional heaters because of their high efficiency and environmentally friendly features. Coupling the latent heat storage technique with the heat pump allows the operation flexibility to be enhanced, further assisting in demand-side management. This study presents a detailed assessment of the heat pump latent heat storage system for hot water supply from the perspective of storage medium matching and operation strategy evaluation. A simulation platform was developed to demonstrate the application potential of the system, and then a case study for a subtropical residence was formulated. The results revealed that the phase-change material with a melting range of 40–50 °C performed better regarding energy efficiency and cost saving. The unit with a 75 % storage medium operated at the setpoint of 57.5–60 °C noticeably shifted the loads to off-peak periods in wintertime. The energy and economic performance of the system under different operation strategies was compared. Night-heating strategy excelled in flattening peak loads and reducing running costs, while the enhanced-efficiency strategy outperformed in energy conservation. Compared with electric heaters, the system exhibited an average payback period of 7.73 years, achieved a cost saving of HKD 1071.1/year and minimised carbon emissions by 52.5 %.&quot;,&quot;publisher&quot;:&quot;Pergamon&quot;,&quot;volume&quot;:&quot;218&quot;},&quot;isTemporary&quot;:false},{&quot;id&quot;:&quot;47e4e503-7695-3714-99a3-198236a52243&quot;,&quot;itemData&quot;:{&quot;type&quot;:&quot;article-journal&quot;,&quot;id&quot;:&quot;47e4e503-7695-3714-99a3-198236a52243&quot;,&quot;title&quot;:&quot;Model-based predictive control of multi-stage air-source heat pumps integrated with phase change material-embedded ceilings&quot;,&quot;author&quot;:[{&quot;family&quot;:&quot;Hlanze&quot;,&quot;given&quot;:&quot;Philani&quot;,&quot;parse-names&quot;:false,&quot;dropping-particle&quot;:&quot;&quot;,&quot;non-dropping-particle&quot;:&quot;&quot;},{&quot;family&quot;:&quot;Jiang&quot;,&quot;given&quot;:&quot;Zhimin&quot;,&quot;parse-names&quot;:false,&quot;dropping-particle&quot;:&quot;&quot;,&quot;non-dropping-particle&quot;:&quot;&quot;},{&quot;family&quot;:&quot;Cai&quot;,&quot;given&quot;:&quot;Jie&quot;,&quot;parse-names&quot;:false,&quot;dropping-particle&quot;:&quot;&quot;,&quot;non-dropping-particle&quot;:&quot;&quot;},{&quot;family&quot;:&quot;Shen&quot;,&quot;given&quot;:&quot;Bo&quot;,&quot;parse-names&quot;:false,&quot;dropping-particle&quot;:&quot;&quot;,&quot;non-dropping-particle&quot;:&quot;&quot;}],&quot;container-title&quot;:&quot;Applied Energy&quot;,&quot;container-title-short&quot;:&quot;Appl Energy&quot;,&quot;accessed&quot;:{&quot;date-parts&quot;:[[2023,3,13]]},&quot;DOI&quot;:&quot;10.1016/J.APENERGY.2023.120796&quot;,&quot;ISSN&quot;:&quot;0306-2619&quot;,&quot;issued&quot;:{&quot;date-parts&quot;:[[2023,4,15]]},&quot;page&quot;:&quot;120796&quot;,&quot;abstract&quot;:&quot;This paper presents a model-based predictive control strategy to optimize the operations of phase change material (PCM) ceiling panels coupled with a multi-stage air-source heat pump. A three-stage prototype heat pump unit has been built and tested in the laboratory, with the low and medium stages designed for space heating/cooling and the high compression stage dedicated to charging of the PCM energy storage. To facilitate optimal control of the integrated heat pump system, a mixed-integer linear programming formulation is derived through linearization of the heat pump model and a mixed-integer reformulation of the PCM dynamic governing equations. A predictive control strategy is synthesized based on the resultant control formulation and implemented in a receding horizon scheme that optimizes the PCM charging and the zone temperature schedules simultaneously to leverage both the passive (associated with building construction materials) and active (PCM) storage capacities of a building. The control strategy has been tested along with three benchmarking control scenarios using a co-simulation platform for a prototypical detached house in Atlanta, GA. Test results showed that application of the proposed control strategy to the PCM-integrated heat pump could provide 27.1% electricity cost savings while a fine tuned rule-based control strategy could achieve cost savings of 20.4%, compared to a baseline case without PCM storage, under a time-of-use rate tariff.&quot;,&quot;publisher&quot;:&quot;Elsevier&quot;,&quot;volume&quot;:&quot;336&quot;},&quot;isTemporary&quot;:false},{&quot;id&quot;:&quot;13a648b1-c2b3-3b4b-b11f-cf5f92fc0ea2&quot;,&quot;itemData&quot;:{&quot;type&quot;:&quot;article-journal&quot;,&quot;id&quot;:&quot;13a648b1-c2b3-3b4b-b11f-cf5f92fc0ea2&quot;,&quot;title&quot;:&quot;Water-Based Thermal Energy Storage for Heating and Air-Conditioning Applications in Residential Buildings: Review and Preliminary Study&quot;,&quot;author&quot;:[{&quot;family&quot;:&quot;Ibrahim Alghamdi Christian Bach Jeffrey D Spitler&quot;,&quot;given&quot;:&quot;Khaled K&quot;,&quot;parse-names&quot;:false,&quot;dropping-particle&quot;:&quot;&quot;,&quot;non-dropping-particle&quot;:&quot;&quot;},{&quot;family&quot;:&quot;Ibrahim&quot;,&quot;given&quot;:&quot;Khaled&quot;,&quot;parse-names&quot;:false,&quot;dropping-particle&quot;:&quot;&quot;,&quot;non-dropping-particle&quot;:&quot;&quot;},{&quot;family&quot;:&quot;Alghamdi&quot;,&quot;given&quot;:&quot;Khaled I&quot;,&quot;parse-names&quot;:false,&quot;dropping-particle&quot;:&quot;&quot;,&quot;non-dropping-particle&quot;:&quot;&quot;},{&quot;family&quot;:&quot;Bach&quot;,&quot;given&quot;:&quot;Christian K&quot;,&quot;parse-names&quot;:false,&quot;dropping-particle&quot;:&quot;&quot;,&quot;non-dropping-particle&quot;:&quot;&quot;},{&quot;family&quot;:&quot;Spitler&quot;,&quot;given&quot;:&quot;Jeffrey D&quot;,&quot;parse-names&quot;:false,&quot;dropping-particle&quot;:&quot;&quot;,&quot;non-dropping-particle&quot;:&quot;&quot;}],&quot;accessed&quot;:{&quot;date-parts&quot;:[[2023,3,13]]},&quot;URL&quot;:&quot;https://docs.lib.purdue.edu/cgi/viewcontent.cgi?article=3344&amp;context=iracc&quot;,&quot;issued&quot;:{&quot;date-parts&quot;:[[2022]]},&quot;abstract&quot;:&quot;Solar photovoltaic (PV) and wind power, the two most popular renewable energy sources, cause temporal imbalances between energy demand and supply, requiring fossil fuel reserve power or costly electric energy storage to prevent grid blackouts. Alternatively, using heating, ventilating, and air­ conditioning systems (HVAC) for converting electric energy and storing it in thermal form when the electricity supply is high while the demand is low can change the end­user demand profile, reducing the required reserve power and/or storage. This paper reviews technology for water­based thermal energy storage (TES) for vapor­compression systems for heating and air conditioning (AC) applications at the residential scale. Also, we screen the potential of water­based TES in shifting HVAC loads for residential buildings. The presented work informs future research needs by providing an overview of available thermal energy storage options and their applications in residential buildings. In addition, the findings of the preliminary study show the potential of water­based TES in shifting loads with a reasonable size compared to the building footprint.&quot;,&quot;container-title-short&quot;:&quot;&quot;},&quot;isTemporary&quot;:false}]},{&quot;citationID&quot;:&quot;MENDELEY_CITATION_81fcb364-16fe-4299-87e2-cd60ff7468ea&quot;,&quot;properties&quot;:{&quot;noteIndex&quot;:0},&quot;isEdited&quot;:false,&quot;manualOverride&quot;:{&quot;citeprocText&quot;:&quot;[30]–[32]&quot;,&quot;isManuallyOverridden&quot;:false,&quot;manualOverrideText&quot;:&quot;&quot;},&quot;citationTag&quot;:&quot;MENDELEY_CITATION_v3_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&quot;,&quot;citationItems&quot;:[{&quot;id&quot;:&quot;1d9756c6-0466-3270-92ff-2fd1387918d4&quot;,&quot;itemData&quot;:{&quot;DOI&quot;:&quot;10.1177/0957650917754033&quot;,&quot;ISSN&quot;:&quot;0957-6509&quot;,&quot;abstract&quot;:&quot;A significant portion of energy is consumed by the buildings to provide thermal comfort for its occupants. Energy consumed by the conventional cooling machines is expected to increase substantially...&quot;,&quot;author&quot;:[{&quot;dropping-particle&quot;:&quot;&quot;,&quot;family&quot;:&quot;Waqas&quot;,&quot;given&quot;:&quot;Adeel&quot;,&quot;non-dropping-particle&quot;:&quot;&quot;,&quot;parse-names&quot;:false,&quot;suffix&quot;:&quot;&quot;},{&quot;dropping-particle&quot;:&quot;&quot;,&quot;family&quot;:&quot;Ji&quot;,&quot;given&quot;:&quot;Jie&quot;,&quot;non-dropping-particle&quot;:&quot;&quot;,&quot;parse-names&quot;:false,&quot;suffix&quot;:&quot;&quot;},{&quot;dropping-particle&quot;:&quot;&quot;,&quot;family&quot;:&quot;Ali&quot;,&quot;given&quot;:&quot;Majid&quot;,&quot;non-dropping-particle&quot;:&quot;&quot;,&quot;parse-names&quot;:false,&quot;suffix&quot;:&quot;&quot;},{&quot;dropping-particle&quot;:&quot;&quot;,&quot;family&quot;:&quot;Alvi&quot;,&quot;given&quot;:&quot;Jahan Zeb&quot;,&quot;non-dropping-particle&quot;:&quot;&quot;,&quot;parse-names&quot;:false,&quot;suffix&quot;:&quot;&quot;}],&quot;container-title&quot;:&quot;Proceedings of the Institution of Mechanical Engineers, Part A: Journal of Power and Energy&quot;,&quot;id&quot;:&quot;1d9756c6-0466-3270-92ff-2fd1387918d4&quot;,&quot;issue&quot;:&quot;6&quot;,&quot;issued&quot;:{&quot;date-parts&quot;:[[&quot;2018&quot;,&quot;9&quot;]]},&quot;page&quot;:&quot;735-766&quot;,&quot;publisher&quot;:&quot;SAGE PublicationsSage UK: London, England&quot;,&quot;title&quot;:&quot;Effectiveness of the phase change material-based thermal energy storage integrated with the conventional cooling systems of the buildings – A review&quot;,&quot;type&quot;:&quot;article-journal&quot;,&quot;volume&quot;:&quot;232&quot;,&quot;container-title-short&quot;:&quot;&quot;},&quot;uris&quot;:[&quot;http://www.mendeley.com/documents/?uuid=a822bd03-c3f2-4de4-8201-788a342943a8&quot;],&quot;isTemporary&quot;:false,&quot;legacyDesktopId&quot;:&quot;a822bd03-c3f2-4de4-8201-788a342943a8&quot;},{&quot;id&quot;:&quot;86444862-684a-3598-9d3d-e6a3370e8bb2&quot;,&quot;itemData&quot;:{&quot;DOI&quot;:&quot;10.1016/j.enbuild.2007.03.007&quot;,&quot;ISSN&quot;:&quot;03787788&quot;,&quot;abstract&quot;:&quot;The rapidly growing world energy use has already raised concerns over supply difficulties, exhaustion of energy resources and heavy environmental impacts (ozone layer depletion, global warming, climate change, etc.). The global contribution from buildings towards energy consumption, both residential and commercial, has steadily increased reaching figures between 20% and 40% in developed countries, and has exceeded the other major sectors: industrial and transportation. Growth in population, increasing demand for building services and comfort levels, together with the rise in time spent inside buildings, assure the upward trend in energy demand will continue in the future. For this reason, energy efficiency in buildings is today a prime objective for energy policy at regional, national and international levels. Among building services, the growth in HVAC systems energy use is particularly significant (50% of building consumption and 20% of total consumption in the USA). This paper analyses available information concerning energy consumption in buildings, and particularly related to HVAC systems. Many questions arise: Is the necessary information available? Which are the main building types? What end uses should be considered in the breakdown? Comparisons between different countries are presented specially for commercial buildings. The case of offices is analysed in deeper detail. © 2007 Elsevier B.V. All rights reserved.&quot;,&quot;author&quot;:[{&quot;dropping-particle&quot;:&quot;&quot;,&quot;family&quot;:&quot;Pérez-Lombard&quot;,&quot;given&quot;:&quot;Luis&quot;,&quot;non-dropping-particle&quot;:&quot;&quot;,&quot;parse-names&quot;:false,&quot;suffix&quot;:&quot;&quot;},{&quot;dropping-particle&quot;:&quot;&quot;,&quot;family&quot;:&quot;Ortiz&quot;,&quot;given&quot;:&quot;José&quot;,&quot;non-dropping-particle&quot;:&quot;&quot;,&quot;parse-names&quot;:false,&quot;suffix&quot;:&quot;&quot;},{&quot;dropping-particle&quot;:&quot;&quot;,&quot;family&quot;:&quot;Pout&quot;,&quot;given&quot;:&quot;Christine&quot;,&quot;non-dropping-particle&quot;:&quot;&quot;,&quot;parse-names&quot;:false,&quot;suffix&quot;:&quot;&quot;}],&quot;container-title&quot;:&quot;Energy and Buildings&quot;,&quot;id&quot;:&quot;86444862-684a-3598-9d3d-e6a3370e8bb2&quot;,&quot;issue&quot;:&quot;3&quot;,&quot;issued&quot;:{&quot;date-parts&quot;:[[&quot;2008&quot;,&quot;1&quot;,&quot;1&quot;]]},&quot;page&quot;:&quot;394-398&quot;,&quot;publisher&quot;:&quot;Elsevier&quot;,&quot;title&quot;:&quot;A review on buildings energy consumption information&quot;,&quot;type&quot;:&quot;article-journal&quot;,&quot;volume&quot;:&quot;40&quot;,&quot;container-title-short&quot;:&quot;Energy Build&quot;},&quot;uris&quot;:[&quot;http://www.mendeley.com/documents/?uuid=86444862-684a-3598-9d3d-e6a3370e8bb2&quot;],&quot;isTemporary&quot;:false,&quot;legacyDesktopId&quot;:&quot;86444862-684a-3598-9d3d-e6a3370e8bb2&quot;},{&quot;id&quot;:&quot;1399bf6c-9fb2-3ae9-9a05-b8370e865bc4&quot;,&quot;itemData&quot;:{&quot;DOI&quot;:&quot;10.1016/J.EGYPRO.2012.02.194&quot;,&quot;ISSN&quot;:&quot;1876-6102&quot;,&quot;author&quot;:[{&quot;dropping-particle&quot;:&quot;&quot;,&quot;family&quot;:&quot;Li&quot;,&quot;given&quot;:&quot;Cuimini&quot;,&quot;non-dropping-particle&quot;:&quot;&quot;,&quot;parse-names&quot;:false,&quot;suffix&quot;:&quot;&quot;},{&quot;dropping-particle&quot;:&quot;&quot;,&quot;family&quot;:&quot;Zhao&quot;,&quot;given&quot;:&quot;Jianing&quot;,&quot;non-dropping-particle&quot;:&quot;&quot;,&quot;parse-names&quot;:false,&quot;suffix&quot;:&quot;&quot;}],&quot;container-title&quot;:&quot;Energy Procedia&quot;,&quot;id&quot;:&quot;1399bf6c-9fb2-3ae9-9a05-b8370e865bc4&quot;,&quot;issued&quot;:{&quot;date-parts&quot;:[[&quot;2012&quot;,&quot;1&quot;,&quot;1&quot;]]},&quot;page&quot;:&quot;961-967&quot;,&quot;publisher&quot;:&quot;Elsevier&quot;,&quot;title&quot;:&quot;Experimental Study on Indoor Air Temperature Distribution of Gravity Air-Conditioning for Cooling&quot;,&quot;type&quot;:&quot;article-journal&quot;,&quot;volume&quot;:&quot;17&quot;,&quot;container-title-short&quot;:&quot;Energy Procedia&quot;},&quot;uris&quot;:[&quot;http://www.mendeley.com/documents/?uuid=1399bf6c-9fb2-3ae9-9a05-b8370e865bc4&quot;],&quot;isTemporary&quot;:false,&quot;legacyDesktopId&quot;:&quot;1399bf6c-9fb2-3ae9-9a05-b8370e865bc4&quot;}]},{&quot;citationID&quot;:&quot;MENDELEY_CITATION_2ce51f7e-df41-4a43-973e-2e504f51c79c&quot;,&quot;properties&quot;:{&quot;noteIndex&quot;:0},&quot;isEdited&quot;:false,&quot;manualOverride&quot;:{&quot;isManuallyOverridden&quot;:false,&quot;citeprocText&quot;:&quot;[33]&quot;,&quot;manualOverrideText&quot;:&quot;&quot;},&quot;citationTag&quot;:&quot;MENDELEY_CITATION_v3_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&quot;,&quot;citationItems&quot;:[{&quot;id&quot;:&quot;584f68b6-0669-36aa-a670-a4f320dcc735&quot;,&quot;itemData&quot;:{&quot;type&quot;:&quot;article-journal&quot;,&quot;id&quot;:&quot;584f68b6-0669-36aa-a670-a4f320dcc735&quot;,&quot;title&quot;:&quot;CO2 mitigation accounting for Thermal Energy Storage (TES) case studies&quot;,&quot;author&quot;:[{&quot;family&quot;:&quot;Cabeza&quot;,&quot;given&quot;:&quot;Luisa F.&quot;,&quot;parse-names&quot;:false,&quot;dropping-particle&quot;:&quot;&quot;,&quot;non-dropping-particle&quot;:&quot;&quot;},{&quot;family&quot;:&quot;Miró&quot;,&quot;given&quot;:&quot;Laia&quot;,&quot;parse-names&quot;:false,&quot;dropping-particle&quot;:&quot;&quot;,&quot;non-dropping-particle&quot;:&quot;&quot;},{&quot;family&quot;:&quot;Oró&quot;,&quot;given&quot;:&quot;Eduard&quot;,&quot;parse-names&quot;:false,&quot;dropping-particle&quot;:&quot;&quot;,&quot;non-dropping-particle&quot;:&quot;&quot;},{&quot;family&quot;:&quot;Gracia&quot;,&quot;given&quot;:&quot;Alvaro&quot;,&quot;parse-names&quot;:false,&quot;dropping-particle&quot;:&quot;&quot;,&quot;non-dropping-particle&quot;:&quot;de&quot;},{&quot;family&quot;:&quot;Martin&quot;,&quot;given&quot;:&quot;Viktoria&quot;,&quot;parse-names&quot;:false,&quot;dropping-particle&quot;:&quot;&quot;,&quot;non-dropping-particle&quot;:&quot;&quot;},{&quot;family&quot;:&quot;Krönauer&quot;,&quot;given&quot;:&quot;Andreas&quot;,&quot;parse-names&quot;:false,&quot;dropping-particle&quot;:&quot;&quot;,&quot;non-dropping-particle&quot;:&quot;&quot;},{&quot;family&quot;:&quot;Rathgeber&quot;,&quot;given&quot;:&quot;Christoph&quot;,&quot;parse-names&quot;:false,&quot;dropping-particle&quot;:&quot;&quot;,&quot;non-dropping-particle&quot;:&quot;&quot;},{&quot;family&quot;:&quot;Farid&quot;,&quot;given&quot;:&quot;Mohammed M.&quot;,&quot;parse-names&quot;:false,&quot;dropping-particle&quot;:&quot;&quot;,&quot;non-dropping-particle&quot;:&quot;&quot;},{&quot;family&quot;:&quot;Paksoy&quot;,&quot;given&quot;:&quot;Halime O.&quot;,&quot;parse-names&quot;:false,&quot;dropping-particle&quot;:&quot;&quot;,&quot;non-dropping-particle&quot;:&quot;&quot;},{&quot;family&quot;:&quot;Martínez&quot;,&quot;given&quot;:&quot;Mònica&quot;,&quot;parse-names&quot;:false,&quot;dropping-particle&quot;:&quot;&quot;,&quot;non-dropping-particle&quot;:&quot;&quot;},{&quot;family&quot;:&quot;Fernández&quot;,&quot;given&quot;:&quot;A. Inés&quot;,&quot;parse-names&quot;:false,&quot;dropping-particle&quot;:&quot;&quot;,&quot;non-dropping-particle&quot;:&quot;&quot;}],&quot;container-title&quot;:&quot;Applied Energy&quot;,&quot;accessed&quot;:{&quot;date-parts&quot;:[[2022,4,18]]},&quot;DOI&quot;:&quot;10.1016/J.APENERGY.2015.05.121&quot;,&quot;ISSN&quot;:&quot;0306-2619&quot;,&quot;issued&quot;:{&quot;date-parts&quot;:[[2015,10,1]]},&quot;page&quot;:&quot;365-377&quot;,&quot;abstract&quot;:&quot;According to the IPCC, societies can respond to climate changes by adapting to its impacts and by mitigation, that is, by reducing GHG emissions. No single technology can provide all of the mitigation potential in any sector, but many technologies have been acknowledged in being able to contribute to such potential. Among the technologies that can contribute in such potential, Thermal Energy Storage (TES) is not included explicitly, but implicitly as part of technologies such as energy supply, buildings, and industry. To enable a more detailed assessment of the CO2 mitigation potential of TES across many sectors, the group Annex 25 \&quot;Surplus heat management using advanced TES for CO2 mitigation\&quot; of the Energy Conservation through Energy Storage Implementing Agreement (ECES IA) of the International Energy Agency (AEI) present in this article the CO2 mitigation potential of different case studies with integrated TES. This potential is shown using operational and embodied CO2 parameters. Results are difficult to compare since TES is always designed in relation to its application, and each technology impacts the energy system as a whole to different extents. The applications analyzed for operational CO2 are refrigeration, solar power plants, mobile heat storage in industrial waste heat recovery, passive systems in buildings, ATES for a supermarket, greenhouse applications, and dishwasher with zeolite in Germany. The paper shows that the reason for mitigation is different in each application, from energy savings to larger solar share or lowering energy consumption from appliances. The mitigation potential dues to integrated TES is quantified in kg/MWh energy produced or heat delivered. Embodied CO2 in two TES case studies is presented, buildings and solar power plants.&quot;,&quot;publisher&quot;:&quot;Elsevier&quot;,&quot;volume&quot;:&quot;155&quot;,&quot;container-title-short&quot;:&quot;Appl Energy&quot;},&quot;isTemporary&quot;:false}]},{&quot;citationID&quot;:&quot;MENDELEY_CITATION_279f6814-face-4e0e-abe7-974191cc9c34&quot;,&quot;properties&quot;:{&quot;noteIndex&quot;:0},&quot;isEdited&quot;:false,&quot;manualOverride&quot;:{&quot;isManuallyOverridden&quot;:false,&quot;citeprocText&quot;:&quot;[34]&quot;,&quot;manualOverrideText&quot;:&quot;&quot;},&quot;citationTag&quot;:&quot;MENDELEY_CITATION_v3_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&quot;,&quot;citationItems&quot;:[{&quot;id&quot;:&quot;feba1992-a290-3c10-9ce8-57daf58e9288&quot;,&quot;itemData&quot;:{&quot;type&quot;:&quot;article-journal&quot;,&quot;id&quot;:&quot;feba1992-a290-3c10-9ce8-57daf58e9288&quot;,&quot;title&quot;:&quot;Techno-economic analysis of decarbonizing building heating in Upstate New York using seasonal borehole thermal energy storage&quot;,&quot;author&quot;:[{&quot;family&quot;:&quot;Durga&quot;,&quot;given&quot;:&quot;Siddarth&quot;,&quot;parse-names&quot;:false,&quot;dropping-particle&quot;:&quot;&quot;,&quot;non-dropping-particle&quot;:&quot;&quot;},{&quot;family&quot;:&quot;Beckers&quot;,&quot;given&quot;:&quot;Koenraad F.&quot;,&quot;parse-names&quot;:false,&quot;dropping-particle&quot;:&quot;&quot;,&quot;non-dropping-particle&quot;:&quot;&quot;},{&quot;family&quot;:&quot;Taam&quot;,&quot;given&quot;:&quot;Milton&quot;,&quot;parse-names&quot;:false,&quot;dropping-particle&quot;:&quot;&quot;,&quot;non-dropping-particle&quot;:&quot;&quot;},{&quot;family&quot;:&quot;Horowitz&quot;,&quot;given&quot;:&quot;Frank&quot;,&quot;parse-names&quot;:false,&quot;dropping-particle&quot;:&quot;&quot;,&quot;non-dropping-particle&quot;:&quot;&quot;},{&quot;family&quot;:&quot;Cathles&quot;,&quot;given&quot;:&quot;Lawrence M.&quot;,&quot;parse-names&quot;:false,&quot;dropping-particle&quot;:&quot;&quot;,&quot;non-dropping-particle&quot;:&quot;&quot;},{&quot;family&quot;:&quot;Tester&quot;,&quot;given&quot;:&quot;Jefferson W.&quot;,&quot;parse-names&quot;:false,&quot;dropping-particle&quot;:&quot;&quot;,&quot;non-dropping-particle&quot;:&quot;&quot;}],&quot;container-title&quot;:&quot;Energy and Buildings&quot;,&quot;accessed&quot;:{&quot;date-parts&quot;:[[2022,4,18]]},&quot;DOI&quot;:&quot;10.1016/J.ENBUILD.2021.110890&quot;,&quot;ISSN&quot;:&quot;0378-7788&quot;,&quot;issued&quot;:{&quot;date-parts&quot;:[[2021,6,15]]},&quot;page&quot;:&quot;110890&quot;,&quot;abstract&quot;:&quot;On average, fossil fuel space heating constitutes 56% of a building's total energy usage in Upstate New York due to the cold winter climate. Similar levels of fossil fuel heating pertain in at least 15 states in the U.S. northern tier. To meet aggressive carbon reduction goals in this tier, decarbonizing the heat supply in the residential and commercial sector must be pursued. Using Borehole Thermal Energy Storage (BTES) to seasonally store excess thermal energy in the subsurface for later heating use is an innovative way to increase heating efficiency and lower carbon emissions. This paper investigates the technical and economic feasibility of heating Snee Hall on Cornell campus with unused summer steam from Cornell's Combined Heat and Power Plant stored in an optimized BTES array. Snee Hall is a 6855 m2 building with an annual total heating load of 3040 GJ. A standard 2-D transient subsurface conductive heat transfer model is coupled to a high temperature heat pump (delivering &gt; 60 °C) that can supply Snee Hall's existing radiators with 70 °C water. For local geological parameters, 94% of Snee Hall's winter space heating demand can be supplied by a 37-borehole array (90 m depth, 3 m spacing) and a 250-kW high temperature heat pump capacity with average coefficient of performance of 3.85. The calculated storage efficiency is 68.7% and the system has a 30-year net present value of about $526,400, an internal rate of return of 13%, and a payback period of 10 to 11 years. The system offsets about 6900 MMBTU (7280 GJ) of natural gas combustion and saves 250 MT CO2 emissions annually. The results of the single building analysis can be applied to other buildings on campus or in similar geologic settings in the U.S northern tier.&quot;,&quot;publisher&quot;:&quot;Elsevier&quot;,&quot;volume&quot;:&quot;241&quot;,&quot;container-title-short&quot;:&quot;Energy Build&quot;},&quot;isTemporary&quot;:false}]},{&quot;citationID&quot;:&quot;MENDELEY_CITATION_e87b4b17-2624-4568-94a8-80bfe5fcd7c8&quot;,&quot;properties&quot;:{&quot;noteIndex&quot;:0},&quot;isEdited&quot;:false,&quot;manualOverride&quot;:{&quot;isManuallyOverridden&quot;:false,&quot;citeprocText&quot;:&quot;[35]&quot;,&quot;manualOverrideText&quot;:&quot;&quot;},&quot;citationTag&quot;:&quot;MENDELEY_CITATION_v3_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&quot;,&quot;citationItems&quot;:[{&quot;id&quot;:&quot;514651b1-1ec8-3fc8-acf4-e4213dcba05f&quot;,&quot;itemData&quot;:{&quot;type&quot;:&quot;article-journal&quot;,&quot;id&quot;:&quot;514651b1-1ec8-3fc8-acf4-e4213dcba05f&quot;,&quot;title&quot;:&quot;Smart integration of photovoltaic production, heat pump and thermal energy storage in residential applications&quot;,&quot;author&quot;:[{&quot;family&quot;:&quot;Facci&quot;,&quot;given&quot;:&quot;Andrea L.&quot;,&quot;parse-names&quot;:false,&quot;dropping-particle&quot;:&quot;&quot;,&quot;non-dropping-particle&quot;:&quot;&quot;},{&quot;family&quot;:&quot;Krastev&quot;,&quot;given&quot;:&quot;Vesselin K.&quot;,&quot;parse-names&quot;:false,&quot;dropping-particle&quot;:&quot;&quot;,&quot;non-dropping-particle&quot;:&quot;&quot;},{&quot;family&quot;:&quot;Falcucci&quot;,&quot;given&quot;:&quot;Giacomo&quot;,&quot;parse-names&quot;:false,&quot;dropping-particle&quot;:&quot;&quot;,&quot;non-dropping-particle&quot;:&quot;&quot;},{&quot;family&quot;:&quot;Ubertini&quot;,&quot;given&quot;:&quot;Stefano&quot;,&quot;parse-names&quot;:false,&quot;dropping-particle&quot;:&quot;&quot;,&quot;non-dropping-particle&quot;:&quot;&quot;}],&quot;container-title&quot;:&quot;Solar Energy&quot;,&quot;accessed&quot;:{&quot;date-parts&quot;:[[2022,4,18]]},&quot;DOI&quot;:&quot;10.1016/J.SOLENER.2018.06.017&quot;,&quot;ISSN&quot;:&quot;0038-092X&quot;,&quot;issued&quot;:{&quot;date-parts&quot;:[[2019,11,1]]},&quot;page&quot;:&quot;133-143&quot;,&quot;abstract&quot;:&quot;The optimal design of distributed generation systems is of foremost importance to reduce fossil fuel consumption and mitigate the environmental impact of human activities in urban areas. Moreover, an efficient and integrated control strategy is needed for each of the components of a distributed generation plant, in order to reach the expected economic and environmental performances. In this paper, the transition from natural gas to electricity-based heating is evaluated for residential applications, considering the interplay between photovoltaic electricity produced on site and the thermal energy storage, to grant the optimal management of heating devices. The energy demand of an apartment building, under different climatic conditions, is taken as a reference and four power plant solutions are assessed in terms of energy cost and pollution reduction potential, compared to a baseline plant configuration. The performance of each power plant is analyzed assuming an optimized control strategy, which is determined through a graph-based methodology that was previously developed and validated by the authors. Outcomes from our study show that, if heat pumps are used instead of natural gas boilers, energy costs are reduced up to 41%, while CO2 emissions are reduced up to 73%, depending on the climatic conditions. Our results provide a sound basis for considering the larger penetration of photovoltaic plants as an effective solution towards cleaner and more efficient heating technologies for civil applications. The simultaneous utilization of heat pumps (as substitutes of boilers) and photovoltaic panels yields a positive synergy that nullifies the local pollution, drastically cuts the CO2 emission, and guarantees the economical sustainability of the investment in renewable energy sources without subsidiary mechanisms.&quot;,&quot;publisher&quot;:&quot;Pergamon&quot;,&quot;volume&quot;:&quot;192&quot;,&quot;container-title-short&quot;:&quot;&quot;},&quot;isTemporary&quot;:false}]},{&quot;citationID&quot;:&quot;MENDELEY_CITATION_9fe8f849-5482-42fd-8222-cd3f85356d00&quot;,&quot;properties&quot;:{&quot;noteIndex&quot;:0},&quot;isEdited&quot;:false,&quot;manualOverride&quot;:{&quot;isManuallyOverridden&quot;:false,&quot;citeprocText&quot;:&quot;[36]&quot;,&quot;manualOverrideText&quot;:&quot;&quot;},&quot;citationTag&quot;:&quot;MENDELEY_CITATION_v3_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&quot;,&quot;citationItems&quot;:[{&quot;id&quot;:&quot;830f609c-b085-3030-ba2a-1bb310561073&quot;,&quot;itemData&quot;:{&quot;type&quot;:&quot;article-journal&quot;,&quot;id&quot;:&quot;830f609c-b085-3030-ba2a-1bb310561073&quot;,&quot;title&quot;:&quot;Towards low carbon homes – A simulation analysis of building-integrated air-source heat pump systems&quot;,&quot;author&quot;:[{&quot;family&quot;:&quot;Cabrol&quot;,&quot;given&quot;:&quot;Loïc&quot;,&quot;parse-names&quot;:false,&quot;dropping-particle&quot;:&quot;&quot;,&quot;non-dropping-particle&quot;:&quot;&quot;},{&quot;family&quot;:&quot;Rowley&quot;,&quot;given&quot;:&quot;Paul&quot;,&quot;parse-names&quot;:false,&quot;dropping-particle&quot;:&quot;&quot;,&quot;non-dropping-particle&quot;:&quot;&quot;}],&quot;container-title&quot;:&quot;Energy and Buildings&quot;,&quot;accessed&quot;:{&quot;date-parts&quot;:[[2022,4,19]]},&quot;DOI&quot;:&quot;10.1016/J.ENBUILD.2012.01.019&quot;,&quot;ISSN&quot;:&quot;0378-7788&quot;,&quot;issued&quot;:{&quot;date-parts&quot;:[[2012,5,1]]},&quot;page&quot;:&quot;127-136&quot;,&quot;abstract&quot;:&quot;A comparative transient simulation analysis for domestic buildings with a floor-embedded heating system coupled to a modern air source heat-pump (ASHP) has been carried out using the TRNSYS numerical modeling environment for various UK locations. The effects of heat-pump control during off-peak electricity tariff periods in conjunction with varying building fabric characteristics were analysed and the results show that for the locations investigated, running costs and CO 2 emissions were lower for the ASHP platform than for a comparative gas boiler heating system. It was also found that by utilizing the thermal mass of a concrete floor slab or by integrating external insulation, acceptable comfort levels during the heating season were maintained when operating the ASHP solely during off-peak tariff periods. A thinner concrete floor slab containing phase change material (PCM) provided a slightly improved comfort level during winter and also reduced overheating during summer in buildings with a high level of insulation. Finally, when utilising a floor-embedded PCM material, it was found that the thermal properties of the PCM material must be carefully matched with case-specific building fabric thermal performance parameters in order to ensure effective internal environmental control. © 2011 Elsevier B.V. All rights reserved.&quot;,&quot;publisher&quot;:&quot;Elsevier&quot;,&quot;volume&quot;:&quot;48&quot;,&quot;container-title-short&quot;:&quot;Energy Build&quot;},&quot;isTemporary&quot;:false}]},{&quot;citationID&quot;:&quot;MENDELEY_CITATION_d57223cd-2386-4cf8-9d50-d4fc69d56dd8&quot;,&quot;properties&quot;:{&quot;noteIndex&quot;:0},&quot;isEdited&quot;:false,&quot;manualOverride&quot;:{&quot;citeprocText&quot;:&quot;[37]&quot;,&quot;isManuallyOverridden&quot;:false,&quot;manualOverrideText&quot;:&quot;&quot;},&quot;citationTag&quot;:&quot;MENDELEY_CITATION_v3_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&quot;,&quot;citationItems&quot;:[{&quot;id&quot;:&quot;153c228c-f0ec-3d4e-bc8b-5dabf057df2f&quot;,&quot;itemData&quot;:{&quot;DOI&quot;:&quot;10.1016/j.solener.2020.09.016&quot;,&quot;ISSN&quot;:&quot;0038092X&quot;,&quot;abstract&quot;:&quot;Peak load shifting, a load management policy, has attracted widespread attention as it can minimize the impact of load variation on a system's operation and reduce the electricity costs. Phase change materials (PCMs) can contribute to peak load shifting by storing the daytime solar energy in winter/free night cooling in summer or the low-rate energy provided at off-peak hours for use during the high electricity peak period. This study aimed to experimentally investigate the effect of an active PCM storage in combination with a price-based control on peak load shifting. The experiments were conducted using two identical test huts, which were equipped with an electric and solar air heater during cold seasons or an air conditioning unit during warm seasons. But in addition, one of the huts was equipped with an active PCM storage unit charged by the solar heater. A CompactRio data acquisition system, powered by LabView interface, was used to transfer data and communicate with a host computer. Results showed that the proposed system was successful in shifting both heating and cooling demands to the off-peak periods. Up to 47% of daily energy-saving (∼0.83 kWh) with a corresponding 65% of electricity cost-saving, in winter, and up to 23% daily energy saving (∼0.27 kWh) with a relevant 42% of cost-saving, in summer, were achieved.&quot;,&quot;author&quot;:[{&quot;dropping-particle&quot;:&quot;&quot;,&quot;family&quot;:&quot;Gholamibozanjani&quot;,&quot;given&quot;:&quot;Gohar&quot;,&quot;non-dropping-particle&quot;:&quot;&quot;,&quot;parse-names&quot;:false,&quot;suffix&quot;:&quot;&quot;},{&quot;dropping-particle&quot;:&quot;&quot;,&quot;family&quot;:&quot;Farid&quot;,&quot;given&quot;:&quot;Mohammed&quot;,&quot;non-dropping-particle&quot;:&quot;&quot;,&quot;parse-names&quot;:false,&quot;suffix&quot;:&quot;&quot;}],&quot;container-title&quot;:&quot;Solar Energy&quot;,&quot;id&quot;:&quot;153c228c-f0ec-3d4e-bc8b-5dabf057df2f&quot;,&quot;issued&quot;:{&quot;date-parts&quot;:[[&quot;2020&quot;,&quot;11&quot;,&quot;15&quot;]]},&quot;page&quot;:&quot;661-673&quot;,&quot;publisher&quot;:&quot;Pergamon&quot;,&quot;title&quot;:&quot;Peak load shifting using a price-based control in PCM-enhanced buildings&quot;,&quot;type&quot;:&quot;article-journal&quot;,&quot;volume&quot;:&quot;211&quot;,&quot;container-title-short&quot;:&quot;&quot;},&quot;uris&quot;:[&quot;http://www.mendeley.com/documents/?uuid=153c228c-f0ec-3d4e-bc8b-5dabf057df2f&quot;],&quot;isTemporary&quot;:false,&quot;legacyDesktopId&quot;:&quot;153c228c-f0ec-3d4e-bc8b-5dabf057df2f&quot;}]},{&quot;citationID&quot;:&quot;MENDELEY_CITATION_6bb0e80a-728a-427b-b548-04127357efe5&quot;,&quot;properties&quot;:{&quot;noteIndex&quot;:0},&quot;isEdited&quot;:false,&quot;manualOverride&quot;:{&quot;citeprocText&quot;:&quot;[38]&quot;,&quot;isManuallyOverridden&quot;:false,&quot;manualOverrideText&quot;:&quot;&quot;},&quot;citationTag&quot;:&quot;MENDELEY_CITATION_v3_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&quot;,&quot;citationItems&quot;:[{&quot;id&quot;:&quot;dc31db93-ba26-3d21-b18d-4a77673e89df&quot;,&quot;itemData&quot;:{&quot;abstract&quot;:&quot;This paper presents a novel energy storage solution by incorporating phase change material (PCM) in the building supply-air duct to increase a building's thermal storage capacity. This solution has various advantages compared to PCM-integrated walls including more effective heat transfer (forced convection and greater temperature differentials). During off-peak hours, the system runs at a supply-air temperature below the material's solidification point to charge the PCM with cooling energy. During on-peak hours, a higher supply-air temperature is utilized so that the stored energy can be discharged into the supply-air. This shifts a portion of the building's cooling load from the on-peak hours to the off-peak hours. A numerical model for the melting and solidification of PCM in the duct was developed and modified using experimental data. Whole building energy simulations were conducted by coupling the PCM model with EnergyPlus DOE prototypical building model in a Simulink co-simulation platform. Simulations were performed for three cities in different climate zones over a three-month cooling season (June to August), and the PCM storage reduced the on-peak energy consumption by 20-25%. The electricity cost and payback period were determined using current time-of-use electricity rates.&quot;,&quot;author&quot;:[{&quot;dropping-particle&quot;:&quot;&quot;,&quot;family&quot;:&quot;Hlanze&quot;,&quot;given&quot;:&quot;P&quot;,&quot;non-dropping-particle&quot;:&quot;&quot;,&quot;parse-names&quot;:false,&quot;suffix&quot;:&quot;&quot;},{&quot;dropping-particle&quot;:&quot;&quot;,&quot;family&quot;:&quot;Elhefny&quot;,&quot;given&quot;:&quot;A&quot;,&quot;non-dropping-particle&quot;:&quot;&quot;,&quot;parse-names&quot;:false,&quot;suffix&quot;:&quot;&quot;},{&quot;dropping-particle&quot;:&quot;&quot;,&quot;family&quot;:&quot;Jiang&quot;,&quot;given&quot;:&quot;Z&quot;,&quot;non-dropping-particle&quot;:&quot;&quot;,&quot;parse-names&quot;:false,&quot;suffix&quot;:&quot;&quot;},{&quot;dropping-particle&quot;:&quot;&quot;,&quot;family&quot;:&quot;Cai&quot;,&quot;given&quot;:&quot;J&quot;,&quot;non-dropping-particle&quot;:&quot;&quot;,&quot;parse-names&quot;:false,&quot;suffix&quot;:&quot;&quot;},{&quot;dropping-particle&quot;:&quot;&quot;,&quot;family&quot;:&quot;Shabgard&quot;,&quot;given&quot;:&quot;H&quot;,&quot;non-dropping-particle&quot;:&quot;&quot;,&quot;parse-names&quot;:false,&quot;suffix&quot;:&quot;&quot;}],&quot;id&quot;:&quot;dc31db93-ba26-3d21-b18d-4a77673e89df&quot;,&quot;issued&quot;:{&quot;date-parts&quot;:[[&quot;2021&quot;]]},&quot;title&quot;:&quot;Integration of Phase Change Material-Based Storage in Air Distribution Systems to Increase Building Power Flexibility&quot;,&quot;type&quot;:&quot;article-journal&quot;,&quot;container-title-short&quot;:&quot;&quot;},&quot;uris&quot;:[&quot;http://www.mendeley.com/documents/?uuid=dc31db93-ba26-3d21-b18d-4a77673e89df&quot;],&quot;isTemporary&quot;:false,&quot;legacyDesktopId&quot;:&quot;dc31db93-ba26-3d21-b18d-4a77673e89df&quot;}]},{&quot;citationID&quot;:&quot;MENDELEY_CITATION_f93b8431-b263-4609-8ce5-739c4fc36ceb&quot;,&quot;properties&quot;:{&quot;noteIndex&quot;:0},&quot;isEdited&quot;:false,&quot;manualOverride&quot;:{&quot;citeprocText&quot;:&quot;[39]&quot;,&quot;isManuallyOverridden&quot;:false,&quot;manualOverrideText&quot;:&quot;&quot;},&quot;citationTag&quot;:&quot;MENDELEY_CITATION_v3_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&quot;,&quot;citationItems&quot;:[{&quot;id&quot;:&quot;bacf03ef-2012-3b45-9f62-cf041aa46e90&quot;,&quot;itemData&quot;:{&quot;DOI&quot;:&quot;10.1016/j.enbuild.2021.110917&quot;,&quot;ISSN&quot;:&quot;03787788&quot;,&quot;abstract&quot;:&quot;Personal Conditioning Devices (PCD) create a microenvironment around their users and therefore, better satisfy an individual's thermal comfort than central HVAC systems can. Existing PCDs are categorized into stationary devices and wearable devices. Both types of devices have respective advantages and disadvantages. This paper introduces a novel personal conditioning device called Roving Comforter (RoCo) which is ductless, portable, and capable of providing up to 8 h of conditioned air without rejecting waste heat while in use. The conditioned air, typically 5 K cooler than the ambient air, is produced by a 150 W-mini heat pump system that rejects its condenser heat to an onboard phase change material (PCM) container. The PCM is solidified by the heat pump's reverse cycle after the cooling operation or by a thermo-syphon mode. Cyclic tests conducted in the lab confirmed the concept of RoCo design and its technical specifications. We further conducted EnergyPlus simulation to evaluate the power saving potential of RoCo in centrally air-conditioned buildings in seven US cities. The results show that increasing the central HVAC's temperature setpoint by 2.6 K during the peak hours of the day in the summer season could lead to energy savings between 10% and 70% among the seven cities. Finally, a survey investigation with 14 valid datasets from 40 human subjects demonstrated that RoCo could improve the thermal comfort for the users.&quot;,&quot;author&quot;:[{&quot;dropping-particle&quot;:&quot;&quot;,&quot;family&quot;:&quot;Ling&quot;,&quot;given&quot;:&quot;Jiazhen&quot;,&quot;non-dropping-particle&quot;:&quot;&quot;,&quot;parse-names&quot;:false,&quot;suffix&quot;:&quot;&quot;},{&quot;dropping-particle&quot;:&quot;&quot;,&quot;family&quot;:&quot;Dalgo&quot;,&quot;given&quot;:&quot;Daniel A.&quot;,&quot;non-dropping-particle&quot;:&quot;&quot;,&quot;parse-names&quot;:false,&quot;suffix&quot;:&quot;&quot;},{&quot;dropping-particle&quot;:&quot;&quot;,&quot;family&quot;:&quot;Zhu&quot;,&quot;given&quot;:&quot;Shengwei&quot;,&quot;non-dropping-particle&quot;:&quot;&quot;,&quot;parse-names&quot;:false,&quot;suffix&quot;:&quot;&quot;},{&quot;dropping-particle&quot;:&quot;&quot;,&quot;family&quot;:&quot;Qiao&quot;,&quot;given&quot;:&quot;Yiyuan&quot;,&quot;non-dropping-particle&quot;:&quot;&quot;,&quot;parse-names&quot;:false,&quot;suffix&quot;:&quot;&quot;},{&quot;dropping-particle&quot;:&quot;&quot;,&quot;family&quot;:&quot;Wang&quot;,&quot;given&quot;:&quot;Lingzhe&quot;,&quot;non-dropping-particle&quot;:&quot;&quot;,&quot;parse-names&quot;:false,&quot;suffix&quot;:&quot;&quot;},{&quot;dropping-particle&quot;:&quot;&quot;,&quot;family&quot;:&quot;Aute&quot;,&quot;given&quot;:&quot;Vikrant&quot;,&quot;non-dropping-particle&quot;:&quot;&quot;,&quot;parse-names&quot;:false,&quot;suffix&quot;:&quot;&quot;},{&quot;dropping-particle&quot;:&quot;&quot;,&quot;family&quot;:&quot;Srebric&quot;,&quot;given&quot;:&quot;Jelena&quot;,&quot;non-dropping-particle&quot;:&quot;&quot;,&quot;parse-names&quot;:false,&quot;suffix&quot;:&quot;&quot;},{&quot;dropping-particle&quot;:&quot;&quot;,&quot;family&quot;:&quot;Muehlbauer&quot;,&quot;given&quot;:&quot;Jan&quot;,&quot;non-dropping-particle&quot;:&quot;&quot;,&quot;parse-names&quot;:false,&quot;suffix&quot;:&quot;&quot;},{&quot;dropping-particle&quot;:&quot;&quot;,&quot;family&quot;:&quot;Hwang&quot;,&quot;given&quot;:&quot;Yunho&quot;,&quot;non-dropping-particle&quot;:&quot;&quot;,&quot;parse-names&quot;:false,&quot;suffix&quot;:&quot;&quot;},{&quot;dropping-particle&quot;:&quot;&quot;,&quot;family&quot;:&quot;Radermacher&quot;,&quot;given&quot;:&quot;Reinhard&quot;,&quot;non-dropping-particle&quot;:&quot;&quot;,&quot;parse-names&quot;:false,&quot;suffix&quot;:&quot;&quot;}],&quot;container-title&quot;:&quot;Energy and Buildings&quot;,&quot;id&quot;:&quot;bacf03ef-2012-3b45-9f62-cf041aa46e90&quot;,&quot;issued&quot;:{&quot;date-parts&quot;:[[&quot;2021&quot;,&quot;6&quot;,&quot;15&quot;]]},&quot;page&quot;:&quot;110917&quot;,&quot;publisher&quot;:&quot;Elsevier&quot;,&quot;title&quot;:&quot;Energy savings and thermal comfort evaluation of a novel personal conditioning device&quot;,&quot;type&quot;:&quot;article-journal&quot;,&quot;volume&quot;:&quot;241&quot;,&quot;container-title-short&quot;:&quot;Energy Build&quot;},&quot;uris&quot;:[&quot;http://www.mendeley.com/documents/?uuid=bacf03ef-2012-3b45-9f62-cf041aa46e90&quot;],&quot;isTemporary&quot;:false,&quot;legacyDesktopId&quot;:&quot;bacf03ef-2012-3b45-9f62-cf041aa46e90&quot;}]},{&quot;citationID&quot;:&quot;MENDELEY_CITATION_59dd363c-c7f1-4d18-ad9d-1a581c1a62e0&quot;,&quot;properties&quot;:{&quot;noteIndex&quot;:0},&quot;isEdited&quot;:false,&quot;manualOverride&quot;:{&quot;citeprocText&quot;:&quot;[40]&quot;,&quot;isManuallyOverridden&quot;:false,&quot;manualOverrideText&quot;:&quot;&quot;},&quot;citationTag&quot;:&quot;MENDELEY_CITATION_v3_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&quot;,&quot;citationItems&quot;:[{&quot;id&quot;:&quot;3e5f4972-a383-36ea-be02-e3fa6f7cddea&quot;,&quot;itemData&quot;:{&quot;DOI&quot;:&quot;10.1016/j.apenergy.2019.01.197&quot;,&quot;ISSN&quot;:&quot;03062619&quot;,&quot;abstract&quot;:&quot;Space cooling is the main contributor to high electrical power demand in summer. This research investigates the effect of adding a phase change thermal energy storage unit (PCTSU) to an air source heat pump (HP) cooling system. The HP model improves on an existing model in the simulation software library to simulate the HP performance. The PCTSU performance is simulated using a newly developed two-dimensional transient heat transfer model, which is experimentally validated against available experimental results. The cooling system is operated in three modes to satisfy the space cooling demand of a 7.6 stars house in the City of Adelaide, Australia. The PCTSU is charged by the HP when outdoor temperature is relatively low and discharged either whenever space cooling is required during the day (mode M2) or during the peak period only (mode M3). The simulation is conducted for the whole cooling season, and the cooling energy and electricity usage performances of the system with a PCTSU (modes M2 and M3) are compared with those of the system without a PCTSU (mode M1). A sensitivity analysis reveals that the PCTSU performance is slightly sensitive to the uncertainties of melting temperature of the phase change material and to the inlet temperature of the heat transfer fluid. The PCTSU provides 25% and 13% of the cooling energy and requires 11% and 6% of the electrical energy usage for charging by the HP in modes M2 and M3 respectively. Both electricity usage and demand tariffs are considered, and the cost savings are 14% and 7% in the former and 14% and 13% in the latter, in modes M2 and M3 respectively. The cost analysis indicates that techno-economic benefits of using PCTSUs should be carefully analysed. Appropriate economic incentives are needed to accelerate the uptake of thermal storage for space cooling applications to reduce high electrical power demand and help to avoid the need to further increase the grid capacity.&quot;,&quot;author&quot;:[{&quot;dropping-particle&quot;:&quot;&quot;,&quot;family&quot;:&quot;Farah&quot;,&quot;given&quot;:&quot;Sleiman&quot;,&quot;non-dropping-particle&quot;:&quot;&quot;,&quot;parse-names&quot;:false,&quot;suffix&quot;:&quot;&quot;},{&quot;dropping-particle&quot;:&quot;&quot;,&quot;family&quot;:&quot;Liu&quot;,&quot;given&quot;:&quot;Ming&quot;,&quot;non-dropping-particle&quot;:&quot;&quot;,&quot;parse-names&quot;:false,&quot;suffix&quot;:&quot;&quot;},{&quot;dropping-particle&quot;:&quot;&quot;,&quot;family&quot;:&quot;Saman&quot;,&quot;given&quot;:&quot;Wasim&quot;,&quot;non-dropping-particle&quot;:&quot;&quot;,&quot;parse-names&quot;:false,&quot;suffix&quot;:&quot;&quot;}],&quot;container-title&quot;:&quot;Applied Energy&quot;,&quot;id&quot;:&quot;3e5f4972-a383-36ea-be02-e3fa6f7cddea&quot;,&quot;issued&quot;:{&quot;date-parts&quot;:[[&quot;2019&quot;,&quot;4&quot;,&quot;1&quot;]]},&quot;page&quot;:&quot;526-535&quot;,&quot;publisher&quot;:&quot;Elsevier&quot;,&quot;title&quot;:&quot;Numerical investigation of phase change material thermal storage for space cooling&quot;,&quot;type&quot;:&quot;article-journal&quot;,&quot;volume&quot;:&quot;239&quot;,&quot;container-title-short&quot;:&quot;Appl Energy&quot;},&quot;uris&quot;:[&quot;http://www.mendeley.com/documents/?uuid=3e5f4972-a383-36ea-be02-e3fa6f7cddea&quot;],&quot;isTemporary&quot;:false,&quot;legacyDesktopId&quot;:&quot;3e5f4972-a383-36ea-be02-e3fa6f7cddea&quot;}]},{&quot;citationID&quot;:&quot;MENDELEY_CITATION_3f7759fe-831e-410a-8e8e-40e6b4b1b861&quot;,&quot;properties&quot;:{&quot;noteIndex&quot;:0},&quot;isEdited&quot;:false,&quot;manualOverride&quot;:{&quot;citeprocText&quot;:&quot;[41]&quot;,&quot;isManuallyOverridden&quot;:false,&quot;manualOverrideText&quot;:&quot;&quot;},&quot;citationTag&quot;:&quot;MENDELEY_CITATION_v3_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&quot;,&quot;citationItems&quot;:[{&quot;id&quot;:&quot;bc9267be-fa3f-3c74-887e-177feba4acc7&quot;,&quot;itemData&quot;:{&quot;DOI&quot;:&quot;10.1016/j.enbuild.2020.110405&quot;,&quot;ISSN&quot;:&quot;03787788&quot;,&quot;abstract&quot;:&quot;This paper studies the performance of a cold storage heat pump system integrated with phase change materials (PCMs) for space cooling. An air-cooled heat pump unit comprising of two constant rotation speed compressors is selected. The PCM is an organic material that is commercially available, and has a phase change temperature of 10–12 °C. A coupled computational heat transfer model of the heat pump unit, fan coil units, and a cold storage tank filled with PCM slabs is developed. The simulations are performed under the climatic condition of Fuzhou, China. The operational behaviors of the cold charging and discharging processes of the system are analyzed. Furthermore, the overall electrical energy and electricity charge consumptions at various indoor temperature set points are compared. The results indicate that, the electrical energy consumption of the cold storage heat pump system increases as the indoor temperature increases. However, there is very little difference in the electrical energy consumption of the conventional heat pump system and the cold storage system. While under the demand tariff, the electricity charge saving ratio of the cold storage system over the conventional system is 9.07%-11.28%. In general, as the indoor temperature set point reduces, the electricity charge saving ratio increases. Moreover, the effect of cold charging temperature is also discussed. It is found that higher cold charging temperature consumes less electrical energy, however, takes longer to store the same amount of cold, and the differences relies on the required amount of cold.&quot;,&quot;author&quot;:[{&quot;dropping-particle&quot;:&quot;&quot;,&quot;family&quot;:&quot;Chen&quot;,&quot;given&quot;:&quot;Xiaoming&quot;,&quot;non-dropping-particle&quot;:&quot;&quot;,&quot;parse-names&quot;:false,&quot;suffix&quot;:&quot;&quot;},{&quot;dropping-particle&quot;:&quot;&quot;,&quot;family&quot;:&quot;Zhang&quot;,&quot;given&quot;:&quot;Quan&quot;,&quot;non-dropping-particle&quot;:&quot;&quot;,&quot;parse-names&quot;:false,&quot;suffix&quot;:&quot;&quot;},{&quot;dropping-particle&quot;:&quot;&quot;,&quot;family&quot;:&quot;Zhai&quot;,&quot;given&quot;:&quot;Zhiqiang (John)&quot;,&quot;non-dropping-particle&quot;:&quot;&quot;,&quot;parse-names&quot;:false,&quot;suffix&quot;:&quot;&quot;},{&quot;dropping-particle&quot;:&quot;&quot;,&quot;family&quot;:&quot;Qiu&quot;,&quot;given&quot;:&quot;Jinyou&quot;,&quot;non-dropping-particle&quot;:&quot;&quot;,&quot;parse-names&quot;:false,&quot;suffix&quot;:&quot;&quot;}],&quot;container-title&quot;:&quot;Energy and Buildings&quot;,&quot;id&quot;:&quot;bc9267be-fa3f-3c74-887e-177feba4acc7&quot;,&quot;issued&quot;:{&quot;date-parts&quot;:[[&quot;2020&quot;,&quot;12&quot;,&quot;1&quot;]]},&quot;page&quot;:&quot;110405&quot;,&quot;publisher&quot;:&quot;Elsevier&quot;,&quot;title&quot;:&quot;Performance of a cold storage air-cooled heat pump system with phase change materials for space cooling&quot;,&quot;type&quot;:&quot;article-journal&quot;,&quot;volume&quot;:&quot;228&quot;,&quot;container-title-short&quot;:&quot;Energy Build&quot;},&quot;uris&quot;:[&quot;http://www.mendeley.com/documents/?uuid=bc9267be-fa3f-3c74-887e-177feba4acc7&quot;],&quot;isTemporary&quot;:false,&quot;legacyDesktopId&quot;:&quot;bc9267be-fa3f-3c74-887e-177feba4acc7&quot;}]},{&quot;citationID&quot;:&quot;MENDELEY_CITATION_064be5b3-4d17-4ba8-bbc6-9710f1892bcd&quot;,&quot;properties&quot;:{&quot;noteIndex&quot;:0},&quot;isEdited&quot;:false,&quot;manualOverride&quot;:{&quot;citeprocText&quot;:&quot;[3]&quot;,&quot;isManuallyOverridden&quot;:false,&quot;manualOverrideText&quot;:&quot;&quot;},&quot;citationTag&quot;:&quot;MENDELEY_CITATION_v3_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&quot;,&quot;citationItems&quot;:[{&quot;id&quot;:&quot;d58303d9-4049-3b21-b4ce-c77cfc399f52&quot;,&quot;itemData&quot;:{&quot;DOI&quot;:&quot;10.1109/PESGM40551.2019.8973936&quot;,&quot;ISBN&quot;:&quot;9781728119816&quot;,&quot;ISSN&quot;:&quot;19449933&quot;,&quot;abstract&quot;:&quot;In this paper, we examine the potential for using phase change material (PCM) as a thermal storage medium for improving the efficiency as well as enabling grid-responsive control of heat pump (HP) systems. Previous research in PCM integration in buildings has primarily been focused on integration with building envelopes. An objective of our research is to design a novel and practical PCM integration with existing HP systems. High-fidelity models for building, HP and PCM are developed to facilitate the model-based predictive control (MPC) design. To optimize the operation of HP and PCM, we introduce an optimization problem considering various constraints for both comfort and hardware constraints. We include experimental results in which a house fleet are optimized to minimize their power consumption or electricity cost. We numerically demonstrate the designs potential for reducing power consumption or electricity cost by 13% or 19%, respectively.&quot;,&quot;author&quot;:[{&quot;dropping-particle&quot;:&quot;&quot;,&quot;family&quot;:&quot;Dong&quot;,&quot;given&quot;:&quot;Jin&quot;,&quot;non-dropping-particle&quot;:&quot;&quot;,&quot;parse-names&quot;:false,&quot;suffix&quot;:&quot;&quot;},{&quot;dropping-particle&quot;:&quot;&quot;,&quot;family&quot;:&quot;Shen&quot;,&quot;given&quot;:&quot;Bo&quot;,&quot;non-dropping-particle&quot;:&quot;&quot;,&quot;parse-names&quot;:false,&quot;suffix&quot;:&quot;&quot;},{&quot;dropping-particle&quot;:&quot;&quot;,&quot;family&quot;:&quot;Munk&quot;,&quot;given&quot;:&quot;Jeffrey&quot;,&quot;non-dropping-particle&quot;:&quot;&quot;,&quot;parse-names&quot;:false,&quot;suffix&quot;:&quot;&quot;},{&quot;dropping-particle&quot;:&quot;&quot;,&quot;family&quot;:&quot;Gluesenkamp&quot;,&quot;given&quot;:&quot;Kyle R.&quot;,&quot;non-dropping-particle&quot;:&quot;&quot;,&quot;parse-names&quot;:false,&quot;suffix&quot;:&quot;&quot;},{&quot;dropping-particle&quot;:&quot;&quot;,&quot;family&quot;:&quot;Laclair&quot;,&quot;given&quot;:&quot;Tim&quot;,&quot;non-dropping-particle&quot;:&quot;&quot;,&quot;parse-names&quot;:false,&quot;suffix&quot;:&quot;&quot;},{&quot;dropping-particle&quot;:&quot;&quot;,&quot;family&quot;:&quot;Kuruganti&quot;,&quot;given&quot;:&quot;Teja&quot;,&quot;non-dropping-particle&quot;:&quot;&quot;,&quot;parse-names&quot;:false,&quot;suffix&quot;:&quot;&quot;}],&quot;container-title&quot;:&quot;IEEE Power and Energy Society General Meeting&quot;,&quot;id&quot;:&quot;d58303d9-4049-3b21-b4ce-c77cfc399f52&quot;,&quot;issued&quot;:{&quot;date-parts&quot;:[[&quot;2019&quot;]]},&quot;title&quot;:&quot;Novel PCM Integration with Electrical Heat Pump for Demand Response&quot;,&quot;type&quot;:&quot;paper-conference&quot;,&quot;container-title-short&quot;:&quot;&quot;},&quot;uris&quot;:[&quot;http://www.mendeley.com/documents/?uuid=a85cbfa5-0df7-4e10-9431-26967e90678b&quot;],&quot;isTemporary&quot;:false,&quot;legacyDesktopId&quot;:&quot;a85cbfa5-0df7-4e10-9431-26967e90678b&quot;}]},{&quot;citationID&quot;:&quot;MENDELEY_CITATION_a79d4569-86fc-4702-8d1e-95b4963ddefb&quot;,&quot;properties&quot;:{&quot;noteIndex&quot;:0},&quot;isEdited&quot;:false,&quot;manualOverride&quot;:{&quot;citeprocText&quot;:&quot;[42]&quot;,&quot;isManuallyOverridden&quot;:false,&quot;manualOverrideText&quot;:&quot;&quot;},&quot;citationTag&quot;:&quot;MENDELEY_CITATION_v3_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&quot;,&quot;citationItems&quot;:[{&quot;id&quot;:&quot;f8f7c02b-3562-32d0-9556-6d1d09dc0da1&quot;,&quot;itemData&quot;:{&quot;DOI&quot;:&quot;10.1016/j.enbuild.2014.02.069&quot;,&quot;ISSN&quot;:&quot;03787788&quot;,&quot;abstract&quot;:&quot;Achieving energy savings with domestic off peak air conditioning using phase change materials (PCMs) has always proved a challenge. Although the energy efficiency ratio of an air conditioner is higher during the night, this improvement often does not offset the exergy loss experienced when using thermal storage. Simulations have been conducted using the effectiveness-number of transfer units (-NTU) representation of a PCM system to determine the instantaneous heat transfer when coupled to an inverter chiller cooling system. Results show that although 85% of the energy consumption for cooling could be shifted to the off-peak period with an ice based system, the energy demand increased by 7.6%. The investigation demonstrated that by using a PCM with a melting point of 4 °C, it is possible to achieve an energy saving for cooling. A savings of around 13.5% can be achieved using a PCM with a melting point of 10 °C. Energy usage was increased with a more efficient PCM storage system. This unexpected result was due to which period the storage system was charged. A more efficient storage system charged quicker during the warmer part of the evening. Therefore energy minimisation requires optimal charging during the coldest part of the night. © 2014 Elsevier B.V.&quot;,&quot;author&quot;:[{&quot;dropping-particle&quot;:&quot;&quot;,&quot;family&quot;:&quot;Bruno&quot;,&quot;given&quot;:&quot;F.&quot;,&quot;non-dropping-particle&quot;:&quot;&quot;,&quot;parse-names&quot;:false,&quot;suffix&quot;:&quot;&quot;},{&quot;dropping-particle&quot;:&quot;&quot;,&quot;family&quot;:&quot;Tay&quot;,&quot;given&quot;:&quot;N. H S&quot;,&quot;non-dropping-particle&quot;:&quot;&quot;,&quot;parse-names&quot;:false,&quot;suffix&quot;:&quot;&quot;},{&quot;dropping-particle&quot;:&quot;&quot;,&quot;family&quot;:&quot;Belusko&quot;,&quot;given&quot;:&quot;M.&quot;,&quot;non-dropping-particle&quot;:&quot;&quot;,&quot;parse-names&quot;:false,&quot;suffix&quot;:&quot;&quot;}],&quot;container-title&quot;:&quot;Energy and Buildings&quot;,&quot;id&quot;:&quot;f8f7c02b-3562-32d0-9556-6d1d09dc0da1&quot;,&quot;issued&quot;:{&quot;date-parts&quot;:[[&quot;2014&quot;,&quot;6&quot;,&quot;1&quot;]]},&quot;page&quot;:&quot;347-353&quot;,&quot;publisher&quot;:&quot;Elsevier&quot;,&quot;title&quot;:&quot;Minimising energy usage for domestic cooling with off-peak PCM storage&quot;,&quot;type&quot;:&quot;article-journal&quot;,&quot;volume&quot;:&quot;76&quot;,&quot;container-title-short&quot;:&quot;Energy Build&quot;},&quot;uris&quot;:[&quot;http://www.mendeley.com/documents/?uuid=f8f7c02b-3562-32d0-9556-6d1d09dc0da1&quot;],&quot;isTemporary&quot;:false,&quot;legacyDesktopId&quot;:&quot;f8f7c02b-3562-32d0-9556-6d1d09dc0da1&quot;}]},{&quot;citationID&quot;:&quot;MENDELEY_CITATION_8a7a9058-0870-4b4a-8670-b46326b19c5b&quot;,&quot;properties&quot;:{&quot;noteIndex&quot;:0},&quot;isEdited&quot;:false,&quot;manualOverride&quot;:{&quot;citeprocText&quot;:&quot;[43]&quot;,&quot;isManuallyOverridden&quot;:false,&quot;manualOverrideText&quot;:&quot;&quot;},&quot;citationTag&quot;:&quot;MENDELEY_CITATION_v3_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&quot;,&quot;citationItems&quot;:[{&quot;id&quot;:&quot;bc455013-1101-5226-a18d-d03b3c2b31c0&quot;,&quot;itemData&quot;:{&quot;DOI&quot;:&quot;10.1016/j.enconman.2015.01.068&quot;,&quot;ISSN&quot;:&quot;01968904&quot;,&quot;abstract&quot;:&quot;In this study, a concept of using phase change material (PCM) for improving cooling efficiency of an air-conditioner had been presented under Thailand climate. Rubitherm20 (RT-20) was selected to evaluate the thermal performance by reducing the air temperature entering the evaporating coil. The model of PCM celluloid balls had been performed with the air-conditioner. For the experiment, 2 TR of R-134a air-conditioner was chosen to test a pack bed of PCM balls with thickness 40 cm. The pressure drops of the air flowing through the bed were considered with and without a set of by-pass tubes along the height of the storage bed. The mathematical model of the air-conditioner with the PCM storage was developed and verified with the testing results. From the study results, it could be seen that pressure drops of the bed with and without bypass tubes were nearly the same results. Thus, PCM ball pack bed using RT-20 without bypass tubes was used to improve the cooling efficiency of the air-conditioner. The experimental result of the modified unit was compared and verified with the mathematical model, which agreed quite well with the simulation result. Finally, the model was used to analyze the economic result, which found that the electrical consumption of the modified air-conditioner could be decreased around 3.09 kW h/d. The saving cost from the PCM bed could be 9.10% of 170.03 USD/y and the payback period was around 4.15 y.&quot;,&quot;author&quot;:[{&quot;dropping-particle&quot;:&quot;&quot;,&quot;family&quot;:&quot;Chaiyat&quot;,&quot;given&quot;:&quot;Nattaporn&quot;,&quot;non-dropping-particle&quot;:&quot;&quot;,&quot;parse-names&quot;:false,&quot;suffix&quot;:&quot;&quot;}],&quot;container-title&quot;:&quot;Energy Conversion and Management&quot;,&quot;id&quot;:&quot;bc455013-1101-5226-a18d-d03b3c2b31c0&quot;,&quot;issued&quot;:{&quot;date-parts&quot;:[[&quot;2015&quot;]]},&quot;page&quot;:&quot;150-158&quot;,&quot;publisher&quot;:&quot;Elsevier Ltd&quot;,&quot;title&quot;:&quot;Energy and economic analysis of a building air-conditioner with a phase change material (PCM)&quot;,&quot;type&quot;:&quot;article-journal&quot;,&quot;volume&quot;:&quot;94&quot;,&quot;container-title-short&quot;:&quot;Energy Convers Manag&quot;},&quot;uris&quot;:[&quot;http://www.mendeley.com/documents/?uuid=30d65554-7fbd-4991-bdb4-dcb4080b83d5&quot;],&quot;isTemporary&quot;:false,&quot;legacyDesktopId&quot;:&quot;30d65554-7fbd-4991-bdb4-dcb4080b83d5&quot;}]},{&quot;citationID&quot;:&quot;MENDELEY_CITATION_ac54addb-9530-41bb-9222-ac4544432dfb&quot;,&quot;properties&quot;:{&quot;noteIndex&quot;:0},&quot;isEdited&quot;:false,&quot;manualOverride&quot;:{&quot;citeprocText&quot;:&quot;[44]&quot;,&quot;isManuallyOverridden&quot;:false,&quot;manualOverrideText&quot;:&quot;&quot;},&quot;citationTag&quot;:&quot;MENDELEY_CITATION_v3_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&quot;,&quot;citationItems&quot;:[{&quot;id&quot;:&quot;f72bfbe2-1e11-3f49-a826-233eafec5191&quot;,&quot;itemData&quot;:{&quot;DOI&quot;:&quot;10.1016/j.apenergy.2015.10.122&quot;,&quot;ISSN&quot;:&quot;03062619&quot;,&quot;abstract&quot;:&quot;In this work, a combination of a latent heat thermal storage unit and a refrigeration system is presented as an air conditioning system. Overall system, including charging and discharging processes is analyzed for different phase change materials (PCMs) from exergoeconomic and environmental points of view. Based on comfort condition, three cases are selected with different size of PCM slabs and different PCMs: RT27, S27 and SP25. When the charging process takes place during the whole of off-peak hours the following results are obtained: (1) the system using SP25 has the highest value of the coefficient of performance; (2) the system using RT27 has the highest value of exergy efficiency and (3) the system using S27 has the lowest value of total cost rate. Finally, in order to obtain the best balance between the exergy destruction cost rate and the capital cost rate, the exergoeconomic factor is defined for each component, for different cases when system operates in the best performance conditions.&quot;,&quot;author&quot;:[{&quot;dropping-particle&quot;:&quot;&quot;,&quot;family&quot;:&quot;Mosaffa&quot;,&quot;given&quot;:&quot;A. H.&quot;,&quot;non-dropping-particle&quot;:&quot;&quot;,&quot;parse-names&quot;:false,&quot;suffix&quot;:&quot;&quot;},{&quot;dropping-particle&quot;:&quot;&quot;,&quot;family&quot;:&quot;Garousi Farshi&quot;,&quot;given&quot;:&quot;L.&quot;,&quot;non-dropping-particle&quot;:&quot;&quot;,&quot;parse-names&quot;:false,&quot;suffix&quot;:&quot;&quot;}],&quot;container-title&quot;:&quot;Applied Energy&quot;,&quot;id&quot;:&quot;f72bfbe2-1e11-3f49-a826-233eafec5191&quot;,&quot;issued&quot;:{&quot;date-parts&quot;:[[&quot;2016&quot;]]},&quot;page&quot;:&quot;515-526&quot;,&quot;publisher&quot;:&quot;Elsevier Ltd&quot;,&quot;title&quot;:&quot;Exergoeconomic and environmental analyses of an air conditioning system using thermal energy storage&quot;,&quot;type&quot;:&quot;article-journal&quot;,&quot;volume&quot;:&quot;162&quot;,&quot;container-title-short&quot;:&quot;Appl Energy&quot;},&quot;uris&quot;:[&quot;http://www.mendeley.com/documents/?uuid=248ace03-226d-4426-ab1a-17a1e2957e68&quot;],&quot;isTemporary&quot;:false,&quot;legacyDesktopId&quot;:&quot;248ace03-226d-4426-ab1a-17a1e2957e68&quot;}]},{&quot;citationID&quot;:&quot;MENDELEY_CITATION_54641488-be89-4f98-b4dc-d953f3fe74f2&quot;,&quot;properties&quot;:{&quot;noteIndex&quot;:0},&quot;isEdited&quot;:false,&quot;manualOverride&quot;:{&quot;isManuallyOverridden&quot;:false,&quot;citeprocText&quot;:&quot;[45]&quot;,&quot;manualOverrideText&quot;:&quot;&quot;},&quot;citationTag&quot;:&quot;MENDELEY_CITATION_v3_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&quot;,&quot;citationItems&quot;:[{&quot;id&quot;:&quot;a385f523-aac2-3ef1-8f0c-1fdc0d8078ae&quot;,&quot;itemData&quot;:{&quot;type&quot;:&quot;article-journal&quot;,&quot;id&quot;:&quot;a385f523-aac2-3ef1-8f0c-1fdc0d8078ae&quot;,&quot;title&quot;:&quot;Free cooling potential of a PCM-based heat exchanger coupled with a novel HVAC system for simultaneous heating and cooling of buildings&quot;,&quot;author&quot;:[{&quot;family&quot;:&quot;Maccarini&quot;,&quot;given&quot;:&quot;Alessandro&quot;,&quot;parse-names&quot;:false,&quot;dropping-particle&quot;:&quot;&quot;,&quot;non-dropping-particle&quot;:&quot;&quot;},{&quot;family&quot;:&quot;Hultmark&quot;,&quot;given&quot;:&quot;Göran&quot;,&quot;parse-names&quot;:false,&quot;dropping-particle&quot;:&quot;&quot;,&quot;non-dropping-particle&quot;:&quot;&quot;},{&quot;family&quot;:&quot;Bergsøe&quot;,&quot;given&quot;:&quot;Niels C.&quot;,&quot;parse-names&quot;:false,&quot;dropping-particle&quot;:&quot;&quot;,&quot;non-dropping-particle&quot;:&quot;&quot;},{&quot;family&quot;:&quot;Afshari&quot;,&quot;given&quot;:&quot;Alireza&quot;,&quot;parse-names&quot;:false,&quot;dropping-particle&quot;:&quot;&quot;,&quot;non-dropping-particle&quot;:&quot;&quot;}],&quot;container-title&quot;:&quot;Sustainable Cities and Society&quot;,&quot;accessed&quot;:{&quot;date-parts&quot;:[[2021,7,6]]},&quot;DOI&quot;:&quot;10.1016/j.scs.2018.06.016&quot;,&quot;ISSN&quot;:&quot;22106707&quot;,&quot;issued&quot;:{&quot;date-parts&quot;:[[2018,10,1]]},&quot;page&quot;:&quot;384-395&quot;,&quot;abstract&quot;:&quot;This article presents a simulation-based study that estimates the primary energy use of a novel HVAC system for different configurations of a thermal plant. The main characteristic of the system is its ability to provide simultaneous heating and cooling to buildings by using a single hydronic circuit with water temperatures of about 22 °C all year round. Four different configurations of the thermal plant were analyzed. A district heating-cooling network was considered as baseline. Other configurations included the use of a reversible air-to-water heat pump coupled with free cooling devices. In particular, a model of a PCM-based heat exchanger was developed in this work by using the programming language Modelica. This device was designed to store cold energy during night-time and release it during daytime through the water circuit. Results for a typical office building model showed that the integration of free cooling devices can significantly reduce the primary energy use of the novel HVAC system. In particular, the thermal plant configuration including the PCM-based heat exchanger made it possible to almost completely avoid the use of mechanical cooling, leading to annual primary energy savings of about 67% when compared with the baseline thermal plant configuration.&quot;,&quot;publisher&quot;:&quot;Elsevier&quot;,&quot;volume&quot;:&quot;42&quot;,&quot;container-title-short&quot;:&quot;Sustain Cities Soc&quot;},&quot;isTemporary&quot;:false}]},{&quot;citationID&quot;:&quot;MENDELEY_CITATION_3aacea05-592a-4db5-945a-e0e45d5c1064&quot;,&quot;properties&quot;:{&quot;noteIndex&quot;:0},&quot;isEdited&quot;:false,&quot;manualOverride&quot;:{&quot;citeprocText&quot;:&quot;[46]&quot;,&quot;isManuallyOverridden&quot;:false,&quot;manualOverrideText&quot;:&quot;&quot;},&quot;citationTag&quot;:&quot;MENDELEY_CITATION_v3_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&quot;,&quot;citationItems&quot;:[{&quot;id&quot;:&quot;a959076f-3157-3e46-9329-704c3e29ed17&quot;,&quot;itemData&quot;:{&quot;DOI&quot;:&quot;10.1016/j.enbuild.2011.12.022&quot;,&quot;ISSN&quot;:&quot;03787788&quot;,&quot;abstract&quot;:&quot;This work describes a model developed to simulate a radiant floor system with PCM in simple building types. The building simulation model has been validated by comparing its behavior with Energy Plus. The PCM radiant floor model is based on a one-dimensional finite difference scheme where the effective capacity method is used for PCM simulation. Some adjustments have been made to this one-dimensional scheme so that the thermal effect of two-dimensional heat transfer within the radiant floor slab is taken into account. The results of an analyzed case study are also presented in this paper. Here, the PCM floor heating system is fed by a heat pump which mainly operates during night time, thus reducing the costs of electric energy consumption. © 2012 Elsevier B.V. All rights reserved.&quot;,&quot;author&quot;:[{&quot;dropping-particle&quot;:&quot;&quot;,&quot;family&quot;:&quot;Mazo&quot;,&quot;given&quot;:&quot;Javier&quot;,&quot;non-dropping-particle&quot;:&quot;&quot;,&quot;parse-names&quot;:false,&quot;suffix&quot;:&quot;&quot;},{&quot;dropping-particle&quot;:&quot;&quot;,&quot;family&quot;:&quot;Delgado&quot;,&quot;given&quot;:&quot;Monica&quot;,&quot;non-dropping-particle&quot;:&quot;&quot;,&quot;parse-names&quot;:false,&quot;suffix&quot;:&quot;&quot;},{&quot;dropping-particle&quot;:&quot;&quot;,&quot;family&quot;:&quot;Marin&quot;,&quot;given&quot;:&quot;Jose Maria&quot;,&quot;non-dropping-particle&quot;:&quot;&quot;,&quot;parse-names&quot;:false,&quot;suffix&quot;:&quot;&quot;},{&quot;dropping-particle&quot;:&quot;&quot;,&quot;family&quot;:&quot;Zalba&quot;,&quot;given&quot;:&quot;Belen&quot;,&quot;non-dropping-particle&quot;:&quot;&quot;,&quot;parse-names&quot;:false,&quot;suffix&quot;:&quot;&quot;}],&quot;container-title&quot;:&quot;Energy and Buildings&quot;,&quot;id&quot;:&quot;a959076f-3157-3e46-9329-704c3e29ed17&quot;,&quot;issued&quot;:{&quot;date-parts&quot;:[[&quot;2012&quot;,&quot;4&quot;,&quot;1&quot;]]},&quot;page&quot;:&quot;458-466&quot;,&quot;publisher&quot;:&quot;Elsevier&quot;,&quot;title&quot;:&quot;Modeling a radiant floor system with Phase Change Material (PCM) integrated into a building simulation tool: Analysis of a case study of a floor heating system coupled to a heat pump&quot;,&quot;type&quot;:&quot;article-journal&quot;,&quot;volume&quot;:&quot;47&quot;,&quot;container-title-short&quot;:&quot;Energy Build&quot;},&quot;uris&quot;:[&quot;http://www.mendeley.com/documents/?uuid=c7796304-28fe-4981-ab75-fbf2684fb7f4&quot;],&quot;isTemporary&quot;:false,&quot;legacyDesktopId&quot;:&quot;c7796304-28fe-4981-ab75-fbf2684fb7f4&quot;}]},{&quot;citationID&quot;:&quot;MENDELEY_CITATION_56b496b2-f97d-4e81-a571-958c63ebaaf8&quot;,&quot;properties&quot;:{&quot;noteIndex&quot;:0},&quot;isEdited&quot;:false,&quot;manualOverride&quot;:{&quot;citeprocText&quot;:&quot;[47]&quot;,&quot;isManuallyOverridden&quot;:false,&quot;manualOverrideText&quot;:&quot;&quot;},&quot;citationTag&quot;:&quot;MENDELEY_CITATION_v3_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&quot;,&quot;citationItems&quot;:[{&quot;id&quot;:&quot;bb9ab588-5b97-328d-ba77-af52552472e4&quot;,&quot;itemData&quot;:{&quot;DOI&quot;:&quot;10.1016/j.enbuild.2019.02.026&quot;,&quot;ISSN&quot;:&quot;03787788&quot;,&quot;abstract&quot;:&quot;Heat pumps have the potential to reduce CO 2 emissions due to building heating when compared to fossil-based heating (e.g. natural gas, oil, wood), specifically when used in regions with low-CO 2 electrical generation. In many regions, emissions from the electric grid tend to peak during peak demand periods due to the dispatching of fossil-based generation. The design of buildings as distributed thermal storage units can act to diminish the peaks in the grid, reduce the overall CO 2 emissions from residential heating, increase the utilization of low-CO 2 technologies (nuclear, hydro, wind, solar, etc.…), while maintaining the thermal comfort of the occupants. This study is concerned with how thermal energy storage can be integrated into heat pump systems to improve demand flexibility, and ultimately allow the heating system to remain off during peak periods. Heat pumps tend to operate under a limited temperature range, which limits the energy storage density of water as a thermal storage medium. Phase change materials (PCM) can be used as thermal storage, and they benefit from the ability to maintain a high energy density under limited temperature conditions. The challenge is that PCMs have a relatively low thermal conductivity which can limit the rate of charging and discharging of the stored thermal energy. In the current state-of-the-art literature, there is no standard methodology to size PCM thermal energy storage units for heat pump systems. This study presents novel results that compare numerical and analytical predictions of a hybrid PCM-water thermal storage tank, and proposes a reduced analytical methodology for sizing PCM thermal storage tanks for heat pumps used for demand side management. System-level numerical simulations, considering the transient complexities of the melting and solidification process in a system environment, are compared against a simplified analytical predictions of thermal storage performance. Storage tanks containing 75% PCM modules of 2 cm thickness were able to reduce storage volume by over three-fold of water-only storage operating under a ΔT=10 °C. Peak periods ranging between 2 and 6 h in a residential household were sustained when the appropriate storage volume is used. Analytical methods for estimating the required volume are presented that ease the storage sizing and discuss the expected benefits and their limitation.&quot;,&quot;author&quot;:[{&quot;dropping-particle&quot;:&quot;&quot;,&quot;family&quot;:&quot;Hirmiz&quot;,&quot;given&quot;:&quot;R.&quot;,&quot;non-dropping-particle&quot;:&quot;&quot;,&quot;parse-names&quot;:false,&quot;suffix&quot;:&quot;&quot;},{&quot;dropping-particle&quot;:&quot;&quot;,&quot;family&quot;:&quot;Teamah&quot;,&quot;given&quot;:&quot;H. M.&quot;,&quot;non-dropping-particle&quot;:&quot;&quot;,&quot;parse-names&quot;:false,&quot;suffix&quot;:&quot;&quot;},{&quot;dropping-particle&quot;:&quot;&quot;,&quot;family&quot;:&quot;Lightstone&quot;,&quot;given&quot;:&quot;M. F.&quot;,&quot;non-dropping-particle&quot;:&quot;&quot;,&quot;parse-names&quot;:false,&quot;suffix&quot;:&quot;&quot;},{&quot;dropping-particle&quot;:&quot;&quot;,&quot;family&quot;:&quot;Cotton&quot;,&quot;given&quot;:&quot;J. S.&quot;,&quot;non-dropping-particle&quot;:&quot;&quot;,&quot;parse-names&quot;:false,&quot;suffix&quot;:&quot;&quot;}],&quot;container-title&quot;:&quot;Energy and Buildings&quot;,&quot;id&quot;:&quot;bb9ab588-5b97-328d-ba77-af52552472e4&quot;,&quot;issued&quot;:{&quot;date-parts&quot;:[[&quot;2019&quot;,&quot;5&quot;,&quot;1&quot;]]},&quot;page&quot;:&quot;103-118&quot;,&quot;publisher&quot;:&quot;Elsevier Ltd&quot;,&quot;title&quot;:&quot;Performance of heat pump integrated phase change material thermal storage for electric load shifting in building demand side management&quot;,&quot;type&quot;:&quot;article-journal&quot;,&quot;volume&quot;:&quot;190&quot;,&quot;container-title-short&quot;:&quot;Energy Build&quot;},&quot;uris&quot;:[&quot;http://www.mendeley.com/documents/?uuid=bb9ab588-5b97-328d-ba77-af52552472e4&quot;],&quot;isTemporary&quot;:false,&quot;legacyDesktopId&quot;:&quot;bb9ab588-5b97-328d-ba77-af52552472e4&quot;}]},{&quot;citationID&quot;:&quot;MENDELEY_CITATION_50009c78-fe9c-4cfa-a419-fba83de1a95e&quot;,&quot;properties&quot;:{&quot;noteIndex&quot;:0},&quot;isEdited&quot;:false,&quot;manualOverride&quot;:{&quot;citeprocText&quot;:&quot;[48]&quot;,&quot;isManuallyOverridden&quot;:false,&quot;manualOverrideText&quot;:&quot;&quot;},&quot;citationTag&quot;:&quot;MENDELEY_CITATION_v3_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&quot;,&quot;citationItems&quot;:[{&quot;id&quot;:&quot;2726706e-0c84-30a7-bd68-47fd032fe559&quot;,&quot;itemData&quot;:{&quot;DOI&quot;:&quot;10.1016/j.enconman.2021.114042&quot;,&quot;ISSN&quot;:&quot;01968904&quot;,&quot;abstract&quot;:&quot;Integrating latent heat thermal energy storage (LHTES) units into building heating systems has been increasingly investigated as a heat load management technology. A conventional LHTES integration method for heat pump based heating systems is to connect the heat pump's condenser for charging the LHTES unit. This integrating layout however usually leads to increased electricity input to the heating system. To underline this issue and provide solutions, this paper presents three new LHTES integrating layouts where the LHTES unit is connected with the de-superheater of the main heat pump (Case 2), the condenser of a cascaded booster heat pump cycle (Case 3), or a combination of using both the de-superheater and the booster cycle (Case 4). In the context of a multi-family house in Stockholm, a quasi-steady state heating system model was developed to evaluate the new integrating layouts, which were benchmarked against the baseline heating system without storage (Case 0) and the conventional integrating layout using the main heat pump condenser (Case 1). Hourly electric power input to the heating system was modelled for calculating the performance indicators including the heating performance factor, the operational expense and justifiable capital expense, and the indirect CO2 emissions. Two load shifting strategies were simulated for an evaluation period of Week 1, 2019: 1) charge during off-peak hours (8 pm to 6 am) and 2) charge during daytime hours (10 am to 7 pm). The simulation results of the off-peak charging strategy show that, in Cases 2–4, the heating performance factor is 22%-26% higher than Case 1 and the operational expense can be reduced by 2%-5% as compared with Case 0. The savings in the operational expense can justify the capital expense of 11 k-25 k Swedish Krona (SEK) for the LHTES systems in Cases 2–4 assuming a 15-year operation. Furthermore, the advantage of using the daytime charging strategy is principally the mitigation of CO2 emissions, which is up to 14% lower than the off-peak charging strategy. In summary, higher energy efficiency for heating is validated in the three new proposed integration layouts (Cases 2–4) against the condenser charging layout.&quot;,&quot;author&quot;:[{&quot;dropping-particle&quot;:&quot;&quot;,&quot;family&quot;:&quot;Xu&quot;,&quot;given&quot;:&quot;Tianhao&quot;,&quot;non-dropping-particle&quot;:&quot;&quot;,&quot;parse-names&quot;:false,&quot;suffix&quot;:&quot;&quot;},{&quot;dropping-particle&quot;:&quot;&quot;,&quot;family&quot;:&quot;Humire&quot;,&quot;given&quot;:&quot;Emma Nyholm&quot;,&quot;non-dropping-particle&quot;:&quot;&quot;,&quot;parse-names&quot;:false,&quot;suffix&quot;:&quot;&quot;},{&quot;dropping-particle&quot;:&quot;&quot;,&quot;family&quot;:&quot;Chiu&quot;,&quot;given&quot;:&quot;Justin Ningwei&quot;,&quot;non-dropping-particle&quot;:&quot;&quot;,&quot;parse-names&quot;:false,&quot;suffix&quot;:&quot;&quot;},{&quot;dropping-particle&quot;:&quot;&quot;,&quot;family&quot;:&quot;Sawalha&quot;,&quot;given&quot;:&quot;Samer&quot;,&quot;non-dropping-particle&quot;:&quot;&quot;,&quot;parse-names&quot;:false,&quot;suffix&quot;:&quot;&quot;}],&quot;container-title&quot;:&quot;Energy Conversion and Management&quot;,&quot;id&quot;:&quot;2726706e-0c84-30a7-bd68-47fd032fe559&quot;,&quot;issued&quot;:{&quot;date-parts&quot;:[[&quot;2021&quot;,&quot;5&quot;,&quot;15&quot;]]},&quot;page&quot;:&quot;114042&quot;,&quot;publisher&quot;:&quot;Pergamon&quot;,&quot;title&quot;:&quot;Latent heat storage integration into heat pump based heating systems for energy-efficient load shifting&quot;,&quot;type&quot;:&quot;article-journal&quot;,&quot;volume&quot;:&quot;236&quot;,&quot;container-title-short&quot;:&quot;Energy Convers Manag&quot;},&quot;uris&quot;:[&quot;http://www.mendeley.com/documents/?uuid=2726706e-0c84-30a7-bd68-47fd032fe559&quot;],&quot;isTemporary&quot;:false,&quot;legacyDesktopId&quot;:&quot;2726706e-0c84-30a7-bd68-47fd032fe559&quot;}]},{&quot;citationID&quot;:&quot;MENDELEY_CITATION_2f49eccc-b57c-4784-85f3-f639d073f3c1&quot;,&quot;properties&quot;:{&quot;noteIndex&quot;:0},&quot;isEdited&quot;:false,&quot;manualOverride&quot;:{&quot;citeprocText&quot;:&quot;[1], [49], [50]&quot;,&quot;isManuallyOverridden&quot;:false,&quot;manualOverrideText&quot;:&quot;&quot;},&quot;citationTag&quot;:&quot;MENDELEY_CITATION_v3_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&quot;,&quot;citationItems&quot;:[{&quot;id&quot;:&quot;43755a20-cb71-300c-983e-e3b3c930db5c&quot;,&quot;itemData&quot;:{&quot;URL&quot;:&quot;https://www.eia.gov/energyexplained/index.php?page=us_energy_homes&quot;,&quot;accessed&quot;:{&quot;date-parts&quot;:[[&quot;2019&quot;,&quot;7&quot;,&quot;14&quot;]]},&quot;author&quot;:[{&quot;dropping-particle&quot;:&quot;&quot;,&quot;family&quot;:&quot;U.S. Energy Information Administration EIA&quot;,&quot;given&quot;:&quot;&quot;,&quot;non-dropping-particle&quot;:&quot;&quot;,&quot;parse-names&quot;:false,&quot;suffix&quot;:&quot;&quot;}],&quot;container-title&quot;:&quot;EIA&quot;,&quot;id&quot;:&quot;43755a20-cb71-300c-983e-e3b3c930db5c&quot;,&quot;issued&quot;:{&quot;date-parts&quot;:[[&quot;2019&quot;]]},&quot;title&quot;:&quot;\&quot;Use of Energy in the United States Explained.\&quot; US Energy Information Administration.&quot;,&quot;type&quot;:&quot;webpage&quot;,&quot;container-title-short&quot;:&quot;&quot;},&quot;uris&quot;:[&quot;http://www.mendeley.com/documents/?uuid=43755a20-cb71-300c-983e-e3b3c930db5c&quot;],&quot;isTemporary&quot;:false,&quot;legacyDesktopId&quot;:&quot;43755a20-cb71-300c-983e-e3b3c930db5c&quot;},{&quot;id&quot;:&quot;120b1b1d-d017-3375-9e86-adfedb999be9&quot;,&quot;itemData&quot;:{&quot;author&quot;:[{&quot;dropping-particle&quot;:&quot;&quot;,&quot;family&quot;:&quot;U.S. EIA&quot;,&quot;given&quot;:&quot;&quot;,&quot;non-dropping-particle&quot;:&quot;&quot;,&quot;parse-names&quot;:false,&quot;suffix&quot;:&quot;&quot;}],&quot;id&quot;:&quot;120b1b1d-d017-3375-9e86-adfedb999be9&quot;,&quot;issued&quot;:{&quot;date-parts&quot;:[[&quot;2020&quot;]]},&quot;number-of-pages&quot;:&quot;1-161&quot;,&quot;title&quot;:&quot;Annual Energy Outlook 2020&quot;,&quot;type&quot;:&quot;report&quot;,&quot;container-title-short&quot;:&quot;&quot;},&quot;uris&quot;:[&quot;http://www.mendeley.com/documents/?uuid=120b1b1d-d017-3375-9e86-adfedb999be9&quot;],&quot;isTemporary&quot;:false,&quot;legacyDesktopId&quot;:&quot;120b1b1d-d017-3375-9e86-adfedb999be9&quot;},{&quot;id&quot;:&quot;95de8722-83a7-3ded-8e09-bb5bc3b2532b&quot;,&quot;itemData&quot;:{&quot;abstract&quot;:&quot;The U.S. Department of Energy's (DOE) Office of Energy Efficiency and Renewable Energy has developed this Buildings Energy Data Book to provide a current and accurate set of comprehensive buildings-related data, and to promote the use of such data for consistency throughout DOE programs. Data is organized into nine chapters; Chapter 1 – Buildings Sector, Chapter 2 – Residential Sector, Chapter 3 – Commercial Sector, Chapter 4 – Federal Sector, Chapter 5 – Envelope and Equipment, Chapter 6– Energy Supply, Chapter 7 – Energy Codes, Standards, and Laws, Chapter 8 – Water Data, and Chapter 9 – Market Transformation. New data tables on commercial building energy benchmarks were added to their relevant sections. New data tables were also developed from an updated report on commercial refrigeration. You will also find updated market transformation data from the ENERGY STAR program and the U.S. Green Building Council. We continue to refine and provide water data. We hope you find the 2011 Buildings Energy Data Book useful. You are encouraged to comment on errors, omissions, emphases, and organization of this report to the person listed below. Requests for additional copies of this report, additional data, or information on an existing table should be referred to D&amp;R International.&quot;,&quot;author&quot;:[{&quot;dropping-particle&quot;:&quot;&quot;,&quot;family&quot;:&quot;U.S. Department of Energy&quot;,&quot;given&quot;:&quot;&quot;,&quot;non-dropping-particle&quot;:&quot;&quot;,&quot;parse-names&quot;:false,&quot;suffix&quot;:&quot;&quot;}],&quot;container-title&quot;:&quot;Office of Energy Efficiency and Renewable Energy&quot;,&quot;id&quot;:&quot;95de8722-83a7-3ded-8e09-bb5bc3b2532b&quot;,&quot;issued&quot;:{&quot;date-parts&quot;:[[&quot;2011&quot;]]},&quot;number-of-pages&quot;:&quot;1-81&quot;,&quot;title&quot;:&quot;2011 Buildings Energy Data Book&quot;,&quot;type&quot;:&quot;report&quot;,&quot;container-title-short&quot;:&quot;&quot;},&quot;uris&quot;:[&quot;http://www.mendeley.com/documents/?uuid=95de8722-83a7-3ded-8e09-bb5bc3b2532b&quot;],&quot;isTemporary&quot;:false,&quot;legacyDesktopId&quot;:&quot;95de8722-83a7-3ded-8e09-bb5bc3b2532b&quot;}]},{&quot;citationID&quot;:&quot;MENDELEY_CITATION_7f286849-b245-42fc-9522-0a8e355476d5&quot;,&quot;properties&quot;:{&quot;noteIndex&quot;:0},&quot;isEdited&quot;:false,&quot;manualOverride&quot;:{&quot;citeprocText&quot;:&quot;[51]–[53]&quot;,&quot;isManuallyOverridden&quot;:false,&quot;manualOverrideText&quot;:&quot;&quot;},&quot;citationTag&quot;:&quot;MENDELEY_CITATION_v3_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&quot;,&quot;citationItems&quot;:[{&quot;id&quot;:&quot;f65e4384-313e-3cbe-9bc2-1e2e10e516d0&quot;,&quot;itemData&quot;:{&quot;URL&quot;:&quot;https://www.eia.gov/todayinenergy/detail.php?id=36692&quot;,&quot;abstract&quot;:&quot;Air-conditioning equipment is used in 87% of homes in the United States and, according to the latest EIA Residential Energy Consumption Survey (RECS), home air-conditioning costs averaged $265 in 2015, or 12% of total home energy expenditures. Air-conditioning costs ranged from an average of $525 in the hot-humid region in the Southeast to about $60 in the temperate marine region along the West Coast. The more moderate mixed-humid region, where home air-conditioning costs averaged $262, was closest to the national average. The average U.S. household spent $1,856 on home energy bills in 2015. Although air conditioning accounted for 12% of total household energy costs (and 17% of electricity expenditures) at the national level, some regions use much more air conditioning. In the hot-humid region, where air conditioning was used by 94% of households, air conditioning made up 27% of home energy expenditures. By comparison, in the marine region, where nearly half of households did not use air conditioning at all, air conditioning made up just 2% of home energy expenditures. About 60% of U.S. households only used central air-conditioning systems in 2015, while 23% only used individual air-conditioning units and just slightly less than 5% of households used both equipment types. Central systems are very common in new single-family homes, but many older homes have also been retrofitted in recent years. For example, the 1980 and 1993 RECS found that about 50% of homes built in the 1970s had central air-conditioning equipment, but by 2015 that share had increased to 67%. Households with individual units typically only air condition a few rooms or spaces within a home. On average, a home that uses individual air-conditioning units has two window, wall, or portable units. Individual units are relatively more common in smaller housing units such as apartments and mobile homes.&quot;,&quot;accessed&quot;:{&quot;date-parts&quot;:[[&quot;2019&quot;,&quot;7&quot;,&quot;14&quot;]]},&quot;author&quot;:[{&quot;dropping-particle&quot;:&quot;&quot;,&quot;family&quot;:&quot;U.S. Energy Information Administration&quot;,&quot;given&quot;:&quot;&quot;,&quot;non-dropping-particle&quot;:&quot;&quot;,&quot;parse-names&quot;:false,&quot;suffix&quot;:&quot;&quot;}],&quot;container-title&quot;:&quot;Today in Energy&quot;,&quot;id&quot;:&quot;f65e4384-313e-3cbe-9bc2-1e2e10e516d0&quot;,&quot;issued&quot;:{&quot;date-parts&quot;:[[&quot;2018&quot;]]},&quot;title&quot;:&quot;Air conditioning accounts for about 12% of U.S. home energy expenditures&quot;,&quot;type&quot;:&quot;webpage&quot;,&quot;container-title-short&quot;:&quot;&quot;},&quot;uris&quot;:[&quot;http://www.mendeley.com/documents/?uuid=f65e4384-313e-3cbe-9bc2-1e2e10e516d0&quot;],&quot;isTemporary&quot;:false,&quot;legacyDesktopId&quot;:&quot;f65e4384-313e-3cbe-9bc2-1e2e10e516d0&quot;},{&quot;id&quot;:&quot;63d2c176-a92a-3bc9-a0db-2365276e2ebb&quot;,&quot;itemData&quot;:{&quot;author&quot;:[{&quot;dropping-particle&quot;:&quot;&quot;,&quot;family&quot;:&quot;U.S. Energy Information Administration EIA&quot;,&quot;given&quot;:&quot;&quot;,&quot;non-dropping-particle&quot;:&quot;&quot;,&quot;parse-names&quot;:false,&quot;suffix&quot;:&quot;&quot;}],&quot;id&quot;:&quot;63d2c176-a92a-3bc9-a0db-2365276e2ebb&quot;,&quot;issued&quot;:{&quot;date-parts&quot;:[[&quot;2015&quot;]]},&quot;publisher-place&quot;:&quot;Washington, DC&quot;,&quot;title&quot;:&quot;Residential Energy Consumption Survey (RECS) 2015 Consumption and Expenditures Technical Documentation Summary&quot;,&quot;type&quot;:&quot;report&quot;,&quot;container-title-short&quot;:&quot;&quot;},&quot;uris&quot;:[&quot;http://www.mendeley.com/documents/?uuid=63d2c176-a92a-3bc9-a0db-2365276e2ebb&quot;],&quot;isTemporary&quot;:false,&quot;legacyDesktopId&quot;:&quot;63d2c176-a92a-3bc9-a0db-2365276e2ebb&quot;},{&quot;id&quot;:&quot;e4bfb859-da82-3a59-84a3-5de6091299fb&quot;,&quot;itemData&quot;:{&quot;author&quot;:[{&quot;dropping-particle&quot;:&quot;&quot;,&quot;family&quot;:&quot;Goetzler&quot;,&quot;given&quot;:&quot;Bill&quot;,&quot;non-dropping-particle&quot;:&quot;&quot;,&quot;parse-names&quot;:false,&quot;suffix&quot;:&quot;&quot;},{&quot;dropping-particle&quot;:&quot;&quot;,&quot;family&quot;:&quot;Guernsey&quot;,&quot;given&quot;:&quot;Matt&quot;,&quot;non-dropping-particle&quot;:&quot;&quot;,&quot;parse-names&quot;:false,&quot;suffix&quot;:&quot;&quot;},{&quot;dropping-particle&quot;:&quot;&quot;,&quot;family&quot;:&quot;Kassuga&quot;,&quot;given&quot;:&quot;Theo&quot;,&quot;non-dropping-particle&quot;:&quot;&quot;,&quot;parse-names&quot;:false,&quot;suffix&quot;:&quot;&quot;}],&quot;id&quot;:&quot;e4bfb859-da82-3a59-84a3-5de6091299fb&quot;,&quot;issued&quot;:{&quot;date-parts&quot;:[[&quot;2019&quot;]]},&quot;title&quot;:&quot;Grid-interactive Efficient Buildings Technical Report Series: Heating, Ventilation, and Air Conditioning (HVAC); Water Heating; Appliances; and Refrigeration&quot;,&quot;type&quot;:&quot;report&quot;,&quot;container-title-short&quot;:&quot;&quot;},&quot;uris&quot;:[&quot;http://www.mendeley.com/documents/?uuid=e4bfb859-da82-3a59-84a3-5de6091299fb&quot;],&quot;isTemporary&quot;:false,&quot;legacyDesktopId&quot;:&quot;e4bfb859-da82-3a59-84a3-5de6091299fb&quot;}]},{&quot;citationID&quot;:&quot;MENDELEY_CITATION_68e7972a-6fd4-471b-addf-fe4cc85d95d5&quot;,&quot;properties&quot;:{&quot;noteIndex&quot;:0},&quot;isEdited&quot;:false,&quot;manualOverride&quot;:{&quot;citeprocText&quot;:&quot;[4]&quot;,&quot;isManuallyOverridden&quot;:false,&quot;manualOverrideText&quot;:&quot;&quot;},&quot;citationTag&quot;:&quot;MENDELEY_CITATION_v3_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&quot;,&quot;citationItems&quot;:[{&quot;id&quot;:&quot;9b992cb5-311c-3532-a5d3-0f42c93dfc84&quot;,&quot;itemData&quot;:{&quot;abstract&quot;:&quot;A building thermal model is an essential component for achieving optimal control of a building’s heating, ventilation, and air conditioning (HVAC). A self-learning grey-box model has been developed by implementing data-driven techniques and utilizing limited available information about the building. In previous research, detailed foreknown knowledge/information, e.g. physical and thermal properties of building materials, as well as sufficient number of observation points, e.g. indoor temperature sensors in different zones, are available for making the decision of model structure and parameters searching range easier. The availability of measured data and a narrowed searching range of model parameters, e.g. resistance and capacity for each wall, made the adopted algorithms quickly achieve near optimal values, which closely approximate the actual heat transfer of a building. Meanwhile, the details of pre-processing of the key inputs were seldom explained. Compared to the previous research, in this study, the available information is assumed to be limited which can fill the requirement for large scale virtual storage control of real residential community in near future, where it may be impractically or over time-consuming to acquire the detailed information for each single house. The developed model is validated by comparing the results to measured data in a recently-built home typical of the southeastern United States.&quot;,&quot;author&quot;:[{&quot;dropping-particle&quot;:&quot;&quot;,&quot;family&quot;:&quot;Cui&quot;,&quot;given&quot;:&quot;Borui&quot;,&quot;non-dropping-particle&quot;:&quot;&quot;,&quot;parse-names&quot;:false,&quot;suffix&quot;:&quot;&quot;},{&quot;dropping-particle&quot;:&quot;&quot;,&quot;family&quot;:&quot;Munk&quot;,&quot;given&quot;:&quot;Jeffrey&quot;,&quot;non-dropping-particle&quot;:&quot;&quot;,&quot;parse-names&quot;:false,&quot;suffix&quot;:&quot;&quot;},{&quot;dropping-particle&quot;:&quot;&quot;,&quot;family&quot;:&quot;Jackson&quot;,&quot;given&quot;:&quot;Roderick&quot;,&quot;non-dropping-particle&quot;:&quot;&quot;,&quot;parse-names&quot;:false,&quot;suffix&quot;:&quot;&quot;},{&quot;dropping-particle&quot;:&quot;&quot;,&quot;family&quot;:&quot;Fugate&quot;,&quot;given&quot;:&quot;David&quot;,&quot;non-dropping-particle&quot;:&quot;&quot;,&quot;parse-names&quot;:false,&quot;suffix&quot;:&quot;&quot;},{&quot;dropping-particle&quot;:&quot;&quot;,&quot;family&quot;:&quot;Starke&quot;,&quot;given&quot;:&quot;Michael&quot;,&quot;non-dropping-particle&quot;:&quot;&quot;,&quot;parse-names&quot;:false,&quot;suffix&quot;:&quot;&quot;}],&quot;container-title&quot;:&quot;30th International Conference on Efficiency, Cost, Optimization, Simulation and Environmental Impact of Energy Systems, ECOS 2017&quot;,&quot;id&quot;:&quot;9b992cb5-311c-3532-a5d3-0f42c93dfc84&quot;,&quot;issued&quot;:{&quot;date-parts&quot;:[[&quot;2017&quot;]]},&quot;title&quot;:&quot;Building thermal model development of typical house in U.S. for virtual storage control of aggregated building loads based on limited available information&quot;,&quot;type&quot;:&quot;paper-conference&quot;,&quot;container-title-short&quot;:&quot;&quot;},&quot;uris&quot;:[&quot;http://www.mendeley.com/documents/?uuid=a53df107-3569-4eb5-88b2-356ad657358d&quot;],&quot;isTemporary&quot;:false,&quot;legacyDesktopId&quot;:&quot;a53df107-3569-4eb5-88b2-356ad657358d&quot;}]},{&quot;citationID&quot;:&quot;MENDELEY_CITATION_e9c906a9-e6d2-4eee-885e-b7b62dc89558&quot;,&quot;properties&quot;:{&quot;noteIndex&quot;:0},&quot;isEdited&quot;:false,&quot;manualOverride&quot;:{&quot;citeprocText&quot;:&quot;[54]–[57]&quot;,&quot;isManuallyOverridden&quot;:false,&quot;manualOverrideText&quot;:&quot;&quot;},&quot;citationTag&quot;:&quot;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&quot;,&quot;citationItems&quot;:[{&quot;id&quot;:&quot;921f7cea-abfd-3024-9bf3-34341891c4b8&quot;,&quot;itemData&quot;:{&quot;DOI&quot;:&quot;10.1016/j.apenergy.2019.113387&quot;,&quot;ISSN&quot;:&quot;03062619&quot;,&quot;abstract&quot;:&quot;In the present energy scenario, buildings are playing more and more as energy prosumers. They can use and produce energy and also actively manage their energy demand. The energy flexibility quantifies their potential to adjust the energy demand on the basis of external requests. The objective of this paper is to propose a method for buildings energy flexibility labelling at design conditions in the same fashion as the energy performance label. The flexibility quantification is based on the calculation of four flexibility parameters, which contribute to the definition of the Flexibility Performance Indicator. In order to assess the Flexibility Performance Indicator, buildings dynamic simulations are necessary and the boundary conditions (i.e. demand response event, representative day, comfort constraints)to be considered during the evaluation are provided as part of the proposed methodology. The method was applied to different Italian buildings, which differ for geographic location and design specifications and, in particular, the effects of building structure, heating/cooling systems and energy storage systems were compared. Results show that the climatic conditions affect the flexibility performance, while the building feature more relevant is the thermal mass of the building envelope, more than that provided by the distribution system. A sensitivity analysis to evaluate how the results are influenced by the proposed boundary conditions was also performed. Their choice confirms to have a relevant impact on flexibility quantification, then their unique definition has a paramount importance within this methodology.&quot;,&quot;author&quot;:[{&quot;dropping-particle&quot;:&quot;&quot;,&quot;family&quot;:&quot;Arteconi&quot;,&quot;given&quot;:&quot;Alessia&quot;,&quot;non-dropping-particle&quot;:&quot;&quot;,&quot;parse-names&quot;:false,&quot;suffix&quot;:&quot;&quot;},{&quot;dropping-particle&quot;:&quot;&quot;,&quot;family&quot;:&quot;Mugnini&quot;,&quot;given&quot;:&quot;Alice&quot;,&quot;non-dropping-particle&quot;:&quot;&quot;,&quot;parse-names&quot;:false,&quot;suffix&quot;:&quot;&quot;},{&quot;dropping-particle&quot;:&quot;&quot;,&quot;family&quot;:&quot;Polonara&quot;,&quot;given&quot;:&quot;Fabio&quot;,&quot;non-dropping-particle&quot;:&quot;&quot;,&quot;parse-names&quot;:false,&quot;suffix&quot;:&quot;&quot;}],&quot;container-title&quot;:&quot;Applied Energy&quot;,&quot;id&quot;:&quot;921f7cea-abfd-3024-9bf3-34341891c4b8&quot;,&quot;issue&quot;:&quot;May&quot;,&quot;issued&quot;:{&quot;date-parts&quot;:[[&quot;2019&quot;]]},&quot;page&quot;:&quot;113387&quot;,&quot;publisher&quot;:&quot;Elsevier&quot;,&quot;title&quot;:&quot;Energy flexible buildings: A methodology for rating the flexibility performance of buildings with electric heating and cooling systems&quot;,&quot;type&quot;:&quot;article-journal&quot;,&quot;volume&quot;:&quot;251&quot;,&quot;container-title-short&quot;:&quot;Appl Energy&quot;},&quot;uris&quot;:[&quot;http://www.mendeley.com/documents/?uuid=6015d6d3-70a5-42c4-b85e-987bd934a7e5&quot;],&quot;isTemporary&quot;:false,&quot;legacyDesktopId&quot;:&quot;6015d6d3-70a5-42c4-b85e-987bd934a7e5&quot;},{&quot;id&quot;:&quot;8dbe7071-64ad-3736-bff4-ec0a75304982&quot;,&quot;itemData&quot;:{&quot;DOI&quot;:&quot;10.1016/j.apenergy.2018.05.037&quot;,&quot;ISSN&quot;:&quot;03062619&quot;,&quot;abstract&quot;:&quot;The large penetration rate of renewable energy sources leads to challenges in planning and controlling the energy production, transmission, and distribution in power systems. A potential solution is found in a paradigm shift from traditional supply control to demand control. To address such changes, a first step lays in a formal and robust characterization of the energy flexibility on the demand side. The most common way to characterize the energy flexibility is by considering it as a static function at every time instant. The validity of this approach is questionable because energy-based systems are never at steady-state. Therefore, in this paper, a novel methodology to characterize the energy flexibility as a dynamic function is proposed, which is titled as the Flexibility Function. The Flexibility Function brings new possibilities for enabling the grid operators or other operators to control the demand through the use of penalty signals (e.g., price, CO2, etc.). For instance, CO2-based controllers can be used to accelerate the transition to a fossil-free society. Contrary to previous static approaches to quantify Energy Flexibility, the dynamic nature of the Flexibility Function enables a Flexibility Index, which describes to which extent a building is able to respond to the grid's need for flexibility. In order to validate the proposed methodologies, a case study is presented, demonstrating how different Flexibility Functions enable the utilization of the flexibility in different types of buildings, which are integrated with renewable energies.&quot;,&quot;author&quot;:[{&quot;dropping-particle&quot;:&quot;&quot;,&quot;family&quot;:&quot;Junker&quot;,&quot;given&quot;:&quot;Rune Grønborg&quot;,&quot;non-dropping-particle&quot;:&quot;&quot;,&quot;parse-names&quot;:false,&quot;suffix&quot;:&quot;&quot;},{&quot;dropping-particle&quot;:&quot;&quot;,&quot;family&quot;:&quot;Azar&quot;,&quot;given&quot;:&quot;Armin Ghasem&quot;,&quot;non-dropping-particle&quot;:&quot;&quot;,&quot;parse-names&quot;:false,&quot;suffix&quot;:&quot;&quot;},{&quot;dropping-particle&quot;:&quot;&quot;,&quot;family&quot;:&quot;Lopes&quot;,&quot;given&quot;:&quot;Rui Amaral&quot;,&quot;non-dropping-particle&quot;:&quot;&quot;,&quot;parse-names&quot;:false,&quot;suffix&quot;:&quot;&quot;},{&quot;dropping-particle&quot;:&quot;&quot;,&quot;family&quot;:&quot;Lindberg&quot;,&quot;given&quot;:&quot;Karen Byskov&quot;,&quot;non-dropping-particle&quot;:&quot;&quot;,&quot;parse-names&quot;:false,&quot;suffix&quot;:&quot;&quot;},{&quot;dropping-particle&quot;:&quot;&quot;,&quot;family&quot;:&quot;Reynders&quot;,&quot;given&quot;:&quot;Glenn&quot;,&quot;non-dropping-particle&quot;:&quot;&quot;,&quot;parse-names&quot;:false,&quot;suffix&quot;:&quot;&quot;},{&quot;dropping-particle&quot;:&quot;&quot;,&quot;family&quot;:&quot;Relan&quot;,&quot;given&quot;:&quot;Rishi&quot;,&quot;non-dropping-particle&quot;:&quot;&quot;,&quot;parse-names&quot;:false,&quot;suffix&quot;:&quot;&quot;},{&quot;dropping-particle&quot;:&quot;&quot;,&quot;family&quot;:&quot;Madsen&quot;,&quot;given&quot;:&quot;Henrik&quot;,&quot;non-dropping-particle&quot;:&quot;&quot;,&quot;parse-names&quot;:false,&quot;suffix&quot;:&quot;&quot;}],&quot;container-title&quot;:&quot;Applied Energy&quot;,&quot;id&quot;:&quot;8dbe7071-64ad-3736-bff4-ec0a75304982&quot;,&quot;issue&quot;:&quot;April&quot;,&quot;issued&quot;:{&quot;date-parts&quot;:[[&quot;2018&quot;]]},&quot;page&quot;:&quot;175-182&quot;,&quot;publisher&quot;:&quot;Elsevier&quot;,&quot;title&quot;:&quot;Characterizing the energy flexibility of buildings and districts&quot;,&quot;type&quot;:&quot;article-journal&quot;,&quot;volume&quot;:&quot;225&quot;,&quot;container-title-short&quot;:&quot;Appl Energy&quot;},&quot;uris&quot;:[&quot;http://www.mendeley.com/documents/?uuid=a9b8fbaa-2b3c-4070-8cb0-46cc8896e94d&quot;],&quot;isTemporary&quot;:false,&quot;legacyDesktopId&quot;:&quot;a9b8fbaa-2b3c-4070-8cb0-46cc8896e94d&quot;},{&quot;id&quot;:&quot;0ffd8964-bb25-39d7-a882-3c5990107ac7&quot;,&quot;itemData&quot;:{&quot;DOI&quot;:&quot;10.1016/j.enbuild.2018.08.003&quot;,&quot;ISSN&quot;:&quot;03787788&quot;,&quot;abstract&quot;:&quot;This paper classifies and discusses the energy flexibility improvement strategies for demand responsive control in grid-interactive buildings based on a comprehensive study of the literature. Both supply and demand sides are considered. The flexibility measures range from renewable energy such as photovoltaic cells (PV) and wind to heating, ventilation, and air conditioning (HVAC) systems, energy storage, building thermal mass, appliances, and occupant behaviors. Currently, owing to the highly developed smart appliances and sensing communication techniques, DR is considered as an essential measure for improving energy flexibility in buildings without much additional investment. With the help of advanced demand response (DR) control strategies and measures, buildings can become more flexible in terms of power demand from the power grid. In this way, buildings achieve a better ability to balance differences in energy supply and demand. Furthermore, a synergistic approach with various measures is advisable, e.g., the use of energy storage technologies with PV and passive DR methods. This paper summarizes the measures for improving the flexibility of commercial and residential buildings, and develops a systematic methodology framework to evaluate energy demand flexibility in buildings.&quot;,&quot;author&quot;:[{&quot;dropping-particle&quot;:&quot;&quot;,&quot;family&quot;:&quot;Chen&quot;,&quot;given&quot;:&quot;Yongbao&quot;,&quot;non-dropping-particle&quot;:&quot;&quot;,&quot;parse-names&quot;:false,&quot;suffix&quot;:&quot;&quot;},{&quot;dropping-particle&quot;:&quot;&quot;,&quot;family&quot;:&quot;Xu&quot;,&quot;given&quot;:&quot;Peng&quot;,&quot;non-dropping-particle&quot;:&quot;&quot;,&quot;parse-names&quot;:false,&quot;suffix&quot;:&quot;&quot;},{&quot;dropping-particle&quot;:&quot;&quot;,&quot;family&quot;:&quot;Gu&quot;,&quot;given&quot;:&quot;Jiefan&quot;,&quot;non-dropping-particle&quot;:&quot;&quot;,&quot;parse-names&quot;:false,&quot;suffix&quot;:&quot;&quot;},{&quot;dropping-particle&quot;:&quot;&quot;,&quot;family&quot;:&quot;Schmidt&quot;,&quot;given&quot;:&quot;Ferdinand&quot;,&quot;non-dropping-particle&quot;:&quot;&quot;,&quot;parse-names&quot;:false,&quot;suffix&quot;:&quot;&quot;},{&quot;dropping-particle&quot;:&quot;&quot;,&quot;family&quot;:&quot;Li&quot;,&quot;given&quot;:&quot;Weilin&quot;,&quot;non-dropping-particle&quot;:&quot;&quot;,&quot;parse-names&quot;:false,&quot;suffix&quot;:&quot;&quot;}],&quot;container-title&quot;:&quot;Energy and Buildings&quot;,&quot;id&quot;:&quot;0ffd8964-bb25-39d7-a882-3c5990107ac7&quot;,&quot;issued&quot;:{&quot;date-parts&quot;:[[&quot;2018&quot;,&quot;10&quot;,&quot;15&quot;]]},&quot;page&quot;:&quot;125-139&quot;,&quot;publisher&quot;:&quot;Elsevier Ltd&quot;,&quot;title&quot;:&quot;Measures to improve energy demand flexibility in buildings for demand response (DR): A review&quot;,&quot;type&quot;:&quot;article&quot;,&quot;volume&quot;:&quot;177&quot;,&quot;container-title-short&quot;:&quot;Energy Build&quot;},&quot;uris&quot;:[&quot;http://www.mendeley.com/documents/?uuid=0ffd8964-bb25-39d7-a882-3c5990107ac7&quot;],&quot;isTemporary&quot;:false,&quot;legacyDesktopId&quot;:&quot;0ffd8964-bb25-39d7-a882-3c5990107ac7&quot;},{&quot;id&quot;:&quot;560e10f1-4af0-373e-8a0c-dcc5f8a6a8ea&quot;,&quot;itemData&quot;:{&quot;DOI&quot;:&quot;10.1016/j.enbuild.2017.08.044&quot;,&quot;ISSN&quot;:&quot;03787788&quot;,&quot;abstract&quot;:&quot;The increasing global energy demand, the foreseen reduction of available fossil fuels and the increasing evidence off global warming during the last decades have generated a high interest in renewable energy sources. However, renewable energy sources, such as wind and solar power, have an intrinsic variability that can seriously affect the stability of the energy system if they account for a high percentage of the total generation. The Energy Flexibility of buildings is commonly suggested as part of the solution to alleviate some of the upcoming challenges in the future demand-respond energy systems (electrical, district heating and gas grids). Buildings can supply flexibility services in different ways, e.g. utilization of thermal mass, adjustability of HVAC system use (e.g. heating/cooling/ventilation), charging of electric vehicles, and shifting of plug-loads. However, there is currently no overview or insight into how much Energy Flexibility different building may be able to offer to the future energy systems in the sense of avoiding excess energy production, increase the stability of the energy networks, minimize congestion problems, enhance the efficiency and cost effectiveness of the future energy networks. Therefore, there is a need for increasing knowledge on and demonstration of the Energy Flexibility buildings can provide to energy networks. At the same time, there is a need for identifying critical aspects and possible solutions to manage this Energy Flexibility, while maintaining the comfort of the occupants and minimizing the use of non-renewable energy. In this context, the IEA (International Energy Agency) EBC (Energy in Buildings and Communities program) Annex 67: “Energy Flexible Buildings” was started in 2015. The article presents the background and the work plan of IEA EBC Annex 67 as well as already obtained results. Annex 67 is a corporation between participants from 16 countries: Austria, Belgium, Canada, China, Denmark, Finland, France, Germany, Ireland, Italy, The Netherlands, Norway, Portugal, Spain, Switzerland and UK.&quot;,&quot;author&quot;:[{&quot;dropping-particle&quot;:&quot;&quot;,&quot;family&quot;:&quot;Jensen&quot;,&quot;given&quot;:&quot;Søren Østergaard&quot;,&quot;non-dropping-particle&quot;:&quot;&quot;,&quot;parse-names&quot;:false,&quot;suffix&quot;:&quot;&quot;},{&quot;dropping-particle&quot;:&quot;&quot;,&quot;family&quot;:&quot;Marszal-Pomianowska&quot;,&quot;given&quot;:&quot;Anna&quot;,&quot;non-dropping-particle&quot;:&quot;&quot;,&quot;parse-names&quot;:false,&quot;suffix&quot;:&quot;&quot;},{&quot;dropping-particle&quot;:&quot;&quot;,&quot;family&quot;:&quot;Lollini&quot;,&quot;given&quot;:&quot;Roberto&quot;,&quot;non-dropping-particle&quot;:&quot;&quot;,&quot;parse-names&quot;:false,&quot;suffix&quot;:&quot;&quot;},{&quot;dropping-particle&quot;:&quot;&quot;,&quot;family&quot;:&quot;Pasut&quot;,&quot;given&quot;:&quot;Wilmer&quot;,&quot;non-dropping-particle&quot;:&quot;&quot;,&quot;parse-names&quot;:false,&quot;suffix&quot;:&quot;&quot;},{&quot;dropping-particle&quot;:&quot;&quot;,&quot;family&quot;:&quot;Knotzer&quot;,&quot;given&quot;:&quot;Armin&quot;,&quot;non-dropping-particle&quot;:&quot;&quot;,&quot;parse-names&quot;:false,&quot;suffix&quot;:&quot;&quot;},{&quot;dropping-particle&quot;:&quot;&quot;,&quot;family&quot;:&quot;Engelmann&quot;,&quot;given&quot;:&quot;Peter&quot;,&quot;non-dropping-particle&quot;:&quot;&quot;,&quot;parse-names&quot;:false,&quot;suffix&quot;:&quot;&quot;},{&quot;dropping-particle&quot;:&quot;&quot;,&quot;family&quot;:&quot;Stafford&quot;,&quot;given&quot;:&quot;Anne&quot;,&quot;non-dropping-particle&quot;:&quot;&quot;,&quot;parse-names&quot;:false,&quot;suffix&quot;:&quot;&quot;},{&quot;dropping-particle&quot;:&quot;&quot;,&quot;family&quot;:&quot;Reynders&quot;,&quot;given&quot;:&quot;Glenn&quot;,&quot;non-dropping-particle&quot;:&quot;&quot;,&quot;parse-names&quot;:false,&quot;suffix&quot;:&quot;&quot;}],&quot;container-title&quot;:&quot;Energy and Buildings&quot;,&quot;id&quot;:&quot;560e10f1-4af0-373e-8a0c-dcc5f8a6a8ea&quot;,&quot;issued&quot;:{&quot;date-parts&quot;:[[&quot;2017&quot;,&quot;11&quot;,&quot;15&quot;]]},&quot;page&quot;:&quot;25-34&quot;,&quot;publisher&quot;:&quot;Elsevier Ltd&quot;,&quot;title&quot;:&quot;IEA EBC Annex 67 Energy Flexible Buildings&quot;,&quot;type&quot;:&quot;article-journal&quot;,&quot;volume&quot;:&quot;155&quot;,&quot;container-title-short&quot;:&quot;Energy Build&quot;},&quot;uris&quot;:[&quot;http://www.mendeley.com/documents/?uuid=560e10f1-4af0-373e-8a0c-dcc5f8a6a8ea&quot;],&quot;isTemporary&quot;:false,&quot;legacyDesktopId&quot;:&quot;560e10f1-4af0-373e-8a0c-dcc5f8a6a8ea&quot;}]},{&quot;citationID&quot;:&quot;MENDELEY_CITATION_b6d7bb45-872d-468e-b24e-043ad1f66889&quot;,&quot;properties&quot;:{&quot;noteIndex&quot;:0},&quot;isEdited&quot;:false,&quot;manualOverride&quot;:{&quot;citeprocText&quot;:&quot;[54]–[57]&quot;,&quot;isManuallyOverridden&quot;:false,&quot;manualOverrideText&quot;:&quot;&quot;},&quot;citationTag&quot;:&quot;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&quot;,&quot;citationItems&quot;:[{&quot;id&quot;:&quot;921f7cea-abfd-3024-9bf3-34341891c4b8&quot;,&quot;itemData&quot;:{&quot;DOI&quot;:&quot;10.1016/j.apenergy.2019.113387&quot;,&quot;ISSN&quot;:&quot;03062619&quot;,&quot;abstract&quot;:&quot;In the present energy scenario, buildings are playing more and more as energy prosumers. They can use and produce energy and also actively manage their energy demand. The energy flexibility quantifies their potential to adjust the energy demand on the basis of external requests. The objective of this paper is to propose a method for buildings energy flexibility labelling at design conditions in the same fashion as the energy performance label. The flexibility quantification is based on the calculation of four flexibility parameters, which contribute to the definition of the Flexibility Performance Indicator. In order to assess the Flexibility Performance Indicator, buildings dynamic simulations are necessary and the boundary conditions (i.e. demand response event, representative day, comfort constraints)to be considered during the evaluation are provided as part of the proposed methodology. The method was applied to different Italian buildings, which differ for geographic location and design specifications and, in particular, the effects of building structure, heating/cooling systems and energy storage systems were compared. Results show that the climatic conditions affect the flexibility performance, while the building feature more relevant is the thermal mass of the building envelope, more than that provided by the distribution system. A sensitivity analysis to evaluate how the results are influenced by the proposed boundary conditions was also performed. Their choice confirms to have a relevant impact on flexibility quantification, then their unique definition has a paramount importance within this methodology.&quot;,&quot;author&quot;:[{&quot;dropping-particle&quot;:&quot;&quot;,&quot;family&quot;:&quot;Arteconi&quot;,&quot;given&quot;:&quot;Alessia&quot;,&quot;non-dropping-particle&quot;:&quot;&quot;,&quot;parse-names&quot;:false,&quot;suffix&quot;:&quot;&quot;},{&quot;dropping-particle&quot;:&quot;&quot;,&quot;family&quot;:&quot;Mugnini&quot;,&quot;given&quot;:&quot;Alice&quot;,&quot;non-dropping-particle&quot;:&quot;&quot;,&quot;parse-names&quot;:false,&quot;suffix&quot;:&quot;&quot;},{&quot;dropping-particle&quot;:&quot;&quot;,&quot;family&quot;:&quot;Polonara&quot;,&quot;given&quot;:&quot;Fabio&quot;,&quot;non-dropping-particle&quot;:&quot;&quot;,&quot;parse-names&quot;:false,&quot;suffix&quot;:&quot;&quot;}],&quot;container-title&quot;:&quot;Applied Energy&quot;,&quot;id&quot;:&quot;921f7cea-abfd-3024-9bf3-34341891c4b8&quot;,&quot;issue&quot;:&quot;May&quot;,&quot;issued&quot;:{&quot;date-parts&quot;:[[&quot;2019&quot;]]},&quot;page&quot;:&quot;113387&quot;,&quot;publisher&quot;:&quot;Elsevier&quot;,&quot;title&quot;:&quot;Energy flexible buildings: A methodology for rating the flexibility performance of buildings with electric heating and cooling systems&quot;,&quot;type&quot;:&quot;article-journal&quot;,&quot;volume&quot;:&quot;251&quot;,&quot;container-title-short&quot;:&quot;Appl Energy&quot;},&quot;uris&quot;:[&quot;http://www.mendeley.com/documents/?uuid=6015d6d3-70a5-42c4-b85e-987bd934a7e5&quot;],&quot;isTemporary&quot;:false,&quot;legacyDesktopId&quot;:&quot;6015d6d3-70a5-42c4-b85e-987bd934a7e5&quot;},{&quot;id&quot;:&quot;8dbe7071-64ad-3736-bff4-ec0a75304982&quot;,&quot;itemData&quot;:{&quot;DOI&quot;:&quot;10.1016/j.apenergy.2018.05.037&quot;,&quot;ISSN&quot;:&quot;03062619&quot;,&quot;abstract&quot;:&quot;The large penetration rate of renewable energy sources leads to challenges in planning and controlling the energy production, transmission, and distribution in power systems. A potential solution is found in a paradigm shift from traditional supply control to demand control. To address such changes, a first step lays in a formal and robust characterization of the energy flexibility on the demand side. The most common way to characterize the energy flexibility is by considering it as a static function at every time instant. The validity of this approach is questionable because energy-based systems are never at steady-state. Therefore, in this paper, a novel methodology to characterize the energy flexibility as a dynamic function is proposed, which is titled as the Flexibility Function. The Flexibility Function brings new possibilities for enabling the grid operators or other operators to control the demand through the use of penalty signals (e.g., price, CO2, etc.). For instance, CO2-based controllers can be used to accelerate the transition to a fossil-free society. Contrary to previous static approaches to quantify Energy Flexibility, the dynamic nature of the Flexibility Function enables a Flexibility Index, which describes to which extent a building is able to respond to the grid's need for flexibility. In order to validate the proposed methodologies, a case study is presented, demonstrating how different Flexibility Functions enable the utilization of the flexibility in different types of buildings, which are integrated with renewable energies.&quot;,&quot;author&quot;:[{&quot;dropping-particle&quot;:&quot;&quot;,&quot;family&quot;:&quot;Junker&quot;,&quot;given&quot;:&quot;Rune Grønborg&quot;,&quot;non-dropping-particle&quot;:&quot;&quot;,&quot;parse-names&quot;:false,&quot;suffix&quot;:&quot;&quot;},{&quot;dropping-particle&quot;:&quot;&quot;,&quot;family&quot;:&quot;Azar&quot;,&quot;given&quot;:&quot;Armin Ghasem&quot;,&quot;non-dropping-particle&quot;:&quot;&quot;,&quot;parse-names&quot;:false,&quot;suffix&quot;:&quot;&quot;},{&quot;dropping-particle&quot;:&quot;&quot;,&quot;family&quot;:&quot;Lopes&quot;,&quot;given&quot;:&quot;Rui Amaral&quot;,&quot;non-dropping-particle&quot;:&quot;&quot;,&quot;parse-names&quot;:false,&quot;suffix&quot;:&quot;&quot;},{&quot;dropping-particle&quot;:&quot;&quot;,&quot;family&quot;:&quot;Lindberg&quot;,&quot;given&quot;:&quot;Karen Byskov&quot;,&quot;non-dropping-particle&quot;:&quot;&quot;,&quot;parse-names&quot;:false,&quot;suffix&quot;:&quot;&quot;},{&quot;dropping-particle&quot;:&quot;&quot;,&quot;family&quot;:&quot;Reynders&quot;,&quot;given&quot;:&quot;Glenn&quot;,&quot;non-dropping-particle&quot;:&quot;&quot;,&quot;parse-names&quot;:false,&quot;suffix&quot;:&quot;&quot;},{&quot;dropping-particle&quot;:&quot;&quot;,&quot;family&quot;:&quot;Relan&quot;,&quot;given&quot;:&quot;Rishi&quot;,&quot;non-dropping-particle&quot;:&quot;&quot;,&quot;parse-names&quot;:false,&quot;suffix&quot;:&quot;&quot;},{&quot;dropping-particle&quot;:&quot;&quot;,&quot;family&quot;:&quot;Madsen&quot;,&quot;given&quot;:&quot;Henrik&quot;,&quot;non-dropping-particle&quot;:&quot;&quot;,&quot;parse-names&quot;:false,&quot;suffix&quot;:&quot;&quot;}],&quot;container-title&quot;:&quot;Applied Energy&quot;,&quot;id&quot;:&quot;8dbe7071-64ad-3736-bff4-ec0a75304982&quot;,&quot;issue&quot;:&quot;April&quot;,&quot;issued&quot;:{&quot;date-parts&quot;:[[&quot;2018&quot;]]},&quot;page&quot;:&quot;175-182&quot;,&quot;publisher&quot;:&quot;Elsevier&quot;,&quot;title&quot;:&quot;Characterizing the energy flexibility of buildings and districts&quot;,&quot;type&quot;:&quot;article-journal&quot;,&quot;volume&quot;:&quot;225&quot;,&quot;container-title-short&quot;:&quot;Appl Energy&quot;},&quot;uris&quot;:[&quot;http://www.mendeley.com/documents/?uuid=a9b8fbaa-2b3c-4070-8cb0-46cc8896e94d&quot;],&quot;isTemporary&quot;:false,&quot;legacyDesktopId&quot;:&quot;a9b8fbaa-2b3c-4070-8cb0-46cc8896e94d&quot;},{&quot;id&quot;:&quot;0ffd8964-bb25-39d7-a882-3c5990107ac7&quot;,&quot;itemData&quot;:{&quot;DOI&quot;:&quot;10.1016/j.enbuild.2018.08.003&quot;,&quot;ISSN&quot;:&quot;03787788&quot;,&quot;abstract&quot;:&quot;This paper classifies and discusses the energy flexibility improvement strategies for demand responsive control in grid-interactive buildings based on a comprehensive study of the literature. Both supply and demand sides are considered. The flexibility measures range from renewable energy such as photovoltaic cells (PV) and wind to heating, ventilation, and air conditioning (HVAC) systems, energy storage, building thermal mass, appliances, and occupant behaviors. Currently, owing to the highly developed smart appliances and sensing communication techniques, DR is considered as an essential measure for improving energy flexibility in buildings without much additional investment. With the help of advanced demand response (DR) control strategies and measures, buildings can become more flexible in terms of power demand from the power grid. In this way, buildings achieve a better ability to balance differences in energy supply and demand. Furthermore, a synergistic approach with various measures is advisable, e.g., the use of energy storage technologies with PV and passive DR methods. This paper summarizes the measures for improving the flexibility of commercial and residential buildings, and develops a systematic methodology framework to evaluate energy demand flexibility in buildings.&quot;,&quot;author&quot;:[{&quot;dropping-particle&quot;:&quot;&quot;,&quot;family&quot;:&quot;Chen&quot;,&quot;given&quot;:&quot;Yongbao&quot;,&quot;non-dropping-particle&quot;:&quot;&quot;,&quot;parse-names&quot;:false,&quot;suffix&quot;:&quot;&quot;},{&quot;dropping-particle&quot;:&quot;&quot;,&quot;family&quot;:&quot;Xu&quot;,&quot;given&quot;:&quot;Peng&quot;,&quot;non-dropping-particle&quot;:&quot;&quot;,&quot;parse-names&quot;:false,&quot;suffix&quot;:&quot;&quot;},{&quot;dropping-particle&quot;:&quot;&quot;,&quot;family&quot;:&quot;Gu&quot;,&quot;given&quot;:&quot;Jiefan&quot;,&quot;non-dropping-particle&quot;:&quot;&quot;,&quot;parse-names&quot;:false,&quot;suffix&quot;:&quot;&quot;},{&quot;dropping-particle&quot;:&quot;&quot;,&quot;family&quot;:&quot;Schmidt&quot;,&quot;given&quot;:&quot;Ferdinand&quot;,&quot;non-dropping-particle&quot;:&quot;&quot;,&quot;parse-names&quot;:false,&quot;suffix&quot;:&quot;&quot;},{&quot;dropping-particle&quot;:&quot;&quot;,&quot;family&quot;:&quot;Li&quot;,&quot;given&quot;:&quot;Weilin&quot;,&quot;non-dropping-particle&quot;:&quot;&quot;,&quot;parse-names&quot;:false,&quot;suffix&quot;:&quot;&quot;}],&quot;container-title&quot;:&quot;Energy and Buildings&quot;,&quot;id&quot;:&quot;0ffd8964-bb25-39d7-a882-3c5990107ac7&quot;,&quot;issued&quot;:{&quot;date-parts&quot;:[[&quot;2018&quot;,&quot;10&quot;,&quot;15&quot;]]},&quot;page&quot;:&quot;125-139&quot;,&quot;publisher&quot;:&quot;Elsevier Ltd&quot;,&quot;title&quot;:&quot;Measures to improve energy demand flexibility in buildings for demand response (DR): A review&quot;,&quot;type&quot;:&quot;article&quot;,&quot;volume&quot;:&quot;177&quot;,&quot;container-title-short&quot;:&quot;Energy Build&quot;},&quot;uris&quot;:[&quot;http://www.mendeley.com/documents/?uuid=0ffd8964-bb25-39d7-a882-3c5990107ac7&quot;],&quot;isTemporary&quot;:false,&quot;legacyDesktopId&quot;:&quot;0ffd8964-bb25-39d7-a882-3c5990107ac7&quot;},{&quot;id&quot;:&quot;560e10f1-4af0-373e-8a0c-dcc5f8a6a8ea&quot;,&quot;itemData&quot;:{&quot;DOI&quot;:&quot;10.1016/j.enbuild.2017.08.044&quot;,&quot;ISSN&quot;:&quot;03787788&quot;,&quot;abstract&quot;:&quot;The increasing global energy demand, the foreseen reduction of available fossil fuels and the increasing evidence off global warming during the last decades have generated a high interest in renewable energy sources. However, renewable energy sources, such as wind and solar power, have an intrinsic variability that can seriously affect the stability of the energy system if they account for a high percentage of the total generation. The Energy Flexibility of buildings is commonly suggested as part of the solution to alleviate some of the upcoming challenges in the future demand-respond energy systems (electrical, district heating and gas grids). Buildings can supply flexibility services in different ways, e.g. utilization of thermal mass, adjustability of HVAC system use (e.g. heating/cooling/ventilation), charging of electric vehicles, and shifting of plug-loads. However, there is currently no overview or insight into how much Energy Flexibility different building may be able to offer to the future energy systems in the sense of avoiding excess energy production, increase the stability of the energy networks, minimize congestion problems, enhance the efficiency and cost effectiveness of the future energy networks. Therefore, there is a need for increasing knowledge on and demonstration of the Energy Flexibility buildings can provide to energy networks. At the same time, there is a need for identifying critical aspects and possible solutions to manage this Energy Flexibility, while maintaining the comfort of the occupants and minimizing the use of non-renewable energy. In this context, the IEA (International Energy Agency) EBC (Energy in Buildings and Communities program) Annex 67: “Energy Flexible Buildings” was started in 2015. The article presents the background and the work plan of IEA EBC Annex 67 as well as already obtained results. Annex 67 is a corporation between participants from 16 countries: Austria, Belgium, Canada, China, Denmark, Finland, France, Germany, Ireland, Italy, The Netherlands, Norway, Portugal, Spain, Switzerland and UK.&quot;,&quot;author&quot;:[{&quot;dropping-particle&quot;:&quot;&quot;,&quot;family&quot;:&quot;Jensen&quot;,&quot;given&quot;:&quot;Søren Østergaard&quot;,&quot;non-dropping-particle&quot;:&quot;&quot;,&quot;parse-names&quot;:false,&quot;suffix&quot;:&quot;&quot;},{&quot;dropping-particle&quot;:&quot;&quot;,&quot;family&quot;:&quot;Marszal-Pomianowska&quot;,&quot;given&quot;:&quot;Anna&quot;,&quot;non-dropping-particle&quot;:&quot;&quot;,&quot;parse-names&quot;:false,&quot;suffix&quot;:&quot;&quot;},{&quot;dropping-particle&quot;:&quot;&quot;,&quot;family&quot;:&quot;Lollini&quot;,&quot;given&quot;:&quot;Roberto&quot;,&quot;non-dropping-particle&quot;:&quot;&quot;,&quot;parse-names&quot;:false,&quot;suffix&quot;:&quot;&quot;},{&quot;dropping-particle&quot;:&quot;&quot;,&quot;family&quot;:&quot;Pasut&quot;,&quot;given&quot;:&quot;Wilmer&quot;,&quot;non-dropping-particle&quot;:&quot;&quot;,&quot;parse-names&quot;:false,&quot;suffix&quot;:&quot;&quot;},{&quot;dropping-particle&quot;:&quot;&quot;,&quot;family&quot;:&quot;Knotzer&quot;,&quot;given&quot;:&quot;Armin&quot;,&quot;non-dropping-particle&quot;:&quot;&quot;,&quot;parse-names&quot;:false,&quot;suffix&quot;:&quot;&quot;},{&quot;dropping-particle&quot;:&quot;&quot;,&quot;family&quot;:&quot;Engelmann&quot;,&quot;given&quot;:&quot;Peter&quot;,&quot;non-dropping-particle&quot;:&quot;&quot;,&quot;parse-names&quot;:false,&quot;suffix&quot;:&quot;&quot;},{&quot;dropping-particle&quot;:&quot;&quot;,&quot;family&quot;:&quot;Stafford&quot;,&quot;given&quot;:&quot;Anne&quot;,&quot;non-dropping-particle&quot;:&quot;&quot;,&quot;parse-names&quot;:false,&quot;suffix&quot;:&quot;&quot;},{&quot;dropping-particle&quot;:&quot;&quot;,&quot;family&quot;:&quot;Reynders&quot;,&quot;given&quot;:&quot;Glenn&quot;,&quot;non-dropping-particle&quot;:&quot;&quot;,&quot;parse-names&quot;:false,&quot;suffix&quot;:&quot;&quot;}],&quot;container-title&quot;:&quot;Energy and Buildings&quot;,&quot;id&quot;:&quot;560e10f1-4af0-373e-8a0c-dcc5f8a6a8ea&quot;,&quot;issued&quot;:{&quot;date-parts&quot;:[[&quot;2017&quot;,&quot;11&quot;,&quot;15&quot;]]},&quot;page&quot;:&quot;25-34&quot;,&quot;publisher&quot;:&quot;Elsevier Ltd&quot;,&quot;title&quot;:&quot;IEA EBC Annex 67 Energy Flexible Buildings&quot;,&quot;type&quot;:&quot;article-journal&quot;,&quot;volume&quot;:&quot;155&quot;,&quot;container-title-short&quot;:&quot;Energy Build&quot;},&quot;uris&quot;:[&quot;http://www.mendeley.com/documents/?uuid=560e10f1-4af0-373e-8a0c-dcc5f8a6a8ea&quot;],&quot;isTemporary&quot;:false,&quot;legacyDesktopId&quot;:&quot;560e10f1-4af0-373e-8a0c-dcc5f8a6a8ea&quot;}]},{&quot;citationID&quot;:&quot;MENDELEY_CITATION_56774427-6dc5-494b-bb1e-5d23680870e7&quot;,&quot;properties&quot;:{&quot;noteIndex&quot;:0},&quot;isEdited&quot;:false,&quot;manualOverride&quot;:{&quot;isManuallyOverridden&quot;:false,&quot;citeprocText&quot;:&quot;[1]&quot;,&quot;manualOverrideText&quot;:&quot;&quot;},&quot;citationTag&quot;:&quot;MENDELEY_CITATION_v3_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&quot;,&quot;citationItems&quot;:[{&quot;id&quot;:&quot;120b1b1d-d017-3375-9e86-adfedb999be9&quot;,&quot;itemData&quot;:{&quot;type&quot;:&quot;report&quot;,&quot;id&quot;:&quot;120b1b1d-d017-3375-9e86-adfedb999be9&quot;,&quot;title&quot;:&quot;Annual Energy Outlook 2020&quot;,&quot;author&quot;:[{&quot;family&quot;:&quot;U.S. EIA&quot;,&quot;given&quot;:&quot;&quot;,&quot;parse-names&quot;:false,&quot;dropping-particle&quot;:&quot;&quot;,&quot;non-dropping-particle&quot;:&quot;&quot;}],&quot;accessed&quot;:{&quot;date-parts&quot;:[[2020,4,19]]},&quot;URL&quot;:&quot;https://www.eia.gov/outlooks/aeo/&quot;,&quot;issued&quot;:{&quot;date-parts&quot;:[[2020]]},&quot;number-of-pages&quot;:&quot;1-161&quot;,&quot;container-title-short&quot;:&quot;&quot;},&quot;isTemporary&quot;:false}]},{&quot;citationID&quot;:&quot;MENDELEY_CITATION_a6ef91b1-157f-4c23-b93f-d3e864e4e02d&quot;,&quot;properties&quot;:{&quot;noteIndex&quot;:0},&quot;isEdited&quot;:false,&quot;manualOverride&quot;:{&quot;isManuallyOverridden&quot;:false,&quot;citeprocText&quot;:&quot;[23]&quot;,&quot;manualOverrideText&quot;:&quot;&quot;},&quot;citationTag&quot;:&quot;MENDELEY_CITATION_v3_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&quot;,&quot;citationItems&quot;:[{&quot;id&quot;:&quot;a99d46fa-950a-3fd3-904d-7caca65d5bdc&quot;,&quot;itemData&quot;:{&quot;type&quot;:&quot;article-magazine&quot;,&quot;id&quot;:&quot;a99d46fa-950a-3fd3-904d-7caca65d5bdc&quot;,&quot;title&quot;:&quot;The State of Art of Heat-Pump integrated Thermal Energy Storage for Demand Response&quot;,&quot;author&quot;:[{&quot;family&quot;:&quot;Sultan&quot;,&quot;given&quot;:&quot;Sara&quot;,&quot;parse-names&quot;:false,&quot;dropping-particle&quot;:&quot;&quot;,&quot;non-dropping-particle&quot;:&quot;&quot;},{&quot;family&quot;:&quot;Gluesenkamp&quot;,&quot;given&quot;:&quot;Kyle R&quot;,&quot;parse-names&quot;:false,&quot;dropping-particle&quot;:&quot;&quot;,&quot;non-dropping-particle&quot;:&quot;&quot;},{&quot;family&quot;:&quot;States&quot;,&quot;given&quot;:&quot;United&quot;,&quot;parse-names&quot;:false,&quot;dropping-particle&quot;:&quot;&quot;,&quot;non-dropping-particle&quot;:&quot;&quot;}],&quot;container-title&quot;:&quot;IEA Heat Pump Technologies Magazine&quot;,&quot;DOI&quot;:&quot;https://doi.org/10.23697/62tr-nt79&quot;,&quot;URL&quot;:&quot;https://heatpumpingtechnologies.org/publications/the-state-of-art-of-heat-pump-integrated-thermal-energy-storage-for-demand-response/&quot;,&quot;issued&quot;:{&quot;date-parts&quot;:[[2021]]},&quot;page&quot;:&quot;27-30&quot;,&quot;issue&quot;:&quot;2&quot;,&quot;volume&quot;:&quot;40&quot;,&quot;container-title-short&quot;:&quot;&quot;},&quot;isTemporary&quot;:false}]},{&quot;citationID&quot;:&quot;MENDELEY_CITATION_373086e6-efdf-454f-9374-7905576b5624&quot;,&quot;properties&quot;:{&quot;noteIndex&quot;:0},&quot;isEdited&quot;:false,&quot;manualOverride&quot;:{&quot;isManuallyOverridden&quot;:false,&quot;citeprocText&quot;:&quot;[58]–[60]&quot;,&quot;manualOverrideText&quot;:&quot;&quot;},&quot;citationTag&quot;:&quot;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&quot;,&quot;citationItems&quot;:[{&quot;id&quot;:&quot;e6921504-39ca-3220-972e-d6eb4f850cdf&quot;,&quot;itemData&quot;:{&quot;type&quot;:&quot;article-journal&quot;,&quot;id&quot;:&quot;e6921504-39ca-3220-972e-d6eb4f850cdf&quot;,&quot;title&quot;:&quot;Flexibility categorization, sources, capabilities and technologies for energy-flexible and grid-responsive buildings: State-of-the-art and future perspective&quot;,&quot;author&quot;:[{&quot;family&quot;:&quot;Tang&quot;,&quot;given&quot;:&quot;Hong&quot;,&quot;parse-names&quot;:false,&quot;dropping-particle&quot;:&quot;&quot;,&quot;non-dropping-particle&quot;:&quot;&quot;},{&quot;family&quot;:&quot;Wang&quot;,&quot;given&quot;:&quot;Shengwei&quot;,&quot;parse-names&quot;:false,&quot;dropping-particle&quot;:&quot;&quot;,&quot;non-dropping-particle&quot;:&quot;&quot;},{&quot;family&quot;:&quot;Li&quot;,&quot;given&quot;:&quot;Hangxin&quot;,&quot;parse-names&quot;:false,&quot;dropping-particle&quot;:&quot;&quot;,&quot;non-dropping-particle&quot;:&quot;&quot;}],&quot;container-title&quot;:&quot;Energy&quot;,&quot;accessed&quot;:{&quot;date-parts&quot;:[[2023,3,13]]},&quot;DOI&quot;:&quot;10.1016/J.ENERGY.2020.119598&quot;,&quot;ISSN&quot;:&quot;0360-5442&quot;,&quot;issued&quot;:{&quot;date-parts&quot;:[[2021,3,15]]},&quot;page&quot;:&quot;119598&quot;,&quot;abstract&quot;:&quot;The rapid development of remote telemetry, control and communication technologies in smart grids enables the demand side to provide energy flexibility for power grid economy and reliability. The building sector, as a consumer of large amounts of electricity, has various flexible loads that can be effectively utilized for such purposes if buildings and their energy systems are under proper design and control. In this paper, a systematic methodology is proposed for categorizing the building energy flexibility according to different power grid requirements. Considering the requirements of response duration, response direction and response speed (within seconds, minutes, or even longer timescale), the flexibility can be categorized as fast regulation, moderate regulation, load shedding, load shifting and load covering. A comprehensive review is presented to summarize and compare various flexibility sources, their characteristics and capabilities in buildings for providing those five different types of energy flexibility. The analysis of available information technologies and business development indicate great capability and potential of buildings to participate in energy flexibility markets as a practical demand side management instrument. Three major limitations in existing research and energy markets are identified as the major challenges for the future development of energy flexible buildings.&quot;,&quot;publisher&quot;:&quot;Pergamon&quot;,&quot;volume&quot;:&quot;219&quot;,&quot;container-title-short&quot;:&quot;&quot;},&quot;isTemporary&quot;:false},{&quot;id&quot;:&quot;c71dfecd-b8e9-35ea-9927-019faac468c0&quot;,&quot;itemData&quot;:{&quot;type&quot;:&quot;article-journal&quot;,&quot;id&quot;:&quot;c71dfecd-b8e9-35ea-9927-019faac468c0&quot;,&quot;title&quot;:&quot;Demand response and smart grids—A survey&quot;,&quot;author&quot;:[{&quot;family&quot;:&quot;Siano&quot;,&quot;given&quot;:&quot;Pierluigi&quot;,&quot;parse-names&quot;:false,&quot;dropping-particle&quot;:&quot;&quot;,&quot;non-dropping-particle&quot;:&quot;&quot;}],&quot;container-title&quot;:&quot;Renewable and Sustainable Energy Reviews&quot;,&quot;accessed&quot;:{&quot;date-parts&quot;:[[2022,11,21]]},&quot;DOI&quot;:&quot;10.1016/J.RSER.2013.10.022&quot;,&quot;ISSN&quot;:&quot;1364-0321&quot;,&quot;issued&quot;:{&quot;date-parts&quot;:[[2014,2,1]]},&quot;page&quot;:&quot;461-478&quot;,&quot;abstract&quot;:&quot;The smart grid is conceived of as an electric grid that can deliver electricity in a controlled, smart way from points of generation to active consumers. Demand response (DR), by promoting the interaction and responsiveness of the customers, may offer a broad range of potential benefits on system operation and expansion and on market efficiency. Moreover, by improving the reliability of the power system and, in the long term, lowering peak demand, DR reduces overall plant and capital cost investments and postpones the need for network upgrades. In this paper a survey of DR potentials and benefits in smart grids is presented. Innovative enabling technologies and systems, such as smart meters, energy controllers, communication systems, decisive to facilitate the coordination of efficiency and DR in a smart grid, are described and discussed with reference to real industrial case studies and research projects. © 2013 Elsevier Ltd. All rights reserved.&quot;,&quot;publisher&quot;:&quot;Pergamon&quot;,&quot;volume&quot;:&quot;30&quot;,&quot;container-title-short&quot;:&quot;&quot;},&quot;isTemporary&quot;:false},{&quot;id&quot;:&quot;064b0705-d953-3304-8f7e-bb4c3f01b94b&quot;,&quot;itemData&quot;:{&quot;type&quot;:&quot;article-journal&quot;,&quot;id&quot;:&quot;064b0705-d953-3304-8f7e-bb4c3f01b94b&quot;,&quot;title&quot;:&quot;Measures to improve energy demand flexibility in buildings for demand response (DR): A review&quot;,&quot;author&quot;:[{&quot;family&quot;:&quot;Chen&quot;,&quot;given&quot;:&quot;Yongbao&quot;,&quot;parse-names&quot;:false,&quot;dropping-particle&quot;:&quot;&quot;,&quot;non-dropping-particle&quot;:&quot;&quot;},{&quot;family&quot;:&quot;Xu&quot;,&quot;given&quot;:&quot;Peng&quot;,&quot;parse-names&quot;:false,&quot;dropping-particle&quot;:&quot;&quot;,&quot;non-dropping-particle&quot;:&quot;&quot;},{&quot;family&quot;:&quot;Gu&quot;,&quot;given&quot;:&quot;Jiefan&quot;,&quot;parse-names&quot;:false,&quot;dropping-particle&quot;:&quot;&quot;,&quot;non-dropping-particle&quot;:&quot;&quot;},{&quot;family&quot;:&quot;Schmidt&quot;,&quot;given&quot;:&quot;Ferdinand&quot;,&quot;parse-names&quot;:false,&quot;dropping-particle&quot;:&quot;&quot;,&quot;non-dropping-particle&quot;:&quot;&quot;},{&quot;family&quot;:&quot;Li&quot;,&quot;given&quot;:&quot;Weilin&quot;,&quot;parse-names&quot;:false,&quot;dropping-particle&quot;:&quot;&quot;,&quot;non-dropping-particle&quot;:&quot;&quot;}],&quot;container-title&quot;:&quot;Energy and Buildings&quot;,&quot;container-title-short&quot;:&quot;Energy Build&quot;,&quot;accessed&quot;:{&quot;date-parts&quot;:[[2023,3,13]]},&quot;DOI&quot;:&quot;10.1016/J.ENBUILD.2018.08.003&quot;,&quot;ISSN&quot;:&quot;0378-7788&quot;,&quot;issued&quot;:{&quot;date-parts&quot;:[[2018,10,15]]},&quot;page&quot;:&quot;125-139&quot;,&quot;abstract&quot;:&quot;This paper classifies and discusses the energy flexibility improvement strategies for demand responsive control in grid-interactive buildings based on a comprehensive study of the literature. Both supply and demand sides are considered. The flexibility measures range from renewable energy such as photovoltaic cells (PV) and wind to heating, ventilation, and air conditioning (HVAC) systems, energy storage, building thermal mass, appliances, and occupant behaviors. Currently, owing to the highly developed smart appliances and sensing communication techniques, DR is considered as an essential measure for improving energy flexibility in buildings without much additional investment. With the help of advanced demand response (DR) control strategies and measures, buildings can become more flexible in terms of power demand from the power grid. In this way, buildings achieve a better ability to balance differences in energy supply and demand. Furthermore, a synergistic approach with various measures is advisable, e.g., the use of energy storage technologies with PV and passive DR methods. This paper summarizes the measures for improving the flexibility of commercial and residential buildings, and develops a systematic methodology framework to evaluate energy demand flexibility in buildings.&quot;,&quot;publisher&quot;:&quot;Elsevier&quot;,&quot;volume&quot;:&quot;177&quot;},&quot;isTemporary&quot;:false}]},{&quot;citationID&quot;:&quot;MENDELEY_CITATION_b915faa8-844c-4111-8b8e-41c4ffbf36ba&quot;,&quot;properties&quot;:{&quot;noteIndex&quot;:0},&quot;isEdited&quot;:false,&quot;manualOverride&quot;:{&quot;isManuallyOverridden&quot;:false,&quot;citeprocText&quot;:&quot;[61]–[64]&quot;,&quot;manualOverrideText&quot;:&quot;&quot;},&quot;citationTag&quot;:&quot;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&quot;,&quot;citationItems&quot;:[{&quot;id&quot;:&quot;444422e2-7fbf-369e-a348-1750b5d1488e&quot;,&quot;itemData&quot;:{&quot;type&quot;:&quot;article-journal&quot;,&quot;id&quot;:&quot;444422e2-7fbf-369e-a348-1750b5d1488e&quot;,&quot;title&quot;:&quot;On the assessment and control optimisation of demand response programs in residential buildings&quot;,&quot;author&quot;:[{&quot;family&quot;:&quot;Pallonetto&quot;,&quot;given&quot;:&quot;Fabiano&quot;,&quot;parse-names&quot;:false,&quot;dropping-particle&quot;:&quot;&quot;,&quot;non-dropping-particle&quot;:&quot;&quot;},{&quot;family&quot;:&quot;Rosa&quot;,&quot;given&quot;:&quot;Mattia&quot;,&quot;parse-names&quot;:false,&quot;dropping-particle&quot;:&quot;&quot;,&quot;non-dropping-particle&quot;:&quot;De&quot;},{&quot;family&quot;:&quot;D'Ettorre&quot;,&quot;given&quot;:&quot;Francesco&quot;,&quot;parse-names&quot;:false,&quot;dropping-particle&quot;:&quot;&quot;,&quot;non-dropping-particle&quot;:&quot;&quot;},{&quot;family&quot;:&quot;Finn&quot;,&quot;given&quot;:&quot;Donal P.&quot;,&quot;parse-names&quot;:false,&quot;dropping-particle&quot;:&quot;&quot;,&quot;non-dropping-particle&quot;:&quot;&quot;}],&quot;container-title&quot;:&quot;Renewable and Sustainable Energy Reviews&quot;,&quot;accessed&quot;:{&quot;date-parts&quot;:[[2023,3,13]]},&quot;DOI&quot;:&quot;10.1016/J.RSER.2020.109861&quot;,&quot;ISSN&quot;:&quot;1364-0321&quot;,&quot;issued&quot;:{&quot;date-parts&quot;:[[2020,7,1]]},&quot;page&quot;:&quot;109861&quot;,&quot;abstract&quot;:&quot;The ability to control and optimise energy consumption at end-user level is of increasing interest as a means to achieve a balance between supply and demand, particularly when large penetration of distributed renewable energy sources is being considered. Demand Response programs consist of a series of externally-driven control strategies aimed at adapting consumer end-use load to specific grid requirements. In a demand response scenario, a network of connected systems can be exploited to activate balancing strategies, to provide demand flexibility during periods of high stress for the grid. However, the widespread deployment of demand response programs in the building sector still faces significant challenges. Smart technology deployment, the lack of common standardised assessment procedures and metrics, the absence of established regulatory frameworks are among the main obstacles limiting the development of portfolios of competitive flexibility assets. The residential sector is even more affected by these challenges due to a marginal economic case, the issue of long term harmonisation of hardware and software infrastructure and the influence of the end-user behaviour and preferences on energy consumption. The present paper provides a review on the current developments of the Demand Response programs, with specific reference to the residential building sector. Methodologies and procedures for assessing building energy flexibility and Demand Response programs are described with a special focus on numerical models and available control algorithms. Moreover, markets schemes and social aspects - such as technology acceptance and awareness - and their influence on smart control technologies and algorithms are discussed. Current research gaps and challenges are identified and analysed to provide guidance for future research activities.&quot;,&quot;publisher&quot;:&quot;Pergamon&quot;,&quot;volume&quot;:&quot;127&quot;,&quot;container-title-short&quot;:&quot;&quot;},&quot;isTemporary&quot;:false},{&quot;id&quot;:&quot;da099c7b-4167-3f42-85c1-0a94e73f9ae4&quot;,&quot;itemData&quot;:{&quot;type&quot;:&quot;article-journal&quot;,&quot;id&quot;:&quot;da099c7b-4167-3f42-85c1-0a94e73f9ae4&quot;,&quot;title&quot;:&quot;Review and prospect of integrated demand response in the multi-energy system&quot;,&quot;author&quot;:[{&quot;family&quot;:&quot;Wang&quot;,&quot;given&quot;:&quot;Jianxiao&quot;,&quot;parse-names&quot;:false,&quot;dropping-particle&quot;:&quot;&quot;,&quot;non-dropping-particle&quot;:&quot;&quot;},{&quot;family&quot;:&quot;Zhong&quot;,&quot;given&quot;:&quot;Haiwang&quot;,&quot;parse-names&quot;:false,&quot;dropping-particle&quot;:&quot;&quot;,&quot;non-dropping-particle&quot;:&quot;&quot;},{&quot;family&quot;:&quot;Ma&quot;,&quot;given&quot;:&quot;Ziming&quot;,&quot;parse-names&quot;:false,&quot;dropping-particle&quot;:&quot;&quot;,&quot;non-dropping-particle&quot;:&quot;&quot;},{&quot;family&quot;:&quot;Xia&quot;,&quot;given&quot;:&quot;Qing&quot;,&quot;parse-names&quot;:false,&quot;dropping-particle&quot;:&quot;&quot;,&quot;non-dropping-particle&quot;:&quot;&quot;},{&quot;family&quot;:&quot;Kang&quot;,&quot;given&quot;:&quot;Chongqing&quot;,&quot;parse-names&quot;:false,&quot;dropping-particle&quot;:&quot;&quot;,&quot;non-dropping-particle&quot;:&quot;&quot;}],&quot;container-title&quot;:&quot;Applied Energy&quot;,&quot;container-title-short&quot;:&quot;Appl Energy&quot;,&quot;accessed&quot;:{&quot;date-parts&quot;:[[2023,3,13]]},&quot;DOI&quot;:&quot;10.1016/J.APENERGY.2017.05.150&quot;,&quot;ISSN&quot;:&quot;0306-2619&quot;,&quot;issued&quot;:{&quot;date-parts&quot;:[[2017,9,15]]},&quot;page&quot;:&quot;772-782&quot;,&quot;abstract&quot;:&quot;Demand response (DR) is a critical and effective measure to stimulate the demand side resources to interact with renewable generation in the power system. However, the conventional scope of DR cannot fully exploit the interaction capabilities of demand side resources, which limits the energy users in the electric power system. With the revolution of the traditional economic and social pattern based on centralized fossil energy consumption, “Energy Internet” is impelling the development of the third industrial revolution, which aims at promoting the incorporation of sustainable energy and internet technology, and facilitating the integration of multi-energy systems (MESs). By integrating electricity, thermal energy, natural gas and other forms of energy, the smart energy hub (SEH) makes it possible for energy users to flexibly switch the source of consumed energy. With the complementarity of MESs, even the inelastic loads can actively participate in DR programs, which fully exploits the interaction capability of DR resources while maintaining the consumers’ comfort. This novel vision of the DR programs is termed as “Integrated Demand Response (IDR)”. In this context, the state-of-the-art of IDR in the MESs is reviewed for the first time. Firstly, the basic concept of IDR and the value analysis are introduced. The research on IDR in the MES is then summarized. The overviews of the engineering projects around the world are introduced. Finally, the key issues and potential research topics on IDR in the MES are proposed. Hopefully, this paper will provide reference for future research and engineering projects on IDR programs in the MES.&quot;,&quot;publisher&quot;:&quot;Elsevier&quot;,&quot;volume&quot;:&quot;202&quot;},&quot;isTemporary&quot;:false},{&quot;id&quot;:&quot;2fb6f78a-cf30-3b47-b0ab-a132eebf38c5&quot;,&quot;itemData&quot;:{&quot;type&quot;:&quot;article-journal&quot;,&quot;id&quot;:&quot;2fb6f78a-cf30-3b47-b0ab-a132eebf38c5&quot;,&quot;title&quot;:&quot;Building demand response and control methods for smart grids: A review&quot;,&quot;author&quot;:[{&quot;family&quot;:&quot;Shan&quot;,&quot;given&quot;:&quot;Kui&quot;,&quot;parse-names&quot;:false,&quot;dropping-particle&quot;:&quot;&quot;,&quot;non-dropping-particle&quot;:&quot;&quot;},{&quot;family&quot;:&quot;Wang&quot;,&quot;given&quot;:&quot;Shengwei&quot;,&quot;parse-names&quot;:false,&quot;dropping-particle&quot;:&quot;&quot;,&quot;non-dropping-particle&quot;:&quot;&quot;},{&quot;family&quot;:&quot;Yan&quot;,&quot;given&quot;:&quot;Chengchu&quot;,&quot;parse-names&quot;:false,&quot;dropping-particle&quot;:&quot;&quot;,&quot;non-dropping-particle&quot;:&quot;&quot;},{&quot;family&quot;:&quot;Xiao&quot;,&quot;given&quot;:&quot;Fu&quot;,&quot;parse-names&quot;:false,&quot;dropping-particle&quot;:&quot;&quot;,&quot;non-dropping-particle&quot;:&quot;&quot;}],&quot;container-title&quot;:&quot;https://doi.org/10.1080/23744731.2016.1192878&quot;,&quot;accessed&quot;:{&quot;date-parts&quot;:[[2023,3,13]]},&quot;DOI&quot;:&quot;10.1080/23744731.2016.1192878&quot;,&quot;ISSN&quot;:&quot;2374474X&quot;,&quot;URL&quot;:&quot;https://www.tandfonline.com/doi/abs/10.1080/23744731.2016.1192878&quot;,&quot;issued&quot;:{&quot;date-parts&quot;:[[2016,8,17]]},&quot;page&quot;:&quot;692-704&quot;,&quot;abstract&quot;:&quot;Demand response provides a solution to the grid imbalance problems which restrict the use of renewable energy. Since buildings possess a high amount of flexible load, they could contribute to smart...&quot;,&quot;publisher&quot;:&quot;Taylor &amp; Francis&quot;,&quot;issue&quot;:&quot;6&quot;,&quot;volume&quot;:&quot;22&quot;,&quot;container-title-short&quot;:&quot;&quot;},&quot;isTemporary&quot;:false},{&quot;id&quot;:&quot;7d50192f-e788-3438-b584-58ddff8722ed&quot;,&quot;itemData&quot;:{&quot;type&quot;:&quot;article-journal&quot;,&quot;id&quot;:&quot;7d50192f-e788-3438-b584-58ddff8722ed&quot;,&quot;title&quot;:&quot;On heat pumps in smart grids: A review&quot;,&quot;author&quot;:[{&quot;family&quot;:&quot;Fischer&quot;,&quot;given&quot;:&quot;David&quot;,&quot;parse-names&quot;:false,&quot;dropping-particle&quot;:&quot;&quot;,&quot;non-dropping-particle&quot;:&quot;&quot;},{&quot;family&quot;:&quot;Madani&quot;,&quot;given&quot;:&quot;Hatef&quot;,&quot;parse-names&quot;:false,&quot;dropping-particle&quot;:&quot;&quot;,&quot;non-dropping-particle&quot;:&quot;&quot;}],&quot;container-title&quot;:&quot;Renewable and Sustainable Energy Reviews&quot;,&quot;accessed&quot;:{&quot;date-parts&quot;:[[2023,3,13]]},&quot;DOI&quot;:&quot;10.1016/J.RSER.2016.11.182&quot;,&quot;ISSN&quot;:&quot;1364-0321&quot;,&quot;issued&quot;:{&quot;date-parts&quot;:[[2017,4,1]]},&quot;page&quot;:&quot;342-357&quot;,&quot;abstract&quot;:&quot;This paper investigates heat pump systems in smart grids, focussing on fields of application and control approaches that have emerged in academic literature. Based on a review of published literature technical aspects of heat pump flexibility, fields of application and control approaches are structured and discussed. Three main categories of applications using heat pumps in a smart grid context have been identified: First stable and economic operation of power grids, second the integration of renewable energy sources and third operation under variable electricity prices. In all fields heat pumps - when controlled in an appropriate manner - can help easing the transition to a decentralized energy system accompanied by a higher share of prosumers and renewable energy sources. Predictive controls are successfully used in the majority of studies, often assuming idealized conditions. Topics for future research have been identified including: a transfer of control approaches from simulation to the field, a detailed techno-economic analysis of heat pump systems under smart grid operation, and the design of heat pump systems in order to increase flexibility are among the future research topics suggested.&quot;,&quot;publisher&quot;:&quot;Pergamon&quot;,&quot;volume&quot;:&quot;70&quot;,&quot;container-title-short&quot;:&quot;&quot;},&quot;isTemporary&quot;:false}]},{&quot;citationID&quot;:&quot;MENDELEY_CITATION_3e2f27b8-7229-4435-8250-70e4025eba35&quot;,&quot;properties&quot;:{&quot;noteIndex&quot;:0},&quot;isEdited&quot;:false,&quot;manualOverride&quot;:{&quot;isManuallyOverridden&quot;:false,&quot;citeprocText&quot;:&quot;[65]&quot;,&quot;manualOverrideText&quot;:&quot;&quot;},&quot;citationTag&quot;:&quot;MENDELEY_CITATION_v3_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&quot;,&quot;citationItems&quot;:[{&quot;id&quot;:&quot;15737d12-4737-3f61-b79f-cb4051b4e11d&quot;,&quot;itemData&quot;:{&quot;type&quot;:&quot;article-journal&quot;,&quot;id&quot;:&quot;15737d12-4737-3f61-b79f-cb4051b4e11d&quot;,&quot;title&quot;:&quot;Optimal robust operation of combined heat and power systems with demand response programs&quot;,&quot;author&quot;:[{&quot;family&quot;:&quot;Majidi&quot;,&quot;given&quot;:&quot;Majid&quot;,&quot;parse-names&quot;:false,&quot;dropping-particle&quot;:&quot;&quot;,&quot;non-dropping-particle&quot;:&quot;&quot;},{&quot;family&quot;:&quot;Mohammadi-Ivatloo&quot;,&quot;given&quot;:&quot;Behnam&quot;,&quot;parse-names&quot;:false,&quot;dropping-particle&quot;:&quot;&quot;,&quot;non-dropping-particle&quot;:&quot;&quot;},{&quot;family&quot;:&quot;Anvari-Moghaddam&quot;,&quot;given&quot;:&quot;Amjad&quot;,&quot;parse-names&quot;:false,&quot;dropping-particle&quot;:&quot;&quot;,&quot;non-dropping-particle&quot;:&quot;&quot;}],&quot;container-title&quot;:&quot;Applied Thermal Engineering&quot;,&quot;container-title-short&quot;:&quot;Appl Therm Eng&quot;,&quot;accessed&quot;:{&quot;date-parts&quot;:[[2023,3,13]]},&quot;DOI&quot;:&quot;10.1016/J.APPLTHERMALENG.2018.12.088&quot;,&quot;ISSN&quot;:&quot;1359-4311&quot;,&quot;issued&quot;:{&quot;date-parts&quot;:[[2019,2,25]]},&quot;page&quot;:&quot;1359-1369&quot;,&quot;abstract&quot;:&quot;Efficiency improvement of generation units with different scales in energy systems has always been considered as an important issue. In conventional power systems, a big share of energy portfolio (40−60%) could be wasted since generation systems are not capable to efficiently use input energy. One solution to this problem is to incorporate combined heat and power (CHP) systems to form a multi-carrier energy hub and increase energy efficiency. In this paper, an optimization framework is developed for optimal operation of a CHP system in an uncertain environment considering demand response actions. The examined CHP-based energy system is composed of a gas turbine, heat pump, storage systems and boiler units to generate heat for space heating (SH) and domestic hot water (DHW) demands. Robust optimization framework is also employed to determine the true operating mode of CHP system (namely risk-averse, risk-neutral, or risk-taker) in the examined uncertain environment. Furthermore, a time-of-use (TOU) price-based demand response program (DRP) is used to enhance system's economic operation by changing the energy consumption pattern of end-users during the study period. Simulation results demonstrate that without DRPs, robust operation of CHP-based microgrid is obtained against 30% of more electrical load by experiencing 10.048% more operation cost while the same degree of robustness is obtained by experiencing 10.019% more operation cost considering DRPs.&quot;,&quot;publisher&quot;:&quot;Pergamon&quot;,&quot;volume&quot;:&quot;149&quot;},&quot;isTemporary&quot;:false}]},{&quot;citationID&quot;:&quot;MENDELEY_CITATION_5f749b6d-5647-4e1a-955c-b947a8989b23&quot;,&quot;properties&quot;:{&quot;noteIndex&quot;:0},&quot;isEdited&quot;:false,&quot;manualOverride&quot;:{&quot;isManuallyOverridden&quot;:false,&quot;citeprocText&quot;:&quot;[7]&quot;,&quot;manualOverrideText&quot;:&quot;&quot;},&quot;citationTag&quot;:&quot;MENDELEY_CITATION_v3_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&quot;,&quot;citationItems&quot;:[{&quot;id&quot;:&quot;1a442f40-58bd-3908-a451-337be8d4a84d&quot;,&quot;itemData&quot;:{&quot;type&quot;:&quot;article-journal&quot;,&quot;id&quot;:&quot;1a442f40-58bd-3908-a451-337be8d4a84d&quot;,&quot;title&quot;:&quot;A comprehensive review on current advances of thermal energy storage and its applications&quot;,&quot;author&quot;:[{&quot;family&quot;:&quot;Chavan&quot;,&quot;given&quot;:&quot;Santosh&quot;,&quot;parse-names&quot;:false,&quot;dropping-particle&quot;:&quot;&quot;,&quot;non-dropping-particle&quot;:&quot;&quot;},{&quot;family&quot;:&quot;Rudrapati&quot;,&quot;given&quot;:&quot;Ramesh&quot;,&quot;parse-names&quot;:false,&quot;dropping-particle&quot;:&quot;&quot;,&quot;non-dropping-particle&quot;:&quot;&quot;},{&quot;family&quot;:&quot;Manickam&quot;,&quot;given&quot;:&quot;Selvaraj&quot;,&quot;parse-names&quot;:false,&quot;dropping-particle&quot;:&quot;&quot;,&quot;non-dropping-particle&quot;:&quot;&quot;}],&quot;container-title&quot;:&quot;Alexandria Engineering Journal&quot;,&quot;accessed&quot;:{&quot;date-parts&quot;:[[2023,3,13]]},&quot;DOI&quot;:&quot;10.1016/J.AEJ.2021.11.003&quot;,&quot;ISSN&quot;:&quot;1110-0168&quot;,&quot;issued&quot;:{&quot;date-parts&quot;:[[2022,7,1]]},&quot;page&quot;:&quot;5455-5463&quot;,&quot;abstract&quot;:&quot;Thermal energy storage (TES) is playing a vital role in various applications and this paper intends to provide an overview of different applications involved in various areas. This work mainly focuses on review of TES applications in wide area such as waste heat recovery, Heavy electronic equipment's cooling etc. The comprehensive study shows that thermal energy stored can be used for heating and cooling applications and have a great scope for developing new technology and methods for utilizing it to maximum extent. Exploring various thermal storage materials and methods for different application opening many ways towards the sustainable development and utilization of available thermal energy.&quot;,&quot;publisher&quot;:&quot;Elsevier&quot;,&quot;issue&quot;:&quot;7&quot;,&quot;volume&quot;:&quot;61&quot;,&quot;container-title-short&quot;:&quot;&quot;},&quot;isTemporary&quot;:false}]},{&quot;citationID&quot;:&quot;MENDELEY_CITATION_adaca359-a9e6-4051-8ad2-3d523982942a&quot;,&quot;properties&quot;:{&quot;noteIndex&quot;:0},&quot;isEdited&quot;:false,&quot;manualOverride&quot;:{&quot;isManuallyOverridden&quot;:false,&quot;citeprocText&quot;:&quot;[8]–[12]&quot;,&quot;manualOverrideText&quot;:&quot;&quot;},&quot;citationTag&quot;:&quot;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&quot;,&quot;citationItems&quot;:[{&quot;id&quot;:&quot;2132e2b9-1976-3687-b02d-1142503b9d80&quot;,&quot;itemData&quot;:{&quot;type&quot;:&quot;article-journal&quot;,&quot;id&quot;:&quot;2132e2b9-1976-3687-b02d-1142503b9d80&quot;,&quot;title&quot;:&quot;Potential Phase Change Materials in Building Wall Construction—A Review&quot;,&quot;author&quot;:[{&quot;family&quot;:&quot;Kurdi&quot;,&quot;given&quot;:&quot;Abdulaziz&quot;,&quot;parse-names&quot;:false,&quot;dropping-particle&quot;:&quot;&quot;,&quot;non-dropping-particle&quot;:&quot;&quot;},{&quot;family&quot;:&quot;Almoatham&quot;,&quot;given&quot;:&quot;Nasser&quot;,&quot;parse-names&quot;:false,&quot;dropping-particle&quot;:&quot;&quot;,&quot;non-dropping-particle&quot;:&quot;&quot;},{&quot;family&quot;:&quot;Mirza&quot;,&quot;given&quot;:&quot;Mark&quot;,&quot;parse-names&quot;:false,&quot;dropping-particle&quot;:&quot;&quot;,&quot;non-dropping-particle&quot;:&quot;&quot;},{&quot;family&quot;:&quot;Ballweg&quot;,&quot;given&quot;:&quot;Thomas&quot;,&quot;parse-names&quot;:false,&quot;dropping-particle&quot;:&quot;&quot;,&quot;non-dropping-particle&quot;:&quot;&quot;},{&quot;family&quot;:&quot;Alkahlan&quot;,&quot;given&quot;:&quot;Bandar&quot;,&quot;parse-names&quot;:false,&quot;dropping-particle&quot;:&quot;&quot;,&quot;non-dropping-particle&quot;:&quot;&quot;}],&quot;container-title&quot;:&quot;Materials 2021, Vol. 14, Page 5328&quot;,&quot;accessed&quot;:{&quot;date-parts&quot;:[[2023,3,13]]},&quot;DOI&quot;:&quot;10.3390/MA14185328&quot;,&quot;ISSN&quot;:&quot;1996-1944&quot;,&quot;URL&quot;:&quot;https://www.mdpi.com/1996-1944/14/18/5328/htm&quot;,&quot;issued&quot;:{&quot;date-parts&quot;:[[2021,9,15]]},&quot;page&quot;:&quot;5328&quot;,&quot;abstract&quot;:&quot;Phase change materials (PCMs) are an effective thermal mass and their integration into the structure of a building can reduce the ongoing costs of building operation, such as daily heating/cooling. PCMs as a thermal mass can absorb and retard heat loss to the building interior, maintaining comfort in the building. Although a large number of PCMs have been reported in the literature, only a handful of them, with their respective advantages and disadvantages, are suitable for building wall construction. Based on the information available in the literature, a critical evaluation of PCMs was performed in this paper, focusing on two aspects: (i) PCMs for building wall applications and (ii) the inclusion of PCMs in building wall applications. Four different PCMs, namely paraffin wax, fatty acids, hydrated salts, and butyl stearate, were identified as being the most suitable for building wall applications and these are explained in detail in terms of their physical and thermal properties. Although there are several PCM encapsulation techniques, the direct application of PCM in concrete admixtures is the most economical method to keep costs within manageable limits. However, care should be taken to ensure that PCM does not leak or drip from the building wall.&quot;,&quot;publisher&quot;:&quot;Multidisciplinary Digital Publishing Institute&quot;,&quot;issue&quot;:&quot;18&quot;,&quot;volume&quot;:&quot;14&quot;,&quot;container-title-short&quot;:&quot;&quot;},&quot;isTemporary&quot;:false},{&quot;id&quot;:&quot;bb4b0011-d4a7-3923-ab0c-5369014ec7f5&quot;,&quot;itemData&quot;:{&quot;type&quot;:&quot;article-journal&quot;,&quot;id&quot;:&quot;bb4b0011-d4a7-3923-ab0c-5369014ec7f5&quot;,&quot;title&quot;:&quot;Thermal energy management in buildings and constructions with phase change material-epoxy composites: a review&quot;,&quot;author&quot;:[{&quot;family&quot;:&quot;Amberkar&quot;,&quot;given&quot;:&quot;Tejashree&quot;,&quot;parse-names&quot;:false,&quot;dropping-particle&quot;:&quot;&quot;,&quot;non-dropping-particle&quot;:&quot;&quot;},{&quot;family&quot;:&quot;Mahanwar&quot;,&quot;given&quot;:&quot;Prakash&quot;,&quot;parse-names&quot;:false,&quot;dropping-particle&quot;:&quot;&quot;,&quot;non-dropping-particle&quot;:&quot;&quot;}],&quot;container-title&quot;:&quot;https://doi.org/10.1080/15567036.2023.2171514&quot;,&quot;accessed&quot;:{&quot;date-parts&quot;:[[2023,3,13]]},&quot;DOI&quot;:&quot;10.1080/15567036.2023.2171514&quot;,&quot;ISSN&quot;:&quot;1556-7036&quot;,&quot;URL&quot;:&quot;https://www.tandfonline.com/doi/abs/10.1080/15567036.2023.2171514&quot;,&quot;issued&quot;:{&quot;date-parts&quot;:[[2023,12,31]]},&quot;page&quot;:&quot;727-761&quot;,&quot;abstract&quot;:&quot;The research has shown that combining phase change materials (PCMs) in construction materials improves thermal performance and longevity of construction. PCM absorbs latent heat of phase transition...&quot;,&quot;publisher&quot;:&quot;Taylor &amp; Francis&quot;,&quot;issue&quot;:&quot;1&quot;,&quot;volume&quot;:&quot;45&quot;,&quot;container-title-short&quot;:&quot;&quot;},&quot;isTemporary&quot;:false},{&quot;id&quot;:&quot;e147ceef-ee4b-3a0d-a362-f8f3397f606a&quot;,&quot;itemData&quot;:{&quot;type&quot;:&quot;article-journal&quot;,&quot;id&quot;:&quot;e147ceef-ee4b-3a0d-a362-f8f3397f606a&quot;,&quot;title&quot;:&quot;Energy storage using phase change materials - Challenges and opportunities for power savings in residential buildings&quot;,&quot;author&quot;:[{&quot;family&quot;:&quot;Rahman&quot;,&quot;given&quot;:&quot;Muhammad Mustafizur&quot;,&quot;parse-names&quot;:false,&quot;dropping-particle&quot;:&quot;&quot;,&quot;non-dropping-particle&quot;:&quot;&quot;},{&quot;family&quot;:&quot;Habib&quot;,&quot;given&quot;:&quot;Md Ahsan&quot;,&quot;parse-names&quot;:false,&quot;dropping-particle&quot;:&quot;&quot;,&quot;non-dropping-particle&quot;:&quot;&quot;}],&quot;container-title&quot;:&quot;AIP Conference Proceedings&quot;,&quot;container-title-short&quot;:&quot;AIP Conf Proc&quot;,&quot;accessed&quot;:{&quot;date-parts&quot;:[[2023,3,13]]},&quot;DOI&quot;:&quot;10.1063/5.0117296&quot;,&quot;ISBN&quot;:&quot;9780735442573&quot;,&quot;ISSN&quot;:&quot;0094-243X&quot;,&quot;URL&quot;:&quot;https://aip.scitation.org/doi/abs/10.1063/5.0117296&quot;,&quot;issued&quot;:{&quot;date-parts&quot;:[[2022,11,17]]},&quot;page&quot;:&quot;020054&quot;,&quot;abstract&quot;:&quot;The energy consumption in residential buildings is mainly combined with the interior environment's heating and cooling energy demand. One solution is to reduce these energy consumptions by implemen...&quot;,&quot;publisher&quot;:&quot;AIP Publishing LLCAIP Publishing&quot;,&quot;issue&quot;:&quot;1&quot;,&quot;volume&quot;:&quot;2681&quot;},&quot;isTemporary&quot;:false},{&quot;id&quot;:&quot;8e93e8f0-a381-3c9e-b0e3-fc3a61472b49&quot;,&quot;itemData&quot;:{&quot;type&quot;:&quot;article-journal&quot;,&quot;id&quot;:&quot;8e93e8f0-a381-3c9e-b0e3-fc3a61472b49&quot;,&quot;title&quot;:&quot;Recent advancements in latent heat phase change materials and their applications for thermal energy storage and buildings: A state of the art review&quot;,&quot;author&quot;:[{&quot;family&quot;:&quot;Hassan&quot;,&quot;given&quot;:&quot;Faisal&quot;,&quot;parse-names&quot;:false,&quot;dropping-particle&quot;:&quot;&quot;,&quot;non-dropping-particle&quot;:&quot;&quot;},{&quot;family&quot;:&quot;Jamil&quot;,&quot;given&quot;:&quot;Furqan&quot;,&quot;parse-names&quot;:false,&quot;dropping-particle&quot;:&quot;&quot;,&quot;non-dropping-particle&quot;:&quot;&quot;},{&quot;family&quot;:&quot;Hussain&quot;,&quot;given&quot;:&quot;Abid&quot;,&quot;parse-names&quot;:false,&quot;dropping-particle&quot;:&quot;&quot;,&quot;non-dropping-particle&quot;:&quot;&quot;},{&quot;family&quot;:&quot;Ali&quot;,&quot;given&quot;:&quot;Hafiz Muhammad&quot;,&quot;parse-names&quot;:false,&quot;dropping-particle&quot;:&quot;&quot;,&quot;non-dropping-particle&quot;:&quot;&quot;},{&quot;family&quot;:&quot;Janjua&quot;,&quot;given&quot;:&quot;Muhammad Mansoor&quot;,&quot;parse-names&quot;:false,&quot;dropping-particle&quot;:&quot;&quot;,&quot;non-dropping-particle&quot;:&quot;&quot;},{&quot;family&quot;:&quot;Khushnood&quot;,&quot;given&quot;:&quot;Shahab&quot;,&quot;parse-names&quot;:false,&quot;dropping-particle&quot;:&quot;&quot;,&quot;non-dropping-particle&quot;:&quot;&quot;},{&quot;family&quot;:&quot;Farhan&quot;,&quot;given&quot;:&quot;Muhammad&quot;,&quot;parse-names&quot;:false,&quot;dropping-particle&quot;:&quot;&quot;,&quot;non-dropping-particle&quot;:&quot;&quot;},{&quot;family&quot;:&quot;Altaf&quot;,&quot;given&quot;:&quot;Khurram&quot;,&quot;parse-names&quot;:false,&quot;dropping-particle&quot;:&quot;&quot;,&quot;non-dropping-particle&quot;:&quot;&quot;},{&quot;family&quot;:&quot;Said&quot;,&quot;given&quot;:&quot;Zafar&quot;,&quot;parse-names&quot;:false,&quot;dropping-particle&quot;:&quot;&quot;,&quot;non-dropping-particle&quot;:&quot;&quot;},{&quot;family&quot;:&quot;Li&quot;,&quot;given&quot;:&quot;Changhe&quot;,&quot;parse-names&quot;:false,&quot;dropping-particle&quot;:&quot;&quot;,&quot;non-dropping-particle&quot;:&quot;&quot;}],&quot;container-title&quot;:&quot;Sustainable Energy Technologies and Assessments&quot;,&quot;accessed&quot;:{&quot;date-parts&quot;:[[2023,3,13]]},&quot;DOI&quot;:&quot;10.1016/J.SETA.2021.101646&quot;,&quot;ISSN&quot;:&quot;2213-1388&quot;,&quot;issued&quot;:{&quot;date-parts&quot;:[[2022,2,1]]},&quot;page&quot;:&quot;101646&quot;,&quot;abstract&quot;:&quot;Phase change materials (PCMs) have received substantial interest for their ability to store and release latent heat for energy conservation and thermal control purposes. PCMs are available in a variety of latent heat and melting points but their performance is low due to low value of thermal conductivity which limits its usage. The addition of highly thermal conductivity nanoparticles, porous metal foams and encapsulation methods have been used to address this issue and try to fix the low thermal conductivity of PCMs which is broadly discussed in this manuscript. The ability of PCM to store and release the thermal energy prompted the researchers to use it in potential applications. The energy retained and emitted by PCMs may be used for a variety of purposes, such as in photovoltaic (PV) panels, thermoelectric generators, building air-conditioning, air and water heating systems, heat exchangers, desalination solar stills, textiles, thermal management of electronic equipment and batteries and food packaging. Therefore, in this review, first the advancements in thermal properties of PCMs are thoroughly discussed in terms of enhancement in melting and solidification rates. After that, the use of PCMs in various applications is then explored, and conclusions are drawn accordingly. Based on analysis of recent literature, it was discovered that the phase transition temperature, phase transition enthalpy and thermal conductivity are three important parameters for the selection of an appropriate PCM for use in various applications. The current status of these advanced energy storage materials is also presented in this review. Lastly, some challenges and future recommendation are also proposed for future researchers which will bring a revolution in thermal management field.&quot;,&quot;publisher&quot;:&quot;Elsevier&quot;,&quot;volume&quot;:&quot;49&quot;,&quot;container-title-short&quot;:&quot;&quot;},&quot;isTemporary&quot;:false},{&quot;id&quot;:&quot;ad84d926-3986-3f3a-8898-9c867a401197&quot;,&quot;itemData&quot;:{&quot;type&quot;:&quot;article-journal&quot;,&quot;id&quot;:&quot;ad84d926-3986-3f3a-8898-9c867a401197&quot;,&quot;title&quot;:&quot;Current, Projected Performance and Costs of Thermal Energy Storage&quot;,&quot;author&quot;:[{&quot;family&quot;:&quot;Jon Chua&quot;,&quot;given&quot;:&quot;Kian&quot;,&quot;parse-names&quot;:false,&quot;dropping-particle&quot;:&quot;&quot;,&quot;non-dropping-particle&quot;:&quot;&quot;},{&quot;family&quot;:&quot;Pompei&quot;,&quot;given&quot;:&quot;Laura&quot;,&quot;parse-names&quot;:false,&quot;dropping-particle&quot;:&quot;&quot;,&quot;non-dropping-particle&quot;:&quot;&quot;},{&quot;family&quot;:&quot;Nardecchia&quot;,&quot;given&quot;:&quot;Fabio&quot;,&quot;parse-names&quot;:false,&quot;dropping-particle&quot;:&quot;&quot;,&quot;non-dropping-particle&quot;:&quot;&quot;},{&quot;family&quot;:&quot;Miliozzi&quot;,&quot;given&quot;:&quot;Adio&quot;,&quot;parse-names&quot;:false,&quot;dropping-particle&quot;:&quot;&quot;,&quot;non-dropping-particle&quot;:&quot;&quot;}],&quot;container-title&quot;:&quot;Processes 2023, Vol. 11, Page 729&quot;,&quot;accessed&quot;:{&quot;date-parts&quot;:[[2023,3,13]]},&quot;DOI&quot;:&quot;10.3390/PR11030729&quot;,&quot;ISSN&quot;:&quot;2227-9717&quot;,&quot;URL&quot;:&quot;https://www.mdpi.com/2227-9717/11/3/729/htm&quot;,&quot;issued&quot;:{&quot;date-parts&quot;:[[2023,2,28]]},&quot;page&quot;:&quot;729&quot;,&quot;abstract&quot;:&quot;The technology for storing thermal energy as sensible heat, latent heat, or thermochemical energy has greatly evolved in recent years, and it is expected to grow up to about 10.1 billion US dollars by 2027. A thermal energy storage (TES) system can significantly improve industrial energy efficiency and eliminate the need for additional energy supply in commercial and residential applications. This study is a first-of-its-kind specific review of the current projected performance and costs of thermal energy storage. This paper presents an overview of the main typologies of sensible heat (SH-TES), latent heat (LH-TES), and thermochemical energy (TCS) as well as their application in European countries. With regard to future challenges, the installation of TES systems in buildings is being implemented at a rate of 5%; cogeneration application with TES is attested to 10.2%; TES installation in the industry sector accounts for 5% of the final energy consumption. From the market perspective, the share of TES is expected to be dominated by SH-TES technologies due to their residential and industrial applications. With regard to the cost, the SH-TES system is typically more affordable than the LH-TES system or the TCS system because it consists of a simple tank containing the medium and the charging/discharging equipment.&quot;,&quot;publisher&quot;:&quot;Multidisciplinary Digital Publishing Institute&quot;,&quot;issue&quot;:&quot;3&quot;,&quot;volume&quot;:&quot;11&quot;,&quot;container-title-short&quot;:&quot;&quot;},&quot;isTemporary&quot;:false}]},{&quot;citationID&quot;:&quot;MENDELEY_CITATION_a0bf3372-9e0f-415d-b171-e59ea1b19204&quot;,&quot;properties&quot;:{&quot;noteIndex&quot;:0},&quot;isEdited&quot;:false,&quot;manualOverride&quot;:{&quot;isManuallyOverridden&quot;:false,&quot;citeprocText&quot;:&quot;[5], [6]&quot;,&quot;manualOverrideText&quot;:&quot;&quot;},&quot;citationTag&quot;:&quot;MENDELEY_CITATION_v3_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&quot;,&quot;citationItems&quot;:[{&quot;id&quot;:&quot;6eb7fc6c-3223-3b88-b8c2-828c31a888dd&quot;,&quot;itemData&quot;:{&quot;type&quot;:&quot;article-journal&quot;,&quot;id&quot;:&quot;6eb7fc6c-3223-3b88-b8c2-828c31a888dd&quot;,&quot;title&quot;:&quot;Introduction and Literature Review of Building Components with Passive Thermal Energy Storage Systems&quot;,&quot;author&quot;:[{&quot;family&quot;:&quot;Sepehri&quot;,&quot;given&quot;:&quot;Amin&quot;,&quot;parse-names&quot;:false,&quot;dropping-particle&quot;:&quot;&quot;,&quot;non-dropping-particle&quot;:&quot;&quot;}],&quot;container-title&quot;:&quot;Green Energy and Technology&quot;,&quot;accessed&quot;:{&quot;date-parts&quot;:[[2023,3,13]]},&quot;DOI&quot;:&quot;10.1007/978-3-031-08732-5_1/FIGURES/11&quot;,&quot;ISSN&quot;:&quot;18653537&quot;,&quot;URL&quot;:&quot;https://link.springer.com/chapter/10.1007/978-3-031-08732-5_1&quot;,&quot;issued&quot;:{&quot;date-parts&quot;:[[2022]]},&quot;page&quot;:&quot;1-18&quot;,&quot;abstract&quot;:&quot;Heating, ventilating, and air-conditioning (HVAC) systems account for almost half of the total energy consumption in buildings. While many studies have evaluated active thermal energy storage (TES) systems integrated into the building HVAC system, some other studies have focused on passive TES systems that may be incorporated in different parts of a building and use no mechanical force to charge/discharge. Passive TES systems could improve building energy efficiency by reducing the energy consumption in the building. There are two primary classifications of passive systems in buildings known as sensible heat and latent heat storage systems. While sensible heat storage can be used in traditional solid building materials like concrete, earth, brick, and stone, researchers have found a greater potential of energy use reduction in the case of latent heat storage via integrating phase change material (PCM) in the building structure. PCM can passively be incorporated in building envelope inside building materials using incorporation or encapsulation techniques or as a new layer in the construction procedure. This chapter presents a comprehensive review of the literature about both sensible and latent heat storage systems which are implemented in building components, focusing mainly on the performance of various techniques. The advantages and disadvantages of the different research approaches have been also highlighted.&quot;,&quot;publisher&quot;:&quot;Springer Science and Business Media Deutschland GmbH&quot;,&quot;container-title-short&quot;:&quot;&quot;},&quot;isTemporary&quot;:false},{&quot;id&quot;:&quot;03d3da3e-0d1a-3f09-a03b-a60ba95a1c72&quot;,&quot;itemData&quot;:{&quot;type&quot;:&quot;article-journal&quot;,&quot;id&quot;:&quot;03d3da3e-0d1a-3f09-a03b-a60ba95a1c72&quot;,&quot;title&quot;:&quot;Smart design and control of thermal energy storage in low-temperature heating and high-temperature cooling systems: A comprehensive review&quot;,&quot;author&quot;:[{&quot;family&quot;:&quot;Behzadi&quot;,&quot;given&quot;:&quot;Amirmohammad&quot;,&quot;parse-names&quot;:false,&quot;dropping-particle&quot;:&quot;&quot;,&quot;non-dropping-particle&quot;:&quot;&quot;},{&quot;family&quot;:&quot;Holmberg&quot;,&quot;given&quot;:&quot;Sture&quot;,&quot;parse-names&quot;:false,&quot;dropping-particle&quot;:&quot;&quot;,&quot;non-dropping-particle&quot;:&quot;&quot;},{&quot;family&quot;:&quot;Duwig&quot;,&quot;given&quot;:&quot;Christophe&quot;,&quot;parse-names&quot;:false,&quot;dropping-particle&quot;:&quot;&quot;,&quot;non-dropping-particle&quot;:&quot;&quot;},{&quot;family&quot;:&quot;Haghighat&quot;,&quot;given&quot;:&quot;Fariborz&quot;,&quot;parse-names&quot;:false,&quot;dropping-particle&quot;:&quot;&quot;,&quot;non-dropping-particle&quot;:&quot;&quot;},{&quot;family&quot;:&quot;Ooka&quot;,&quot;given&quot;:&quot;Ryozo&quot;,&quot;parse-names&quot;:false,&quot;dropping-particle&quot;:&quot;&quot;,&quot;non-dropping-particle&quot;:&quot;&quot;},{&quot;family&quot;:&quot;Sadrizadeh&quot;,&quot;given&quot;:&quot;Sasan&quot;,&quot;parse-names&quot;:false,&quot;dropping-particle&quot;:&quot;&quot;,&quot;non-dropping-particle&quot;:&quot;&quot;}],&quot;container-title&quot;:&quot;Renewable and Sustainable Energy Reviews&quot;,&quot;accessed&quot;:{&quot;date-parts&quot;:[[2023,3,13]]},&quot;DOI&quot;:&quot;10.1016/J.RSER.2022.112625&quot;,&quot;ISSN&quot;:&quot;1364-0321&quot;,&quot;issued&quot;:{&quot;date-parts&quot;:[[2022,9,1]]},&quot;page&quot;:&quot;112625&quot;,&quot;abstract&quot;:&quot;Thermal energy storage (TES) is recognized as a well-established technology added to the smart energy systems to support the immediate increase in energy demand, flatten the rapid supply-side changes, and reduce energy costs through an efficient and sustainable integration. On the utilization side, low-temperature heating (LTH) and high-temperature cooling (HTC) systems have grown popular because of their excellent performance in terms of energy efficiency, cost-effectiveness, and ease of integration with renewable resources. This article presents the current state-of-the-art regarding the smart design of TES integrated with LTH and HTC systems. TES is first explained in basic concepts, classification, and design possibilities. Secondly, the literature on well-known existing control approaches, strategies, and optimization methods applied to thermal energy storage is reviewed. Thirdly, the specifications, types, benefits, and drawbacks of the LTH and HTC systems from the viewpoints of supply and demand sides are discussed. Fourthly, the smart design of TES integrated with the LTH and HTC systems based on the control approach/strategy, optimization method, building type, and energy supplier is investigated to find the newest technology, ideas, and features and detect the existing gaps. The present article will provide a realistically feasible solution for having a smart storage configuration with the maximum possible energy efficiency, reliability, and cost-effectiveness for the building owners and the energy suppliers.&quot;,&quot;publisher&quot;:&quot;Pergamon&quot;,&quot;volume&quot;:&quot;166&quot;,&quot;container-title-short&quot;:&quot;&quot;},&quot;isTemporary&quot;:false}]},{&quot;citationID&quot;:&quot;MENDELEY_CITATION_19d72826-4f44-4c04-b483-89183b4bcc7e&quot;,&quot;properties&quot;:{&quot;noteIndex&quot;:0},&quot;isEdited&quot;:false,&quot;manualOverride&quot;:{&quot;isManuallyOverridden&quot;:false,&quot;citeprocText&quot;:&quot;[13]–[16]&quot;,&quot;manualOverrideText&quot;:&quot;&quot;},&quot;citationTag&quot;:&quot;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&quot;,&quot;citationItems&quot;:[{&quot;id&quot;:&quot;e8bbd9b8-d092-30cf-9a33-ab405d011c59&quot;,&quot;itemData&quot;:{&quot;type&quot;:&quot;article-journal&quot;,&quot;id&quot;:&quot;e8bbd9b8-d092-30cf-9a33-ab405d011c59&quot;,&quot;title&quot;:&quot;Phase Change Material Evolution in Thermal Energy Storage Systems for the Building Sector, with a Focus on Ground-Coupled Heat Pumps&quot;,&quot;author&quot;:[{&quot;family&quot;:&quot;Barbi&quot;,&quot;given&quot;:&quot;Silvia&quot;,&quot;parse-names&quot;:false,&quot;dropping-particle&quot;:&quot;&quot;,&quot;non-dropping-particle&quot;:&quot;&quot;},{&quot;family&quot;:&quot;Barbieri&quot;,&quot;given&quot;:&quot;Francesco&quot;,&quot;parse-names&quot;:false,&quot;dropping-particle&quot;:&quot;&quot;,&quot;non-dropping-particle&quot;:&quot;&quot;},{&quot;family&quot;:&quot;Marinelli&quot;,&quot;given&quot;:&quot;Simona&quot;,&quot;parse-names&quot;:false,&quot;dropping-particle&quot;:&quot;&quot;,&quot;non-dropping-particle&quot;:&quot;&quot;},{&quot;family&quot;:&quot;Rimini&quot;,&quot;given&quot;:&quot;Bianca&quot;,&quot;parse-names&quot;:false,&quot;dropping-particle&quot;:&quot;&quot;,&quot;non-dropping-particle&quot;:&quot;&quot;},{&quot;family&quot;:&quot;Merchiori&quot;,&quot;given&quot;:&quot;Sebastiano&quot;,&quot;parse-names&quot;:false,&quot;dropping-particle&quot;:&quot;&quot;,&quot;non-dropping-particle&quot;:&quot;&quot;},{&quot;family&quot;:&quot;Bottarelli&quot;,&quot;given&quot;:&quot;Michele&quot;,&quot;parse-names&quot;:false,&quot;dropping-particle&quot;:&quot;&quot;,&quot;non-dropping-particle&quot;:&quot;&quot;},{&quot;family&quot;:&quot;Montorsi&quot;,&quot;given&quot;:&quot;Monia&quot;,&quot;parse-names&quot;:false,&quot;dropping-particle&quot;:&quot;&quot;,&quot;non-dropping-particle&quot;:&quot;&quot;}],&quot;container-title&quot;:&quot;Polymers 2022, Vol. 14, Page 620&quot;,&quot;accessed&quot;:{&quot;date-parts&quot;:[[2023,3,13]]},&quot;DOI&quot;:&quot;10.3390/POLYM14030620&quot;,&quot;ISSN&quot;:&quot;2073-4360&quot;,&quot;URL&quot;:&quot;https://www.mdpi.com/2073-4360/14/3/620/htm&quot;,&quot;issued&quot;:{&quot;date-parts&quot;:[[2022,2,5]]},&quot;page&quot;:&quot;620&quot;,&quot;abstract&quot;:&quot;The building sector is responsible for a third of the global energy consumption and a quarter of greenhouse gas emissions. Phase change materials (PCMs) have shown high potential for latent thermal energy storage (LTES) through their integration in building materials, with the aim of enhancing the efficient use of energy. Although research on PCMs began decades ago, this technology is still far from being widespread. This work analyses the main contributions to the employment of PCMs in the building sector, to better understand the motivations behind the restricted employment of PCM-based LTES technologies. The main research and review studies are critically discussed, focusing on: strategies used to regulate indoor thermal conditions, the variation of mechanical properties in PCMs-based mortars and cements, and applications with ground-coupled heat pumps. The employment of materials obtained from wastes and natural sources was also taken in account as a possible key to developing composite materials with good performance and sustainability at the same time. As a result, the integration of PCMs in LTES is still in its early stages, but reveals high potential for employment in the building sector, thanks to the continuous design improvement and optimization driven by high-performance materials and a new way of coupling with tailored envelopes.&quot;,&quot;publisher&quot;:&quot;Multidisciplinary Digital Publishing Institute&quot;,&quot;issue&quot;:&quot;3&quot;,&quot;volume&quot;:&quot;14&quot;,&quot;container-title-short&quot;:&quot;&quot;},&quot;isTemporary&quot;:false},{&quot;id&quot;:&quot;951055c1-d774-366b-a465-8d99d35d0ec1&quot;,&quot;itemData&quot;:{&quot;type&quot;:&quot;article-journal&quot;,&quot;id&quot;:&quot;951055c1-d774-366b-a465-8d99d35d0ec1&quot;,&quot;title&quot;:&quot;Thermal energy storage in buildings: opportunities and challenges&quot;,&quot;author&quot;:[{&quot;family&quot;:&quot;Deka&quot;,&quot;given&quot;:&quot;Priyam&quot;,&quot;parse-names&quot;:false,&quot;dropping-particle&quot;:&quot;&quot;,&quot;non-dropping-particle&quot;:&quot;&quot;},{&quot;family&quot;:&quot;Szlęk&quot;,&quot;given&quot;:&quot;Andrzej&quot;,&quot;parse-names&quot;:false,&quot;dropping-particle&quot;:&quot;&quot;,&quot;non-dropping-particle&quot;:&quot;&quot;},{&quot;family&quot;:&quot;Deka&quot;,&quot;given&quot;:&quot;P&quot;,&quot;parse-names&quot;:false,&quot;dropping-particle&quot;:&quot;&quot;,&quot;non-dropping-particle&quot;:&quot;&quot;},{&quot;family&quot;:&quot;Szlęk&quot;,&quot;given&quot;:&quot;A&quot;,&quot;parse-names&quot;:false,&quot;dropping-particle&quot;:&quot;&quot;,&quot;non-dropping-particle&quot;:&quot;&quot;}],&quot;container-title&quot;:&quot;journals.pan.pl&quot;,&quot;accessed&quot;:{&quot;date-parts&quot;:[[2023,3,13]]},&quot;DOI&quot;:&quot;10.24425/ather.2022.144405&quot;,&quot;URL&quot;:&quot;https://journals.pan.pl/Content/126300/PDF/art02_int.pdf&quot;,&quot;issued&quot;:{&quot;date-parts&quot;:[[2022]]},&quot;page&quot;:&quot;21-61&quot;,&quot;abstract&quot;:&quot;The energy sector is a majorarea that is responsible for the country development. Almost 40% of the total energy requirement of an EU country is consumed by the building sector and 60% of which is only used for heating and cooling requirements. This is a prime concern as fossil fuel stocks are depleting and global warming is rising. This is where thermal energy storage can play a major role and reduce the dependence on the use of fossil fuels for energy requirements (heating and cooling) of the building sector. Thermal energy storage refers to the technology which is related to the transfer and storage of heat energy predominantly from solar radiation, alternatively to the transfer and storage of cold from the environment to maintain a comfortable temperature for the inhabitants in the buildings by providing cold in the summer and heat in the winter. This work is an extensive study on the use of thermal energy storage in buildings. It discusses different methods of implementing thermal energy storage into buildings, specifically the use of phase change materials, and also highlights the challenges and opportunities related to implementing this technology. Moreover, this work explains the principles of different types and methods involved in thermal energy storage.&quot;,&quot;issue&quot;:&quot;4&quot;,&quot;volume&quot;:&quot;43&quot;,&quot;container-title-short&quot;:&quot;&quot;},&quot;isTemporary&quot;:false},{&quot;id&quot;:&quot;53e660ce-5e68-307f-8981-01d99f052903&quot;,&quot;itemData&quot;:{&quot;type&quot;:&quot;article-journal&quot;,&quot;id&quot;:&quot;53e660ce-5e68-307f-8981-01d99f052903&quot;,&quot;title&quot;:&quot;Experimental performance analysis of a dual source heat pump integrated with thermal energy storage&quot;,&quot;author&quot;:[{&quot;family&quot;:&quot;Wang&quot;,&quot;given&quot;:&quot;Lingshi&quot;,&quot;parse-names&quot;:false,&quot;dropping-particle&quot;:&quot;&quot;,&quot;non-dropping-particle&quot;:&quot;&quot;},{&quot;family&quot;:&quot;Liu&quot;,&quot;given&quot;:&quot;Xiaobing&quot;,&quot;parse-names&quot;:false,&quot;dropping-particle&quot;:&quot;&quot;,&quot;non-dropping-particle&quot;:&quot;&quot;},{&quot;family&quot;:&quot;Shen&quot;,&quot;given&quot;:&quot;Bo&quot;,&quot;parse-names&quot;:false,&quot;dropping-particle&quot;:&quot;&quot;,&quot;non-dropping-particle&quot;:&quot;&quot;},{&quot;family&quot;:&quot;Liu&quot;,&quot;given&quot;:&quot;Xiaoli&quot;,&quot;parse-names&quot;:false,&quot;dropping-particle&quot;:&quot;&quot;,&quot;non-dropping-particle&quot;:&quot;&quot;},{&quot;family&quot;:&quot;Gehl&quot;,&quot;given&quot;:&quot;Anthony&quot;,&quot;parse-names&quot;:false,&quot;dropping-particle&quot;:&quot;&quot;,&quot;non-dropping-particle&quot;:&quot;&quot;},{&quot;family&quot;:&quot;Shi&quot;,&quot;given&quot;:&quot;Liang&quot;,&quot;parse-names&quot;:false,&quot;dropping-particle&quot;:&quot;&quot;,&quot;non-dropping-particle&quot;:&quot;&quot;},{&quot;family&quot;:&quot;Qu&quot;,&quot;given&quot;:&quot;Ming&quot;,&quot;parse-names&quot;:false,&quot;dropping-particle&quot;:&quot;&quot;,&quot;non-dropping-particle&quot;:&quot;&quot;}],&quot;accessed&quot;:{&quot;date-parts&quot;:[[2023,3,13]]},&quot;DOI&quot;:&quot;10.22488/OKSTATE.22.000036&quot;,&quot;URL&quot;:&quot;https://shareok.org/handle/11244/336851&quot;,&quot;issued&quot;:{&quot;date-parts&quot;:[[2022,12,4]]},&quot;abstract&quot;:&quot;To mitigate disturbances to the electric grid resulting from the growing penetration of intermittent and decentralized renewable generation, a dual-source (air source and ground source) heat pump (DSHP) integrated with thermal energy storage (TES) was developed. The DSHP can use either ambient air or the shallow subsurface of the ground to provide space heating or space cooling to the building as the conventional heat pump and produce hot/cold water for charging TES. Using dual sources (air and ground) can reduce the required size of the expensive ground heat exchangers while retaining high energy efficiency. During the off-peak period, the DSHP cools/heats the TES with low-cost electricity or overproduced renewable power. The stored cooling/heating energy in the TES is released during peak hours of the electric grid to meet the thermal demands of the building without consuming electricity to run the DSHP. A 2-ton (7 kW) prototype DSHP was developed and integrated with a 50-gallon (189 L) TES tank filled with a phase change material. Field tests were conducted to characterize the performance of the integrated system operating in various operation modes.&quot;,&quot;publisher&quot;:&quot;International Ground Source Heat Pump Association&quot;,&quot;container-title-short&quot;:&quot;&quot;},&quot;isTemporary&quot;:false},{&quot;id&quot;:&quot;958bd170-6c73-3a9c-94c8-2ea4b60d027f&quot;,&quot;itemData&quot;:{&quot;type&quot;:&quot;article-journal&quot;,&quot;id&quot;:&quot;958bd170-6c73-3a9c-94c8-2ea4b60d027f&quot;,&quot;title&quot;:&quot;Performance analysis of novel thermal storage integrated heat pump system in a residential building at the hot climate for demand flexibility&quot;,&quot;author&quot;:[{&quot;family&quot;:&quot;Shi&quot;,&quot;given&quot;:&quot;L&quot;,&quot;parse-names&quot;:false,&quot;dropping-particle&quot;:&quot;&quot;,&quot;non-dropping-particle&quot;:&quot;&quot;},{&quot;family&quot;:&quot;Liu&quot;,&quot;given&quot;:&quot;X&quot;,&quot;parse-names&quot;:false,&quot;dropping-particle&quot;:&quot;&quot;,&quot;non-dropping-particle&quot;:&quot;&quot;},{&quot;family&quot;:&quot;Qu&quot;,&quot;given&quot;:&quot;M&quot;,&quot;parse-names&quot;:false,&quot;dropping-particle&quot;:&quot;&quot;,&quot;non-dropping-particle&quot;:&quot;&quot;},{&quot;family&quot;:&quot;Shen&quot;,&quot;given&quot;:&quot;B&quot;,&quot;parse-names&quot;:false,&quot;dropping-particle&quot;:&quot;&quot;,&quot;non-dropping-particle&quot;:&quot;&quot;}],&quot;accessed&quot;:{&quot;date-parts&quot;:[[2023,3,13]]},&quot;URL&quot;:&quot;https://www.osti.gov/biblio/1877462&quot;,&quot;issued&quot;:{&quot;date-parts&quot;:[[2022]]},&quot;container-title-short&quot;:&quot;&quot;},&quot;isTemporary&quot;:false}]},{&quot;citationID&quot;:&quot;MENDELEY_CITATION_ca8bb013-be15-46e2-a119-19794187ebdd&quot;,&quot;properties&quot;:{&quot;noteIndex&quot;:0},&quot;isEdited&quot;:false,&quot;manualOverride&quot;:{&quot;isManuallyOverridden&quot;:false,&quot;citeprocText&quot;:&quot;[17]–[19]&quot;,&quot;manualOverrideText&quot;:&quot;&quot;},&quot;citationTag&quot;:&quot;MENDELEY_CITATION_v3_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&quot;,&quot;citationItems&quot;:[{&quot;id&quot;:&quot;c6642f1d-1992-36dd-bbb7-42ecc533bd36&quot;,&quot;itemData&quot;:{&quot;type&quot;:&quot;article-journal&quot;,&quot;id&quot;:&quot;c6642f1d-1992-36dd-bbb7-42ecc533bd36&quot;,&quot;title&quot;:&quot;Simulation and experiment of a photovoltaic—air source heat pump system with thermal energy storage for heating and domestic hot water supply&quot;,&quot;author&quot;:[{&quot;family&quot;:&quot;Da&quot;,&quot;given&quot;:&quot;Junyu&quot;,&quot;parse-names&quot;:false,&quot;dropping-particle&quot;:&quot;&quot;,&quot;non-dropping-particle&quot;:&quot;&quot;},{&quot;family&quot;:&quot;Li&quot;,&quot;given&quot;:&quot;Ming&quot;,&quot;parse-names&quot;:false,&quot;dropping-particle&quot;:&quot;&quot;,&quot;non-dropping-particle&quot;:&quot;&quot;},{&quot;family&quot;:&quot;Li&quot;,&quot;given&quot;:&quot;Guoliang&quot;,&quot;parse-names&quot;:false,&quot;dropping-particle&quot;:&quot;&quot;,&quot;non-dropping-particle&quot;:&quot;&quot;},{&quot;family&quot;:&quot;Wang&quot;,&quot;given&quot;:&quot;Yunfeng&quot;,&quot;parse-names&quot;:false,&quot;dropping-particle&quot;:&quot;&quot;,&quot;non-dropping-particle&quot;:&quot;&quot;},{&quot;family&quot;:&quot;Zhang&quot;,&quot;given&quot;:&quot;Ying&quot;,&quot;parse-names&quot;:false,&quot;dropping-particle&quot;:&quot;&quot;,&quot;non-dropping-particle&quot;:&quot;&quot;}],&quot;container-title&quot;:&quot;Building Simulation&quot;,&quot;container-title-short&quot;:&quot;Build Simul&quot;,&quot;accessed&quot;:{&quot;date-parts&quot;:[[2023,3,13]]},&quot;DOI&quot;:&quot;10.1007/S12273-022-0960-6/METRICS&quot;,&quot;ISSN&quot;:&quot;19968744&quot;,&quot;URL&quot;:&quot;https://link.springer.com/article/10.1007/s12273-022-0960-6&quot;,&quot;issued&quot;:{&quot;date-parts&quot;:[[2023,1,19]]},&quot;page&quot;:&quot;1-17&quot;,&quot;abstract&quot;:&quot;For China, the development of low-energy buildings is one of the necessary routes for achieving carbon neutrality. Combining photovoltaic (PV) with air source heat pump (ASHP) yields a great potential in providing heating and domestic hot water (DHW) supply in non-central heating areas. However, the diurnal and seasonal inconsistencies between solar availability and building heat load can severely affect the efficacy of solar energy systems. This study creates and numerically simulates a PV-ASHP system with thermal energy storage (TES) in transient system simulation software, TRNSYS. Experimental studies are conducted to validate the simulation model. The system’s yearly operational characteristics are simulated to reveal the energy conversion relationship between the system’s thermoelectric storage and heating and DHW demand. The results show that the synergy between heating and DHW simultaneously improves the direct utilization of solar energy compared to single heating. The yearly self-consumption and self-satisfaction rates of PV and the COP of the ASHP increase by 131.25%, 10.53% and 9.56%, respectively. Solar energy contributes 55.54% to the system, with a PV capacity of 82 W per square meter of building area. This study provides fresh approaches to developing flexible building-integrated PV-ASHP technologies and balance of the energy exchange among the PV, building load and TES.&quot;,&quot;publisher&quot;:&quot;Tsinghua University&quot;},&quot;isTemporary&quot;:false},{&quot;id&quot;:&quot;812787b1-871e-377d-acd9-63cd5a23fd63&quot;,&quot;itemData&quot;:{&quot;type&quot;:&quot;article-journal&quot;,&quot;id&quot;:&quot;812787b1-871e-377d-acd9-63cd5a23fd63&quot;,&quot;title&quot;:&quot;Energy-saving potential of compression heat pump using thermal energy storage of phase change materials for cooling and heating applications&quot;,&quot;author&quot;:[{&quot;family&quot;:&quot;Gado&quot;,&quot;given&quot;:&quot;Mohamed G.&quot;,&quot;parse-names&quot;:false,&quot;dropping-particle&quot;:&quot;&quot;,&quot;non-dropping-particle&quot;:&quot;&quot;},{&quot;family&quot;:&quot;Hassan&quot;,&quot;given&quot;:&quot;Hamdy&quot;,&quot;parse-names&quot;:false,&quot;dropping-particle&quot;:&quot;&quot;,&quot;non-dropping-particle&quot;:&quot;&quot;}],&quot;container-title&quot;:&quot;Energy&quot;,&quot;accessed&quot;:{&quot;date-parts&quot;:[[2023,3,13]]},&quot;DOI&quot;:&quot;10.1016/J.ENERGY.2022.126046&quot;,&quot;ISSN&quot;:&quot;0360-5442&quot;,&quot;issued&quot;:{&quot;date-parts&quot;:[[2023,1,15]]},&quot;page&quot;:&quot;126046&quot;,&quot;abstract&quot;:&quot;This study highlights the PCM potential application with heat pump (HP) throughout the year under Egypt's climatic conditions. In summer, the stored cooling energy at night is used inside the hot space to reduce the HP cooling load during the daytime. However, in winter, the hot storage energy inside the PCM during the daytime reduces the HP heating load at night. RT 18 HC of 17–19 °C phase change temperature is employed in building space for summer and winter, respectively. Mathematical modeling of PCM-based HP system is developed using MATLAB-Simulink and validated with literature. During summer, results demonstrate that PCM-based HP, under forced convection, significantly attains 4.6% electricity saving compared to HP without PCM. Increasing outdoor temperature from 35 to 40 °C dwindles the average cooling capacity and COP from 2.8 kW and 12 to 2.6 kW and 8, respectively. There is a remarkable distinction when adopting natural convection over PCM platers rather than forced convection counterpart, highlighting 8.6% electricity saving, at 35 °C ambient temperature. In winter, incorporating the same PCM inside the conditioned room reduces the energy-saving potential by 1.4%, under natural convection. PCM-based HP attains a substantial payback period of 7.9 years and carbon dioxide mitigation of 7.5 kg/year.&quot;,&quot;publisher&quot;:&quot;Pergamon&quot;,&quot;volume&quot;:&quot;263&quot;,&quot;container-title-short&quot;:&quot;&quot;},&quot;isTemporary&quot;:false},{&quot;id&quot;:&quot;a6ff469d-34cf-3b95-a793-34d82207cff6&quot;,&quot;itemData&quot;:{&quot;type&quot;:&quot;article-journal&quot;,&quot;id&quot;:&quot;a6ff469d-34cf-3b95-a793-34d82207cff6&quot;,&quot;title&quot;:&quot;A Framework for Analyzing Widespread Grid Intervening Technologies: A Case Study of Heat Pump-Integrated Thermal Energy Storage Systems in Buildings&quot;,&quot;author&quot;:[{&quot;family&quot;:&quot;Hirschey&quot;,&quot;given&quot;:&quot;J&quot;,&quot;parse-names&quot;:false,&quot;dropping-particle&quot;:&quot;&quot;,&quot;non-dropping-particle&quot;:&quot;&quot;},{&quot;family&quot;:&quot;Simmons&quot;,&quot;given&quot;:&quot;R&quot;,&quot;parse-names&quot;:false,&quot;dropping-particle&quot;:&quot;&quot;,&quot;non-dropping-particle&quot;:&quot;&quot;},{&quot;family&quot;:&quot;Laclair&quot;,&quot;given&quot;:&quot;T&quot;,&quot;parse-names&quot;:false,&quot;dropping-particle&quot;:&quot;&quot;,&quot;non-dropping-particle&quot;:&quot;&quot;},{&quot;family&quot;:&quot;Gluesenkamp&quot;,&quot;given&quot;:&quot;K&quot;,&quot;parse-names&quot;:false,&quot;dropping-particle&quot;:&quot;&quot;,&quot;non-dropping-particle&quot;:&quot;&quot;}],&quot;accessed&quot;:{&quot;date-parts&quot;:[[2023,3,13]]},&quot;URL&quot;:&quot;https://www.osti.gov/servlets/purl/1876256&quot;,&quot;issued&quot;:{&quot;date-parts&quot;:[[2022]]},&quot;container-title-short&quot;:&quot;&quot;},&quot;isTemporary&quot;:false}]},{&quot;citationID&quot;:&quot;MENDELEY_CITATION_ab65d242-786c-408e-8659-a96ed5e289cf&quot;,&quot;properties&quot;:{&quot;noteIndex&quot;:0},&quot;isEdited&quot;:false,&quot;manualOverride&quot;:{&quot;isManuallyOverridden&quot;:false,&quot;citeprocText&quot;:&quot;[20]–[22]&quot;,&quot;manualOverrideText&quot;:&quot;&quot;},&quot;citationTag&quot;:&quot;MENDELEY_CITATION_v3_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&quot;,&quot;citationItems&quot;:[{&quot;id&quot;:&quot;a4f1ad57-419a-3b28-8f88-b4a4e83a691d&quot;,&quot;itemData&quot;:{&quot;type&quot;:&quot;article-journal&quot;,&quot;id&quot;:&quot;a4f1ad57-419a-3b28-8f88-b4a4e83a691d&quot;,&quot;title&quot;:&quot;PCM Material Selection For Heat Pump Integrated With Thermal Energy Storage For Demand Response in Residential Buildings&quot;,&quot;author&quot;:[{&quot;family&quot;:&quot;Sultan&quot;,&quot;given&quot;:&quot;Sara&quot;,&quot;parse-names&quot;:false,&quot;dropping-particle&quot;:&quot;&quot;,&quot;non-dropping-particle&quot;:&quot;&quot;},{&quot;family&quot;:&quot;Turnaoglu&quot;,&quot;given&quot;:&quot;Tugba&quot;,&quot;parse-names&quot;:false,&quot;dropping-particle&quot;:&quot;&quot;,&quot;non-dropping-particle&quot;:&quot;&quot;},{&quot;family&quot;:&quot;Akamo&quot;,&quot;given&quot;:&quot;Damilola&quot;,&quot;parse-names&quot;:false,&quot;dropping-particle&quot;:&quot;&quot;,&quot;non-dropping-particle&quot;:&quot;&quot;},{&quot;family&quot;:&quot;Hirschey&quot;,&quot;given&quot;:&quot;Jason&quot;,&quot;parse-names&quot;:false,&quot;dropping-particle&quot;:&quot;&quot;,&quot;non-dropping-particle&quot;:&quot;&quot;},{&quot;family&quot;:&quot;Laclair&quot;,&quot;given&quot;:&quot;Tim&quot;,&quot;parse-names&quot;:false,&quot;dropping-particle&quot;:&quot;&quot;,&quot;non-dropping-particle&quot;:&quot;&quot;},{&quot;family&quot;:&quot;Liu&quot;,&quot;given&quot;:&quot;Xiaobing&quot;,&quot;parse-names&quot;:false,&quot;dropping-particle&quot;:&quot;&quot;,&quot;non-dropping-particle&quot;:&quot;&quot;},{&quot;family&quot;:&quot;Gluesenkamp&quot;,&quot;given&quot;:&quot;Kyle R.&quot;,&quot;parse-names&quot;:false,&quot;dropping-particle&quot;:&quot;&quot;,&quot;non-dropping-particle&quot;:&quot;&quot;}],&quot;container-title&quot;:&quot;International High Performance Buildings Conference&quot;,&quot;accessed&quot;:{&quot;date-parts&quot;:[[2023,1,19]]},&quot;URL&quot;:&quot;https://docs.lib.purdue.edu/ihpbc/427&quot;,&quot;issued&quot;:{&quot;date-parts&quot;:[[2022,7,14]]},&quot;container-title-short&quot;:&quot;&quot;},&quot;isTemporary&quot;:false},{&quot;id&quot;:&quot;897e1048-c2d5-34cf-9f73-49e0dc5f9a26&quot;,&quot;itemData&quot;:{&quot;type&quot;:&quot;article-journal&quot;,&quot;id&quot;:&quot;897e1048-c2d5-34cf-9f73-49e0dc5f9a26&quot;,&quot;title&quot;:&quot;Cold Climate Integrated Heat Pump&quot;,&quot;author&quot;:[{&quot;family&quot;:&quot;Shen&quot;,&quot;given&quot;:&quot;B&quot;,&quot;parse-names&quot;:false,&quot;dropping-particle&quot;:&quot;&quot;,&quot;non-dropping-particle&quot;:&quot;&quot;},{&quot;family&quot;:&quot;Munk&quot;,&quot;given&quot;:&quot;J&quot;,&quot;parse-names&quot;:false,&quot;dropping-particle&quot;:&quot;&quot;,&quot;non-dropping-particle&quot;:&quot;&quot;},{&quot;family&quot;:&quot;Gluesenkamp&quot;,&quot;given&quot;:&quot;K&quot;,&quot;parse-names&quot;:false,&quot;dropping-particle&quot;:&quot;&quot;,&quot;non-dropping-particle&quot;:&quot;&quot;}],&quot;accessed&quot;:{&quot;date-parts&quot;:[[2023,3,13]]},&quot;URL&quot;:&quot;https://www.osti.gov/biblio/1879942&quot;,&quot;issued&quot;:{&quot;date-parts&quot;:[[2022]]},&quot;container-title-short&quot;:&quot;&quot;},&quot;isTemporary&quot;:false},{&quot;id&quot;:&quot;df5bf95f-b24d-347b-84e0-f077c637df07&quot;,&quot;itemData&quot;:{&quot;type&quot;:&quot;article-journal&quot;,&quot;id&quot;:&quot;df5bf95f-b24d-347b-84e0-f077c637df07&quot;,&quot;title&quot;:&quot;Implications of Electrifying Residential Space Heating in Cold Climates with Heat Pumps, Envelope Improvements, and Thermal Storage&quot;,&quot;author&quot;:[{&quot;family&quot;:&quot;Mumme&quot;,&quot;given&quot;:&quot;S&quot;,&quot;parse-names&quot;:false,&quot;dropping-particle&quot;:&quot;&quot;,&quot;non-dropping-particle&quot;:&quot;&quot;},{&quot;family&quot;:&quot;Brown&quot;,&quot;given&quot;:&quot;F&quot;,&quot;parse-names&quot;:false,&quot;dropping-particle&quot;:&quot;&quot;,&quot;non-dropping-particle&quot;:&quot;&quot;},{&quot;family&quot;:&quot;Bass&quot;,&quot;given&quot;:&quot;B&quot;,&quot;parse-names&quot;:false,&quot;dropping-particle&quot;:&quot;&quot;,&quot;non-dropping-particle&quot;:&quot;&quot;},{&quot;family&quot;:&quot;Shen&quot;,&quot;given&quot;:&quot;B&quot;,&quot;parse-names&quot;:false,&quot;dropping-particle&quot;:&quot;&quot;,&quot;non-dropping-particle&quot;:&quot;&quot;},{&quot;family&quot;:&quot;Shrestha&quot;,&quot;given&quot;:&quot;S&quot;,&quot;parse-names&quot;:false,&quot;dropping-particle&quot;:&quot;&quot;,&quot;non-dropping-particle&quot;:&quot;&quot;}],&quot;accessed&quot;:{&quot;date-parts&quot;:[[2023,3,13]]},&quot;URL&quot;:&quot;https://www.osti.gov/servlets/purl/1885299&quot;,&quot;issued&quot;:{&quot;date-parts&quot;:[[2022]]},&quot;container-title-short&quot;:&quot;&quot;},&quot;isTemporary&quot;:false}]},{&quot;citationID&quot;:&quot;MENDELEY_CITATION_4c17bede-5d75-462f-815b-743d813dd77c&quot;,&quot;properties&quot;:{&quot;noteIndex&quot;:0},&quot;isEdited&quot;:false,&quot;manualOverride&quot;:{&quot;isManuallyOverridden&quot;:false,&quot;citeprocText&quot;:&quot;[23], [24]&quot;,&quot;manualOverrideText&quot;:&quot;&quot;},&quot;citationTag&quot;:&quot;MENDELEY_CITATION_v3_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&quot;,&quot;citationItems&quot;:[{&quot;id&quot;:&quot;a99d46fa-950a-3fd3-904d-7caca65d5bdc&quot;,&quot;itemData&quot;:{&quot;type&quot;:&quot;article-magazine&quot;,&quot;id&quot;:&quot;a99d46fa-950a-3fd3-904d-7caca65d5bdc&quot;,&quot;title&quot;:&quot;The State of Art of Heat-Pump integrated Thermal Energy Storage for Demand Response&quot;,&quot;author&quot;:[{&quot;family&quot;:&quot;Sultan&quot;,&quot;given&quot;:&quot;Sara&quot;,&quot;parse-names&quot;:false,&quot;dropping-particle&quot;:&quot;&quot;,&quot;non-dropping-particle&quot;:&quot;&quot;},{&quot;family&quot;:&quot;Gluesenkamp&quot;,&quot;given&quot;:&quot;Kyle R&quot;,&quot;parse-names&quot;:false,&quot;dropping-particle&quot;:&quot;&quot;,&quot;non-dropping-particle&quot;:&quot;&quot;},{&quot;family&quot;:&quot;States&quot;,&quot;given&quot;:&quot;United&quot;,&quot;parse-names&quot;:false,&quot;dropping-particle&quot;:&quot;&quot;,&quot;non-dropping-particle&quot;:&quot;&quot;}],&quot;container-title&quot;:&quot;IEA Heat Pump Technologies Magazine&quot;,&quot;DOI&quot;:&quot;https://doi.org/10.23697/62tr-nt79&quot;,&quot;URL&quot;:&quot;https://heatpumpingtechnologies.org/publications/the-state-of-art-of-heat-pump-integrated-thermal-energy-storage-for-demand-response/&quot;,&quot;issued&quot;:{&quot;date-parts&quot;:[[2021]]},&quot;page&quot;:&quot;27-30&quot;,&quot;issue&quot;:&quot;2&quot;,&quot;volume&quot;:&quot;40&quot;,&quot;container-title-short&quot;:&quot;&quot;},&quot;isTemporary&quot;:false},{&quot;id&quot;:&quot;8a460422-8913-3db6-b81d-bc05be4b7184&quot;,&quot;itemData&quot;:{&quot;type&quot;:&quot;article-journal&quot;,&quot;id&quot;:&quot;8a460422-8913-3db6-b81d-bc05be4b7184&quot;,&quot;title&quot;:&quot;Model Predictive Control for a Grid-interactive Efficiency Thermal-storage-integrated Heat Pump System&quot;,&quot;author&quot;:[{&quot;family&quot;:&quot;Shi&quot;,&quot;given&quot;:&quot;Liang&quot;,&quot;parse-names&quot;:false,&quot;dropping-particle&quot;:&quot;&quot;,&quot;non-dropping-particle&quot;:&quot;&quot;},{&quot;family&quot;:&quot;Qu&quot;,&quot;given&quot;:&quot;Ming&quot;,&quot;parse-names&quot;:false,&quot;dropping-particle&quot;:&quot;&quot;,&quot;non-dropping-particle&quot;:&quot;&quot;},{&quot;family&quot;:&quot;Liu&quot;,&quot;given&quot;:&quot;Xiaobing&quot;,&quot;parse-names&quot;:false,&quot;dropping-particle&quot;:&quot;&quot;,&quot;non-dropping-particle&quot;:&quot;&quot;},{&quot;family&quot;:&quot;Dong&quot;,&quot;given&quot;:&quot;Jin&quot;,&quot;parse-names&quot;:false,&quot;dropping-particle&quot;:&quot;&quot;,&quot;non-dropping-particle&quot;:&quot;&quot;},{&quot;family&quot;:&quot;Cui&quot;,&quot;given&quot;:&quot;Borui&quot;,&quot;parse-names&quot;:false,&quot;dropping-particle&quot;:&quot;&quot;,&quot;non-dropping-particle&quot;:&quot;&quot;},{&quot;family&quot;:&quot;Wang&quot;,&quot;given&quot;:&quot;Lingshi&quot;,&quot;parse-names&quot;:false,&quot;dropping-particle&quot;:&quot;&quot;,&quot;non-dropping-particle&quot;:&quot;&quot;}],&quot;accessed&quot;:{&quot;date-parts&quot;:[[2023,3,13]]},&quot;URL&quot;:&quot;https://docs.lib.purdue.edu/cgi/viewcontent.cgi?article=1414&amp;context=ihpbc&quot;,&quot;issued&quot;:{&quot;date-parts&quot;:[[2022]]},&quot;abstract&quot;:&quot;Building heating and cooling systems can be used to overcome the mismatch between the intermittent supply of renewable power and the fluctuating demand for electricity. A novel underground thermal energy storage integrated with a dual-source heat pump has been proposed to mitigate the mismatch while meeting the thermal demand of buildings efficiently. Conventional thermostat control with heuristic rules cannot provide intelligent decisions to maximize the thermal efficiency and flexibility of the proposed system. Advanced control strategies like model predictive control (MPC) have provided a new paradigm for grid-interactive efficient building operation with the advancement of computation and sensing. This study developed an MPC for the proposed system to provide grid service for Demand Side Management and minimize the operating cost of building owners. A control-oriented dynamic model of the proposed system has been developed. Given an objective function and proper constraints, an optimization problem is formulated to determine the optimal control strategy of the system. Dynamic Programming is adopted to solve the optimization problem. A rule-based control (RBC) is also developed to achieve similar goals. Short-term simulations are conducted to compare the system performance resulting from the two controls. The simulation results indicate that the MPC performs more intelligently than the RBC in charging thermal energy storage and selecting heat pump sources by taking advantage of the predicted cooling demands of the building and the performance of the integrated system. As a result, the MPC could save energy and reduce operating costs compared with the RBC. A case study shows that, for a 3-day operation, the MPC saves 36.9% energy and reduces 38.5% operating cost compared with the RBC.&quot;,&quot;container-title-short&quot;:&quot;&quot;},&quot;isTemporary&quot;:false}]},{&quot;citationID&quot;:&quot;MENDELEY_CITATION_cd8d4ebf-19aa-4d01-bb29-f3aaa067c3e2&quot;,&quot;properties&quot;:{&quot;noteIndex&quot;:0},&quot;isEdited&quot;:false,&quot;manualOverride&quot;:{&quot;isManuallyOverridden&quot;:false,&quot;citeprocText&quot;:&quot;[25]&quot;,&quot;manualOverrideText&quot;:&quot;&quot;},&quot;citationTag&quot;:&quot;MENDELEY_CITATION_v3_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&quot;,&quot;citationItems&quot;:[{&quot;id&quot;:&quot;3f90e572-1a13-37f8-9bb0-111ef256752e&quot;,&quot;itemData&quot;:{&quot;type&quot;:&quot;article-journal&quot;,&quot;id&quot;:&quot;3f90e572-1a13-37f8-9bb0-111ef256752e&quot;,&quot;title&quot;:&quot;Demand Reduction and Energy Saving Potential of Thermal Energy Storage Integrated Heat Pumps&quot;,&quot;author&quot;:[{&quot;family&quot;:&quot;Hirschey&quot;,&quot;given&quot;:&quot;Jason&quot;,&quot;parse-names&quot;:false,&quot;dropping-particle&quot;:&quot;&quot;,&quot;non-dropping-particle&quot;:&quot;&quot;},{&quot;family&quot;:&quot;Li&quot;,&quot;given&quot;:&quot;Zhenning&quot;,&quot;parse-names&quot;:false,&quot;dropping-particle&quot;:&quot;&quot;,&quot;non-dropping-particle&quot;:&quot;&quot;},{&quot;family&quot;:&quot;Gluesenkamp&quot;,&quot;given&quot;:&quot;Kyle R.&quot;,&quot;parse-names&quot;:false,&quot;dropping-particle&quot;:&quot;&quot;,&quot;non-dropping-particle&quot;:&quot;&quot;},{&quot;family&quot;:&quot;LaClair&quot;,&quot;given&quot;:&quot;Tim J.&quot;,&quot;parse-names&quot;:false,&quot;dropping-particle&quot;:&quot;&quot;,&quot;non-dropping-particle&quot;:&quot;&quot;},{&quot;family&quot;:&quot;Graham&quot;,&quot;given&quot;:&quot;Samuel&quot;,&quot;parse-names&quot;:false,&quot;dropping-particle&quot;:&quot;&quot;,&quot;non-dropping-particle&quot;:&quot;&quot;}],&quot;container-title&quot;:&quot;International Journal of Refrigeration&quot;,&quot;accessed&quot;:{&quot;date-parts&quot;:[[2023,3,13]]},&quot;DOI&quot;:&quot;10.1016/J.IJREFRIG.2023.01.026&quot;,&quot;ISSN&quot;:&quot;0140-7007&quot;,&quot;URL&quot;:&quot;https://linkinghub.elsevier.com/retrieve/pii/S0140700723000348&quot;,&quot;issued&quot;:{&quot;date-parts&quot;:[[2023,2,4]]},&quot;publisher&quot;:&quot;Elsevier&quot;,&quot;container-title-short&quot;:&quot;&quot;},&quot;isTemporary&quot;:false}]},{&quot;citationID&quot;:&quot;MENDELEY_CITATION_b298af47-f105-495f-999a-99d99fa2e07c&quot;,&quot;properties&quot;:{&quot;noteIndex&quot;:0},&quot;isEdited&quot;:false,&quot;manualOverride&quot;:{&quot;isManuallyOverridden&quot;:false,&quot;citeprocText&quot;:&quot;[26]–[29]&quot;,&quot;manualOverrideText&quot;:&quot;&quot;},&quot;citationTag&quot;:&quot;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&quot;,&quot;citationItems&quot;:[{&quot;id&quot;:&quot;66dd3e86-c72b-30de-bd18-56f509c9642b&quot;,&quot;itemData&quot;:{&quot;type&quot;:&quot;article-journal&quot;,&quot;id&quot;:&quot;66dd3e86-c72b-30de-bd18-56f509c9642b&quot;,&quot;title&quot;:&quot;Demand response with active phase change material based thermal energy storage in buildings&quot;,&quot;author&quot;:[{&quot;family&quot;:&quot;Nunna&quot;,&quot;given&quot;:&quot;Aneesh Chandra&quot;,&quot;parse-names&quot;:false,&quot;dropping-particle&quot;:&quot;&quot;,&quot;non-dropping-particle&quot;:&quot;&quot;},{&quot;family&quot;:&quot;Zong&quot;,&quot;given&quot;:&quot;Yi&quot;,&quot;parse-names&quot;:false,&quot;dropping-particle&quot;:&quot;&quot;,&quot;non-dropping-particle&quot;:&quot;&quot;},{&quot;family&quot;:&quot;Georges&quot;,&quot;given&quot;:&quot;Laurent&quot;,&quot;parse-names&quot;:false,&quot;dropping-particle&quot;:&quot;&quot;,&quot;non-dropping-particle&quot;:&quot;&quot;},{&quot;family&quot;:&quot;You&quot;,&quot;given&quot;:&quot;Shi&quot;,&quot;parse-names&quot;:false,&quot;dropping-particle&quot;:&quot;&quot;,&quot;non-dropping-particle&quot;:&quot;&quot;}],&quot;container-title&quot;:&quot;Energy Reports&quot;,&quot;accessed&quot;:{&quot;date-parts&quot;:[[2023,3,13]]},&quot;DOI&quot;:&quot;10.1016/J.EGYR.2022.12.131&quot;,&quot;ISSN&quot;:&quot;2352-4847&quot;,&quot;issued&quot;:{&quot;date-parts&quot;:[[2023,5,1]]},&quot;page&quot;:&quot;227-235&quot;,&quot;abstract&quot;:&quot;A large potential to shift the electricity consumption to adapt to the stochastic renewable electricity generation is identified through the utilisation of a combination of Heat Pumps (HP) and local Thermal Energy Storage (TES) devices in building heating systems. In this paper, a building heating system coupled with an active Phase Change Material (PCM) TES device and a HP is simulated to characterise its potential for Demand Response (DR) applications. A control-oriented numerical model for the PCM TES is developed and previously validated numerical models of the building, HP and hot water radiators are integrated to simulate the dynamics of the coupled building heating system. A Genetic Algorithm (GA) based control strategy is designed to optimise the building heating energy consumption and operational cost with respect to time-varying electricity price signals. The developed control strategy is successfully implemented to utilise the TES capability of the PCM and the thermal inertia of the building to intelligently shift the electrical load of the HP to low price periods, while satisfying the specified indoor comfort requirements. In comparison to a reference case utilising a sensible TES, cost savings and consumption reductions of more than 40% and 30%, respectively, are attained with the active PCM TES. Simulation results indicate that utilising an active PCM TES over a sensible TES offers significant advantages for DR applications in building heating systems in terms of load shift flexibility, energy costs and consumption.&quot;,&quot;publisher&quot;:&quot;Elsevier&quot;,&quot;volume&quot;:&quot;9&quot;,&quot;container-title-short&quot;:&quot;&quot;},&quot;isTemporary&quot;:false},{&quot;id&quot;:&quot;443cbfb1-4b64-321d-b42d-63d0af169841&quot;,&quot;itemData&quot;:{&quot;type&quot;:&quot;article-journal&quot;,&quot;id&quot;:&quot;443cbfb1-4b64-321d-b42d-63d0af169841&quot;,&quot;title&quot;:&quot;Energy and economic performance of the heat pump integrated with latent heat thermal energy storage for peak demand shifting&quot;,&quot;author&quot;:[{&quot;family&quot;:&quot;Jin&quot;,&quot;given&quot;:&quot;Xin&quot;,&quot;parse-names&quot;:false,&quot;dropping-particle&quot;:&quot;&quot;,&quot;non-dropping-particle&quot;:&quot;&quot;},{&quot;family&quot;:&quot;Zheng&quot;,&quot;given&quot;:&quot;Siqian&quot;,&quot;parse-names&quot;:false,&quot;dropping-particle&quot;:&quot;&quot;,&quot;non-dropping-particle&quot;:&quot;&quot;},{&quot;family&quot;:&quot;Huang&quot;,&quot;given&quot;:&quot;Gongsheng&quot;,&quot;parse-names&quot;:false,&quot;dropping-particle&quot;:&quot;&quot;,&quot;non-dropping-particle&quot;:&quot;&quot;},{&quot;family&quot;:&quot;CK Lai&quot;,&quot;given&quot;:&quot;Alvin&quot;,&quot;parse-names&quot;:false,&quot;dropping-particle&quot;:&quot;&quot;,&quot;non-dropping-particle&quot;:&quot;&quot;}],&quot;container-title&quot;:&quot;Applied Thermal Engineering&quot;,&quot;container-title-short&quot;:&quot;Appl Therm Eng&quot;,&quot;accessed&quot;:{&quot;date-parts&quot;:[[2023,3,13]]},&quot;DOI&quot;:&quot;10.1016/J.APPLTHERMALENG.2022.119337&quot;,&quot;ISSN&quot;:&quot;1359-4311&quot;,&quot;issued&quot;:{&quot;date-parts&quot;:[[2023,1,5]]},&quot;page&quot;:&quot;119337&quot;,&quot;abstract&quot;:&quot;Air-source heat pumps have become a prominent alternative to conventional heaters because of their high efficiency and environmentally friendly features. Coupling the latent heat storage technique with the heat pump allows the operation flexibility to be enhanced, further assisting in demand-side management. This study presents a detailed assessment of the heat pump latent heat storage system for hot water supply from the perspective of storage medium matching and operation strategy evaluation. A simulation platform was developed to demonstrate the application potential of the system, and then a case study for a subtropical residence was formulated. The results revealed that the phase-change material with a melting range of 40–50 °C performed better regarding energy efficiency and cost saving. The unit with a 75 % storage medium operated at the setpoint of 57.5–60 °C noticeably shifted the loads to off-peak periods in wintertime. The energy and economic performance of the system under different operation strategies was compared. Night-heating strategy excelled in flattening peak loads and reducing running costs, while the enhanced-efficiency strategy outperformed in energy conservation. Compared with electric heaters, the system exhibited an average payback period of 7.73 years, achieved a cost saving of HKD 1071.1/year and minimised carbon emissions by 52.5 %.&quot;,&quot;publisher&quot;:&quot;Pergamon&quot;,&quot;volume&quot;:&quot;218&quot;},&quot;isTemporary&quot;:false},{&quot;id&quot;:&quot;47e4e503-7695-3714-99a3-198236a52243&quot;,&quot;itemData&quot;:{&quot;type&quot;:&quot;article-journal&quot;,&quot;id&quot;:&quot;47e4e503-7695-3714-99a3-198236a52243&quot;,&quot;title&quot;:&quot;Model-based predictive control of multi-stage air-source heat pumps integrated with phase change material-embedded ceilings&quot;,&quot;author&quot;:[{&quot;family&quot;:&quot;Hlanze&quot;,&quot;given&quot;:&quot;Philani&quot;,&quot;parse-names&quot;:false,&quot;dropping-particle&quot;:&quot;&quot;,&quot;non-dropping-particle&quot;:&quot;&quot;},{&quot;family&quot;:&quot;Jiang&quot;,&quot;given&quot;:&quot;Zhimin&quot;,&quot;parse-names&quot;:false,&quot;dropping-particle&quot;:&quot;&quot;,&quot;non-dropping-particle&quot;:&quot;&quot;},{&quot;family&quot;:&quot;Cai&quot;,&quot;given&quot;:&quot;Jie&quot;,&quot;parse-names&quot;:false,&quot;dropping-particle&quot;:&quot;&quot;,&quot;non-dropping-particle&quot;:&quot;&quot;},{&quot;family&quot;:&quot;Shen&quot;,&quot;given&quot;:&quot;Bo&quot;,&quot;parse-names&quot;:false,&quot;dropping-particle&quot;:&quot;&quot;,&quot;non-dropping-particle&quot;:&quot;&quot;}],&quot;container-title&quot;:&quot;Applied Energy&quot;,&quot;container-title-short&quot;:&quot;Appl Energy&quot;,&quot;accessed&quot;:{&quot;date-parts&quot;:[[2023,3,13]]},&quot;DOI&quot;:&quot;10.1016/J.APENERGY.2023.120796&quot;,&quot;ISSN&quot;:&quot;0306-2619&quot;,&quot;issued&quot;:{&quot;date-parts&quot;:[[2023,4,15]]},&quot;page&quot;:&quot;120796&quot;,&quot;abstract&quot;:&quot;This paper presents a model-based predictive control strategy to optimize the operations of phase change material (PCM) ceiling panels coupled with a multi-stage air-source heat pump. A three-stage prototype heat pump unit has been built and tested in the laboratory, with the low and medium stages designed for space heating/cooling and the high compression stage dedicated to charging of the PCM energy storage. To facilitate optimal control of the integrated heat pump system, a mixed-integer linear programming formulation is derived through linearization of the heat pump model and a mixed-integer reformulation of the PCM dynamic governing equations. A predictive control strategy is synthesized based on the resultant control formulation and implemented in a receding horizon scheme that optimizes the PCM charging and the zone temperature schedules simultaneously to leverage both the passive (associated with building construction materials) and active (PCM) storage capacities of a building. The control strategy has been tested along with three benchmarking control scenarios using a co-simulation platform for a prototypical detached house in Atlanta, GA. Test results showed that application of the proposed control strategy to the PCM-integrated heat pump could provide 27.1% electricity cost savings while a fine tuned rule-based control strategy could achieve cost savings of 20.4%, compared to a baseline case without PCM storage, under a time-of-use rate tariff.&quot;,&quot;publisher&quot;:&quot;Elsevier&quot;,&quot;volume&quot;:&quot;336&quot;},&quot;isTemporary&quot;:false},{&quot;id&quot;:&quot;13a648b1-c2b3-3b4b-b11f-cf5f92fc0ea2&quot;,&quot;itemData&quot;:{&quot;type&quot;:&quot;article-journal&quot;,&quot;id&quot;:&quot;13a648b1-c2b3-3b4b-b11f-cf5f92fc0ea2&quot;,&quot;title&quot;:&quot;Water-Based Thermal Energy Storage for Heating and Air-Conditioning Applications in Residential Buildings: Review and Preliminary Study&quot;,&quot;author&quot;:[{&quot;family&quot;:&quot;Ibrahim Alghamdi Christian Bach Jeffrey D Spitler&quot;,&quot;given&quot;:&quot;Khaled K&quot;,&quot;parse-names&quot;:false,&quot;dropping-particle&quot;:&quot;&quot;,&quot;non-dropping-particle&quot;:&quot;&quot;},{&quot;family&quot;:&quot;Ibrahim&quot;,&quot;given&quot;:&quot;Khaled&quot;,&quot;parse-names&quot;:false,&quot;dropping-particle&quot;:&quot;&quot;,&quot;non-dropping-particle&quot;:&quot;&quot;},{&quot;family&quot;:&quot;Alghamdi&quot;,&quot;given&quot;:&quot;Khaled I&quot;,&quot;parse-names&quot;:false,&quot;dropping-particle&quot;:&quot;&quot;,&quot;non-dropping-particle&quot;:&quot;&quot;},{&quot;family&quot;:&quot;Bach&quot;,&quot;given&quot;:&quot;Christian K&quot;,&quot;parse-names&quot;:false,&quot;dropping-particle&quot;:&quot;&quot;,&quot;non-dropping-particle&quot;:&quot;&quot;},{&quot;family&quot;:&quot;Spitler&quot;,&quot;given&quot;:&quot;Jeffrey D&quot;,&quot;parse-names&quot;:false,&quot;dropping-particle&quot;:&quot;&quot;,&quot;non-dropping-particle&quot;:&quot;&quot;}],&quot;accessed&quot;:{&quot;date-parts&quot;:[[2023,3,13]]},&quot;URL&quot;:&quot;https://docs.lib.purdue.edu/cgi/viewcontent.cgi?article=3344&amp;context=iracc&quot;,&quot;issued&quot;:{&quot;date-parts&quot;:[[2022]]},&quot;abstract&quot;:&quot;Solar photovoltaic (PV) and wind power, the two most popular renewable energy sources, cause temporal imbalances between energy demand and supply, requiring fossil fuel reserve power or costly electric energy storage to prevent grid blackouts. Alternatively, using heating, ventilating, and air­ conditioning systems (HVAC) for converting electric energy and storing it in thermal form when the electricity supply is high while the demand is low can change the end­user demand profile, reducing the required reserve power and/or storage. This paper reviews technology for water­based thermal energy storage (TES) for vapor­compression systems for heating and air conditioning (AC) applications at the residential scale. Also, we screen the potential of water­based TES in shifting HVAC loads for residential buildings. The presented work informs future research needs by providing an overview of available thermal energy storage options and their applications in residential buildings. In addition, the findings of the preliminary study show the potential of water­based TES in shifting loads with a reasonable size compared to the building footprint.&quot;,&quot;container-title-short&quot;:&quot;&quot;},&quot;isTemporary&quot;:false}]},{&quot;citationID&quot;:&quot;MENDELEY_CITATION_88f8a09d-5406-445b-985c-d58c216b13b6&quot;,&quot;properties&quot;:{&quot;noteIndex&quot;:0},&quot;isEdited&quot;:false,&quot;manualOverride&quot;:{&quot;citeprocText&quot;:&quot;[30]–[32]&quot;,&quot;isManuallyOverridden&quot;:false,&quot;manualOverrideText&quot;:&quot;&quot;},&quot;citationTag&quot;:&quot;MENDELEY_CITATION_v3_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&quot;,&quot;citationItems&quot;:[{&quot;id&quot;:&quot;1d9756c6-0466-3270-92ff-2fd1387918d4&quot;,&quot;itemData&quot;:{&quot;DOI&quot;:&quot;10.1177/0957650917754033&quot;,&quot;ISSN&quot;:&quot;0957-6509&quot;,&quot;abstract&quot;:&quot;A significant portion of energy is consumed by the buildings to provide thermal comfort for its occupants. Energy consumed by the conventional cooling machines is expected to increase substantially...&quot;,&quot;author&quot;:[{&quot;dropping-particle&quot;:&quot;&quot;,&quot;family&quot;:&quot;Waqas&quot;,&quot;given&quot;:&quot;Adeel&quot;,&quot;non-dropping-particle&quot;:&quot;&quot;,&quot;parse-names&quot;:false,&quot;suffix&quot;:&quot;&quot;},{&quot;dropping-particle&quot;:&quot;&quot;,&quot;family&quot;:&quot;Ji&quot;,&quot;given&quot;:&quot;Jie&quot;,&quot;non-dropping-particle&quot;:&quot;&quot;,&quot;parse-names&quot;:false,&quot;suffix&quot;:&quot;&quot;},{&quot;dropping-particle&quot;:&quot;&quot;,&quot;family&quot;:&quot;Ali&quot;,&quot;given&quot;:&quot;Majid&quot;,&quot;non-dropping-particle&quot;:&quot;&quot;,&quot;parse-names&quot;:false,&quot;suffix&quot;:&quot;&quot;},{&quot;dropping-particle&quot;:&quot;&quot;,&quot;family&quot;:&quot;Alvi&quot;,&quot;given&quot;:&quot;Jahan Zeb&quot;,&quot;non-dropping-particle&quot;:&quot;&quot;,&quot;parse-names&quot;:false,&quot;suffix&quot;:&quot;&quot;}],&quot;container-title&quot;:&quot;Proceedings of the Institution of Mechanical Engineers, Part A: Journal of Power and Energy&quot;,&quot;id&quot;:&quot;1d9756c6-0466-3270-92ff-2fd1387918d4&quot;,&quot;issue&quot;:&quot;6&quot;,&quot;issued&quot;:{&quot;date-parts&quot;:[[&quot;2018&quot;,&quot;9&quot;]]},&quot;page&quot;:&quot;735-766&quot;,&quot;publisher&quot;:&quot;SAGE PublicationsSage UK: London, England&quot;,&quot;title&quot;:&quot;Effectiveness of the phase change material-based thermal energy storage integrated with the conventional cooling systems of the buildings – A review&quot;,&quot;type&quot;:&quot;article-journal&quot;,&quot;volume&quot;:&quot;232&quot;,&quot;container-title-short&quot;:&quot;&quot;},&quot;uris&quot;:[&quot;http://www.mendeley.com/documents/?uuid=a822bd03-c3f2-4de4-8201-788a342943a8&quot;],&quot;isTemporary&quot;:false,&quot;legacyDesktopId&quot;:&quot;a822bd03-c3f2-4de4-8201-788a342943a8&quot;},{&quot;id&quot;:&quot;86444862-684a-3598-9d3d-e6a3370e8bb2&quot;,&quot;itemData&quot;:{&quot;DOI&quot;:&quot;10.1016/j.enbuild.2007.03.007&quot;,&quot;ISSN&quot;:&quot;03787788&quot;,&quot;abstract&quot;:&quot;The rapidly growing world energy use has already raised concerns over supply difficulties, exhaustion of energy resources and heavy environmental impacts (ozone layer depletion, global warming, climate change, etc.). The global contribution from buildings towards energy consumption, both residential and commercial, has steadily increased reaching figures between 20% and 40% in developed countries, and has exceeded the other major sectors: industrial and transportation. Growth in population, increasing demand for building services and comfort levels, together with the rise in time spent inside buildings, assure the upward trend in energy demand will continue in the future. For this reason, energy efficiency in buildings is today a prime objective for energy policy at regional, national and international levels. Among building services, the growth in HVAC systems energy use is particularly significant (50% of building consumption and 20% of total consumption in the USA). This paper analyses available information concerning energy consumption in buildings, and particularly related to HVAC systems. Many questions arise: Is the necessary information available? Which are the main building types? What end uses should be considered in the breakdown? Comparisons between different countries are presented specially for commercial buildings. The case of offices is analysed in deeper detail. © 2007 Elsevier B.V. All rights reserved.&quot;,&quot;author&quot;:[{&quot;dropping-particle&quot;:&quot;&quot;,&quot;family&quot;:&quot;Pérez-Lombard&quot;,&quot;given&quot;:&quot;Luis&quot;,&quot;non-dropping-particle&quot;:&quot;&quot;,&quot;parse-names&quot;:false,&quot;suffix&quot;:&quot;&quot;},{&quot;dropping-particle&quot;:&quot;&quot;,&quot;family&quot;:&quot;Ortiz&quot;,&quot;given&quot;:&quot;José&quot;,&quot;non-dropping-particle&quot;:&quot;&quot;,&quot;parse-names&quot;:false,&quot;suffix&quot;:&quot;&quot;},{&quot;dropping-particle&quot;:&quot;&quot;,&quot;family&quot;:&quot;Pout&quot;,&quot;given&quot;:&quot;Christine&quot;,&quot;non-dropping-particle&quot;:&quot;&quot;,&quot;parse-names&quot;:false,&quot;suffix&quot;:&quot;&quot;}],&quot;container-title&quot;:&quot;Energy and Buildings&quot;,&quot;id&quot;:&quot;86444862-684a-3598-9d3d-e6a3370e8bb2&quot;,&quot;issue&quot;:&quot;3&quot;,&quot;issued&quot;:{&quot;date-parts&quot;:[[&quot;2008&quot;,&quot;1&quot;,&quot;1&quot;]]},&quot;page&quot;:&quot;394-398&quot;,&quot;publisher&quot;:&quot;Elsevier&quot;,&quot;title&quot;:&quot;A review on buildings energy consumption information&quot;,&quot;type&quot;:&quot;article-journal&quot;,&quot;volume&quot;:&quot;40&quot;,&quot;container-title-short&quot;:&quot;Energy Build&quot;},&quot;uris&quot;:[&quot;http://www.mendeley.com/documents/?uuid=86444862-684a-3598-9d3d-e6a3370e8bb2&quot;],&quot;isTemporary&quot;:false,&quot;legacyDesktopId&quot;:&quot;86444862-684a-3598-9d3d-e6a3370e8bb2&quot;},{&quot;id&quot;:&quot;1399bf6c-9fb2-3ae9-9a05-b8370e865bc4&quot;,&quot;itemData&quot;:{&quot;DOI&quot;:&quot;10.1016/J.EGYPRO.2012.02.194&quot;,&quot;ISSN&quot;:&quot;1876-6102&quot;,&quot;author&quot;:[{&quot;dropping-particle&quot;:&quot;&quot;,&quot;family&quot;:&quot;Li&quot;,&quot;given&quot;:&quot;Cuimini&quot;,&quot;non-dropping-particle&quot;:&quot;&quot;,&quot;parse-names&quot;:false,&quot;suffix&quot;:&quot;&quot;},{&quot;dropping-particle&quot;:&quot;&quot;,&quot;family&quot;:&quot;Zhao&quot;,&quot;given&quot;:&quot;Jianing&quot;,&quot;non-dropping-particle&quot;:&quot;&quot;,&quot;parse-names&quot;:false,&quot;suffix&quot;:&quot;&quot;}],&quot;container-title&quot;:&quot;Energy Procedia&quot;,&quot;id&quot;:&quot;1399bf6c-9fb2-3ae9-9a05-b8370e865bc4&quot;,&quot;issued&quot;:{&quot;date-parts&quot;:[[&quot;2012&quot;,&quot;1&quot;,&quot;1&quot;]]},&quot;page&quot;:&quot;961-967&quot;,&quot;publisher&quot;:&quot;Elsevier&quot;,&quot;title&quot;:&quot;Experimental Study on Indoor Air Temperature Distribution of Gravity Air-Conditioning for Cooling&quot;,&quot;type&quot;:&quot;article-journal&quot;,&quot;volume&quot;:&quot;17&quot;,&quot;container-title-short&quot;:&quot;Energy Procedia&quot;},&quot;uris&quot;:[&quot;http://www.mendeley.com/documents/?uuid=1399bf6c-9fb2-3ae9-9a05-b8370e865bc4&quot;],&quot;isTemporary&quot;:false,&quot;legacyDesktopId&quot;:&quot;1399bf6c-9fb2-3ae9-9a05-b8370e865bc4&quot;}]},{&quot;citationID&quot;:&quot;MENDELEY_CITATION_6f305d82-f590-4d97-a096-a63fb38be612&quot;,&quot;properties&quot;:{&quot;noteIndex&quot;:0},&quot;isEdited&quot;:false,&quot;manualOverride&quot;:{&quot;citeprocText&quot;:&quot;[66]&quot;,&quot;isManuallyOverridden&quot;:false,&quot;manualOverrideText&quot;:&quot;&quot;},&quot;citationTag&quot;:&quot;MENDELEY_CITATION_v3_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&quot;,&quot;citationItems&quot;:[{&quot;id&quot;:&quot;18162e8a-0cec-3b9c-9e5f-f8eafc2e25f1&quot;,&quot;itemData&quot;:{&quot;DOI&quot;:&quot;10.1016/j.buildenv.2006.07.023&quot;,&quot;ISSN&quot;:&quot;03601323&quot;,&quot;abstract&quot;:&quot;Latent heat thermal energy storage (LHTES) is becoming more and more attractive for space heating and cooling of buildings. The application of LHTES in buildings has the following advantages: (1) the ability to narrow the gap between the peak and off-peak loads of electricity demand; (2) the ability to save operative fees by shifting the electrical consumption from peak periods to off-peak periods since the cost of electricity at night is 1/3-1/5 of that during the day; (3) the ability to utilize solar energy continuously, storing solar energy during the day, and releasing it at night, particularly for space heating in winter by reducing diurnal temperature fluctuation thus improving the degree of thermal comfort; (4) the ability to store the natural cooling by ventilation at night in summer and to release it to decrease the room temperature during the day, thus reducing the cooling load of air conditioning. This paper investigates previous work on thermal energy storage by incorporating phase change materials (PCMs) in the building envelope. The basic principle, candidate PCMs and their thermophysical properties, incorporation methods, thermal analyses of the use of PCMs in walls, floor, ceiling and window etc. and heat transfer enhancement are discussed. We show that with suitable PCMs and a suitable incorporation method with building material, LHTES can be economically efficient for heating and cooling buildings. However, several problems need to be tackled before LHTES can reliably and practically be applied. We conclude with some suggestions for future work. ©2006 Elsevier Ltd. All rights reserved.&quot;,&quot;author&quot;:[{&quot;dropping-particle&quot;:&quot;&quot;,&quot;family&quot;:&quot;Zhang&quot;,&quot;given&quot;:&quot;Yinping&quot;,&quot;non-dropping-particle&quot;:&quot;&quot;,&quot;parse-names&quot;:false,&quot;suffix&quot;:&quot;&quot;},{&quot;dropping-particle&quot;:&quot;&quot;,&quot;family&quot;:&quot;Zhou&quot;,&quot;given&quot;:&quot;Guobing&quot;,&quot;non-dropping-particle&quot;:&quot;&quot;,&quot;parse-names&quot;:false,&quot;suffix&quot;:&quot;&quot;},{&quot;dropping-particle&quot;:&quot;&quot;,&quot;family&quot;:&quot;Lin&quot;,&quot;given&quot;:&quot;Kunping&quot;,&quot;non-dropping-particle&quot;:&quot;&quot;,&quot;parse-names&quot;:false,&quot;suffix&quot;:&quot;&quot;},{&quot;dropping-particle&quot;:&quot;&quot;,&quot;family&quot;:&quot;Zhang&quot;,&quot;given&quot;:&quot;Qunli&quot;,&quot;non-dropping-particle&quot;:&quot;&quot;,&quot;parse-names&quot;:false,&quot;suffix&quot;:&quot;&quot;},{&quot;dropping-particle&quot;:&quot;&quot;,&quot;family&quot;:&quot;Di&quot;,&quot;given&quot;:&quot;Hongfa&quot;,&quot;non-dropping-particle&quot;:&quot;&quot;,&quot;parse-names&quot;:false,&quot;suffix&quot;:&quot;&quot;}],&quot;container-title&quot;:&quot;Building and Environment&quot;,&quot;id&quot;:&quot;18162e8a-0cec-3b9c-9e5f-f8eafc2e25f1&quot;,&quot;issue&quot;:&quot;6&quot;,&quot;issued&quot;:{&quot;date-parts&quot;:[[&quot;2007&quot;]]},&quot;page&quot;:&quot;2197-2209&quot;,&quot;title&quot;:&quot;Application of latent heat thermal energy storage in buildings: State-of-the-art and outlook&quot;,&quot;type&quot;:&quot;article-journal&quot;,&quot;volume&quot;:&quot;42&quot;,&quot;container-title-short&quot;:&quot;Build Environ&quot;},&quot;uris&quot;:[&quot;http://www.mendeley.com/documents/?uuid=f360ec4a-e5d7-4102-9927-166c9c087fc9&quot;],&quot;isTemporary&quot;:false,&quot;legacyDesktopId&quot;:&quot;f360ec4a-e5d7-4102-9927-166c9c087fc9&quot;}]},{&quot;citationID&quot;:&quot;MENDELEY_CITATION_60c75692-c1dd-4a65-ad0d-ec113619f0ed&quot;,&quot;properties&quot;:{&quot;noteIndex&quot;:0},&quot;isEdited&quot;:false,&quot;manualOverride&quot;:{&quot;citeprocText&quot;:&quot;[67]&quot;,&quot;isManuallyOverridden&quot;:false,&quot;manualOverrideText&quot;:&quot;&quot;},&quot;citationTag&quot;:&quot;MENDELEY_CITATION_v3_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&quot;,&quot;citationItems&quot;:[{&quot;id&quot;:&quot;b16cf31a-7de1-3cee-99ee-4565b21f8310&quot;,&quot;itemData&quot;:{&quot;DOI&quot;:&quot;10.1016/j.rser.2014.11.031&quot;,&quot;ISSN&quot;:&quot;13640321&quot;,&quot;abstract&quot;:&quot;Thermal Energy Storage (TES) has been a topic of research for quite some time and has proven to be a technology that can have positive effects on the energy efficiency of a building by contributing to an increased share of renewable energy and/or reduction in energy demand or peak loads for both heating and cooling. There are many TES technologies available, both commercial and emerging, and the amount of published literature on the subject is considerable. Literature discussing the combination of thermal energy storage with buildings is however lacking and it is therefore not an easy task to decide which type of TES to use in a certain building. The goal of this paper is to give a comprehensive review of a wide variety of TES technologies, with a clear focus on the combination of storage technology and building type. The results show many promising TES technologies, both for residential and commercial buildings, but also that much research still is required, especially in the fields of phase change materials and thermochemical storage.&quot;,&quot;author&quot;:[{&quot;dropping-particle&quot;:&quot;&quot;,&quot;family&quot;:&quot;Heier&quot;,&quot;given&quot;:&quot;Johan&quot;,&quot;non-dropping-particle&quot;:&quot;&quot;,&quot;parse-names&quot;:false,&quot;suffix&quot;:&quot;&quot;},{&quot;dropping-particle&quot;:&quot;&quot;,&quot;family&quot;:&quot;Bales&quot;,&quot;given&quot;:&quot;Chris&quot;,&quot;non-dropping-particle&quot;:&quot;&quot;,&quot;parse-names&quot;:false,&quot;suffix&quot;:&quot;&quot;},{&quot;dropping-particle&quot;:&quot;&quot;,&quot;family&quot;:&quot;Martin&quot;,&quot;given&quot;:&quot;Viktoria&quot;,&quot;non-dropping-particle&quot;:&quot;&quot;,&quot;parse-names&quot;:false,&quot;suffix&quot;:&quot;&quot;}],&quot;container-title&quot;:&quot;Renewable and Sustainable Energy Reviews&quot;,&quot;id&quot;:&quot;b16cf31a-7de1-3cee-99ee-4565b21f8310&quot;,&quot;issued&quot;:{&quot;date-parts&quot;:[[&quot;2015&quot;]]},&quot;page&quot;:&quot;1305-1325&quot;,&quot;publisher&quot;:&quot;Elsevier&quot;,&quot;title&quot;:&quot;Combining thermal energy storage with buildings - A review&quot;,&quot;type&quot;:&quot;article-journal&quot;,&quot;volume&quot;:&quot;42&quot;,&quot;container-title-short&quot;:&quot;&quot;},&quot;uris&quot;:[&quot;http://www.mendeley.com/documents/?uuid=2993e502-70d3-4cb7-9ad8-8a7436f5ec91&quot;],&quot;isTemporary&quot;:false,&quot;legacyDesktopId&quot;:&quot;2993e502-70d3-4cb7-9ad8-8a7436f5ec91&quot;}]},{&quot;citationID&quot;:&quot;MENDELEY_CITATION_e19493d0-7bd8-4c4b-91e9-25b3451b225b&quot;,&quot;properties&quot;:{&quot;noteIndex&quot;:0},&quot;isEdited&quot;:false,&quot;manualOverride&quot;:{&quot;citeprocText&quot;:&quot;[68]–[71]&quot;,&quot;isManuallyOverridden&quot;:false,&quot;manualOverrideText&quot;:&quot;&quot;},&quot;citationTag&quot;:&quot;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&quot;,&quot;citationItems&quot;:[{&quot;id&quot;:&quot;be2a06e6-c470-3aa8-8506-1747b1bdc262&quot;,&quot;itemData&quot;:{&quot;DOI&quot;:&quot;10.1016/j.apenergy.2011.08.025&quot;,&quot;ISSN&quot;:&quot;03062619&quot;,&quot;abstract&quot;:&quot;Thermal energy storage with phase change materials (PCMs) offers a high thermal storage density with a moderate temperature variation, and has attracted growing attention due to its important role in achieving energy conservation in buildings with thermal comfort. Various methods have been investigated by previous researchers to incorporate PCMs into the building structures, and it has been found that with the help of PCMs the indoor temperature fluctuations can be reduced significantly whilst maintaining desirable thermal comfort. This paper summarises previous works on latent thermal energy storage in building applications, covering PCMs, the impregnation methods, current building applications and their thermal performance analyses, as well as numerical simulation of buildings with PCMs. Over 100 references are included in this paper. © 2011 Elsevier Ltd.&quot;,&quot;author&quot;:[{&quot;dropping-particle&quot;:&quot;&quot;,&quot;family&quot;:&quot;Zhou&quot;,&quot;given&quot;:&quot;D.&quot;,&quot;non-dropping-particle&quot;:&quot;&quot;,&quot;parse-names&quot;:false,&quot;suffix&quot;:&quot;&quot;},{&quot;dropping-particle&quot;:&quot;&quot;,&quot;family&quot;:&quot;Zhao&quot;,&quot;given&quot;:&quot;C. Y.&quot;,&quot;non-dropping-particle&quot;:&quot;&quot;,&quot;parse-names&quot;:false,&quot;suffix&quot;:&quot;&quot;},{&quot;dropping-particle&quot;:&quot;&quot;,&quot;family&quot;:&quot;Tian&quot;,&quot;given&quot;:&quot;Y.&quot;,&quot;non-dropping-particle&quot;:&quot;&quot;,&quot;parse-names&quot;:false,&quot;suffix&quot;:&quot;&quot;}],&quot;container-title&quot;:&quot;Applied Energy&quot;,&quot;id&quot;:&quot;be2a06e6-c470-3aa8-8506-1747b1bdc262&quot;,&quot;issued&quot;:{&quot;date-parts&quot;:[[&quot;2012&quot;]]},&quot;page&quot;:&quot;593-605&quot;,&quot;publisher&quot;:&quot;Elsevier Ltd&quot;,&quot;title&quot;:&quot;Review on thermal energy storage with phase change materials (PCMs) in building applications&quot;,&quot;type&quot;:&quot;article&quot;,&quot;volume&quot;:&quot;92&quot;,&quot;container-title-short&quot;:&quot;Appl Energy&quot;},&quot;uris&quot;:[&quot;http://www.mendeley.com/documents/?uuid=be2a06e6-c470-3aa8-8506-1747b1bdc262&quot;],&quot;isTemporary&quot;:false,&quot;legacyDesktopId&quot;:&quot;be2a06e6-c470-3aa8-8506-1747b1bdc262&quot;},{&quot;id&quot;:&quot;350656d2-3bd8-3534-a422-aebe39d40598&quot;,&quot;itemData&quot;:{&quot;DOI&quot;:&quot;10.1016/j.enbuild.2013.08.006&quot;,&quot;ISSN&quot;:&quot;03787788&quot;,&quot;abstract&quot;:&quot;Thermal energy storage systems (TES), using phase change material (PCM) in buildings, are widely investigated technologies and a fast developing research area. Therefore, there is a need for regular and consistent reviews of the published studies. This review is focused on PCM technologies developed to serve the building industry. Various PCM technologies tailored for building applications are studied with respect to technological potential to improve indoor environment, increase thermal inertia and decrease energy use for building operation. What is more, in this review special attention is paid to discussion and identification of proper methods to correctly determine the thermal properties of PCM materials and their composites and as well procedures to determine their energy storage and saving potential. The purpose of the paper is to highlight promising technologies for PCM application in buildings with focus on room application and to indicate in which applications the potential is less significant. © 2013 Elsevier B.V. All rights reserved.&quot;,&quot;author&quot;:[{&quot;dropping-particle&quot;:&quot;&quot;,&quot;family&quot;:&quot;Pomianowski&quot;,&quot;given&quot;:&quot;Michal&quot;,&quot;non-dropping-particle&quot;:&quot;&quot;,&quot;parse-names&quot;:false,&quot;suffix&quot;:&quot;&quot;},{&quot;dropping-particle&quot;:&quot;&quot;,&quot;family&quot;:&quot;Heiselberg&quot;,&quot;given&quot;:&quot;Per&quot;,&quot;non-dropping-particle&quot;:&quot;&quot;,&quot;parse-names&quot;:false,&quot;suffix&quot;:&quot;&quot;},{&quot;dropping-particle&quot;:&quot;&quot;,&quot;family&quot;:&quot;Zhang&quot;,&quot;given&quot;:&quot;Yinping&quot;,&quot;non-dropping-particle&quot;:&quot;&quot;,&quot;parse-names&quot;:false,&quot;suffix&quot;:&quot;&quot;}],&quot;container-title&quot;:&quot;Energy and Buildings&quot;,&quot;id&quot;:&quot;350656d2-3bd8-3534-a422-aebe39d40598&quot;,&quot;issued&quot;:{&quot;date-parts&quot;:[[&quot;2013&quot;]]},&quot;page&quot;:&quot;56-69&quot;,&quot;publisher&quot;:&quot;Elsevier B.V.&quot;,&quot;title&quot;:&quot;Review of thermal energy storage technologies based on PCM application in buildings&quot;,&quot;type&quot;:&quot;article-journal&quot;,&quot;volume&quot;:&quot;67&quot;,&quot;container-title-short&quot;:&quot;Energy Build&quot;},&quot;uris&quot;:[&quot;http://www.mendeley.com/documents/?uuid=85c9e4ca-ec54-492e-88cc-d47b35685de3&quot;],&quot;isTemporary&quot;:false,&quot;legacyDesktopId&quot;:&quot;85c9e4ca-ec54-492e-88cc-d47b35685de3&quot;},{&quot;id&quot;:&quot;305ca745-8196-3bd8-b415-68afcf972ffd&quot;,&quot;itemData&quot;:{&quot;DOI&quot;:&quot;10.1016/j.enbuild.2015.06.007&quot;,&quot;ISSN&quot;:&quot;03787788&quot;,&quot;abstract&quot;:&quot;It is well known that there is a need to develop technologies to achieve thermal comfort in buildings lowering the cooling and heating demand. Research has shown that thermal energy storage (TES) is a way to do so, but also other purposes can be pursued when using TES in buildings, such as peak shaving or increase of energy efficiency in HVAC systems. This paper reviews TES in buildings using sensible, latent heat and thermochemical energy storage. Sustainable heating and cooling with TES in buildings can be achieved through passive systems in building envelopes, Phase Change Materials (PCM) in active systems, sorption systems, and seasonal storage.&quot;,&quot;author&quot;:[{&quot;dropping-particle&quot;:&quot;&quot;,&quot;family&quot;:&quot;Gracia&quot;,&quot;given&quot;:&quot;Alvaro&quot;,&quot;non-dropping-particle&quot;:&quot;De&quot;,&quot;parse-names&quot;:false,&quot;suffix&quot;:&quot;&quot;},{&quot;dropping-particle&quot;:&quot;&quot;,&quot;family&quot;:&quot;Cabeza&quot;,&quot;given&quot;:&quot;Luisa F.&quot;,&quot;non-dropping-particle&quot;:&quot;&quot;,&quot;parse-names&quot;:false,&quot;suffix&quot;:&quot;&quot;}],&quot;container-title&quot;:&quot;Energy and Buildings&quot;,&quot;id&quot;:&quot;305ca745-8196-3bd8-b415-68afcf972ffd&quot;,&quot;issued&quot;:{&quot;date-parts&quot;:[[&quot;2015&quot;]]},&quot;page&quot;:&quot;414-419&quot;,&quot;publisher&quot;:&quot;Elsevier B.V.&quot;,&quot;title&quot;:&quot;Phase change materials and thermal energy storage for buildings&quot;,&quot;type&quot;:&quot;article-journal&quot;,&quot;volume&quot;:&quot;103&quot;,&quot;container-title-short&quot;:&quot;Energy Build&quot;},&quot;uris&quot;:[&quot;http://www.mendeley.com/documents/?uuid=e08e6b49-b48f-46e5-ada8-c0d82a666ef3&quot;],&quot;isTemporary&quot;:false,&quot;legacyDesktopId&quot;:&quot;e08e6b49-b48f-46e5-ada8-c0d82a666ef3&quot;},{&quot;id&quot;:&quot;3cbac8ef-9429-3483-ac32-d6c76c346741&quot;,&quot;itemData&quot;:{&quot;DOI&quot;:&quot;10.1016/j.pmatsci.2014.03.005&quot;,&quot;ISSN&quot;:&quot;00796425&quot;,&quot;abstract&quot;:&quot;Phase change materials (PCMs) used for the storage of thermal energy as sensible and latent heat are an important class of modern materials which substantially contribute to the efficient use and conservation of waste heat and solar energy. The storage of latent heat provides a greater density of energy storage with a smaller temperature difference between storing and releasing heat than the sensible heat storage method. Many different groups of materials have been investigated during the technical evolution of PCMs, including inorganic systems (salt and salt hydrates), organic compounds such as paraffins or fatty acids and polymeric materials, e.g. poly(ethylene glycol). Historically, the relationships between the structure and the energy storage properties of a material have been studied to provide an understanding of the heat accumulation/emission mechanism governing the material's imparted energy storage characteristics. This paper reviews the present state of the art of PCMs for thermal energy storage applications and provides an insight into recent efforts to develop new PCMs with enhanced performance and safety. Specific attention is given to the improvement of thermal conductivity, encapsulation methods and shape stabilization procedures. In addition, the flame retarding properties and performance are discussed. The wide range of PCM applications in the construction, electronic, biomedical, textile and automotive industries is presented and future research directions are indicated. ©2014 Elsevier B.V. All rights reserved.&quot;,&quot;author&quot;:[{&quot;dropping-particle&quot;:&quot;&quot;,&quot;family&quot;:&quot;Pielichowska&quot;,&quot;given&quot;:&quot;Kinga&quot;,&quot;non-dropping-particle&quot;:&quot;&quot;,&quot;parse-names&quot;:false,&quot;suffix&quot;:&quot;&quot;},{&quot;dropping-particle&quot;:&quot;&quot;,&quot;family&quot;:&quot;Pielichowski&quot;,&quot;given&quot;:&quot;Krzysztof&quot;,&quot;non-dropping-particle&quot;:&quot;&quot;,&quot;parse-names&quot;:false,&quot;suffix&quot;:&quot;&quot;}],&quot;container-title&quot;:&quot;Progress in Materials Science&quot;,&quot;id&quot;:&quot;3cbac8ef-9429-3483-ac32-d6c76c346741&quot;,&quot;issued&quot;:{&quot;date-parts&quot;:[[&quot;2014&quot;]]},&quot;page&quot;:&quot;67-123&quot;,&quot;publisher&quot;:&quot;Elsevier Ltd&quot;,&quot;title&quot;:&quot;Phase change materials for thermal energy storage&quot;,&quot;type&quot;:&quot;article-journal&quot;,&quot;volume&quot;:&quot;65&quot;,&quot;container-title-short&quot;:&quot;Prog Mater Sci&quot;},&quot;uris&quot;:[&quot;http://www.mendeley.com/documents/?uuid=b5d15bf3-81ba-461e-b6fb-5a1c88aea79d&quot;],&quot;isTemporary&quot;:false,&quot;legacyDesktopId&quot;:&quot;b5d15bf3-81ba-461e-b6fb-5a1c88aea79d&quot;}]},{&quot;citationID&quot;:&quot;MENDELEY_CITATION_09ed96ec-8be0-43bd-8d28-611ce3b95487&quot;,&quot;properties&quot;:{&quot;noteIndex&quot;:0},&quot;isEdited&quot;:false,&quot;manualOverride&quot;:{&quot;citeprocText&quot;:&quot;[72]&quot;,&quot;isManuallyOverridden&quot;:false,&quot;manualOverrideText&quot;:&quot;&quot;},&quot;citationTag&quot;:&quot;MENDELEY_CITATION_v3_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&quot;,&quot;citationItems&quot;:[{&quot;id&quot;:&quot;5ada96e8-ead1-300c-b697-1c5d71c1d8cb&quot;,&quot;itemData&quot;:{&quot;DOI&quot;:&quot;10.1016/j.renene.2015.06.064&quot;,&quot;ISSN&quot;:&quot;18790682&quot;,&quot;abstract&quot;:&quot;Energy consumption trends in residential and commercial buildings show a significant increase in recent decades. One of the key points for reducing energy consumption in buildings is to decrease the energy demand. Buildings envelopes are not just a structure they also provide protection from outdoor weather conditions always taking into account the local climate. Thermal energy storage has been used and applied to the building structure by taking advantage of sensible heat storage of materials with high thermal mass. But in recent years, researchers have focused their studies on the implementation of latent heat storage materials that if well incorporated could have high potential in energy demand reduction without occupying the space required by sensible storage. The aim of this study is to review the thermal energy storage passive systems that have been integrated in building components such as walls, ceilings or floors, and to classify them depending on their component integration.&quot;,&quot;author&quot;:[{&quot;dropping-particle&quot;:&quot;&quot;,&quot;family&quot;:&quot;Navarro&quot;,&quot;given&quot;:&quot;Lidia&quot;,&quot;non-dropping-particle&quot;:&quot;&quot;,&quot;parse-names&quot;:false,&quot;suffix&quot;:&quot;&quot;},{&quot;dropping-particle&quot;:&quot;&quot;,&quot;family&quot;:&quot;Gracia&quot;,&quot;given&quot;:&quot;Alvaro&quot;,&quot;non-dropping-particle&quot;:&quot;de&quot;,&quot;parse-names&quot;:false,&quot;suffix&quot;:&quot;&quot;},{&quot;dropping-particle&quot;:&quot;&quot;,&quot;family&quot;:&quot;Niall&quot;,&quot;given&quot;:&quot;Dervilla&quot;,&quot;non-dropping-particle&quot;:&quot;&quot;,&quot;parse-names&quot;:false,&quot;suffix&quot;:&quot;&quot;},{&quot;dropping-particle&quot;:&quot;&quot;,&quot;family&quot;:&quot;Castell&quot;,&quot;given&quot;:&quot;Albert&quot;,&quot;non-dropping-particle&quot;:&quot;&quot;,&quot;parse-names&quot;:false,&quot;suffix&quot;:&quot;&quot;},{&quot;dropping-particle&quot;:&quot;&quot;,&quot;family&quot;:&quot;Browne&quot;,&quot;given&quot;:&quot;Maria&quot;,&quot;non-dropping-particle&quot;:&quot;&quot;,&quot;parse-names&quot;:false,&quot;suffix&quot;:&quot;&quot;},{&quot;dropping-particle&quot;:&quot;&quot;,&quot;family&quot;:&quot;McCormack&quot;,&quot;given&quot;:&quot;Sarah J.&quot;,&quot;non-dropping-particle&quot;:&quot;&quot;,&quot;parse-names&quot;:false,&quot;suffix&quot;:&quot;&quot;},{&quot;dropping-particle&quot;:&quot;&quot;,&quot;family&quot;:&quot;Griffiths&quot;,&quot;given&quot;:&quot;Philip&quot;,&quot;non-dropping-particle&quot;:&quot;&quot;,&quot;parse-names&quot;:false,&quot;suffix&quot;:&quot;&quot;},{&quot;dropping-particle&quot;:&quot;&quot;,&quot;family&quot;:&quot;Cabeza&quot;,&quot;given&quot;:&quot;Luisa F.&quot;,&quot;non-dropping-particle&quot;:&quot;&quot;,&quot;parse-names&quot;:false,&quot;suffix&quot;:&quot;&quot;}],&quot;container-title&quot;:&quot;Renewable Energy&quot;,&quot;id&quot;:&quot;5ada96e8-ead1-300c-b697-1c5d71c1d8cb&quot;,&quot;issued&quot;:{&quot;date-parts&quot;:[[&quot;2016&quot;]]},&quot;page&quot;:&quot;1334-1356&quot;,&quot;title&quot;:&quot;Thermal energy storage in building integrated thermal systems: A review. Part 2. Integration as passive system&quot;,&quot;type&quot;:&quot;article-journal&quot;,&quot;volume&quot;:&quot;85&quot;,&quot;container-title-short&quot;:&quot;Renew Energy&quot;},&quot;uris&quot;:[&quot;http://www.mendeley.com/documents/?uuid=86e603b8-ac95-436b-832c-0bbbae849150&quot;],&quot;isTemporary&quot;:false,&quot;legacyDesktopId&quot;:&quot;86e603b8-ac95-436b-832c-0bbbae849150&quot;}]},{&quot;citationID&quot;:&quot;MENDELEY_CITATION_1ba68996-99a4-44f9-b981-2ed4ebb35fdc&quot;,&quot;properties&quot;:{&quot;noteIndex&quot;:0},&quot;isEdited&quot;:false,&quot;manualOverride&quot;:{&quot;citeprocText&quot;:&quot;[73]–[76]&quot;,&quot;isManuallyOverridden&quot;:false,&quot;manualOverrideText&quot;:&quot;&quot;},&quot;citationTag&quot;:&quot;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&quot;,&quot;citationItems&quot;:[{&quot;id&quot;:&quot;5b26c3dd-84b7-30d6-b878-fee9545e6b97&quot;,&quot;itemData&quot;:{&quot;DOI&quot;:&quot;10.1016/j.rser.2011.07.014&quot;,&quot;ISSN&quot;:&quot;13640321&quot;,&quot;abstract&quot;:&quot;A significant portion of the total primary energy is consumed by today's buildings in developed countries. In many of these buildings, the energy consumption can be significantly reduced by adopting energy efficiency strategies. Due to environmental concerns and the high cost of energy in recent years there has been a renewed interest in building energy efficiency. This article strives to make an exhaustive technical review of the building envelope components and respective improvements from an energy efficiency perspective. Different types of energy efficient walls such as Trombe walls, ventilated walls, and glazed walls are discussed. Performance of different fenestration technologies including aerogel, vacuum glazing and frames are presented. Advances in energy efficient roofs including the contemporary green roofs, photovoltaic roofs, radiant-transmittive barrier and evaporative roof cooling systems are discussed. Various types of thermal insulation materials are enumerated along with selection criteria of these materials. The effects of thermal mass and phase change material on building cooling/heating loads and peak loads are discussed. Application of thermal mass as an energy saving method is more effective in places where the outside ambient air temperature differences between the days and nights are high. Air tightness and infiltration of building envelopes are discussed as they play a crucial role in the energy consumption of a building. Energy efficiency approaches sometimes might not require additional capital investment. For example, a holistic energy efficient building design approach can reduce the size of mechanical systems compensating the additional cost of energy efficiency features. © 2011 Elsevier Ltd. All rights reserved.&quot;,&quot;author&quot;:[{&quot;dropping-particle&quot;:&quot;&quot;,&quot;family&quot;:&quot;Sadineni&quot;,&quot;given&quot;:&quot;Suresh B.&quot;,&quot;non-dropping-particle&quot;:&quot;&quot;,&quot;parse-names&quot;:false,&quot;suffix&quot;:&quot;&quot;},{&quot;dropping-particle&quot;:&quot;&quot;,&quot;family&quot;:&quot;Madala&quot;,&quot;given&quot;:&quot;Srikanth&quot;,&quot;non-dropping-particle&quot;:&quot;&quot;,&quot;parse-names&quot;:false,&quot;suffix&quot;:&quot;&quot;},{&quot;dropping-particle&quot;:&quot;&quot;,&quot;family&quot;:&quot;Boehm&quot;,&quot;given&quot;:&quot;Robert F.&quot;,&quot;non-dropping-particle&quot;:&quot;&quot;,&quot;parse-names&quot;:false,&quot;suffix&quot;:&quot;&quot;}],&quot;container-title&quot;:&quot;Renewable and Sustainable Energy Reviews&quot;,&quot;id&quot;:&quot;5b26c3dd-84b7-30d6-b878-fee9545e6b97&quot;,&quot;issue&quot;:&quot;8&quot;,&quot;issued&quot;:{&quot;date-parts&quot;:[[&quot;2011&quot;]]},&quot;page&quot;:&quot;3617-3631&quot;,&quot;publisher&quot;:&quot;Elsevier Ltd&quot;,&quot;title&quot;:&quot;Passive building energy savings: A review of building envelope components&quot;,&quot;type&quot;:&quot;article-journal&quot;,&quot;volume&quot;:&quot;15&quot;,&quot;container-title-short&quot;:&quot;&quot;},&quot;uris&quot;:[&quot;http://www.mendeley.com/documents/?uuid=a90365c7-dd01-47a5-ab53-367be7ee408f&quot;],&quot;isTemporary&quot;:false,&quot;legacyDesktopId&quot;:&quot;a90365c7-dd01-47a5-ab53-367be7ee408f&quot;},{&quot;id&quot;:&quot;b3dfefd7-5992-3a79-95b7-80a704470b35&quot;,&quot;itemData&quot;:{&quot;DOI&quot;:&quot;10.1016/j.rser.2013.12.042&quot;,&quot;ISSN&quot;:&quot;13640321&quot;,&quot;abstract&quot;:&quot;The building sector is the dominant energy consumer with a total 30% share of the overall energy consumption and accounts for one-third of the greenhouse gas emissions around the world. Moreover, in recent years the energy demands for buildings have increased very rapidly due to increase in the growth rate of population and improvement in living standards of people. Furthermore, fossil fuels will continue to dominate the world's primary energy by 2030. Thus, the increase in energy demand, shortage of fossil fuels and environmental concerns has provided impetus to the development of sustainable building and renewable energy resources. Thermal energy storage is an efficient method for applying to building envelopes to improve the energy efficiency of buildings. This, in turn, reduces the environmental impact related to energy usage. The combination of construction materials and PCM is an efficient way to increase the thermal energy storage capacity of construction elements. Therefore, an extensive review on the incorporation of PCM into construction materials and elements by direct incorporation, immersion, encapsulation, shape-stabilization and form-stable composite PCMs is presented. For the first time, the differentiation between shape-stabilized and form-stable composite PCM has been made. Moreover, various construction materials such as diatomite, expanded perlite and graphite, etc. which are used as supports for form-stable composite PCM along with their worldwide availability are extensively discussed. One of the main aims of this review paper is to focus on the test methods which are used to determine the chemical compatibility, thermal properties, thermal stability and thermal conductivity of the PCM. Hence, the details related to calibration, sample preparation, test cell and analysis of test results are comprehensively covered. Finally, because of the renewed interest in integration of PCM in wallboards and concrete, an up-to-date review with focus on PCM enhanced wallboard and concrete for building applications is added. ©2014 Elsevier Ltd.&quot;,&quot;author&quot;:[{&quot;dropping-particle&quot;:&quot;&quot;,&quot;family&quot;:&quot;Memon&quot;,&quot;given&quot;:&quot;Shazim Ali&quot;,&quot;non-dropping-particle&quot;:&quot;&quot;,&quot;parse-names&quot;:false,&quot;suffix&quot;:&quot;&quot;}],&quot;container-title&quot;:&quot;Renewable and Sustainable Energy Reviews&quot;,&quot;id&quot;:&quot;b3dfefd7-5992-3a79-95b7-80a704470b35&quot;,&quot;issued&quot;:{&quot;date-parts&quot;:[[&quot;2014&quot;]]},&quot;page&quot;:&quot;870-906&quot;,&quot;publisher&quot;:&quot;Elsevier&quot;,&quot;title&quot;:&quot;Phase change materials integrated in building walls: A state of the art review&quot;,&quot;type&quot;:&quot;article-journal&quot;,&quot;volume&quot;:&quot;31&quot;,&quot;container-title-short&quot;:&quot;&quot;},&quot;uris&quot;:[&quot;http://www.mendeley.com/documents/?uuid=62a87150-b84e-49bc-b2ab-17c36ae96e8c&quot;],&quot;isTemporary&quot;:false,&quot;legacyDesktopId&quot;:&quot;62a87150-b84e-49bc-b2ab-17c36ae96e8c&quot;},{&quot;id&quot;:&quot;2737e47f-948b-35d1-b8ed-d2bc520e4bb8&quot;,&quot;itemData&quot;:{&quot;DOI&quot;:&quot;10.1016/j.rser.2016.03.036&quot;,&quot;ISSN&quot;:&quot;18790690&quot;,&quot;abstract&quot;:&quot;The most significant threat that mankind faces in the 21th century is global warming. Buildings, which account for 40% of global energy consumption and greenhouse gas emissions, play a pivotal role in global warming. Estimates show that their destructive impact will grow by 1.8% per year through 2050, which indicates that future consumption and emissions will be worse than today. Therefore, the impact of cooling systems cannot be ignored, as they, along with ventilation and heating systems, account for 60% of the energy consumed in buildings. Passive cooling techniques are a promising alternative to conventional cooling systems. Of the various passive cooling strategies, thermal energy storage by means of latent heat is an efficient way to increase the thermal inertia of building envelopes, which would reduce temperature fluctuations, leading to the improved thermal comfort of occupants. Phase change materials (PCMs) with high density for thermal energy storage can be efficiently employed to this purpose. This paper reviews recent studies of the application of PCMs for passive cooling in buildings. From the literature, a comprehensive list of different organic, inorganic and eutectic PCMs appropriate for passive cooling in buildings are reviewed. Full-scale testing and numerical modeling were found to be the most popular investigative methods used for experimental and theoretical analysis of PCMs. The combination of these two methods can provide a detailed and valid technique for PCM investigations. Finally, incorporating PCMs into building walls with macro encapsulation was also a dominant interest in previous studies.&quot;,&quot;author&quot;:[{&quot;dropping-particle&quot;:&quot;&quot;,&quot;family&quot;:&quot;Akeiber&quot;,&quot;given&quot;:&quot;Hussein&quot;,&quot;non-dropping-particle&quot;:&quot;&quot;,&quot;parse-names&quot;:false,&quot;suffix&quot;:&quot;&quot;},{&quot;dropping-particle&quot;:&quot;&quot;,&quot;family&quot;:&quot;Nejat&quot;,&quot;given&quot;:&quot;Payam&quot;,&quot;non-dropping-particle&quot;:&quot;&quot;,&quot;parse-names&quot;:false,&quot;suffix&quot;:&quot;&quot;},{&quot;dropping-particle&quot;:&quot;&quot;,&quot;family&quot;:&quot;Majid&quot;,&quot;given&quot;:&quot;Muhd Zaimi Abd&quot;,&quot;non-dropping-particle&quot;:&quot;&quot;,&quot;parse-names&quot;:false,&quot;suffix&quot;:&quot;&quot;},{&quot;dropping-particle&quot;:&quot;&quot;,&quot;family&quot;:&quot;Wahid&quot;,&quot;given&quot;:&quot;Mazlan A.&quot;,&quot;non-dropping-particle&quot;:&quot;&quot;,&quot;parse-names&quot;:false,&quot;suffix&quot;:&quot;&quot;},{&quot;dropping-particle&quot;:&quot;&quot;,&quot;family&quot;:&quot;Jomehzadeh&quot;,&quot;given&quot;:&quot;Fatemeh&quot;,&quot;non-dropping-particle&quot;:&quot;&quot;,&quot;parse-names&quot;:false,&quot;suffix&quot;:&quot;&quot;},{&quot;dropping-particle&quot;:&quot;&quot;,&quot;family&quot;:&quot;Zeynali Famileh&quot;,&quot;given&quot;:&quot;Iman&quot;,&quot;non-dropping-particle&quot;:&quot;&quot;,&quot;parse-names&quot;:false,&quot;suffix&quot;:&quot;&quot;},{&quot;dropping-particle&quot;:&quot;&quot;,&quot;family&quot;:&quot;Calautit&quot;,&quot;given&quot;:&quot;John Kaiser&quot;,&quot;non-dropping-particle&quot;:&quot;&quot;,&quot;parse-names&quot;:false,&quot;suffix&quot;:&quot;&quot;},{&quot;dropping-particle&quot;:&quot;&quot;,&quot;family&quot;:&quot;Hughes&quot;,&quot;given&quot;:&quot;Ben Richard&quot;,&quot;non-dropping-particle&quot;:&quot;&quot;,&quot;parse-names&quot;:false,&quot;suffix&quot;:&quot;&quot;},{&quot;dropping-particle&quot;:&quot;&quot;,&quot;family&quot;:&quot;Zaki&quot;,&quot;given&quot;:&quot;Sheikh Ahmad&quot;,&quot;non-dropping-particle&quot;:&quot;&quot;,&quot;parse-names&quot;:false,&quot;suffix&quot;:&quot;&quot;}],&quot;container-title&quot;:&quot;Renewable and Sustainable Energy Reviews&quot;,&quot;id&quot;:&quot;2737e47f-948b-35d1-b8ed-d2bc520e4bb8&quot;,&quot;issued&quot;:{&quot;date-parts&quot;:[[&quot;2016&quot;]]},&quot;page&quot;:&quot;1470-1497&quot;,&quot;publisher&quot;:&quot;Elsevier&quot;,&quot;title&quot;:&quot;A review on phase change material (PCM) for sustainable passive cooling in building envelopes&quot;,&quot;type&quot;:&quot;article-journal&quot;,&quot;volume&quot;:&quot;60&quot;,&quot;container-title-short&quot;:&quot;&quot;},&quot;uris&quot;:[&quot;http://www.mendeley.com/documents/?uuid=00984ade-b6e9-4c27-8b11-6e57a441b482&quot;],&quot;isTemporary&quot;:false,&quot;legacyDesktopId&quot;:&quot;00984ade-b6e9-4c27-8b11-6e57a441b482&quot;},{&quot;id&quot;:&quot;cbcc0efa-6279-3f05-b9c7-0352d92580ab&quot;,&quot;itemData&quot;:{&quot;DOI&quot;:&quot;10.1016/j.jobe.2020.102122&quot;,&quot;ISSN&quot;:&quot;23527102&quot;,&quot;abstract&quot;:&quot;Building envelope is a key element in providing adequate energy and thermal comfort performance to buildings. In this regard, improvement solutions are implemented in recent studies that focus on new techniques and methods. The main techniques adopted in this context are discussed to identify modern and effective methods with a particular focus on phase change materials (PCMs). Incorporating PCMs with building construction materials is a booming technology, owing to their enhancement potential of storing and releasing heat during phase transition. This work highlights the importance of PCMs in building envelope, focusing on roof and external wall applications. PCM types, general and desired properties and application area are presented and discussed. Influential parameters, incorporation techniques and methods, main numerical tools, and modelling equations are used to describe the thermal behaviour of PCM. A comprehensive assessment on the basis of recent studies has been conducted to point out the potential of PCM with the most appropriate techniques under different locations. The main findings of PCM thermal performance have been described, considering the cooling/heating load reduction, energy-saving and thermal comfort gained along with several research hiatuses for future studies.&quot;,&quot;author&quot;:[{&quot;dropping-particle&quot;:&quot;&quot;,&quot;family&quot;:&quot;Al-Yasiri&quot;,&quot;given&quot;:&quot;Qudama&quot;,&quot;non-dropping-particle&quot;:&quot;&quot;,&quot;parse-names&quot;:false,&quot;suffix&quot;:&quot;&quot;},{&quot;dropping-particle&quot;:&quot;&quot;,&quot;family&quot;:&quot;Szabó&quot;,&quot;given&quot;:&quot;Márta&quot;,&quot;non-dropping-particle&quot;:&quot;&quot;,&quot;parse-names&quot;:false,&quot;suffix&quot;:&quot;&quot;}],&quot;container-title&quot;:&quot;Journal of Building Engineering&quot;,&quot;id&quot;:&quot;cbcc0efa-6279-3f05-b9c7-0352d92580ab&quot;,&quot;issued&quot;:{&quot;date-parts&quot;:[[&quot;2021&quot;,&quot;4&quot;,&quot;1&quot;]]},&quot;page&quot;:&quot;102122&quot;,&quot;publisher&quot;:&quot;Elsevier&quot;,&quot;title&quot;:&quot;Incorporation of phase change materials into building envelope for thermal comfort and energy saving: A comprehensive analysis&quot;,&quot;type&quot;:&quot;article&quot;,&quot;volume&quot;:&quot;36&quot;,&quot;container-title-short&quot;:&quot;&quot;},&quot;uris&quot;:[&quot;http://www.mendeley.com/documents/?uuid=cbcc0efa-6279-3f05-b9c7-0352d92580ab&quot;],&quot;isTemporary&quot;:false,&quot;legacyDesktopId&quot;:&quot;cbcc0efa-6279-3f05-b9c7-0352d92580ab&quot;}]},{&quot;citationID&quot;:&quot;MENDELEY_CITATION_58ad038e-4f0a-42ca-ae6a-211db45f4aa1&quot;,&quot;properties&quot;:{&quot;noteIndex&quot;:0},&quot;isEdited&quot;:false,&quot;manualOverride&quot;:{&quot;citeprocText&quot;:&quot;[77]&quot;,&quot;isManuallyOverridden&quot;:false,&quot;manualOverrideText&quot;:&quot;&quot;},&quot;citationTag&quot;:&quot;MENDELEY_CITATION_v3_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&quot;,&quot;citationItems&quot;:[{&quot;id&quot;:&quot;6fad33fe-e0e0-3ab2-8200-ae35305ccaa1&quot;,&quot;itemData&quot;:{&quot;DOI&quot;:&quot;10.1016/j.rser.2012.10.034&quot;,&quot;ISSN&quot;:&quot;13640321&quot;,&quot;abstract&quot;:&quot;Globally, buildings are responsible for 40% of the total world annual energy consumption which is responsible for one-third of green house gas emissions around the world. A significant portion of this energy is used for lighting, heating, cooling, and air conditioning purposes in buildings. Increasing awareness of the environmental impact of green house gas emissions and CFCs triggered a renewed interest in environmentally friendly cooling, and heating technologies for buildings. Free cooling of buildings may be seen as an alternate to compressor based air conditioning systems used for the buildings. In free cooling, nighttime cold is accumulated in storage material and extracted when needed. Latent heat storage using phase change materials (PCMs) can be used for free-cooling purposes due to their high storage density. In free cooling, using PCM as storage material, cool air during night is used to solidify the PCM and the accumulated cold is extracted during the hot day times. In this article a detailed review of work conducted by different researchers on PCM based free cooling is presented. Major challenges being faced in the design of PCM based free cooling system such as phase change materials; their thermo-physical properties and the geometry of encapsulation are elaborated and discussed in detail. Also the parameters effecting the charging and discharging of PCM, effect of phase change temperature and climatic conditions on thermal performance of the free cooling system are also discussed. Potential reduction in CO2emissions due to the applicability of free cooling systems in residential and commercial buildings is also discussed in this article. This paper also provides a comprehensive list of the PCMs currently being used and that can be used potentially for free cooling applications. At last, this paper also presents some current problems needed further research in this area. © 2012 Elsevier Ltd.&quot;,&quot;author&quot;:[{&quot;dropping-particle&quot;:&quot;&quot;,&quot;family&quot;:&quot;Waqas&quot;,&quot;given&quot;:&quot;Adeel&quot;,&quot;non-dropping-particle&quot;:&quot;&quot;,&quot;parse-names&quot;:false,&quot;suffix&quot;:&quot;&quot;},{&quot;dropping-particle&quot;:&quot;&quot;,&quot;family&quot;:&quot;Ud Din&quot;,&quot;given&quot;:&quot;Zia&quot;,&quot;non-dropping-particle&quot;:&quot;&quot;,&quot;parse-names&quot;:false,&quot;suffix&quot;:&quot;&quot;}],&quot;container-title&quot;:&quot;Renewable and Sustainable Energy Reviews&quot;,&quot;id&quot;:&quot;6fad33fe-e0e0-3ab2-8200-ae35305ccaa1&quot;,&quot;issued&quot;:{&quot;date-parts&quot;:[[&quot;2013&quot;]]},&quot;page&quot;:&quot;607-625&quot;,&quot;publisher&quot;:&quot;Elsevier&quot;,&quot;title&quot;:&quot;Phase change material (PCM) storage for free cooling of buildings - A review&quot;,&quot;type&quot;:&quot;article-journal&quot;,&quot;volume&quot;:&quot;18&quot;,&quot;container-title-short&quot;:&quot;&quot;},&quot;uris&quot;:[&quot;http://www.mendeley.com/documents/?uuid=ee89d4ab-0e46-4bad-a22e-d9479727ee01&quot;],&quot;isTemporary&quot;:false,&quot;legacyDesktopId&quot;:&quot;ee89d4ab-0e46-4bad-a22e-d9479727ee01&quot;}]},{&quot;citationID&quot;:&quot;MENDELEY_CITATION_fabeba34-a5ac-42b0-bb27-a4fd3fb6550a&quot;,&quot;properties&quot;:{&quot;noteIndex&quot;:0},&quot;isEdited&quot;:false,&quot;manualOverride&quot;:{&quot;citeprocText&quot;:&quot;[78]&quot;,&quot;isManuallyOverridden&quot;:false,&quot;manualOverrideText&quot;:&quot;&quot;},&quot;citationTag&quot;:&quot;MENDELEY_CITATION_v3_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&quot;,&quot;citationItems&quot;:[{&quot;id&quot;:&quot;87fb9300-5149-3a8d-988c-2de472dd154a&quot;,&quot;itemData&quot;:{&quot;DOI&quot;:&quot;10.1016/j.rser.2016.03.007&quot;,&quot;ISSN&quot;:&quot;18790690&quot;,&quot;abstract&quot;:&quot;Thermal energy storage (TES) technologies incorporating phase change materials (PCM) are proving viable option for achieving energy efficiency economically in the buildings. This paper reviews the application of air-PCM-TES studies and technologies for the free cooling and heating of buildings. TES in general and air-PCM-TES in particular are discussed in this review. An extensive investigation on air-PCM-TES systems has been undertaken through passive and active methods and the advantages and disadvantages for each, are detailed. The thermal performances of these systems have been investigated through experimental and numerical approaches and listed in this paper. Passive methods e.g. use of PCMs in the building envelope present difficulty of exchanging a high rate of heat and therefore unsuitable for extreme climate. Therefore, active methods are adopted for extreme climates to meet the demand. Overall, when the right method is applied, air-PCM-TES systems have shown to be effectively providing free cooling and heating of the buildings through auxiliary sources.&quot;,&quot;author&quot;:[{&quot;dropping-particle&quot;:&quot;&quot;,&quot;family&quot;:&quot;Iten&quot;,&quot;given&quot;:&quot;Muriel&quot;,&quot;non-dropping-particle&quot;:&quot;&quot;,&quot;parse-names&quot;:false,&quot;suffix&quot;:&quot;&quot;},{&quot;dropping-particle&quot;:&quot;&quot;,&quot;family&quot;:&quot;Liu&quot;,&quot;given&quot;:&quot;Shuli&quot;,&quot;non-dropping-particle&quot;:&quot;&quot;,&quot;parse-names&quot;:false,&quot;suffix&quot;:&quot;&quot;},{&quot;dropping-particle&quot;:&quot;&quot;,&quot;family&quot;:&quot;Shukla&quot;,&quot;given&quot;:&quot;Ashish&quot;,&quot;non-dropping-particle&quot;:&quot;&quot;,&quot;parse-names&quot;:false,&quot;suffix&quot;:&quot;&quot;}],&quot;container-title&quot;:&quot;Renewable and Sustainable Energy Reviews&quot;,&quot;id&quot;:&quot;87fb9300-5149-3a8d-988c-2de472dd154a&quot;,&quot;issued&quot;:{&quot;date-parts&quot;:[[&quot;2016&quot;]]},&quot;page&quot;:&quot;175-186&quot;,&quot;publisher&quot;:&quot;Elsevier&quot;,&quot;title&quot;:&quot;A review on the air-PCM-TES application for free cooling and heating in the buildings&quot;,&quot;type&quot;:&quot;article-journal&quot;,&quot;volume&quot;:&quot;61&quot;,&quot;container-title-short&quot;:&quot;&quot;},&quot;uris&quot;:[&quot;http://www.mendeley.com/documents/?uuid=1b33c65c-0c83-4d87-8d09-ed297e2ff9cc&quot;],&quot;isTemporary&quot;:false,&quot;legacyDesktopId&quot;:&quot;1b33c65c-0c83-4d87-8d09-ed297e2ff9cc&quot;}]},{&quot;citationID&quot;:&quot;MENDELEY_CITATION_db08d1e7-7828-42af-849a-3f1632f59241&quot;,&quot;properties&quot;:{&quot;noteIndex&quot;:0},&quot;isEdited&quot;:false,&quot;manualOverride&quot;:{&quot;citeprocText&quot;:&quot;[79]&quot;,&quot;isManuallyOverridden&quot;:false,&quot;manualOverrideText&quot;:&quot;&quot;},&quot;citationTag&quot;:&quot;MENDELEY_CITATION_v3_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&quot;,&quot;citationItems&quot;:[{&quot;id&quot;:&quot;c347a1b6-c90b-36de-9d48-b7bbaf20584a&quot;,&quot;itemData&quot;:{&quot;DOI&quot;:&quot;10.1016/j.enbuild.2016.04.006&quot;,&quot;ISSN&quot;:&quot;03787788&quot;,&quot;abstract&quot;:&quot;Cooling demand in the building sector is growing rapidly; thermal energy storage systems using phase change materials (PCM) can be a very useful way to improve the building thermal performance. The right use of PCM in the envelope can minimize peak cooling loads, allow the use of smaller HVAC technical equipment for cooling, and has the capability to keep the indoor temperature within the comfort range due to smaller indoor temperature fluctuations. This article presents an overview of different PCM applications in buildings for reducing cooling loads under different climate conditions, and the factors affecting the successful and the effective use of the PCM. Many drawbacks have been found in PCM applications, mainly the intense impact of summer weather conditions over the PCM performance, which prohibits its complete solidification during night, and thus, limiting its effectiveness during the day. Proposed solutions are reviewed in this article. Finally, a topology diagram is presented to summarize the steps leading to an effective use of PCM in building applications.&quot;,&quot;author&quot;:[{&quot;dropping-particle&quot;:&quot;&quot;,&quot;family&quot;:&quot;Souayfane&quot;,&quot;given&quot;:&quot;Farah&quot;,&quot;non-dropping-particle&quot;:&quot;&quot;,&quot;parse-names&quot;:false,&quot;suffix&quot;:&quot;&quot;},{&quot;dropping-particle&quot;:&quot;&quot;,&quot;family&quot;:&quot;Fardoun&quot;,&quot;given&quot;:&quot;Farouk&quot;,&quot;non-dropping-particle&quot;:&quot;&quot;,&quot;parse-names&quot;:false,&quot;suffix&quot;:&quot;&quot;},{&quot;dropping-particle&quot;:&quot;&quot;,&quot;family&quot;:&quot;Biwole&quot;,&quot;given&quot;:&quot;Pascal Henry&quot;,&quot;non-dropping-particle&quot;:&quot;&quot;,&quot;parse-names&quot;:false,&quot;suffix&quot;:&quot;&quot;}],&quot;container-title&quot;:&quot;Energy and Buildings&quot;,&quot;id&quot;:&quot;c347a1b6-c90b-36de-9d48-b7bbaf20584a&quot;,&quot;issued&quot;:{&quot;date-parts&quot;:[[&quot;2016&quot;]]},&quot;page&quot;:&quot;396-431&quot;,&quot;publisher&quot;:&quot;Elsevier B.V.&quot;,&quot;title&quot;:&quot;Phase change materials (PCM) for cooling applications in buildings: A review&quot;,&quot;type&quot;:&quot;article-journal&quot;,&quot;volume&quot;:&quot;129&quot;,&quot;container-title-short&quot;:&quot;Energy Build&quot;},&quot;uris&quot;:[&quot;http://www.mendeley.com/documents/?uuid=f2280407-b330-4750-9d3c-f53013f4de3d&quot;],&quot;isTemporary&quot;:false,&quot;legacyDesktopId&quot;:&quot;f2280407-b330-4750-9d3c-f53013f4de3d&quot;}]},{&quot;citationID&quot;:&quot;MENDELEY_CITATION_7c12d415-7a26-437c-b83f-bfd3619377ab&quot;,&quot;properties&quot;:{&quot;noteIndex&quot;:0},&quot;isEdited&quot;:false,&quot;manualOverride&quot;:{&quot;citeprocText&quot;:&quot;[80]&quot;,&quot;isManuallyOverridden&quot;:false,&quot;manualOverrideText&quot;:&quot;&quot;},&quot;citationTag&quot;:&quot;MENDELEY_CITATION_v3_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&quot;,&quot;citationItems&quot;:[{&quot;id&quot;:&quot;34afd51d-e707-3068-a64a-5aee0945a9c7&quot;,&quot;itemData&quot;:{&quot;DOI&quot;:&quot;10.1016/j.applthermaleng.2016.07.032&quot;,&quot;ISSN&quot;:&quot;13594311&quot;,&quot;abstract&quot;:&quot;Worldwide, the demand for environmental friendly energy is ever-increasing due to the rapid growth of economy and living standard. Construction industry being the foremost consumer of material and energy resources has great prospect to developing innovative energy saving and thermally efficient construction materials. Phase change materials (PCMs) as thermal energy storage (TES) systems are potential due to their tailored thermal mass and heat comfort. These latent heat storage (LHS) materials possess extremely high energy storage density than conventional one. Lately, using microencapsulation technology finely dispersed PCMs are incorporated into other materials to create large surface area to improve heat transfer. This article provides a comprehensive overview on the exotic set of features of PCMs, their recent development and future trends with applications directed towards building architectures. Four aspects of PCMs are emphasized: the statistical usage, type, incorporation methods, and their thermal storage performance in the building applications. It is established that PCMs owing to their large heat capacity, high density, and excellent LHS renders as innovative energy saving strategy for sustainable built environment. Furthermore, the inclusion of PCMs in the building parts including walls, floors, and roofs are demonstrated to improve the thermal mass. Consequently, both the energy utilization for space conditioning and extreme temperature variations inside the building gets reduced. The considerable part of electricity is consumed by heating, ventilating, and air conditioning (HVAC) systems during the summer seasons and PCMs technique could be extensively applied in building structures to reduce the electricity demand. Petroleum refining industry produces a wide variety of petroleum products and paraffin wax oil is one of the most important petroleum industry byproducts. Therefore, a valuable source of paraffin waxes is available to be employed as the base PCM storage in households.&quot;,&quot;author&quot;:[{&quot;dropping-particle&quot;:&quot;&quot;,&quot;family&quot;:&quot;Wahid&quot;,&quot;given&quot;:&quot;Mazlan Abdul&quot;,&quot;non-dropping-particle&quot;:&quot;&quot;,&quot;parse-names&quot;:false,&quot;suffix&quot;:&quot;&quot;},{&quot;dropping-particle&quot;:&quot;&quot;,&quot;family&quot;:&quot;Hosseini&quot;,&quot;given&quot;:&quot;Seyed Ehsan&quot;,&quot;non-dropping-particle&quot;:&quot;&quot;,&quot;parse-names&quot;:false,&quot;suffix&quot;:&quot;&quot;},{&quot;dropping-particle&quot;:&quot;&quot;,&quot;family&quot;:&quot;Hussen&quot;,&quot;given&quot;:&quot;Hasanen M.&quot;,&quot;non-dropping-particle&quot;:&quot;&quot;,&quot;parse-names&quot;:false,&quot;suffix&quot;:&quot;&quot;},{&quot;dropping-particle&quot;:&quot;&quot;,&quot;family&quot;:&quot;Akeiber&quot;,&quot;given&quot;:&quot;Hussein J.&quot;,&quot;non-dropping-particle&quot;:&quot;&quot;,&quot;parse-names&quot;:false,&quot;suffix&quot;:&quot;&quot;},{&quot;dropping-particle&quot;:&quot;&quot;,&quot;family&quot;:&quot;Saud&quot;,&quot;given&quot;:&quot;Safaa N.&quot;,&quot;non-dropping-particle&quot;:&quot;&quot;,&quot;parse-names&quot;:false,&quot;suffix&quot;:&quot;&quot;},{&quot;dropping-particle&quot;:&quot;&quot;,&quot;family&quot;:&quot;Mohammad&quot;,&quot;given&quot;:&quot;Abdulrahman Th&quot;,&quot;non-dropping-particle&quot;:&quot;&quot;,&quot;parse-names&quot;:false,&quot;suffix&quot;:&quot;&quot;}],&quot;container-title&quot;:&quot;Applied Thermal Engineering&quot;,&quot;id&quot;:&quot;34afd51d-e707-3068-a64a-5aee0945a9c7&quot;,&quot;issued&quot;:{&quot;date-parts&quot;:[[&quot;2017&quot;]]},&quot;page&quot;:&quot;1240-1259&quot;,&quot;publisher&quot;:&quot;Elsevier Ltd&quot;,&quot;title&quot;:&quot;An overview of phase change materials for construction architecture thermal management in hot and dry climate region&quot;,&quot;type&quot;:&quot;article-journal&quot;,&quot;volume&quot;:&quot;112&quot;,&quot;container-title-short&quot;:&quot;Appl Therm Eng&quot;},&quot;uris&quot;:[&quot;http://www.mendeley.com/documents/?uuid=a471421f-a4c5-4e6c-b7d2-5cacda843dad&quot;],&quot;isTemporary&quot;:false,&quot;legacyDesktopId&quot;:&quot;a471421f-a4c5-4e6c-b7d2-5cacda843dad&quot;}]},{&quot;citationID&quot;:&quot;MENDELEY_CITATION_f6aff8ba-3e79-4bba-a725-63fd69b82211&quot;,&quot;properties&quot;:{&quot;noteIndex&quot;:0},&quot;isEdited&quot;:false,&quot;manualOverride&quot;:{&quot;citeprocText&quot;:&quot;[81]&quot;,&quot;isManuallyOverridden&quot;:false,&quot;manualOverrideText&quot;:&quot;&quot;},&quot;citationTag&quot;:&quot;MENDELEY_CITATION_v3_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&quot;,&quot;citationItems&quot;:[{&quot;id&quot;:&quot;12fe2e6b-15c5-3972-8011-0b59ca618557&quot;,&quot;itemData&quot;:{&quot;DOI&quot;:&quot;10.1016/j.rser.2006.05.010&quot;,&quot;ISSN&quot;:&quot;13640321&quot;,&quot;abstract&quot;:&quot;Efficient and economical technology that can be used to store large amounts of heat or cold in a definite volume is the subject of research for a long time. Thermal storage plays an important role in building energy conservation, which is greatly assisted by the incorporation of latent heat storage (LHS) in building products. LHS in a phase change material (PCM) is very attractive because of its high storage density with small temperature swing. It has been demonstrated that for the development of a latent heat storage system (LHTS) in a building fabric, the choice of the PCM plays an important role in addition to heat transfer mechanism in the PCM. Thermal energy storage in the walls, ceiling and floor of buildings may be enhanced by encapsulating or embedding suitable PCMs within these surfaces. They can either capture solar energy directly or thermal energy through natural convection. Increasing the thermal storage capacity of a building can increase human comfort by decreasing the frequency of internal air temperature swings so that the indoor air temperature is closer to the desired temperature for a longer period of time. This paper aims to gather the information from the earlier works on the developments of PCM's incorporation in building, the problems associated with the selection of PCM and the various methods used to contain them for space heating and cooling applications. © 2006 Elsevier Ltd. All rights reserved.&quot;,&quot;author&quot;:[{&quot;dropping-particle&quot;:&quot;&quot;,&quot;family&quot;:&quot;Pasupathy&quot;,&quot;given&quot;:&quot;A.&quot;,&quot;non-dropping-particle&quot;:&quot;&quot;,&quot;parse-names&quot;:false,&quot;suffix&quot;:&quot;&quot;},{&quot;dropping-particle&quot;:&quot;&quot;,&quot;family&quot;:&quot;Velraj&quot;,&quot;given&quot;:&quot;R.&quot;,&quot;non-dropping-particle&quot;:&quot;&quot;,&quot;parse-names&quot;:false,&quot;suffix&quot;:&quot;&quot;},{&quot;dropping-particle&quot;:&quot;V.&quot;,&quot;family&quot;:&quot;Seeniraj&quot;,&quot;given&quot;:&quot;R.&quot;,&quot;non-dropping-particle&quot;:&quot;&quot;,&quot;parse-names&quot;:false,&quot;suffix&quot;:&quot;&quot;}],&quot;container-title&quot;:&quot;Renewable and Sustainable Energy Reviews&quot;,&quot;id&quot;:&quot;12fe2e6b-15c5-3972-8011-0b59ca618557&quot;,&quot;issue&quot;:&quot;1&quot;,&quot;issued&quot;:{&quot;date-parts&quot;:[[&quot;2008&quot;]]},&quot;page&quot;:&quot;39-64&quot;,&quot;title&quot;:&quot;Phase change material-based building architecture for thermal management in residential and commercial establishments&quot;,&quot;type&quot;:&quot;article-journal&quot;,&quot;volume&quot;:&quot;12&quot;,&quot;container-title-short&quot;:&quot;&quot;},&quot;uris&quot;:[&quot;http://www.mendeley.com/documents/?uuid=0f122194-a413-40dc-8f35-94d6685c3ce7&quot;],&quot;isTemporary&quot;:false,&quot;legacyDesktopId&quot;:&quot;0f122194-a413-40dc-8f35-94d6685c3ce7&quot;}]},{&quot;citationID&quot;:&quot;MENDELEY_CITATION_8ca22f96-07ff-4e4a-ad50-f43e84223d35&quot;,&quot;properties&quot;:{&quot;noteIndex&quot;:0},&quot;isEdited&quot;:false,&quot;manualOverride&quot;:{&quot;citeprocText&quot;:&quot;[82]&quot;,&quot;isManuallyOverridden&quot;:false,&quot;manualOverrideText&quot;:&quot;&quot;},&quot;citationTag&quot;:&quot;MENDELEY_CITATION_v3_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&quot;,&quot;citationItems&quot;:[{&quot;id&quot;:&quot;27aef141-d038-367d-a768-79f2d93869cc&quot;,&quot;itemData&quot;:{&quot;DOI&quot;:&quot;10.1016/j.energy.2017.12.037&quot;,&quot;ISSN&quot;:&quot;03605442&quot;,&quot;abstract&quot;:&quot;Due to humanity's huge scale of thermal energy consumption, any improvements in thermal energy management practices can significantly benefit the society. One key function in thermal energy management is thermal energy storage (TES). Following aspects of TES are presented in this review: (1) wide scope of thermal energy storage field is discussed. Role of TES in the contexts of different thermal energy sources and how TES unnecessitates fossil fuel burning are explained. Solar power generation, building thermal comfort and other niche applications of TES are presented. (2) Insight into classes of TES storage materials with details like their physical properties, cost, operational performance and suitability to application requirements is provided. (3) Insight into types of TES systems is presented. TES systems are classified using different types of criteria. Most common TES systems like seasonal TES systems, CSP plant TES systems, TES systems of domestic solar thermal applications, heat and cold storages of building HVAC systems etc are described. Active TES systems like thermocline, packed bed, fluidized bed, moving bed etc are analyzed. Passive TES systems implemented in buildings, textiles, automobiles etc are presented. TES systems operating in cold, low, medium and high temperature ranges are listed. Design parameters, operational issues and cost model of TES systems are discussed.&quot;,&quot;author&quot;:[{&quot;dropping-particle&quot;:&quot;&quot;,&quot;family&quot;:&quot;Alva&quot;,&quot;given&quot;:&quot;Guruprasad&quot;,&quot;non-dropping-particle&quot;:&quot;&quot;,&quot;parse-names&quot;:false,&quot;suffix&quot;:&quot;&quot;},{&quot;dropping-particle&quot;:&quot;&quot;,&quot;family&quot;:&quot;Lin&quot;,&quot;given&quot;:&quot;Yaxue&quot;,&quot;non-dropping-particle&quot;:&quot;&quot;,&quot;parse-names&quot;:false,&quot;suffix&quot;:&quot;&quot;},{&quot;dropping-particle&quot;:&quot;&quot;,&quot;family&quot;:&quot;Fang&quot;,&quot;given&quot;:&quot;Guiyin&quot;,&quot;non-dropping-particle&quot;:&quot;&quot;,&quot;parse-names&quot;:false,&quot;suffix&quot;:&quot;&quot;}],&quot;container-title&quot;:&quot;Energy&quot;,&quot;id&quot;:&quot;27aef141-d038-367d-a768-79f2d93869cc&quot;,&quot;issued&quot;:{&quot;date-parts&quot;:[[&quot;2018&quot;]]},&quot;page&quot;:&quot;341-378&quot;,&quot;publisher&quot;:&quot;Elsevier Ltd&quot;,&quot;title&quot;:&quot;An overview of thermal energy storage systems&quot;,&quot;type&quot;:&quot;article-journal&quot;,&quot;volume&quot;:&quot;144&quot;,&quot;container-title-short&quot;:&quot;&quot;},&quot;uris&quot;:[&quot;http://www.mendeley.com/documents/?uuid=1d729086-e2fc-4250-929d-2a1c6181b05e&quot;],&quot;isTemporary&quot;:false,&quot;legacyDesktopId&quot;:&quot;1d729086-e2fc-4250-929d-2a1c6181b05e&quot;}]},{&quot;citationID&quot;:&quot;MENDELEY_CITATION_b2eb3fff-b4d5-4628-b03d-5296888e958d&quot;,&quot;properties&quot;:{&quot;noteIndex&quot;:0},&quot;isEdited&quot;:false,&quot;manualOverride&quot;:{&quot;citeprocText&quot;:&quot;[83]&quot;,&quot;isManuallyOverridden&quot;:false,&quot;manualOverrideText&quot;:&quot;&quot;},&quot;citationTag&quot;:&quot;MENDELEY_CITATION_v3_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&quot;,&quot;citationItems&quot;:[{&quot;id&quot;:&quot;f2672902-5285-3b91-a778-c580d4c2cc08&quot;,&quot;itemData&quot;:{&quot;DOI&quot;:&quot;10.1051/e3sconf/202123605007&quot;,&quot;ISSN&quot;:&quot;22671242&quot;,&quot;abstract&quot;:&quot;With a increasing application of phase change energy storage technology in the fields of building energy conservation, refrigeration, and air conditioning, the shortcomings of traditional phase change materials (PCMs) have become important, which seriously restricts the development of phase change cold storage technology. Therefore, the new phase change materials have become a research focus in the field of phase change energy storage. The classification and characteristics of phase change materials are briefly described in the paper. In addition, the active building energy-saving are reviewed.&quot;,&quot;author&quot;:[{&quot;dropping-particle&quot;:&quot;&quot;,&quot;family&quot;:&quot;Yang&quot;,&quot;given&quot;:&quot;Dazhang&quot;,&quot;non-dropping-particle&quot;:&quot;&quot;,&quot;parse-names&quot;:false,&quot;suffix&quot;:&quot;&quot;},{&quot;dropping-particle&quot;:&quot;&quot;,&quot;family&quot;:&quot;Wang&quot;,&quot;given&quot;:&quot;Naixin&quot;,&quot;non-dropping-particle&quot;:&quot;&quot;,&quot;parse-names&quot;:false,&quot;suffix&quot;:&quot;&quot;},{&quot;dropping-particle&quot;:&quot;&quot;,&quot;family&quot;:&quot;Xie&quot;,&quot;given&quot;:&quot;Jing&quot;,&quot;non-dropping-particle&quot;:&quot;&quot;,&quot;parse-names&quot;:false,&quot;suffix&quot;:&quot;&quot;},{&quot;dropping-particle&quot;:&quot;&quot;,&quot;family&quot;:&quot;Wang&quot;,&quot;given&quot;:&quot;Jinfeng&quot;,&quot;non-dropping-particle&quot;:&quot;&quot;,&quot;parse-names&quot;:false,&quot;suffix&quot;:&quot;&quot;}],&quot;container-title&quot;:&quot;E3S Web of Conferences&quot;,&quot;id&quot;:&quot;f2672902-5285-3b91-a778-c580d4c2cc08&quot;,&quot;issued&quot;:{&quot;date-parts&quot;:[[&quot;2021&quot;,&quot;2&quot;,&quot;9&quot;]]},&quot;page&quot;:&quot;05007&quot;,&quot;publisher&quot;:&quot;EDP Sciences&quot;,&quot;title&quot;:&quot;Review on active building energy conservation using phase change materials&quot;,&quot;type&quot;:&quot;paper-conference&quot;,&quot;volume&quot;:&quot;236&quot;,&quot;container-title-short&quot;:&quot;&quot;},&quot;uris&quot;:[&quot;http://www.mendeley.com/documents/?uuid=f2672902-5285-3b91-a778-c580d4c2cc08&quot;],&quot;isTemporary&quot;:false,&quot;legacyDesktopId&quot;:&quot;f2672902-5285-3b91-a778-c580d4c2cc08&quot;}]},{&quot;citationID&quot;:&quot;MENDELEY_CITATION_ca755787-5b65-48ba-aaf5-29c54276309c&quot;,&quot;properties&quot;:{&quot;noteIndex&quot;:0},&quot;isEdited&quot;:false,&quot;manualOverride&quot;:{&quot;citeprocText&quot;:&quot;[84]&quot;,&quot;isManuallyOverridden&quot;:false,&quot;manualOverrideText&quot;:&quot;&quot;},&quot;citationTag&quot;:&quot;MENDELEY_CITATION_v3_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&quot;,&quot;citationItems&quot;:[{&quot;id&quot;:&quot;dc7170f6-f48f-3457-a49b-14febe49d6ec&quot;,&quot;itemData&quot;:{&quot;DOI&quot;:&quot;10.1016/j.enconman.2013.10.023&quot;,&quot;ISSN&quot;:&quot;01968904&quot;,&quot;abstract&quot;:&quot;Decreasing the energy consumption of heating, ventilation and air conditioning (HVAC) systems is becoming increasingly important due to rising cost of fossil fuels and environmental concerns. Therefore, finding novel ways to reduce energy consumption in buildings without compromising comfort and indoor air quality is an ongoing research challenge. One proven way of achieving energy efficiency in HVAC systems is to design systems that use novel configurations of existing system components. Each HVAC discipline has specific design requirements and each presents opportunities for energy savings. Energy efficient HVAC systems can be created by re-configuring traditional systems to make more strategic use of existing system parts. Recent research has demonstrated that a combination of existing air conditioning technologies can offer effective solutions for energy conservation and thermal comfort. This paper investigates and reviews the different technologies and approaches, and demonstrates their ability to improve the performance of HVAC systems in order to reduce energy consumption. For each strategy, a brief description is first presented and then by reviewing the previous studies, the influence of that method on the HVAC energy saving is investigated. Finally, a comparison study between these approaches is carried out. © 2013 Elsevier Ltd. All rights reserved.&quot;,&quot;author&quot;:[{&quot;dropping-particle&quot;:&quot;&quot;,&quot;family&quot;:&quot;Vakiloroaya&quot;,&quot;given&quot;:&quot;Vahid&quot;,&quot;non-dropping-particle&quot;:&quot;&quot;,&quot;parse-names&quot;:false,&quot;suffix&quot;:&quot;&quot;},{&quot;dropping-particle&quot;:&quot;&quot;,&quot;family&quot;:&quot;Samali&quot;,&quot;given&quot;:&quot;Bijan&quot;,&quot;non-dropping-particle&quot;:&quot;&quot;,&quot;parse-names&quot;:false,&quot;suffix&quot;:&quot;&quot;},{&quot;dropping-particle&quot;:&quot;&quot;,&quot;family&quot;:&quot;Fakhar&quot;,&quot;given&quot;:&quot;Ahmad&quot;,&quot;non-dropping-particle&quot;:&quot;&quot;,&quot;parse-names&quot;:false,&quot;suffix&quot;:&quot;&quot;},{&quot;dropping-particle&quot;:&quot;&quot;,&quot;family&quot;:&quot;Pishghadam&quot;,&quot;given&quot;:&quot;Kambiz&quot;,&quot;non-dropping-particle&quot;:&quot;&quot;,&quot;parse-names&quot;:false,&quot;suffix&quot;:&quot;&quot;}],&quot;container-title&quot;:&quot;Energy Conversion and Management&quot;,&quot;id&quot;:&quot;dc7170f6-f48f-3457-a49b-14febe49d6ec&quot;,&quot;issued&quot;:{&quot;date-parts&quot;:[[&quot;2014&quot;]]},&quot;page&quot;:&quot;738-754&quot;,&quot;publisher&quot;:&quot;Elsevier Ltd&quot;,&quot;title&quot;:&quot;A review of different strategies for HVAC energy saving&quot;,&quot;type&quot;:&quot;article-journal&quot;,&quot;volume&quot;:&quot;77&quot;,&quot;container-title-short&quot;:&quot;Energy Convers Manag&quot;},&quot;uris&quot;:[&quot;http://www.mendeley.com/documents/?uuid=098f8bf4-4521-4b54-be99-e4791c101933&quot;],&quot;isTemporary&quot;:false,&quot;legacyDesktopId&quot;:&quot;098f8bf4-4521-4b54-be99-e4791c101933&quot;}]},{&quot;citationID&quot;:&quot;MENDELEY_CITATION_d18d0940-4273-40f5-9986-9ab2583c5fdd&quot;,&quot;properties&quot;:{&quot;noteIndex&quot;:0},&quot;isEdited&quot;:false,&quot;manualOverride&quot;:{&quot;citeprocText&quot;:&quot;[85]&quot;,&quot;isManuallyOverridden&quot;:false,&quot;manualOverrideText&quot;:&quot;&quot;},&quot;citationTag&quot;:&quot;MENDELEY_CITATION_v3_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&quot;,&quot;citationItems&quot;:[{&quot;id&quot;:&quot;468aec29-faf7-3840-a7df-f03d1e87a720&quot;,&quot;itemData&quot;:{&quot;DOI&quot;:&quot;10.1016/j.rser.2017.10.044&quot;,&quot;ISSN&quot;:&quot;18790690&quot;,&quot;abstract&quot;:&quot;The appropriate application of advanced control strategies in Heating, Ventilation, and Air-conditioning (HVAC) systems is key to improving the energy efficiency of buildings. Significant advances have been made in the past decades on model development to provide better control over the energy consumption of system components while simultaneously ensuring a satisfactory indoor environment in terms of thermal comfort and indoor air quality. Yet it is an ongoing challenge to select and implement the best-suited modeling technique for improving the control strategy of HVAC systems. For the development of modeling research it is important that the building research community is informed about the role, application, merits, shortcomings and outcomes of different modeling techniques used in HVAC systems. Even though several review articles have been published on modeling techniques, the weaknesses and strengths of these modeling techniques, along with performances of developed models associated with research studies, have rarely been identified. This study presents a critical review of current modeling techniques used in HVAC systems regarding their applicability and ease of acceptance in practice and summarizes the strengths, weaknesses, applications and performance of these modeling techniques. Additionally, the performance and outcome of some of the developed models used in real world HVAC systems have been discussed. From the extensive critical review it is evident that almost every model has a major/minor shortcoming generated from assumptions, unmeasured disturbances or uncertainties in some system properties. This review aims at highlighting the shortcomings of existing application-based research on HVAC systems, and accordingly, recommendations are presented to improve the performance of building HVAC systems.&quot;,&quot;author&quot;:[{&quot;dropping-particle&quot;:&quot;&quot;,&quot;family&quot;:&quot;Afroz&quot;,&quot;given&quot;:&quot;Zakia&quot;,&quot;non-dropping-particle&quot;:&quot;&quot;,&quot;parse-names&quot;:false,&quot;suffix&quot;:&quot;&quot;},{&quot;dropping-particle&quot;:&quot;&quot;,&quot;family&quot;:&quot;Shafiullah&quot;,&quot;given&quot;:&quot;G M&quot;,&quot;non-dropping-particle&quot;:&quot;&quot;,&quot;parse-names&quot;:false,&quot;suffix&quot;:&quot;&quot;},{&quot;dropping-particle&quot;:&quot;&quot;,&quot;family&quot;:&quot;Urmee&quot;,&quot;given&quot;:&quot;Tania&quot;,&quot;non-dropping-particle&quot;:&quot;&quot;,&quot;parse-names&quot;:false,&quot;suffix&quot;:&quot;&quot;},{&quot;dropping-particle&quot;:&quot;&quot;,&quot;family&quot;:&quot;Higgins&quot;,&quot;given&quot;:&quot;Gary&quot;,&quot;non-dropping-particle&quot;:&quot;&quot;,&quot;parse-names&quot;:false,&quot;suffix&quot;:&quot;&quot;}],&quot;container-title&quot;:&quot;Renewable and Sustainable Energy Reviews&quot;,&quot;id&quot;:&quot;468aec29-faf7-3840-a7df-f03d1e87a720&quot;,&quot;issued&quot;:{&quot;date-parts&quot;:[[&quot;2018&quot;,&quot;3&quot;]]},&quot;page&quot;:&quot;64-84&quot;,&quot;publisher&quot;:&quot;Pergamon&quot;,&quot;title&quot;:&quot;Modeling techniques used in building HVAC control systems: A review&quot;,&quot;type&quot;:&quot;article-journal&quot;,&quot;volume&quot;:&quot;83&quot;,&quot;container-title-short&quot;:&quot;&quot;},&quot;uris&quot;:[&quot;http://www.mendeley.com/documents/?uuid=ca427da1-a33a-4b9b-bee0-54c427ae19d0&quot;],&quot;isTemporary&quot;:false,&quot;legacyDesktopId&quot;:&quot;ca427da1-a33a-4b9b-bee0-54c427ae19d0&quot;}]},{&quot;citationID&quot;:&quot;MENDELEY_CITATION_dfa6032a-fce6-4340-971d-fda8c98c7461&quot;,&quot;properties&quot;:{&quot;noteIndex&quot;:0},&quot;isEdited&quot;:false,&quot;manualOverride&quot;:{&quot;citeprocText&quot;:&quot;[86]&quot;,&quot;isManuallyOverridden&quot;:false,&quot;manualOverrideText&quot;:&quot;&quot;},&quot;citationTag&quot;:&quot;MENDELEY_CITATION_v3_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&quot;,&quot;citationItems&quot;:[{&quot;id&quot;:&quot;dad838db-4e4f-3a57-958f-eab01d625132&quot;,&quot;itemData&quot;:{&quot;DOI&quot;:&quot;10.1016/j.apenergy.2010.12.028&quot;,&quot;ISSN&quot;:&quot;03062619&quot;,&quot;abstract&quot;:&quot;The wider implementation of variable renewable energy sources such as wind across the UK and Ireland will demand interconnection, energy storage and more dynamic energy systems to maintain a stable energy system that makes full use of one of our best renewable energy resources. However large scale energy storage e.g. pumped storage may be economically challenging. Therefore can thermal energy storage deployed domestically fulfil an element of such an energy storage role? Current electricity pricing is based on a 1/2 hourly timeframe which will be demonstrated to have some benefits for hot water heating from electrical water heaters in the first instance. However heat pumps linked to energy storage can displace fossil fuel heating systems and therefore the question is whether a renewable tariff based on \&quot; excess\&quot; wind for example is sufficient to operate heat pumps. An initial analysis of this scenario will be presented and its potential role in challenging aspects of fuel poverty. ©2010 Elsevier Ltd.&quot;,&quot;author&quot;:[{&quot;dropping-particle&quot;:&quot;&quot;,&quot;family&quot;:&quot;Hewitt&quot;,&quot;given&quot;:&quot;Neil J&quot;,&quot;non-dropping-particle&quot;:&quot;&quot;,&quot;parse-names&quot;:false,&quot;suffix&quot;:&quot;&quot;}],&quot;container-title&quot;:&quot;Applied Energy&quot;,&quot;id&quot;:&quot;dad838db-4e4f-3a57-958f-eab01d625132&quot;,&quot;issue&quot;:&quot;1&quot;,&quot;issued&quot;:{&quot;date-parts&quot;:[[&quot;2012&quot;]]},&quot;page&quot;:&quot;37-44&quot;,&quot;publisher&quot;:&quot;Elsevier Ltd&quot;,&quot;title&quot;:&quot;Heat pumps and energy storage - The challenges of implementation&quot;,&quot;type&quot;:&quot;article-journal&quot;,&quot;volume&quot;:&quot;89&quot;,&quot;container-title-short&quot;:&quot;Appl Energy&quot;},&quot;uris&quot;:[&quot;http://www.mendeley.com/documents/?uuid=52bc1fcf-9ced-427c-90ed-665401324637&quot;],&quot;isTemporary&quot;:false,&quot;legacyDesktopId&quot;:&quot;52bc1fcf-9ced-427c-90ed-665401324637&quot;}]},{&quot;citationID&quot;:&quot;MENDELEY_CITATION_2a265123-ca6a-4372-8a41-02cb2683ec1c&quot;,&quot;properties&quot;:{&quot;noteIndex&quot;:0},&quot;isEdited&quot;:false,&quot;manualOverride&quot;:{&quot;citeprocText&quot;:&quot;[87]&quot;,&quot;isManuallyOverridden&quot;:false,&quot;manualOverrideText&quot;:&quot;&quot;},&quot;citationTag&quot;:&quot;MENDELEY_CITATION_v3_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&quot;,&quot;citationItems&quot;:[{&quot;id&quot;:&quot;b7a04763-6b9d-3b96-a0ee-fc1c2ea8c3b7&quot;,&quot;itemData&quot;:{&quot;DOI&quot;:&quot;10.1007/s10973-019-08930-1&quot;,&quot;ISSN&quot;:&quot;15882926&quot;,&quot;abstract&quot;:&quot;A large portion of world’s final energy consumption is employed in thermal form. The proper techniques can be used to improve the efficiencies of thermal energy systems and decrease the energy consumption. Phase change material (PCM) storage modules can be coupled with different thermal systems to improve their thermal efficiency. This paper reviews the real potentials of coupling PCM storage modules to heat pipes and heat pumps in terms of energy saving and thermal energy management. The different systems suggested by researchers are described, and the main findings of the studies are provided. The advantages and disadvantages of these combined systems are discussed, and some suggestions for future studies are provided. The results show that heat pipes show great heat transfer ability and have good efficiency in improving heat transfer within PCMs. Moreover, heat pipes can be incorporated into PCMs to decrease the thermal resistance. The purpose of PCM coupled with heat pipe is to incorporate the large thermal conductivity of heat pipe with the large latent heat capacity of PCM. PCMs have ability to balance the unconformity between supply and demand in heat pumps and decrease the size of storage tank used in a heat pump module.&quot;,&quot;author&quot;:[{&quot;dropping-particle&quot;:&quot;&quot;,&quot;family&quot;:&quot;Rashidi&quot;,&quot;given&quot;:&quot;S.&quot;,&quot;non-dropping-particle&quot;:&quot;&quot;,&quot;parse-names&quot;:false,&quot;suffix&quot;:&quot;&quot;},{&quot;dropping-particle&quot;:&quot;&quot;,&quot;family&quot;:&quot;Shamsabadi&quot;,&quot;given&quot;:&quot;H.&quot;,&quot;non-dropping-particle&quot;:&quot;&quot;,&quot;parse-names&quot;:false,&quot;suffix&quot;:&quot;&quot;},{&quot;dropping-particle&quot;:&quot;&quot;,&quot;family&quot;:&quot;Esfahani&quot;,&quot;given&quot;:&quot;J. A.&quot;,&quot;non-dropping-particle&quot;:&quot;&quot;,&quot;parse-names&quot;:false,&quot;suffix&quot;:&quot;&quot;},{&quot;dropping-particle&quot;:&quot;&quot;,&quot;family&quot;:&quot;Harmand&quot;,&quot;given&quot;:&quot;S.&quot;,&quot;non-dropping-particle&quot;:&quot;&quot;,&quot;parse-names&quot;:false,&quot;suffix&quot;:&quot;&quot;}],&quot;container-title&quot;:&quot;Journal of Thermal Analysis and Calorimetry&quot;,&quot;id&quot;:&quot;b7a04763-6b9d-3b96-a0ee-fc1c2ea8c3b7&quot;,&quot;issue&quot;:&quot;4&quot;,&quot;issued&quot;:{&quot;date-parts&quot;:[[&quot;2020&quot;,&quot;5&quot;,&quot;1&quot;]]},&quot;page&quot;:&quot;1655-1713&quot;,&quot;publisher&quot;:&quot;Springer Netherlands&quot;,&quot;title&quot;:&quot;A review on potentials of coupling PCM storage modules to heat pipes and heat pumps&quot;,&quot;type&quot;:&quot;article&quot;,&quot;volume&quot;:&quot;140&quot;,&quot;container-title-short&quot;:&quot;J Therm Anal Calorim&quot;},&quot;uris&quot;:[&quot;http://www.mendeley.com/documents/?uuid=b7a04763-6b9d-3b96-a0ee-fc1c2ea8c3b7&quot;],&quot;isTemporary&quot;:false,&quot;legacyDesktopId&quot;:&quot;b7a04763-6b9d-3b96-a0ee-fc1c2ea8c3b7&quot;}]},{&quot;citationID&quot;:&quot;MENDELEY_CITATION_f58db18b-9979-40f6-995d-abfa4e514d1f&quot;,&quot;properties&quot;:{&quot;noteIndex&quot;:0},&quot;isEdited&quot;:false,&quot;manualOverride&quot;:{&quot;citeprocText&quot;:&quot;[88]&quot;,&quot;isManuallyOverridden&quot;:false,&quot;manualOverrideText&quot;:&quot;&quot;},&quot;citationTag&quot;:&quot;MENDELEY_CITATION_v3_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&quot;,&quot;citationItems&quot;:[{&quot;id&quot;:&quot;18cd72ca-8754-3ae1-9d55-4e7c8c3d2f42&quot;,&quot;itemData&quot;:{&quot;DOI&quot;:&quot;10.1016/j.est.2021.102569&quot;,&quot;ISSN&quot;:&quot;2352152X&quot;,&quot;abstract&quot;:&quot;Heat pumps are considered as easy to use while utilizing the possibility of bringing low-temperature heat sources to a higher temperature. Thus, low-grade renewable energy sources (such as air, water, ground, solar), as well as waste heat sources, can be used to reduce the demand for fossil fuels and greenhouse gas emissions. Their big advantage is in the supply of both heating and cooling, they can be operated even in simultaneous mode. This means that virtually no heat is dissipated, making such systems truly efficient. However, to fully exploit their potential, it is necessary to install thermal energy storage units so that their operation is more continuous and economical. In this article are therefore presented different kinds of heat pump systems for heating and cooling of buildings (with a focus on air and ground heat pumps) that have integrated thermal energy storage either in the form of water (ice) storage tanks, ground or phase change material. The emphasis of the research is on the impact of thermal energy storage implementation on system operation, energy efficiency and cost-effectiveness. Results from different studies are compared in terms of COPs, TES sizes, storage media, performance indicators.&quot;,&quot;author&quot;:[{&quot;dropping-particle&quot;:&quot;&quot;,&quot;family&quot;:&quot;Osterman&quot;,&quot;given&quot;:&quot;Eneja&quot;,&quot;non-dropping-particle&quot;:&quot;&quot;,&quot;parse-names&quot;:false,&quot;suffix&quot;:&quot;&quot;},{&quot;dropping-particle&quot;:&quot;&quot;,&quot;family&quot;:&quot;Stritih&quot;,&quot;given&quot;:&quot;Uroš&quot;,&quot;non-dropping-particle&quot;:&quot;&quot;,&quot;parse-names&quot;:false,&quot;suffix&quot;:&quot;&quot;}],&quot;container-title&quot;:&quot;Journal of Energy Storage&quot;,&quot;id&quot;:&quot;18cd72ca-8754-3ae1-9d55-4e7c8c3d2f42&quot;,&quot;issued&quot;:{&quot;date-parts&quot;:[[&quot;2021&quot;,&quot;7&quot;,&quot;1&quot;]]},&quot;page&quot;:&quot;102569&quot;,&quot;publisher&quot;:&quot;Elsevier&quot;,&quot;title&quot;:&quot;Review on compression heat pump systems with thermal energy storage for heating and cooling of buildings&quot;,&quot;type&quot;:&quot;article&quot;,&quot;volume&quot;:&quot;39&quot;,&quot;container-title-short&quot;:&quot;J Energy Storage&quot;},&quot;uris&quot;:[&quot;http://www.mendeley.com/documents/?uuid=18cd72ca-8754-3ae1-9d55-4e7c8c3d2f42&quot;],&quot;isTemporary&quot;:false,&quot;legacyDesktopId&quot;:&quot;18cd72ca-8754-3ae1-9d55-4e7c8c3d2f42&quot;}]},{&quot;citationID&quot;:&quot;MENDELEY_CITATION_8251d7c2-8dd6-4303-aa3e-da77a2aeab33&quot;,&quot;properties&quot;:{&quot;noteIndex&quot;:0},&quot;isEdited&quot;:false,&quot;manualOverride&quot;:{&quot;isManuallyOverridden&quot;:false,&quot;citeprocText&quot;:&quot;[89]&quot;,&quot;manualOverrideText&quot;:&quot;&quot;},&quot;citationTag&quot;:&quot;MENDELEY_CITATION_v3_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&quot;,&quot;citationItems&quot;:[{&quot;id&quot;:&quot;58e1ec73-0462-3a35-bfdc-ca1e114781f7&quot;,&quot;itemData&quot;:{&quot;type&quot;:&quot;article-journal&quot;,&quot;id&quot;:&quot;58e1ec73-0462-3a35-bfdc-ca1e114781f7&quot;,&quot;title&quot;:&quot;Phase change material based thermal energy storage applications for air conditioning: Review&quot;,&quot;author&quot;:[{&quot;family&quot;:&quot;Takudzwa Muzhanje&quot;,&quot;given&quot;:&quot;Allan&quot;,&quot;parse-names&quot;:false,&quot;dropping-particle&quot;:&quot;&quot;,&quot;non-dropping-particle&quot;:&quot;&quot;},{&quot;family&quot;:&quot;Hassan&quot;,&quot;given&quot;:&quot;M. A.&quot;,&quot;parse-names&quot;:false,&quot;dropping-particle&quot;:&quot;&quot;,&quot;non-dropping-particle&quot;:&quot;&quot;},{&quot;family&quot;:&quot;Hassan&quot;,&quot;given&quot;:&quot;Hamdy&quot;,&quot;parse-names&quot;:false,&quot;dropping-particle&quot;:&quot;&quot;,&quot;non-dropping-particle&quot;:&quot;&quot;}],&quot;container-title&quot;:&quot;Applied Thermal Engineering&quot;,&quot;container-title-short&quot;:&quot;Appl Therm Eng&quot;,&quot;accessed&quot;:{&quot;date-parts&quot;:[[2023,1,19]]},&quot;DOI&quot;:&quot;10.1016/J.APPLTHERMALENG.2022.118832&quot;,&quot;ISSN&quot;:&quot;1359-4311&quot;,&quot;issued&quot;:{&quot;date-parts&quot;:[[2022,9,1]]},&quot;page&quot;:&quot;118832&quot;,&quot;abstract&quot;:&quot;Phase change material thermal energy storage is a potent solution for energy savings in air conditioning applications. Wherefore thermal comfort is an essential aspect of the human life, air conditioning energy usages have soared significantly due to extreme climates, population growth and rising of living standards. Resultantly research efforts have shown increasing innovation towards the integration of phase change material based thermal energy storage technology with space heating/cooling systems to achieve significant savings. The review therefore focuses on the previous published experimental and theoretical works to organize these important milestones, analyze energy saving avenues as well as giving highlights on best practices and widely accepted techniques and recommendations for all reviewed studies to achieve cost cutting but accurate results. It also discusses the useful enhancements that can be implemented for optimum performance of the PCMs. The reviewed potential benefits of PCMs integration in air conditioning units include enhancements in the coefficient of performance by ∼1.8% at minimum, at least 5% energy savings and estimated reduction of CO2 emissions by about 30%.&quot;,&quot;publisher&quot;:&quot;Pergamon&quot;,&quot;volume&quot;:&quot;214&quot;},&quot;isTemporary&quot;:false}]},{&quot;citationID&quot;:&quot;MENDELEY_CITATION_5c5dd3ae-52ca-4e47-8e5c-03b2ecb22e00&quot;,&quot;properties&quot;:{&quot;noteIndex&quot;:0},&quot;isEdited&quot;:false,&quot;manualOverride&quot;:{&quot;isManuallyOverridden&quot;:false,&quot;citeprocText&quot;:&quot;[90]&quot;,&quot;manualOverrideText&quot;:&quot;&quot;},&quot;citationTag&quot;:&quot;MENDELEY_CITATION_v3_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&quot;,&quot;citationItems&quot;:[{&quot;id&quot;:&quot;a2c5ae5e-648a-3846-9ced-80f83b1e451a&quot;,&quot;itemData&quot;:{&quot;type&quot;:&quot;article-journal&quot;,&quot;id&quot;:&quot;a2c5ae5e-648a-3846-9ced-80f83b1e451a&quot;,&quot;title&quot;:&quot;Thermal storage integrated into air-source heat pumps to leverage building electrification: A systematic literature review&quot;,&quot;author&quot;:[{&quot;family&quot;:&quot;Ermel&quot;,&quot;given&quot;:&quot;Conrado&quot;,&quot;parse-names&quot;:false,&quot;dropping-particle&quot;:&quot;&quot;,&quot;non-dropping-particle&quot;:&quot;&quot;},{&quot;family&quot;:&quot;Bianchi&quot;,&quot;given&quot;:&quot;Marcus V.A.&quot;,&quot;parse-names&quot;:false,&quot;dropping-particle&quot;:&quot;&quot;,&quot;non-dropping-particle&quot;:&quot;&quot;},{&quot;family&quot;:&quot;Cardoso&quot;,&quot;given&quot;:&quot;Ana Paula&quot;,&quot;parse-names&quot;:false,&quot;dropping-particle&quot;:&quot;&quot;,&quot;non-dropping-particle&quot;:&quot;&quot;},{&quot;family&quot;:&quot;Schneider&quot;,&quot;given&quot;:&quot;Paulo S.&quot;,&quot;parse-names&quot;:false,&quot;dropping-particle&quot;:&quot;&quot;,&quot;non-dropping-particle&quot;:&quot;&quot;}],&quot;container-title&quot;:&quot;Applied Thermal Engineering&quot;,&quot;container-title-short&quot;:&quot;Appl Therm Eng&quot;,&quot;accessed&quot;:{&quot;date-parts&quot;:[[2023,1,19]]},&quot;DOI&quot;:&quot;10.1016/J.APPLTHERMALENG.2022.118975&quot;,&quot;ISSN&quot;:&quot;1359-4311&quot;,&quot;issued&quot;:{&quot;date-parts&quot;:[[2022,10,1]]},&quot;page&quot;:&quot;118975&quot;,&quot;abstract&quot;:&quot;Air-source heat pumps (ASHPs) can support a decarbonized economy by replacing combustion appliances in homes and electrifying heating systems in buildings. However, ASHPs have not seen significant adoption primarily due to deteriorated performance under cold conditions—at very low temperatures they require auxiliary resistance heating to meet the heating demand and defrost the evaporator. The additional heat lowers the system efficiency. Thermal energy storage (TES) is a candidate technology to help overcome some of these issues. This paper presents a systematic literature review to map the existing research on the integration of TES into ASHPs. Our review of 59 publications indicates that thermal storage increases the ASHP coefficient of performance by 27% on average, albeit with higher initial cost compared to conventional fossil-fueled heating systems. Phase change materials may be ideal to be integrated with ASHPs due to their high energy density and compact design, but only a few publications address TES sizing and design. First and Second Laws of Thermodynamics are widely used to create metrics to assess ASHP-TES integration, and only recently have cost and environmental impact been explored. This literature review suggests that more comprehensive metrics are needed to evaluate the potential benefits of ASHP-TES systems.&quot;,&quot;publisher&quot;:&quot;Pergamon&quot;,&quot;volume&quot;:&quot;215&quot;},&quot;isTemporary&quot;:false}]},{&quot;citationID&quot;:&quot;MENDELEY_CITATION_61e5942f-1e19-4ccb-a37d-80a687f565ed&quot;,&quot;properties&quot;:{&quot;noteIndex&quot;:0},&quot;isEdited&quot;:false,&quot;manualOverride&quot;:{&quot;isManuallyOverridden&quot;:false,&quot;citeprocText&quot;:&quot;[91]&quot;,&quot;manualOverrideText&quot;:&quot;&quot;},&quot;citationTag&quot;:&quot;MENDELEY_CITATION_v3_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&quot;,&quot;citationItems&quot;:[{&quot;id&quot;:&quot;37257dd1-c5be-3d0a-a59e-c1b5721c28bc&quot;,&quot;itemData&quot;:{&quot;type&quot;:&quot;article-journal&quot;,&quot;id&quot;:&quot;37257dd1-c5be-3d0a-a59e-c1b5721c28bc&quot;,&quot;title&quot;:&quot;Review on heat pump (HP) coupled with phase change material (PCM) for thermal energy storage&quot;,&quot;author&quot;:[{&quot;family&quot;:&quot;Gu&quot;,&quot;given&quot;:&quot;Heng&quot;,&quot;parse-names&quot;:false,&quot;dropping-particle&quot;:&quot;&quot;,&quot;non-dropping-particle&quot;:&quot;&quot;},{&quot;family&quot;:&quot;Chen&quot;,&quot;given&quot;:&quot;Yuanyuan&quot;,&quot;parse-names&quot;:false,&quot;dropping-particle&quot;:&quot;&quot;,&quot;non-dropping-particle&quot;:&quot;&quot;},{&quot;family&quot;:&quot;Yao&quot;,&quot;given&quot;:&quot;Xiaoyan&quot;,&quot;parse-names&quot;:false,&quot;dropping-particle&quot;:&quot;&quot;,&quot;non-dropping-particle&quot;:&quot;&quot;},{&quot;family&quot;:&quot;Huang&quot;,&quot;given&quot;:&quot;Li&quot;,&quot;parse-names&quot;:false,&quot;dropping-particle&quot;:&quot;&quot;,&quot;non-dropping-particle&quot;:&quot;&quot;},{&quot;family&quot;:&quot;Zou&quot;,&quot;given&quot;:&quot;Deqiu&quot;,&quot;parse-names&quot;:false,&quot;dropping-particle&quot;:&quot;&quot;,&quot;non-dropping-particle&quot;:&quot;&quot;}],&quot;container-title&quot;:&quot;Chemical Engineering Journal&quot;,&quot;accessed&quot;:{&quot;date-parts&quot;:[[2023,1,19]]},&quot;DOI&quot;:&quot;10.1016/J.CEJ.2022.140701&quot;,&quot;ISSN&quot;:&quot;1385-8947&quot;,&quot;issued&quot;:{&quot;date-parts&quot;:[[2022,12,2]]},&quot;page&quot;:&quot;140701&quot;,&quot;abstract&quot;:&quot;In the context of carbon peaking as well as carbon neutral, energy storage, as well as energy saving technology, have become a research hot spot. The combination of energy-saving heat pump (HP) and phase change material (PCM) with high heat storage density can greatly improve the performance of HP. Therefore, HP coupled with PCM has received wide attention. In this paper, firstly, we overview the classification, thermophysical properties and modification of PCM for HP system. Then thermal energy storage (TES) for thermal energy supply and defrosting on both sides of condenser and evaporator are summarized in detail. Furthermore, the frontier technologies of coupling HP with PCM driven by renewable energy are introduced. Finally, the existing problems, solutions, and future research directions are put forward.&quot;,&quot;publisher&quot;:&quot;Elsevier&quot;,&quot;container-title-short&quot;:&quot;&quot;},&quot;isTemporary&quot;:false}]},{&quot;citationID&quot;:&quot;MENDELEY_CITATION_2cb5d1cd-a54f-45d7-967e-7b839c99554b&quot;,&quot;properties&quot;:{&quot;noteIndex&quot;:0},&quot;isEdited&quot;:false,&quot;manualOverride&quot;:{&quot;citeprocText&quot;:&quot;[92]&quot;,&quot;isManuallyOverridden&quot;:false,&quot;manualOverrideText&quot;:&quot;&quot;},&quot;citationTag&quot;:&quot;MENDELEY_CITATION_v3_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&quot;,&quot;citationItems&quot;:[{&quot;id&quot;:&quot;a3ecfc8f-cc3a-3633-b1ca-9bd928ad0926&quot;,&quot;itemData&quot;:{&quot;type&quot;:&quot;article-journal&quot;,&quot;id&quot;:&quot;a3ecfc8f-cc3a-3633-b1ca-9bd928ad0926&quot;,&quot;title&quot;:&quot;Improving the Use of Commercial Building HVAC Systems for Electric Grid Ancillary Services&quot;,&quot;author&quot;:[{&quot;family&quot;:&quot;Blum&quot;,&quot;given&quot;:&quot;David H&quot;,&quot;parse-names&quot;:false,&quot;dropping-particle&quot;:&quot;&quot;,&quot;non-dropping-particle&quot;:&quot;&quot;}],&quot;issued&quot;:{&quot;date-parts&quot;:[[2016]]},&quot;container-title-short&quot;:&quot;&quot;},&quot;uris&quot;:[&quot;http://www.mendeley.com/documents/?uuid=4e331be0-499d-4c5e-bf6f-a884466fada3&quot;],&quot;isTemporary&quot;:false,&quot;legacyDesktopId&quot;:&quot;4e331be0-499d-4c5e-bf6f-a884466fada3&quot;}]},{&quot;citationID&quot;:&quot;MENDELEY_CITATION_ffbc5857-5e59-4a45-8e5b-ae206cccb0df&quot;,&quot;properties&quot;:{&quot;noteIndex&quot;:0},&quot;isEdited&quot;:false,&quot;manualOverride&quot;:{&quot;citeprocText&quot;:&quot;[56]&quot;,&quot;isManuallyOverridden&quot;:false,&quot;manualOverrideText&quot;:&quot;&quot;},&quot;citationTag&quot;:&quot;MENDELEY_CITATION_v3_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&quot;,&quot;citationItems&quot;:[{&quot;id&quot;:&quot;0ffd8964-bb25-39d7-a882-3c5990107ac7&quot;,&quot;itemData&quot;:{&quot;DOI&quot;:&quot;10.1016/j.enbuild.2018.08.003&quot;,&quot;ISSN&quot;:&quot;03787788&quot;,&quot;abstract&quot;:&quot;This paper classifies and discusses the energy flexibility improvement strategies for demand responsive control in grid-interactive buildings based on a comprehensive study of the literature. Both supply and demand sides are considered. The flexibility measures range from renewable energy such as photovoltaic cells (PV) and wind to heating, ventilation, and air conditioning (HVAC) systems, energy storage, building thermal mass, appliances, and occupant behaviors. Currently, owing to the highly developed smart appliances and sensing communication techniques, DR is considered as an essential measure for improving energy flexibility in buildings without much additional investment. With the help of advanced demand response (DR) control strategies and measures, buildings can become more flexible in terms of power demand from the power grid. In this way, buildings achieve a better ability to balance differences in energy supply and demand. Furthermore, a synergistic approach with various measures is advisable, e.g., the use of energy storage technologies with PV and passive DR methods. This paper summarizes the measures for improving the flexibility of commercial and residential buildings, and develops a systematic methodology framework to evaluate energy demand flexibility in buildings.&quot;,&quot;author&quot;:[{&quot;dropping-particle&quot;:&quot;&quot;,&quot;family&quot;:&quot;Chen&quot;,&quot;given&quot;:&quot;Yongbao&quot;,&quot;non-dropping-particle&quot;:&quot;&quot;,&quot;parse-names&quot;:false,&quot;suffix&quot;:&quot;&quot;},{&quot;dropping-particle&quot;:&quot;&quot;,&quot;family&quot;:&quot;Xu&quot;,&quot;given&quot;:&quot;Peng&quot;,&quot;non-dropping-particle&quot;:&quot;&quot;,&quot;parse-names&quot;:false,&quot;suffix&quot;:&quot;&quot;},{&quot;dropping-particle&quot;:&quot;&quot;,&quot;family&quot;:&quot;Gu&quot;,&quot;given&quot;:&quot;Jiefan&quot;,&quot;non-dropping-particle&quot;:&quot;&quot;,&quot;parse-names&quot;:false,&quot;suffix&quot;:&quot;&quot;},{&quot;dropping-particle&quot;:&quot;&quot;,&quot;family&quot;:&quot;Schmidt&quot;,&quot;given&quot;:&quot;Ferdinand&quot;,&quot;non-dropping-particle&quot;:&quot;&quot;,&quot;parse-names&quot;:false,&quot;suffix&quot;:&quot;&quot;},{&quot;dropping-particle&quot;:&quot;&quot;,&quot;family&quot;:&quot;Li&quot;,&quot;given&quot;:&quot;Weilin&quot;,&quot;non-dropping-particle&quot;:&quot;&quot;,&quot;parse-names&quot;:false,&quot;suffix&quot;:&quot;&quot;}],&quot;container-title&quot;:&quot;Energy and Buildings&quot;,&quot;id&quot;:&quot;0ffd8964-bb25-39d7-a882-3c5990107ac7&quot;,&quot;issued&quot;:{&quot;date-parts&quot;:[[&quot;2018&quot;,&quot;10&quot;,&quot;15&quot;]]},&quot;page&quot;:&quot;125-139&quot;,&quot;publisher&quot;:&quot;Elsevier Ltd&quot;,&quot;title&quot;:&quot;Measures to improve energy demand flexibility in buildings for demand response (DR): A review&quot;,&quot;type&quot;:&quot;article&quot;,&quot;volume&quot;:&quot;177&quot;,&quot;container-title-short&quot;:&quot;Energy Build&quot;},&quot;uris&quot;:[&quot;http://www.mendeley.com/documents/?uuid=0ffd8964-bb25-39d7-a882-3c5990107ac7&quot;],&quot;isTemporary&quot;:false,&quot;legacyDesktopId&quot;:&quot;0ffd8964-bb25-39d7-a882-3c5990107ac7&quot;}]},{&quot;citationID&quot;:&quot;MENDELEY_CITATION_08d8b0e2-36aa-4714-8d1b-3c8bdb3e2967&quot;,&quot;properties&quot;:{&quot;noteIndex&quot;:0},&quot;isEdited&quot;:false,&quot;manualOverride&quot;:{&quot;citeprocText&quot;:&quot;[57]&quot;,&quot;isManuallyOverridden&quot;:false,&quot;manualOverrideText&quot;:&quot;&quot;},&quot;citationTag&quot;:&quot;MENDELEY_CITATION_v3_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&quot;,&quot;citationItems&quot;:[{&quot;id&quot;:&quot;560e10f1-4af0-373e-8a0c-dcc5f8a6a8ea&quot;,&quot;itemData&quot;:{&quot;DOI&quot;:&quot;10.1016/j.enbuild.2017.08.044&quot;,&quot;ISSN&quot;:&quot;03787788&quot;,&quot;abstract&quot;:&quot;The increasing global energy demand, the foreseen reduction of available fossil fuels and the increasing evidence off global warming during the last decades have generated a high interest in renewable energy sources. However, renewable energy sources, such as wind and solar power, have an intrinsic variability that can seriously affect the stability of the energy system if they account for a high percentage of the total generation. The Energy Flexibility of buildings is commonly suggested as part of the solution to alleviate some of the upcoming challenges in the future demand-respond energy systems (electrical, district heating and gas grids). Buildings can supply flexibility services in different ways, e.g. utilization of thermal mass, adjustability of HVAC system use (e.g. heating/cooling/ventilation), charging of electric vehicles, and shifting of plug-loads. However, there is currently no overview or insight into how much Energy Flexibility different building may be able to offer to the future energy systems in the sense of avoiding excess energy production, increase the stability of the energy networks, minimize congestion problems, enhance the efficiency and cost effectiveness of the future energy networks. Therefore, there is a need for increasing knowledge on and demonstration of the Energy Flexibility buildings can provide to energy networks. At the same time, there is a need for identifying critical aspects and possible solutions to manage this Energy Flexibility, while maintaining the comfort of the occupants and minimizing the use of non-renewable energy. In this context, the IEA (International Energy Agency) EBC (Energy in Buildings and Communities program) Annex 67: “Energy Flexible Buildings” was started in 2015. The article presents the background and the work plan of IEA EBC Annex 67 as well as already obtained results. Annex 67 is a corporation between participants from 16 countries: Austria, Belgium, Canada, China, Denmark, Finland, France, Germany, Ireland, Italy, The Netherlands, Norway, Portugal, Spain, Switzerland and UK.&quot;,&quot;author&quot;:[{&quot;dropping-particle&quot;:&quot;&quot;,&quot;family&quot;:&quot;Jensen&quot;,&quot;given&quot;:&quot;Søren Østergaard&quot;,&quot;non-dropping-particle&quot;:&quot;&quot;,&quot;parse-names&quot;:false,&quot;suffix&quot;:&quot;&quot;},{&quot;dropping-particle&quot;:&quot;&quot;,&quot;family&quot;:&quot;Marszal-Pomianowska&quot;,&quot;given&quot;:&quot;Anna&quot;,&quot;non-dropping-particle&quot;:&quot;&quot;,&quot;parse-names&quot;:false,&quot;suffix&quot;:&quot;&quot;},{&quot;dropping-particle&quot;:&quot;&quot;,&quot;family&quot;:&quot;Lollini&quot;,&quot;given&quot;:&quot;Roberto&quot;,&quot;non-dropping-particle&quot;:&quot;&quot;,&quot;parse-names&quot;:false,&quot;suffix&quot;:&quot;&quot;},{&quot;dropping-particle&quot;:&quot;&quot;,&quot;family&quot;:&quot;Pasut&quot;,&quot;given&quot;:&quot;Wilmer&quot;,&quot;non-dropping-particle&quot;:&quot;&quot;,&quot;parse-names&quot;:false,&quot;suffix&quot;:&quot;&quot;},{&quot;dropping-particle&quot;:&quot;&quot;,&quot;family&quot;:&quot;Knotzer&quot;,&quot;given&quot;:&quot;Armin&quot;,&quot;non-dropping-particle&quot;:&quot;&quot;,&quot;parse-names&quot;:false,&quot;suffix&quot;:&quot;&quot;},{&quot;dropping-particle&quot;:&quot;&quot;,&quot;family&quot;:&quot;Engelmann&quot;,&quot;given&quot;:&quot;Peter&quot;,&quot;non-dropping-particle&quot;:&quot;&quot;,&quot;parse-names&quot;:false,&quot;suffix&quot;:&quot;&quot;},{&quot;dropping-particle&quot;:&quot;&quot;,&quot;family&quot;:&quot;Stafford&quot;,&quot;given&quot;:&quot;Anne&quot;,&quot;non-dropping-particle&quot;:&quot;&quot;,&quot;parse-names&quot;:false,&quot;suffix&quot;:&quot;&quot;},{&quot;dropping-particle&quot;:&quot;&quot;,&quot;family&quot;:&quot;Reynders&quot;,&quot;given&quot;:&quot;Glenn&quot;,&quot;non-dropping-particle&quot;:&quot;&quot;,&quot;parse-names&quot;:false,&quot;suffix&quot;:&quot;&quot;}],&quot;container-title&quot;:&quot;Energy and Buildings&quot;,&quot;id&quot;:&quot;560e10f1-4af0-373e-8a0c-dcc5f8a6a8ea&quot;,&quot;issued&quot;:{&quot;date-parts&quot;:[[&quot;2017&quot;,&quot;11&quot;,&quot;15&quot;]]},&quot;page&quot;:&quot;25-34&quot;,&quot;publisher&quot;:&quot;Elsevier Ltd&quot;,&quot;title&quot;:&quot;IEA EBC Annex 67 Energy Flexible Buildings&quot;,&quot;type&quot;:&quot;article-journal&quot;,&quot;volume&quot;:&quot;155&quot;,&quot;container-title-short&quot;:&quot;Energy Build&quot;},&quot;uris&quot;:[&quot;http://www.mendeley.com/documents/?uuid=560e10f1-4af0-373e-8a0c-dcc5f8a6a8ea&quot;],&quot;isTemporary&quot;:false,&quot;legacyDesktopId&quot;:&quot;560e10f1-4af0-373e-8a0c-dcc5f8a6a8ea&quot;}]},{&quot;citationID&quot;:&quot;MENDELEY_CITATION_0b1c47dc-84d8-4f06-a6d5-8c9c72e562cd&quot;,&quot;properties&quot;:{&quot;noteIndex&quot;:0},&quot;isEdited&quot;:false,&quot;manualOverride&quot;:{&quot;citeprocText&quot;:&quot;[50]&quot;,&quot;isManuallyOverridden&quot;:false,&quot;manualOverrideText&quot;:&quot;&quot;},&quot;citationTag&quot;:&quot;MENDELEY_CITATION_v3_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&quot;,&quot;citationItems&quot;:[{&quot;id&quot;:&quot;95de8722-83a7-3ded-8e09-bb5bc3b2532b&quot;,&quot;itemData&quot;:{&quot;abstract&quot;:&quot;The U.S. Department of Energy's (DOE) Office of Energy Efficiency and Renewable Energy has developed this Buildings Energy Data Book to provide a current and accurate set of comprehensive buildings-related data, and to promote the use of such data for consistency throughout DOE programs. Data is organized into nine chapters; Chapter 1 – Buildings Sector, Chapter 2 – Residential Sector, Chapter 3 – Commercial Sector, Chapter 4 – Federal Sector, Chapter 5 – Envelope and Equipment, Chapter 6– Energy Supply, Chapter 7 – Energy Codes, Standards, and Laws, Chapter 8 – Water Data, and Chapter 9 – Market Transformation. New data tables on commercial building energy benchmarks were added to their relevant sections. New data tables were also developed from an updated report on commercial refrigeration. You will also find updated market transformation data from the ENERGY STAR program and the U.S. Green Building Council. We continue to refine and provide water data. We hope you find the 2011 Buildings Energy Data Book useful. You are encouraged to comment on errors, omissions, emphases, and organization of this report to the person listed below. Requests for additional copies of this report, additional data, or information on an existing table should be referred to D&amp;R International.&quot;,&quot;author&quot;:[{&quot;dropping-particle&quot;:&quot;&quot;,&quot;family&quot;:&quot;U.S. Department of Energy&quot;,&quot;given&quot;:&quot;&quot;,&quot;non-dropping-particle&quot;:&quot;&quot;,&quot;parse-names&quot;:false,&quot;suffix&quot;:&quot;&quot;}],&quot;container-title&quot;:&quot;Office of Energy Efficiency and Renewable Energy&quot;,&quot;id&quot;:&quot;95de8722-83a7-3ded-8e09-bb5bc3b2532b&quot;,&quot;issued&quot;:{&quot;date-parts&quot;:[[&quot;2011&quot;]]},&quot;number-of-pages&quot;:&quot;1-81&quot;,&quot;title&quot;:&quot;2011 Buildings Energy Data Book&quot;,&quot;type&quot;:&quot;report&quot;,&quot;container-title-short&quot;:&quot;&quot;},&quot;uris&quot;:[&quot;http://www.mendeley.com/documents/?uuid=95de8722-83a7-3ded-8e09-bb5bc3b2532b&quot;],&quot;isTemporary&quot;:false,&quot;legacyDesktopId&quot;:&quot;95de8722-83a7-3ded-8e09-bb5bc3b2532b&quot;}]},{&quot;citationID&quot;:&quot;MENDELEY_CITATION_ace2c5c5-974a-4156-82f6-d159e86a9b01&quot;,&quot;properties&quot;:{&quot;noteIndex&quot;:0},&quot;isEdited&quot;:false,&quot;manualOverride&quot;:{&quot;citeprocText&quot;:&quot;[93]&quot;,&quot;isManuallyOverridden&quot;:false,&quot;manualOverrideText&quot;:&quot;&quot;},&quot;citationTag&quot;:&quot;MENDELEY_CITATION_v3_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&quot;,&quot;citationItems&quot;:[{&quot;id&quot;:&quot;ef55468d-b6c9-31fe-b307-7a37c14619e3&quot;,&quot;itemData&quot;:{&quot;DOI&quot;:&quot;10.1109/PROC.1985.13318&quot;,&quot;ISSN&quot;:&quot;15582256&quot;,&quot;abstract&quot;:&quot;Demand-side management (DSM) is the planning and implementation of those electric utility activities designed to influence customer uses of electricity in ways that will produce desired changes in the utility's load shape. While the objective of any DSM activity is to produce a load-shape change, the art of successful implementation and the ultimate success of the program rests within the balancing of utility and customer needs. This paper describes demand-side management for electric utilities and discusses the evolution of this concept for load management, strategic conservation, and marketing. © 1985 IEEE&quot;,&quot;author&quot;:[{&quot;dropping-particle&quot;:&quot;&quot;,&quot;family&quot;:&quot;Gellings&quot;,&quot;given&quot;:&quot;Clark W.&quot;,&quot;non-dropping-particle&quot;:&quot;&quot;,&quot;parse-names&quot;:false,&quot;suffix&quot;:&quot;&quot;}],&quot;container-title&quot;:&quot;Proceedings of the IEEE&quot;,&quot;id&quot;:&quot;ef55468d-b6c9-31fe-b307-7a37c14619e3&quot;,&quot;issue&quot;:&quot;10&quot;,&quot;issued&quot;:{&quot;date-parts&quot;:[[&quot;1985&quot;]]},&quot;page&quot;:&quot;1468-1470&quot;,&quot;title&quot;:&quot;The Concept of Demand-Side Management for Electric Utilities&quot;,&quot;type&quot;:&quot;article-journal&quot;,&quot;volume&quot;:&quot;73&quot;,&quot;container-title-short&quot;:&quot;&quot;},&quot;uris&quot;:[&quot;http://www.mendeley.com/documents/?uuid=ef55468d-b6c9-31fe-b307-7a37c14619e3&quot;],&quot;isTemporary&quot;:false,&quot;legacyDesktopId&quot;:&quot;ef55468d-b6c9-31fe-b307-7a37c14619e3&quot;}]},{&quot;citationID&quot;:&quot;MENDELEY_CITATION_ef738a51-067b-48a3-ae2c-61b1c2b66c32&quot;,&quot;properties&quot;:{&quot;noteIndex&quot;:0},&quot;isEdited&quot;:false,&quot;manualOverride&quot;:{&quot;citeprocText&quot;:&quot;[94]&quot;,&quot;isManuallyOverridden&quot;:false,&quot;manualOverrideText&quot;:&quot;&quot;},&quot;citationTag&quot;:&quot;MENDELEY_CITATION_v3_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&quot;,&quot;citationItems&quot;:[{&quot;id&quot;:&quot;62cfa62a-0bfa-3cee-8230-e0b9108ec489&quot;,&quot;itemData&quot;:{&quot;DOI&quot;:&quot;10.1016/j.applthermaleng.2012.09.023&quot;,&quot;ISSN&quot;:&quot;13594311&quot;,&quot;abstract&quot;:&quot;Heat pumps are seen as a promising technology for load management in the built environment, in combination with the smart grid concept. They can be coupled with thermal energy storage (TES) systems to shift electrical loads from high-peak to off-peak hours, thus serving as a powerful tool in demand-side management (DSM). This paper analyzes heat pumps with radiators or underfloor heating distribution systems coupled with TES with a view to showing how a heat pump system behaves and how it influences the building occupants' thermal comfort under a DSM strategy designed to flatten the shape of the electricity load curve by switching off the heat pump during peak hours (16:00-19:00). The reference scenario for the analysis was Northern Ireland (UK). The results showed that the heat pump is a good tool for the purposes of DSM, also thanks to the use of TES systems, in particular with heating distribution systems that have a low thermal inertia, e.g. radiators. It proved possible to achieve a good control of the indoor temperature, even if the heat pump was turned off for 3 h, and to reduce the electricity bill if a \&quot;time of use\&quot; tariff structure was adopted. © 2012 Elsevier Ltd. All rights reserved.&quot;,&quot;author&quot;:[{&quot;dropping-particle&quot;:&quot;&quot;,&quot;family&quot;:&quot;Arteconi&quot;,&quot;given&quot;:&quot;A.&quot;,&quot;non-dropping-particle&quot;:&quot;&quot;,&quot;parse-names&quot;:false,&quot;suffix&quot;:&quot;&quot;},{&quot;dropping-particle&quot;:&quot;&quot;,&quot;family&quot;:&quot;Hewitt&quot;,&quot;given&quot;:&quot;N. J.&quot;,&quot;non-dropping-particle&quot;:&quot;&quot;,&quot;parse-names&quot;:false,&quot;suffix&quot;:&quot;&quot;},{&quot;dropping-particle&quot;:&quot;&quot;,&quot;family&quot;:&quot;Polonara&quot;,&quot;given&quot;:&quot;F.&quot;,&quot;non-dropping-particle&quot;:&quot;&quot;,&quot;parse-names&quot;:false,&quot;suffix&quot;:&quot;&quot;}],&quot;container-title&quot;:&quot;Applied Thermal Engineering&quot;,&quot;id&quot;:&quot;62cfa62a-0bfa-3cee-8230-e0b9108ec489&quot;,&quot;issue&quot;:&quot;1-2&quot;,&quot;issued&quot;:{&quot;date-parts&quot;:[[&quot;2013&quot;,&quot;3&quot;,&quot;1&quot;]]},&quot;page&quot;:&quot;155-165&quot;,&quot;publisher&quot;:&quot;Pergamon&quot;,&quot;title&quot;:&quot;Domestic demand-side management (DSM): Role of heat pumps and thermal energy storage (TES) systems&quot;,&quot;type&quot;:&quot;article-journal&quot;,&quot;volume&quot;:&quot;51&quot;,&quot;container-title-short&quot;:&quot;Appl Therm Eng&quot;},&quot;uris&quot;:[&quot;http://www.mendeley.com/documents/?uuid=62cfa62a-0bfa-3cee-8230-e0b9108ec489&quot;],&quot;isTemporary&quot;:false,&quot;legacyDesktopId&quot;:&quot;62cfa62a-0bfa-3cee-8230-e0b9108ec489&quot;}]},{&quot;citationID&quot;:&quot;MENDELEY_CITATION_4fd81743-0b0c-47b2-a85f-81c76ffa1724&quot;,&quot;properties&quot;:{&quot;noteIndex&quot;:0},&quot;isEdited&quot;:false,&quot;manualOverride&quot;:{&quot;isManuallyOverridden&quot;:false,&quot;citeprocText&quot;:&quot;[95]&quot;,&quot;manualOverrideText&quot;:&quot;&quot;},&quot;citationTag&quot;:&quot;MENDELEY_CITATION_v3_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&quot;,&quot;citationItems&quot;:[{&quot;id&quot;:&quot;44fd47ee-b9ff-3b00-9b8a-7f1501ea1066&quot;,&quot;itemData&quot;:{&quot;type&quot;:&quot;article-journal&quot;,&quot;id&quot;:&quot;44fd47ee-b9ff-3b00-9b8a-7f1501ea1066&quot;,&quot;title&quot;:&quot;Review of control strategies for improving the energy flexibility provided by heat pump systems in buildings&quot;,&quot;author&quot;:[{&quot;family&quot;:&quot;Péan&quot;,&quot;given&quot;:&quot;Thibault Q.&quot;,&quot;parse-names&quot;:false,&quot;dropping-particle&quot;:&quot;&quot;,&quot;non-dropping-particle&quot;:&quot;&quot;},{&quot;family&quot;:&quot;Salom&quot;,&quot;given&quot;:&quot;Jaume&quot;,&quot;parse-names&quot;:false,&quot;dropping-particle&quot;:&quot;&quot;,&quot;non-dropping-particle&quot;:&quot;&quot;},{&quot;family&quot;:&quot;Costa-Castelló&quot;,&quot;given&quot;:&quot;Ramon&quot;,&quot;parse-names&quot;:false,&quot;dropping-particle&quot;:&quot;&quot;,&quot;non-dropping-particle&quot;:&quot;&quot;}],&quot;container-title&quot;:&quot;Journal of Process Control&quot;,&quot;container-title-short&quot;:&quot;J Process Control&quot;,&quot;accessed&quot;:{&quot;date-parts&quot;:[[2023,3,13]]},&quot;DOI&quot;:&quot;10.1016/J.JPROCONT.2018.03.006&quot;,&quot;ISSN&quot;:&quot;0959-1524&quot;,&quot;issued&quot;:{&quot;date-parts&quot;:[[2019,2,1]]},&quot;page&quot;:&quot;35-49&quot;,&quot;abstract&quot;:&quot;The present work constitutes a review of the existing literature on supervisory control for improving the energy flexibility provided by heat pumps in buildings. A distinction was drawn between rule-based controls (RBC) and model predictive controls (MPC), given the clear differences in their concept and complexity. For both kinds, the different objectives claimed by these strategies have been reviewed, as well as the control inputs, disturbances and constraints. Notably in MPC, the monetary objective (reduction of the energy costs) has been the most utilized in the literature, therefore the authors advocate for the further study of other objectives related to energy flexibility. Further than the control strategies themselves, the different thermal storage options (necessary to activate the flexibility) have also been reviewed, the built-in thermal mass seeming more cost-effective than water buffer tanks in this regard. Based on these conclusions, recommendations for further research topics are drawn.&quot;,&quot;publisher&quot;:&quot;Elsevier&quot;,&quot;volume&quot;:&quot;74&quot;},&quot;isTemporary&quot;:false}]},{&quot;citationID&quot;:&quot;MENDELEY_CITATION_1c40ca4c-6f79-49de-8c47-d928459a7e32&quot;,&quot;properties&quot;:{&quot;noteIndex&quot;:0},&quot;isEdited&quot;:false,&quot;manualOverride&quot;:{&quot;citeprocText&quot;:&quot;[96]&quot;,&quot;isManuallyOverridden&quot;:false,&quot;manualOverrideText&quot;:&quot;&quot;},&quot;citationTag&quot;:&quot;MENDELEY_CITATION_v3_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&quot;,&quot;citationItems&quot;:[{&quot;id&quot;:&quot;ba2b202b-22fb-32c6-83ba-c9067493ae21&quot;,&quot;itemData&quot;:{&quot;abstract&quot;:&quot;\&quot;This report offers guidelines and protocols for measuring the effects of time-based rates, enabling technology, and various other treatments on customers’ levels and patterns of electricity usage. Although the focus is on evaluating consumer behavior studies (CBS) that involve field trials and pilots, the methods can be extended to assessing the large-scale programs that may follow. CBSs are undertaken to resolve uncertainties and ambiguities about how consumers respond to inducements to modify their electricity demand. Those inducements include price structures; feedback and information; and enabling technologies embedded in programs such as: critical peak, time-of use, real-time pricing; peak time rebate or critical peak rebate; home energy reports and in-home displays; and all manner of device controls for appliances and plug loads. Although the focus of this report is on consumer studies—where the subjects are households—the behavioral sciences principles discussed and many of the methods recommended apply equally to studying commercial and industrial customer electricity demand.\&quot;&quot;,&quot;author&quot;:[{&quot;dropping-particle&quot;:&quot;&quot;,&quot;family&quot;:&quot;Neenan&quot;,&quot;given&quot;:&quot;B.&quot;,&quot;non-dropping-particle&quot;:&quot;&quot;,&quot;parse-names&quot;:false,&quot;suffix&quot;:&quot;&quot;}],&quot;container-title&quot;:&quot;EPRI Technical Report&quot;,&quot;id&quot;:&quot;ba2b202b-22fb-32c6-83ba-c9067493ae21&quot;,&quot;issue&quot;:&quot;July&quot;,&quot;issued&quot;:{&quot;date-parts&quot;:[[&quot;2013&quot;]]},&quot;page&quot;:&quot;142&quot;,&quot;title&quot;:&quot;Quantifying the Impacts of Time-Based Rates, Enabling Technology, and Other Treatments in Consumer Behavior Studies&quot;,&quot;type&quot;:&quot;article-journal&quot;,&quot;container-title-short&quot;:&quot;&quot;},&quot;uris&quot;:[&quot;http://www.mendeley.com/documents/?uuid=8e7d32c3-510a-467d-a2e8-2bf8900ed29c&quot;],&quot;isTemporary&quot;:false,&quot;legacyDesktopId&quot;:&quot;8e7d32c3-510a-467d-a2e8-2bf8900ed29c&quot;}]},{&quot;citationID&quot;:&quot;MENDELEY_CITATION_84778d1c-1c8a-4c09-ba6a-58676a52c718&quot;,&quot;properties&quot;:{&quot;noteIndex&quot;:0},&quot;isEdited&quot;:false,&quot;manualOverride&quot;:{&quot;citeprocText&quot;:&quot;[96]&quot;,&quot;isManuallyOverridden&quot;:false,&quot;manualOverrideText&quot;:&quot;&quot;},&quot;citationTag&quot;:&quot;MENDELEY_CITATION_v3_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&quot;,&quot;citationItems&quot;:[{&quot;id&quot;:&quot;ba2b202b-22fb-32c6-83ba-c9067493ae21&quot;,&quot;itemData&quot;:{&quot;abstract&quot;:&quot;\&quot;This report offers guidelines and protocols for measuring the effects of time-based rates, enabling technology, and various other treatments on customers’ levels and patterns of electricity usage. Although the focus is on evaluating consumer behavior studies (CBS) that involve field trials and pilots, the methods can be extended to assessing the large-scale programs that may follow. CBSs are undertaken to resolve uncertainties and ambiguities about how consumers respond to inducements to modify their electricity demand. Those inducements include price structures; feedback and information; and enabling technologies embedded in programs such as: critical peak, time-of use, real-time pricing; peak time rebate or critical peak rebate; home energy reports and in-home displays; and all manner of device controls for appliances and plug loads. Although the focus of this report is on consumer studies—where the subjects are households—the behavioral sciences principles discussed and many of the methods recommended apply equally to studying commercial and industrial customer electricity demand.\&quot;&quot;,&quot;author&quot;:[{&quot;dropping-particle&quot;:&quot;&quot;,&quot;family&quot;:&quot;Neenan&quot;,&quot;given&quot;:&quot;B.&quot;,&quot;non-dropping-particle&quot;:&quot;&quot;,&quot;parse-names&quot;:false,&quot;suffix&quot;:&quot;&quot;}],&quot;container-title&quot;:&quot;EPRI Technical Report&quot;,&quot;id&quot;:&quot;ba2b202b-22fb-32c6-83ba-c9067493ae21&quot;,&quot;issue&quot;:&quot;July&quot;,&quot;issued&quot;:{&quot;date-parts&quot;:[[&quot;2013&quot;]]},&quot;page&quot;:&quot;142&quot;,&quot;title&quot;:&quot;Quantifying the Impacts of Time-Based Rates, Enabling Technology, and Other Treatments in Consumer Behavior Studies&quot;,&quot;type&quot;:&quot;article-journal&quot;,&quot;container-title-short&quot;:&quot;&quot;},&quot;uris&quot;:[&quot;http://www.mendeley.com/documents/?uuid=8e7d32c3-510a-467d-a2e8-2bf8900ed29c&quot;],&quot;isTemporary&quot;:false,&quot;legacyDesktopId&quot;:&quot;8e7d32c3-510a-467d-a2e8-2bf8900ed29c&quot;}]},{&quot;citationID&quot;:&quot;MENDELEY_CITATION_c1387d33-29a6-444d-b064-95c5401d860f&quot;,&quot;properties&quot;:{&quot;noteIndex&quot;:0},&quot;isEdited&quot;:false,&quot;manualOverride&quot;:{&quot;citeprocText&quot;:&quot;[96]&quot;,&quot;isManuallyOverridden&quot;:false,&quot;manualOverrideText&quot;:&quot;&quot;},&quot;citationTag&quot;:&quot;MENDELEY_CITATION_v3_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&quot;,&quot;citationItems&quot;:[{&quot;id&quot;:&quot;ba2b202b-22fb-32c6-83ba-c9067493ae21&quot;,&quot;itemData&quot;:{&quot;abstract&quot;:&quot;\&quot;This report offers guidelines and protocols for measuring the effects of time-based rates, enabling technology, and various other treatments on customers’ levels and patterns of electricity usage. Although the focus is on evaluating consumer behavior studies (CBS) that involve field trials and pilots, the methods can be extended to assessing the large-scale programs that may follow. CBSs are undertaken to resolve uncertainties and ambiguities about how consumers respond to inducements to modify their electricity demand. Those inducements include price structures; feedback and information; and enabling technologies embedded in programs such as: critical peak, time-of use, real-time pricing; peak time rebate or critical peak rebate; home energy reports and in-home displays; and all manner of device controls for appliances and plug loads. Although the focus of this report is on consumer studies—where the subjects are households—the behavioral sciences principles discussed and many of the methods recommended apply equally to studying commercial and industrial customer electricity demand.\&quot;&quot;,&quot;author&quot;:[{&quot;dropping-particle&quot;:&quot;&quot;,&quot;family&quot;:&quot;Neenan&quot;,&quot;given&quot;:&quot;B.&quot;,&quot;non-dropping-particle&quot;:&quot;&quot;,&quot;parse-names&quot;:false,&quot;suffix&quot;:&quot;&quot;}],&quot;container-title&quot;:&quot;EPRI Technical Report&quot;,&quot;id&quot;:&quot;ba2b202b-22fb-32c6-83ba-c9067493ae21&quot;,&quot;issue&quot;:&quot;July&quot;,&quot;issued&quot;:{&quot;date-parts&quot;:[[&quot;2013&quot;]]},&quot;page&quot;:&quot;142&quot;,&quot;title&quot;:&quot;Quantifying the Impacts of Time-Based Rates, Enabling Technology, and Other Treatments in Consumer Behavior Studies&quot;,&quot;type&quot;:&quot;article-journal&quot;,&quot;container-title-short&quot;:&quot;&quot;},&quot;uris&quot;:[&quot;http://www.mendeley.com/documents/?uuid=8e7d32c3-510a-467d-a2e8-2bf8900ed29c&quot;],&quot;isTemporary&quot;:false,&quot;legacyDesktopId&quot;:&quot;8e7d32c3-510a-467d-a2e8-2bf8900ed29c&quot;}]},{&quot;citationID&quot;:&quot;MENDELEY_CITATION_353a4963-b604-4a24-82df-27463f9c6472&quot;,&quot;properties&quot;:{&quot;noteIndex&quot;:0},&quot;isEdited&quot;:false,&quot;manualOverride&quot;:{&quot;citeprocText&quot;:&quot;[97]&quot;,&quot;isManuallyOverridden&quot;:false,&quot;manualOverrideText&quot;:&quot;&quot;},&quot;citationTag&quot;:&quot;MENDELEY_CITATION_v3_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&quot;,&quot;citationItems&quot;:[{&quot;id&quot;:&quot;8f3e2f58-cf92-35f6-802b-c464e9e275f6&quot;,&quot;itemData&quot;:{&quot;author&quot;:[{&quot;dropping-particle&quot;:&quot;&quot;,&quot;family&quot;:&quot;Krasimiroy&quot;,&quot;given&quot;:&quot;Georgi&quot;,&quot;non-dropping-particle&quot;:&quot;&quot;,&quot;parse-names&quot;:false,&quot;suffix&quot;:&quot;&quot;}],&quot;id&quot;:&quot;8f3e2f58-cf92-35f6-802b-c464e9e275f6&quot;,&quot;issued&quot;:{&quot;date-parts&quot;:[[&quot;2014&quot;]]},&quot;publisher&quot;:&quot;Technical University of Denmark, Department of Civil Engineering.&quot;,&quot;title&quot;:&quot;Building Thermal Energy Storage&quot;,&quot;type&quot;:&quot;thesis&quot;,&quot;container-title-short&quot;:&quot;&quot;},&quot;uris&quot;:[&quot;http://www.mendeley.com/documents/?uuid=8f3e2f58-cf92-35f6-802b-c464e9e275f6&quot;],&quot;isTemporary&quot;:false,&quot;legacyDesktopId&quot;:&quot;8f3e2f58-cf92-35f6-802b-c464e9e275f6&quot;}]},{&quot;citationID&quot;:&quot;MENDELEY_CITATION_83da99b8-9ff8-48a6-beb5-b28989907a71&quot;,&quot;properties&quot;:{&quot;noteIndex&quot;:0},&quot;isEdited&quot;:false,&quot;manualOverride&quot;:{&quot;citeprocText&quot;:&quot;[98]&quot;,&quot;isManuallyOverridden&quot;:false,&quot;manualOverrideText&quot;:&quot;&quot;},&quot;citationTag&quot;:&quot;MENDELEY_CITATION_v3_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&quot;,&quot;citationItems&quot;:[{&quot;id&quot;:&quot;d7b26c7b-1c1d-318b-aa6f-e73df662ff8e&quot;,&quot;itemData&quot;:{&quot;DOI&quot;:&quot;10.1016/j.energy.2014.06.084&quot;,&quot;ISSN&quot;:&quot;03605442&quot;,&quot;abstract&quot;:&quot;This paper presents a quantitative analysis on the life-cycle cost saving potentials of active cold storage systems concerning the operational cost, initial investment and the space cost. A simulation-based optimal design method is developed and used to optimize the storage capacity and analyze the impact of the capacity on the life-cycle cost saving potentials. Using the actual load profiles of three real buildings of different sizes, the life-cycle cost saving potentials under demand limiting control are investigated under Hong Kong electricity price structure. The optimal storage capacities, monthly/annual operational cost savings and corresponding peak demand set-points are obtained from using the marginal decision rule. Results show that small scale storages can offer substantial annual net cost saving. In addition, it can help the grid to achieve higher grid power reliability by enhancing the demand response ability of buildings. © 2014 Elsevier Ltd.&quot;,&quot;author&quot;:[{&quot;dropping-particle&quot;:&quot;&quot;,&quot;family&quot;:&quot;Cui&quot;,&quot;given&quot;:&quot;Borui&quot;,&quot;non-dropping-particle&quot;:&quot;&quot;,&quot;parse-names&quot;:false,&quot;suffix&quot;:&quot;&quot;},{&quot;dropping-particle&quot;:&quot;&quot;,&quot;family&quot;:&quot;Wang&quot;,&quot;given&quot;:&quot;Shengwei&quot;,&quot;non-dropping-particle&quot;:&quot;&quot;,&quot;parse-names&quot;:false,&quot;suffix&quot;:&quot;&quot;},{&quot;dropping-particle&quot;:&quot;&quot;,&quot;family&quot;:&quot;Sun&quot;,&quot;given&quot;:&quot;Yongjun&quot;,&quot;non-dropping-particle&quot;:&quot;&quot;,&quot;parse-names&quot;:false,&quot;suffix&quot;:&quot;&quot;}],&quot;container-title&quot;:&quot;Energy&quot;,&quot;id&quot;:&quot;d7b26c7b-1c1d-318b-aa6f-e73df662ff8e&quot;,&quot;issued&quot;:{&quot;date-parts&quot;:[[&quot;2014&quot;,&quot;8&quot;,&quot;14&quot;]]},&quot;page&quot;:&quot;787-800&quot;,&quot;publisher&quot;:&quot;Pergamon&quot;,&quot;title&quot;:&quot;Life-cycle cost benefit analysis and optimal design of small scale active storage system for building demand limiting&quot;,&quot;type&quot;:&quot;article-journal&quot;,&quot;volume&quot;:&quot;73&quot;,&quot;container-title-short&quot;:&quot;&quot;},&quot;uris&quot;:[&quot;http://www.mendeley.com/documents/?uuid=d7b26c7b-1c1d-318b-aa6f-e73df662ff8e&quot;],&quot;isTemporary&quot;:false,&quot;legacyDesktopId&quot;:&quot;d7b26c7b-1c1d-318b-aa6f-e73df662ff8e&quot;}]},{&quot;citationID&quot;:&quot;MENDELEY_CITATION_9340bd43-bf73-4809-b5cc-686fae8ac0fa&quot;,&quot;properties&quot;:{&quot;noteIndex&quot;:0},&quot;isEdited&quot;:false,&quot;manualOverride&quot;:{&quot;citeprocText&quot;:&quot;[99]&quot;,&quot;isManuallyOverridden&quot;:false,&quot;manualOverrideText&quot;:&quot;&quot;},&quot;citationTag&quot;:&quot;MENDELEY_CITATION_v3_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&quot;,&quot;citationItems&quot;:[{&quot;id&quot;:&quot;b4e42fbf-1538-334f-bbc1-2ec8c886aaf2&quot;,&quot;itemData&quot;:{&quot;DOI&quot;:&quot;10.1016/S1364-0321(99)00011-8&quot;,&quot;ISSN&quot;:&quot;13640321&quot;,&quot;abstract&quot;:&quot;Achieving solutions to environmental problems that we face today requires long-term potential actions for sustainable development. In this regard, renewable energy resources appear to be the one of the most efficient and effective solutions. That is why there is an intimate connection between renewable energy and sustainable development. Anticipated patterns of future energy use and consequent environmental impacts (focussing on acid precipitation, stratospheric ozone depletion and the greenhouse effect) are comprehensively discussed in this paper. Also, potential solutions to current environmental problems are identified along with renewable energy technologies. The relations between renewable energy and sustainable development are described with practical cases, and an illustrative example is presented. Throughout the paper several issues relating to renewable energy, environment and sustainable development are examined from both current and future perspectives. It is believed that the conclusions and recommendations drawn in the present study will be useful to energy scientists and engineers and policy makers.&quot;,&quot;author&quot;:[{&quot;dropping-particle&quot;:&quot;&quot;,&quot;family&quot;:&quot;Dincer&quot;,&quot;given&quot;:&quot;Ibrahim&quot;,&quot;non-dropping-particle&quot;:&quot;&quot;,&quot;parse-names&quot;:false,&quot;suffix&quot;:&quot;&quot;}],&quot;container-title&quot;:&quot;Renewable and Sustainable Energy Reviews&quot;,&quot;id&quot;:&quot;b4e42fbf-1538-334f-bbc1-2ec8c886aaf2&quot;,&quot;issue&quot;:&quot;2&quot;,&quot;issued&quot;:{&quot;date-parts&quot;:[[&quot;2000&quot;]]},&quot;page&quot;:&quot;157-175&quot;,&quot;title&quot;:&quot;Renewable energy and sustainable development: a crucial review&quot;,&quot;type&quot;:&quot;article-journal&quot;,&quot;volume&quot;:&quot;4&quot;,&quot;container-title-short&quot;:&quot;&quot;},&quot;uris&quot;:[&quot;http://www.mendeley.com/documents/?uuid=b4e42fbf-1538-334f-bbc1-2ec8c886aaf2&quot;],&quot;isTemporary&quot;:false,&quot;legacyDesktopId&quot;:&quot;b4e42fbf-1538-334f-bbc1-2ec8c886aaf2&quot;}]},{&quot;citationID&quot;:&quot;MENDELEY_CITATION_8839cf98-eb4b-404b-a947-f8affd268d77&quot;,&quot;properties&quot;:{&quot;noteIndex&quot;:0},&quot;isEdited&quot;:false,&quot;manualOverride&quot;:{&quot;citeprocText&quot;:&quot;[97]&quot;,&quot;isManuallyOverridden&quot;:false,&quot;manualOverrideText&quot;:&quot;&quot;},&quot;citationTag&quot;:&quot;MENDELEY_CITATION_v3_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&quot;,&quot;citationItems&quot;:[{&quot;id&quot;:&quot;8f3e2f58-cf92-35f6-802b-c464e9e275f6&quot;,&quot;itemData&quot;:{&quot;author&quot;:[{&quot;dropping-particle&quot;:&quot;&quot;,&quot;family&quot;:&quot;Krasimiroy&quot;,&quot;given&quot;:&quot;Georgi&quot;,&quot;non-dropping-particle&quot;:&quot;&quot;,&quot;parse-names&quot;:false,&quot;suffix&quot;:&quot;&quot;}],&quot;id&quot;:&quot;8f3e2f58-cf92-35f6-802b-c464e9e275f6&quot;,&quot;issued&quot;:{&quot;date-parts&quot;:[[&quot;2014&quot;]]},&quot;publisher&quot;:&quot;Technical University of Denmark, Department of Civil Engineering.&quot;,&quot;title&quot;:&quot;Building Thermal Energy Storage&quot;,&quot;type&quot;:&quot;thesis&quot;,&quot;container-title-short&quot;:&quot;&quot;},&quot;uris&quot;:[&quot;http://www.mendeley.com/documents/?uuid=8f3e2f58-cf92-35f6-802b-c464e9e275f6&quot;],&quot;isTemporary&quot;:false,&quot;legacyDesktopId&quot;:&quot;8f3e2f58-cf92-35f6-802b-c464e9e275f6&quot;}]},{&quot;citationID&quot;:&quot;MENDELEY_CITATION_df9f1624-822c-469f-9e48-709a6352bc37&quot;,&quot;properties&quot;:{&quot;noteIndex&quot;:0},&quot;isEdited&quot;:false,&quot;manualOverride&quot;:{&quot;citeprocText&quot;:&quot;[99]–[101]&quot;,&quot;isManuallyOverridden&quot;:false,&quot;manualOverrideText&quot;:&quot;&quot;},&quot;citationTag&quot;:&quot;MENDELEY_CITATION_v3_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&quot;,&quot;citationItems&quot;:[{&quot;id&quot;:&quot;52463f5e-3c18-3b99-9ac6-4fc18f73c79a&quot;,&quot;itemData&quot;:{&quot;DOI&quot;:&quot;10.1088/1755-1315/159/1/012002&quot;,&quot;author&quot;:[{&quot;dropping-particle&quot;:&quot;&quot;,&quot;family&quot;:&quot;Takham&quot;,&quot;given&quot;:&quot;N&quot;,&quot;non-dropping-particle&quot;:&quot;&quot;,&quot;parse-names&quot;:false,&quot;suffix&quot;:&quot;&quot;},{&quot;dropping-particle&quot;:&quot;&quot;,&quot;family&quot;:&quot;Tippayawong&quot;,&quot;given&quot;:&quot;N&quot;,&quot;non-dropping-particle&quot;:&quot;&quot;,&quot;parse-names&quot;:false,&quot;suffix&quot;:&quot;&quot;}],&quot;container-title&quot;:&quot;IOP Conference Series: Earth and Environmental Science&quot;,&quot;id&quot;:&quot;52463f5e-3c18-3b99-9ac6-4fc18f73c79a&quot;,&quot;issue&quot;:&quot;1&quot;,&quot;issued&quot;:{&quot;date-parts&quot;:[[&quot;2018&quot;,&quot;6&quot;]]},&quot;page&quot;:&quot;012002&quot;,&quot;publisher&quot;:&quot;IOP Publishing&quot;,&quot;title&quot;:&quot;Experimental Investigation of hot Water Generation from Small CaO/Ca(OH)2 Thermochemical Energy Storage System&quot;,&quot;type&quot;:&quot;article-journal&quot;,&quot;volume&quot;:&quot;159&quot;,&quot;container-title-short&quot;:&quot;IOP Conf Ser Earth Environ Sci&quot;},&quot;uris&quot;:[&quot;http://www.mendeley.com/documents/?uuid=52463f5e-3c18-3b99-9ac6-4fc18f73c79a&quot;],&quot;isTemporary&quot;:false,&quot;legacyDesktopId&quot;:&quot;52463f5e-3c18-3b99-9ac6-4fc18f73c79a&quot;},{&quot;id&quot;:&quot;5258168e-1420-3e72-959e-38f49de0a083&quot;,&quot;itemData&quot;:{&quot;DOI&quot;:&quot;10.1007/978-3-319-07896-0&quot;,&quot;ISBN&quot;:&quot;978-3-319-07895-3&quot;,&quot;editor&quot;:[{&quot;dropping-particle&quot;:&quot;&quot;,&quot;family&quot;:&quot;Dincer&quot;,&quot;given&quot;:&quot;Ibrahim&quot;,&quot;non-dropping-particle&quot;:&quot;&quot;,&quot;parse-names&quot;:false,&quot;suffix&quot;:&quot;&quot;},{&quot;dropping-particle&quot;:&quot;&quot;,&quot;family&quot;:&quot;Midilli&quot;,&quot;given&quot;:&quot;Adnan&quot;,&quot;non-dropping-particle&quot;:&quot;&quot;,&quot;parse-names&quot;:false,&quot;suffix&quot;:&quot;&quot;},{&quot;dropping-particle&quot;:&quot;&quot;,&quot;family&quot;:&quot;Kucuk&quot;,&quot;given&quot;:&quot;Haydar&quot;,&quot;non-dropping-particle&quot;:&quot;&quot;,&quot;parse-names&quot;:false,&quot;suffix&quot;:&quot;&quot;}],&quot;id&quot;:&quot;5258168e-1420-3e72-959e-38f49de0a083&quot;,&quot;issued&quot;:{&quot;date-parts&quot;:[[&quot;2014&quot;]]},&quot;publisher&quot;:&quot;Springer International Publishing&quot;,&quot;publisher-place&quot;:&quot;Cham&quot;,&quot;title&quot;:&quot;Progress in Sustainable Energy Technologies: Generating Renewable Energy&quot;,&quot;type&quot;:&quot;book&quot;,&quot;container-title-short&quot;:&quot;&quot;},&quot;uris&quot;:[&quot;http://www.mendeley.com/documents/?uuid=ab2b96ed-4e4f-42b0-ae2a-ce953f863417&quot;],&quot;isTemporary&quot;:false,&quot;legacyDesktopId&quot;:&quot;ab2b96ed-4e4f-42b0-ae2a-ce953f863417&quot;},{&quot;id&quot;:&quot;b4e42fbf-1538-334f-bbc1-2ec8c886aaf2&quot;,&quot;itemData&quot;:{&quot;DOI&quot;:&quot;10.1016/S1364-0321(99)00011-8&quot;,&quot;ISSN&quot;:&quot;13640321&quot;,&quot;abstract&quot;:&quot;Achieving solutions to environmental problems that we face today requires long-term potential actions for sustainable development. In this regard, renewable energy resources appear to be the one of the most efficient and effective solutions. That is why there is an intimate connection between renewable energy and sustainable development. Anticipated patterns of future energy use and consequent environmental impacts (focussing on acid precipitation, stratospheric ozone depletion and the greenhouse effect) are comprehensively discussed in this paper. Also, potential solutions to current environmental problems are identified along with renewable energy technologies. The relations between renewable energy and sustainable development are described with practical cases, and an illustrative example is presented. Throughout the paper several issues relating to renewable energy, environment and sustainable development are examined from both current and future perspectives. It is believed that the conclusions and recommendations drawn in the present study will be useful to energy scientists and engineers and policy makers.&quot;,&quot;author&quot;:[{&quot;dropping-particle&quot;:&quot;&quot;,&quot;family&quot;:&quot;Dincer&quot;,&quot;given&quot;:&quot;Ibrahim&quot;,&quot;non-dropping-particle&quot;:&quot;&quot;,&quot;parse-names&quot;:false,&quot;suffix&quot;:&quot;&quot;}],&quot;container-title&quot;:&quot;Renewable and Sustainable Energy Reviews&quot;,&quot;id&quot;:&quot;b4e42fbf-1538-334f-bbc1-2ec8c886aaf2&quot;,&quot;issue&quot;:&quot;2&quot;,&quot;issued&quot;:{&quot;date-parts&quot;:[[&quot;2000&quot;]]},&quot;page&quot;:&quot;157-175&quot;,&quot;title&quot;:&quot;Renewable energy and sustainable development: a crucial review&quot;,&quot;type&quot;:&quot;article-journal&quot;,&quot;volume&quot;:&quot;4&quot;,&quot;container-title-short&quot;:&quot;&quot;},&quot;uris&quot;:[&quot;http://www.mendeley.com/documents/?uuid=b4e42fbf-1538-334f-bbc1-2ec8c886aaf2&quot;],&quot;isTemporary&quot;:false,&quot;legacyDesktopId&quot;:&quot;b4e42fbf-1538-334f-bbc1-2ec8c886aaf2&quot;}]},{&quot;citationID&quot;:&quot;MENDELEY_CITATION_36d36e64-ea7d-4afe-898f-9fa9597c9db4&quot;,&quot;properties&quot;:{&quot;noteIndex&quot;:0},&quot;isEdited&quot;:false,&quot;manualOverride&quot;:{&quot;citeprocText&quot;:&quot;[102]&quot;,&quot;isManuallyOverridden&quot;:false,&quot;manualOverrideText&quot;:&quot;&quot;},&quot;citationTag&quot;:&quot;MENDELEY_CITATION_v3_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&quot;,&quot;citationItems&quot;:[{&quot;id&quot;:&quot;8fe182e0-75e3-3ef1-8dd5-122be9dad358&quot;,&quot;itemData&quot;:{&quot;DOI&quot;:&quot;10.1007/978-3-319-20922-7&quot;,&quot;ISBN&quot;:&quot;978-3-319-20921-0&quot;,&quot;author&quot;:[{&quot;dropping-particle&quot;:&quot;&quot;,&quot;family&quot;:&quot;Fleischer&quot;,&quot;given&quot;:&quot;Amy S.&quot;,&quot;non-dropping-particle&quot;:&quot;&quot;,&quot;parse-names&quot;:false,&quot;suffix&quot;:&quot;&quot;}],&quot;collection-title&quot;:&quot;SpringerBriefs in Applied Sciences and Technology&quot;,&quot;id&quot;:&quot;8fe182e0-75e3-3ef1-8dd5-122be9dad358&quot;,&quot;issued&quot;:{&quot;date-parts&quot;:[[&quot;2015&quot;]]},&quot;publisher&quot;:&quot;Springer International Publishing&quot;,&quot;publisher-place&quot;:&quot;Cham&quot;,&quot;title&quot;:&quot;Thermal Energy Storage Using Phase Change Materials&quot;,&quot;type&quot;:&quot;book&quot;,&quot;container-title-short&quot;:&quot;&quot;},&quot;uris&quot;:[&quot;http://www.mendeley.com/documents/?uuid=8fe182e0-75e3-3ef1-8dd5-122be9dad358&quot;],&quot;isTemporary&quot;:false,&quot;legacyDesktopId&quot;:&quot;8fe182e0-75e3-3ef1-8dd5-122be9dad358&quot;}]},{&quot;citationID&quot;:&quot;MENDELEY_CITATION_9159e979-ee4a-44ed-ae32-5c5c7e7fe519&quot;,&quot;properties&quot;:{&quot;noteIndex&quot;:0},&quot;isEdited&quot;:false,&quot;manualOverride&quot;:{&quot;citeprocText&quot;:&quot;[102]&quot;,&quot;isManuallyOverridden&quot;:false,&quot;manualOverrideText&quot;:&quot;&quot;},&quot;citationTag&quot;:&quot;MENDELEY_CITATION_v3_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&quot;,&quot;citationItems&quot;:[{&quot;id&quot;:&quot;8fe182e0-75e3-3ef1-8dd5-122be9dad358&quot;,&quot;itemData&quot;:{&quot;DOI&quot;:&quot;10.1007/978-3-319-20922-7&quot;,&quot;ISBN&quot;:&quot;978-3-319-20921-0&quot;,&quot;author&quot;:[{&quot;dropping-particle&quot;:&quot;&quot;,&quot;family&quot;:&quot;Fleischer&quot;,&quot;given&quot;:&quot;Amy S.&quot;,&quot;non-dropping-particle&quot;:&quot;&quot;,&quot;parse-names&quot;:false,&quot;suffix&quot;:&quot;&quot;}],&quot;collection-title&quot;:&quot;SpringerBriefs in Applied Sciences and Technology&quot;,&quot;id&quot;:&quot;8fe182e0-75e3-3ef1-8dd5-122be9dad358&quot;,&quot;issued&quot;:{&quot;date-parts&quot;:[[&quot;2015&quot;]]},&quot;publisher&quot;:&quot;Springer International Publishing&quot;,&quot;publisher-place&quot;:&quot;Cham&quot;,&quot;title&quot;:&quot;Thermal Energy Storage Using Phase Change Materials&quot;,&quot;type&quot;:&quot;book&quot;,&quot;container-title-short&quot;:&quot;&quot;},&quot;uris&quot;:[&quot;http://www.mendeley.com/documents/?uuid=8fe182e0-75e3-3ef1-8dd5-122be9dad358&quot;],&quot;isTemporary&quot;:false,&quot;legacyDesktopId&quot;:&quot;8fe182e0-75e3-3ef1-8dd5-122be9dad358&quot;}]},{&quot;citationID&quot;:&quot;MENDELEY_CITATION_2c8d48b8-e604-497e-a733-f2433cf89a5a&quot;,&quot;properties&quot;:{&quot;noteIndex&quot;:0},&quot;isEdited&quot;:false,&quot;manualOverride&quot;:{&quot;citeprocText&quot;:&quot;[103]&quot;,&quot;isManuallyOverridden&quot;:false,&quot;manualOverrideText&quot;:&quot;&quot;},&quot;citationTag&quot;:&quot;MENDELEY_CITATION_v3_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&quot;,&quot;citationItems&quot;:[{&quot;id&quot;:&quot;fbe18e71-147b-396d-8f94-4aeb3d90b28b&quot;,&quot;itemData&quot;:{&quot;DOI&quot;:&quot;10.3390/su10010191&quot;,&quot;ISSN&quot;:&quot;20711050&quot;,&quot;abstract&quot;:&quot;© 2018 by the authors. Thermal energy storage (TES) is a technology that stocks thermal energy by heating or cooling a storage medium so that the stored energy can be used at a later time for heating and cooling applications and power generation. TES systems are used particularly in buildings and in industrial processes. This paper is focused on TES technologies that provide a way of valorizing solar heat and reducing the energy demand of buildings. The principles of several energy storage methods and calculation of storage capacities are described. Sensible heat storage technologies, including water tank, underground, and packed-bed storage methods, are briefly reviewed. Additionally, latent-heat storage systems associated with phase-change materials for use in solar heating/cooling of buildings, solar water heating, heat-pump systems, and concentrating sola r power plants as well as thermo-chemical storage are discussed. Finally, cool thermal energy storage is also briefly reviewed and outstanding information on the performance and costs of TES systems are included.&quot;,&quot;author&quot;:[{&quot;dropping-particle&quot;:&quot;&quot;,&quot;family&quot;:&quot;Sarbu&quot;,&quot;given&quot;:&quot;Ioan&quot;,&quot;non-dropping-particle&quot;:&quot;&quot;,&quot;parse-names&quot;:false,&quot;suffix&quot;:&quot;&quot;},{&quot;dropping-particle&quot;:&quot;&quot;,&quot;family&quot;:&quot;Sebarchievici&quot;,&quot;given&quot;:&quot;Calin&quot;,&quot;non-dropping-particle&quot;:&quot;&quot;,&quot;parse-names&quot;:false,&quot;suffix&quot;:&quot;&quot;}],&quot;container-title&quot;:&quot;Sustainability (Switzerland)&quot;,&quot;id&quot;:&quot;fbe18e71-147b-396d-8f94-4aeb3d90b28b&quot;,&quot;issue&quot;:&quot;1&quot;,&quot;issued&quot;:{&quot;date-parts&quot;:[[&quot;2018&quot;]]},&quot;title&quot;:&quot;A comprehensive review of thermal energy storage&quot;,&quot;type&quot;:&quot;article-journal&quot;,&quot;volume&quot;:&quot;10&quot;,&quot;container-title-short&quot;:&quot;&quot;},&quot;uris&quot;:[&quot;http://www.mendeley.com/documents/?uuid=43c59663-3f37-4423-849e-edb1b7e9771c&quot;],&quot;isTemporary&quot;:false,&quot;legacyDesktopId&quot;:&quot;43c59663-3f37-4423-849e-edb1b7e9771c&quot;}]},{&quot;citationID&quot;:&quot;MENDELEY_CITATION_c3db258c-2d68-459b-a5a8-64da36368ef4&quot;,&quot;properties&quot;:{&quot;noteIndex&quot;:0},&quot;isEdited&quot;:false,&quot;manualOverride&quot;:{&quot;citeprocText&quot;:&quot;[66], [70], [75], [79], [104], [105]&quot;,&quot;isManuallyOverridden&quot;:false,&quot;manualOverrideText&quot;:&quot;&quot;},&quot;citationTag&quot;:&quot;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&quot;,&quot;citationItems&quot;:[{&quot;id&quot;:&quot;2c458f91-a6a5-341f-9147-c1a7acca8563&quot;,&quot;itemData&quot;:{&quot;DOI&quot;:&quot;10.1007/s11434-009-0120-8&quot;,&quot;ISSN&quot;:&quot;10016538&quot;,&quot;abstract&quot;:&quot;Improving the thermal performance of building envelope is an important way to save building energy consumption. The phase change energy storage building envelope is helpful to effective use of renewable energy, reducing building operational energy consumption, increasing building thermal comfort, and reducing environment pollution and greenhouse gas emission. This paper presents the concept of ideal energy-saving building envelope, which is used to guide the building envelope material selection and thermal performance design. This paper reviews some available researches on phase change building material and phase change energy storage building envelope. At last, this paper presents some current problems needed further research. © 2009 Science in China Press and Springer-Verlag GmbH.&quot;,&quot;author&quot;:[{&quot;dropping-particle&quot;:&quot;&quot;,&quot;family&quot;:&quot;Wang&quot;,&quot;given&quot;:&quot;Xin&quot;,&quot;non-dropping-particle&quot;:&quot;&quot;,&quot;parse-names&quot;:false,&quot;suffix&quot;:&quot;&quot;},{&quot;dropping-particle&quot;:&quot;&quot;,&quot;family&quot;:&quot;Zhang&quot;,&quot;given&quot;:&quot;Yinping&quot;,&quot;non-dropping-particle&quot;:&quot;&quot;,&quot;parse-names&quot;:false,&quot;suffix&quot;:&quot;&quot;},{&quot;dropping-particle&quot;:&quot;&quot;,&quot;family&quot;:&quot;Xiao&quot;,&quot;given&quot;:&quot;Wei&quot;,&quot;non-dropping-particle&quot;:&quot;&quot;,&quot;parse-names&quot;:false,&quot;suffix&quot;:&quot;&quot;},{&quot;dropping-particle&quot;:&quot;&quot;,&quot;family&quot;:&quot;Zeng&quot;,&quot;given&quot;:&quot;Ruolang&quot;,&quot;non-dropping-particle&quot;:&quot;&quot;,&quot;parse-names&quot;:false,&quot;suffix&quot;:&quot;&quot;},{&quot;dropping-particle&quot;:&quot;&quot;,&quot;family&quot;:&quot;Zhang&quot;,&quot;given&quot;:&quot;Qunli&quot;,&quot;non-dropping-particle&quot;:&quot;&quot;,&quot;parse-names&quot;:false,&quot;suffix&quot;:&quot;&quot;},{&quot;dropping-particle&quot;:&quot;&quot;,&quot;family&quot;:&quot;Di&quot;,&quot;given&quot;:&quot;Hongfa&quot;,&quot;non-dropping-particle&quot;:&quot;&quot;,&quot;parse-names&quot;:false,&quot;suffix&quot;:&quot;&quot;}],&quot;container-title&quot;:&quot;Chinese Science Bulletin&quot;,&quot;id&quot;:&quot;2c458f91-a6a5-341f-9147-c1a7acca8563&quot;,&quot;issue&quot;:&quot;6&quot;,&quot;issued&quot;:{&quot;date-parts&quot;:[[&quot;2009&quot;,&quot;3&quot;]]},&quot;page&quot;:&quot;920-928&quot;,&quot;title&quot;:&quot;Review on thermal performance of phase change energy storage building envelope&quot;,&quot;type&quot;:&quot;article-journal&quot;,&quot;volume&quot;:&quot;54&quot;,&quot;container-title-short&quot;:&quot;&quot;},&quot;uris&quot;:[&quot;http://www.mendeley.com/documents/?uuid=6a189717-8502-4dbc-835a-761c7b78120f&quot;],&quot;isTemporary&quot;:false,&quot;legacyDesktopId&quot;:&quot;6a189717-8502-4dbc-835a-761c7b78120f&quot;},{&quot;id&quot;:&quot;846eba1c-2c96-3283-bf1d-e0bd12eedf6d&quot;,&quot;itemData&quot;:{&quot;DOI&quot;:&quot;10.1016/j.est.2015.09.003&quot;,&quot;ISSN&quot;:&quot;2352152X&quot;,&quot;abstract&quot;:&quot;The present world energy scenario signifies the importance of renewable energy utilization and paves the pathway towards green and net zero energy building concepts for a sustainable future. In the recent years, substantial energy is spent in building space heating/cooling applications to meet the human comfort requirements. In order to reduce the unnecessary losses associated with the buildings, several advancements toward energy efficient concepts are also being proposed and implemented in many buildings. Free cooling is one such novel concept through which building cooling demands can be met without compromising the indoor air quality. Free cooling concept stores the abundant atmospheric night cool energy in phase change materials (PCM) and uses the stored energy during the day hours to achieve the desired room comfort conditions. This review article aims to update and consolidate the substantial work carried out in the recent years by various researchers on free cooling technology using PCMs in latent heat thermal energy storage (LHTES) systems. In addition, future potential of free cooling technologies, scope for further improvement, policies that needs be promoted by the government toward its sustainability to ensure market penetration of free cooling technologies are also discussed in detail.&quot;,&quot;author&quot;:[{&quot;dropping-particle&quot;:&quot;&quot;,&quot;family&quot;:&quot;Thambidurai&quot;,&quot;given&quot;:&quot;Muthuvelan&quot;,&quot;non-dropping-particle&quot;:&quot;&quot;,&quot;parse-names&quot;:false,&quot;suffix&quot;:&quot;&quot;},{&quot;dropping-particle&quot;:&quot;&quot;,&quot;family&quot;:&quot;Panchabikesan&quot;,&quot;given&quot;:&quot;Karthik&quot;,&quot;non-dropping-particle&quot;:&quot;&quot;,&quot;parse-names&quot;:false,&quot;suffix&quot;:&quot;&quot;},{&quot;dropping-particle&quot;:&quot;&quot;,&quot;family&quot;:&quot;Krishna Mohan&quot;,&quot;given&quot;:&quot;N&quot;,&quot;non-dropping-particle&quot;:&quot;&quot;,&quot;parse-names&quot;:false,&quot;suffix&quot;:&quot;&quot;},{&quot;dropping-particle&quot;:&quot;&quot;,&quot;family&quot;:&quot;Ramalingam&quot;,&quot;given&quot;:&quot;Velraj&quot;,&quot;non-dropping-particle&quot;:&quot;&quot;,&quot;parse-names&quot;:false,&quot;suffix&quot;:&quot;&quot;}],&quot;container-title&quot;:&quot;Journal of Energy Storage&quot;,&quot;id&quot;:&quot;846eba1c-2c96-3283-bf1d-e0bd12eedf6d&quot;,&quot;issued&quot;:{&quot;date-parts&quot;:[[&quot;2015&quot;]]},&quot;page&quot;:&quot;74-88&quot;,&quot;publisher&quot;:&quot;Elsevier Ltd&quot;,&quot;title&quot;:&quot;Review on phase change material based free cooling of buildings-The way toward sustainability&quot;,&quot;type&quot;:&quot;article-journal&quot;,&quot;volume&quot;:&quot;4&quot;,&quot;container-title-short&quot;:&quot;J Energy Storage&quot;},&quot;uris&quot;:[&quot;http://www.mendeley.com/documents/?uuid=fa6e0afc-a125-4c2e-a001-4506e45358b4&quot;],&quot;isTemporary&quot;:false,&quot;legacyDesktopId&quot;:&quot;fa6e0afc-a125-4c2e-a001-4506e45358b4&quot;},{&quot;id&quot;:&quot;2737e47f-948b-35d1-b8ed-d2bc520e4bb8&quot;,&quot;itemData&quot;:{&quot;DOI&quot;:&quot;10.1016/j.rser.2016.03.036&quot;,&quot;ISSN&quot;:&quot;18790690&quot;,&quot;abstract&quot;:&quot;The most significant threat that mankind faces in the 21th century is global warming. Buildings, which account for 40% of global energy consumption and greenhouse gas emissions, play a pivotal role in global warming. Estimates show that their destructive impact will grow by 1.8% per year through 2050, which indicates that future consumption and emissions will be worse than today. Therefore, the impact of cooling systems cannot be ignored, as they, along with ventilation and heating systems, account for 60% of the energy consumed in buildings. Passive cooling techniques are a promising alternative to conventional cooling systems. Of the various passive cooling strategies, thermal energy storage by means of latent heat is an efficient way to increase the thermal inertia of building envelopes, which would reduce temperature fluctuations, leading to the improved thermal comfort of occupants. Phase change materials (PCMs) with high density for thermal energy storage can be efficiently employed to this purpose. This paper reviews recent studies of the application of PCMs for passive cooling in buildings. From the literature, a comprehensive list of different organic, inorganic and eutectic PCMs appropriate for passive cooling in buildings are reviewed. Full-scale testing and numerical modeling were found to be the most popular investigative methods used for experimental and theoretical analysis of PCMs. The combination of these two methods can provide a detailed and valid technique for PCM investigations. Finally, incorporating PCMs into building walls with macro encapsulation was also a dominant interest in previous studies.&quot;,&quot;author&quot;:[{&quot;dropping-particle&quot;:&quot;&quot;,&quot;family&quot;:&quot;Akeiber&quot;,&quot;given&quot;:&quot;Hussein&quot;,&quot;non-dropping-particle&quot;:&quot;&quot;,&quot;parse-names&quot;:false,&quot;suffix&quot;:&quot;&quot;},{&quot;dropping-particle&quot;:&quot;&quot;,&quot;family&quot;:&quot;Nejat&quot;,&quot;given&quot;:&quot;Payam&quot;,&quot;non-dropping-particle&quot;:&quot;&quot;,&quot;parse-names&quot;:false,&quot;suffix&quot;:&quot;&quot;},{&quot;dropping-particle&quot;:&quot;&quot;,&quot;family&quot;:&quot;Majid&quot;,&quot;given&quot;:&quot;Muhd Zaimi Abd&quot;,&quot;non-dropping-particle&quot;:&quot;&quot;,&quot;parse-names&quot;:false,&quot;suffix&quot;:&quot;&quot;},{&quot;dropping-particle&quot;:&quot;&quot;,&quot;family&quot;:&quot;Wahid&quot;,&quot;given&quot;:&quot;Mazlan A.&quot;,&quot;non-dropping-particle&quot;:&quot;&quot;,&quot;parse-names&quot;:false,&quot;suffix&quot;:&quot;&quot;},{&quot;dropping-particle&quot;:&quot;&quot;,&quot;family&quot;:&quot;Jomehzadeh&quot;,&quot;given&quot;:&quot;Fatemeh&quot;,&quot;non-dropping-particle&quot;:&quot;&quot;,&quot;parse-names&quot;:false,&quot;suffix&quot;:&quot;&quot;},{&quot;dropping-particle&quot;:&quot;&quot;,&quot;family&quot;:&quot;Zeynali Famileh&quot;,&quot;given&quot;:&quot;Iman&quot;,&quot;non-dropping-particle&quot;:&quot;&quot;,&quot;parse-names&quot;:false,&quot;suffix&quot;:&quot;&quot;},{&quot;dropping-particle&quot;:&quot;&quot;,&quot;family&quot;:&quot;Calautit&quot;,&quot;given&quot;:&quot;John Kaiser&quot;,&quot;non-dropping-particle&quot;:&quot;&quot;,&quot;parse-names&quot;:false,&quot;suffix&quot;:&quot;&quot;},{&quot;dropping-particle&quot;:&quot;&quot;,&quot;family&quot;:&quot;Hughes&quot;,&quot;given&quot;:&quot;Ben Richard&quot;,&quot;non-dropping-particle&quot;:&quot;&quot;,&quot;parse-names&quot;:false,&quot;suffix&quot;:&quot;&quot;},{&quot;dropping-particle&quot;:&quot;&quot;,&quot;family&quot;:&quot;Zaki&quot;,&quot;given&quot;:&quot;Sheikh Ahmad&quot;,&quot;non-dropping-particle&quot;:&quot;&quot;,&quot;parse-names&quot;:false,&quot;suffix&quot;:&quot;&quot;}],&quot;container-title&quot;:&quot;Renewable and Sustainable Energy Reviews&quot;,&quot;id&quot;:&quot;2737e47f-948b-35d1-b8ed-d2bc520e4bb8&quot;,&quot;issued&quot;:{&quot;date-parts&quot;:[[&quot;2016&quot;]]},&quot;page&quot;:&quot;1470-1497&quot;,&quot;publisher&quot;:&quot;Elsevier&quot;,&quot;title&quot;:&quot;A review on phase change material (PCM) for sustainable passive cooling in building envelopes&quot;,&quot;type&quot;:&quot;article-journal&quot;,&quot;volume&quot;:&quot;60&quot;,&quot;container-title-short&quot;:&quot;&quot;},&quot;uris&quot;:[&quot;http://www.mendeley.com/documents/?uuid=00984ade-b6e9-4c27-8b11-6e57a441b482&quot;],&quot;isTemporary&quot;:false,&quot;legacyDesktopId&quot;:&quot;00984ade-b6e9-4c27-8b11-6e57a441b482&quot;},{&quot;id&quot;:&quot;c347a1b6-c90b-36de-9d48-b7bbaf20584a&quot;,&quot;itemData&quot;:{&quot;DOI&quot;:&quot;10.1016/j.enbuild.2016.04.006&quot;,&quot;ISSN&quot;:&quot;03787788&quot;,&quot;abstract&quot;:&quot;Cooling demand in the building sector is growing rapidly; thermal energy storage systems using phase change materials (PCM) can be a very useful way to improve the building thermal performance. The right use of PCM in the envelope can minimize peak cooling loads, allow the use of smaller HVAC technical equipment for cooling, and has the capability to keep the indoor temperature within the comfort range due to smaller indoor temperature fluctuations. This article presents an overview of different PCM applications in buildings for reducing cooling loads under different climate conditions, and the factors affecting the successful and the effective use of the PCM. Many drawbacks have been found in PCM applications, mainly the intense impact of summer weather conditions over the PCM performance, which prohibits its complete solidification during night, and thus, limiting its effectiveness during the day. Proposed solutions are reviewed in this article. Finally, a topology diagram is presented to summarize the steps leading to an effective use of PCM in building applications.&quot;,&quot;author&quot;:[{&quot;dropping-particle&quot;:&quot;&quot;,&quot;family&quot;:&quot;Souayfane&quot;,&quot;given&quot;:&quot;Farah&quot;,&quot;non-dropping-particle&quot;:&quot;&quot;,&quot;parse-names&quot;:false,&quot;suffix&quot;:&quot;&quot;},{&quot;dropping-particle&quot;:&quot;&quot;,&quot;family&quot;:&quot;Fardoun&quot;,&quot;given&quot;:&quot;Farouk&quot;,&quot;non-dropping-particle&quot;:&quot;&quot;,&quot;parse-names&quot;:false,&quot;suffix&quot;:&quot;&quot;},{&quot;dropping-particle&quot;:&quot;&quot;,&quot;family&quot;:&quot;Biwole&quot;,&quot;given&quot;:&quot;Pascal Henry&quot;,&quot;non-dropping-particle&quot;:&quot;&quot;,&quot;parse-names&quot;:false,&quot;suffix&quot;:&quot;&quot;}],&quot;container-title&quot;:&quot;Energy and Buildings&quot;,&quot;id&quot;:&quot;c347a1b6-c90b-36de-9d48-b7bbaf20584a&quot;,&quot;issued&quot;:{&quot;date-parts&quot;:[[&quot;2016&quot;]]},&quot;page&quot;:&quot;396-431&quot;,&quot;publisher&quot;:&quot;Elsevier B.V.&quot;,&quot;title&quot;:&quot;Phase change materials (PCM) for cooling applications in buildings: A review&quot;,&quot;type&quot;:&quot;article-journal&quot;,&quot;volume&quot;:&quot;129&quot;,&quot;container-title-short&quot;:&quot;Energy Build&quot;},&quot;uris&quot;:[&quot;http://www.mendeley.com/documents/?uuid=f2280407-b330-4750-9d3c-f53013f4de3d&quot;],&quot;isTemporary&quot;:false,&quot;legacyDesktopId&quot;:&quot;f2280407-b330-4750-9d3c-f53013f4de3d&quot;},{&quot;id&quot;:&quot;305ca745-8196-3bd8-b415-68afcf972ffd&quot;,&quot;itemData&quot;:{&quot;DOI&quot;:&quot;10.1016/j.enbuild.2015.06.007&quot;,&quot;ISSN&quot;:&quot;03787788&quot;,&quot;abstract&quot;:&quot;It is well known that there is a need to develop technologies to achieve thermal comfort in buildings lowering the cooling and heating demand. Research has shown that thermal energy storage (TES) is a way to do so, but also other purposes can be pursued when using TES in buildings, such as peak shaving or increase of energy efficiency in HVAC systems. This paper reviews TES in buildings using sensible, latent heat and thermochemical energy storage. Sustainable heating and cooling with TES in buildings can be achieved through passive systems in building envelopes, Phase Change Materials (PCM) in active systems, sorption systems, and seasonal storage.&quot;,&quot;author&quot;:[{&quot;dropping-particle&quot;:&quot;&quot;,&quot;family&quot;:&quot;Gracia&quot;,&quot;given&quot;:&quot;Alvaro&quot;,&quot;non-dropping-particle&quot;:&quot;De&quot;,&quot;parse-names&quot;:false,&quot;suffix&quot;:&quot;&quot;},{&quot;dropping-particle&quot;:&quot;&quot;,&quot;family&quot;:&quot;Cabeza&quot;,&quot;given&quot;:&quot;Luisa F.&quot;,&quot;non-dropping-particle&quot;:&quot;&quot;,&quot;parse-names&quot;:false,&quot;suffix&quot;:&quot;&quot;}],&quot;container-title&quot;:&quot;Energy and Buildings&quot;,&quot;id&quot;:&quot;305ca745-8196-3bd8-b415-68afcf972ffd&quot;,&quot;issued&quot;:{&quot;date-parts&quot;:[[&quot;2015&quot;]]},&quot;page&quot;:&quot;414-419&quot;,&quot;publisher&quot;:&quot;Elsevier B.V.&quot;,&quot;title&quot;:&quot;Phase change materials and thermal energy storage for buildings&quot;,&quot;type&quot;:&quot;article-journal&quot;,&quot;volume&quot;:&quot;103&quot;,&quot;container-title-short&quot;:&quot;Energy Build&quot;},&quot;uris&quot;:[&quot;http://www.mendeley.com/documents/?uuid=e08e6b49-b48f-46e5-ada8-c0d82a666ef3&quot;],&quot;isTemporary&quot;:false,&quot;legacyDesktopId&quot;:&quot;e08e6b49-b48f-46e5-ada8-c0d82a666ef3&quot;},{&quot;id&quot;:&quot;18162e8a-0cec-3b9c-9e5f-f8eafc2e25f1&quot;,&quot;itemData&quot;:{&quot;DOI&quot;:&quot;10.1016/j.buildenv.2006.07.023&quot;,&quot;ISSN&quot;:&quot;03601323&quot;,&quot;abstract&quot;:&quot;Latent heat thermal energy storage (LHTES) is becoming more and more attractive for space heating and cooling of buildings. The application of LHTES in buildings has the following advantages: (1) the ability to narrow the gap between the peak and off-peak loads of electricity demand; (2) the ability to save operative fees by shifting the electrical consumption from peak periods to off-peak periods since the cost of electricity at night is 1/3-1/5 of that during the day; (3) the ability to utilize solar energy continuously, storing solar energy during the day, and releasing it at night, particularly for space heating in winter by reducing diurnal temperature fluctuation thus improving the degree of thermal comfort; (4) the ability to store the natural cooling by ventilation at night in summer and to release it to decrease the room temperature during the day, thus reducing the cooling load of air conditioning. This paper investigates previous work on thermal energy storage by incorporating phase change materials (PCMs) in the building envelope. The basic principle, candidate PCMs and their thermophysical properties, incorporation methods, thermal analyses of the use of PCMs in walls, floor, ceiling and window etc. and heat transfer enhancement are discussed. We show that with suitable PCMs and a suitable incorporation method with building material, LHTES can be economically efficient for heating and cooling buildings. However, several problems need to be tackled before LHTES can reliably and practically be applied. We conclude with some suggestions for future work. ©2006 Elsevier Ltd. All rights reserved.&quot;,&quot;author&quot;:[{&quot;dropping-particle&quot;:&quot;&quot;,&quot;family&quot;:&quot;Zhang&quot;,&quot;given&quot;:&quot;Yinping&quot;,&quot;non-dropping-particle&quot;:&quot;&quot;,&quot;parse-names&quot;:false,&quot;suffix&quot;:&quot;&quot;},{&quot;dropping-particle&quot;:&quot;&quot;,&quot;family&quot;:&quot;Zhou&quot;,&quot;given&quot;:&quot;Guobing&quot;,&quot;non-dropping-particle&quot;:&quot;&quot;,&quot;parse-names&quot;:false,&quot;suffix&quot;:&quot;&quot;},{&quot;dropping-particle&quot;:&quot;&quot;,&quot;family&quot;:&quot;Lin&quot;,&quot;given&quot;:&quot;Kunping&quot;,&quot;non-dropping-particle&quot;:&quot;&quot;,&quot;parse-names&quot;:false,&quot;suffix&quot;:&quot;&quot;},{&quot;dropping-particle&quot;:&quot;&quot;,&quot;family&quot;:&quot;Zhang&quot;,&quot;given&quot;:&quot;Qunli&quot;,&quot;non-dropping-particle&quot;:&quot;&quot;,&quot;parse-names&quot;:false,&quot;suffix&quot;:&quot;&quot;},{&quot;dropping-particle&quot;:&quot;&quot;,&quot;family&quot;:&quot;Di&quot;,&quot;given&quot;:&quot;Hongfa&quot;,&quot;non-dropping-particle&quot;:&quot;&quot;,&quot;parse-names&quot;:false,&quot;suffix&quot;:&quot;&quot;}],&quot;container-title&quot;:&quot;Building and Environment&quot;,&quot;id&quot;:&quot;18162e8a-0cec-3b9c-9e5f-f8eafc2e25f1&quot;,&quot;issue&quot;:&quot;6&quot;,&quot;issued&quot;:{&quot;date-parts&quot;:[[&quot;2007&quot;]]},&quot;page&quot;:&quot;2197-2209&quot;,&quot;title&quot;:&quot;Application of latent heat thermal energy storage in buildings: State-of-the-art and outlook&quot;,&quot;type&quot;:&quot;article-journal&quot;,&quot;volume&quot;:&quot;42&quot;,&quot;container-title-short&quot;:&quot;Build Environ&quot;},&quot;uris&quot;:[&quot;http://www.mendeley.com/documents/?uuid=f360ec4a-e5d7-4102-9927-166c9c087fc9&quot;],&quot;isTemporary&quot;:false,&quot;legacyDesktopId&quot;:&quot;f360ec4a-e5d7-4102-9927-166c9c087fc9&quot;}]},{&quot;citationID&quot;:&quot;MENDELEY_CITATION_5e173582-584c-4452-8d5c-97108a5a774a&quot;,&quot;properties&quot;:{&quot;noteIndex&quot;:0},&quot;isEdited&quot;:false,&quot;manualOverride&quot;:{&quot;citeprocText&quot;:&quot;[106]&quot;,&quot;isManuallyOverridden&quot;:false,&quot;manualOverrideText&quot;:&quot;&quot;},&quot;citationTag&quot;:&quot;MENDELEY_CITATION_v3_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&quot;,&quot;citationItems&quot;:[{&quot;id&quot;:&quot;f1237fcf-1e1c-3a86-999d-8bc1253d87d2&quot;,&quot;itemData&quot;:{&quot;DOI&quot;:&quot;10.1016/j.enpol.2010.01.027&quot;,&quot;ISSN&quot;:&quot;03014215&quot;,&quot;abstract&quot;:&quot;Peak demand for electricity in North America is expected to grow, challenging electrical utilities to supply this demand in a cost-effective, reliable manner. Therefore, there is growing interest in strategies to reduce peak demand by eliminating electricity use, or shifting it to non-peak times. This strategy is commonly called \&quot;demand response\&quot;. In households, common strategies are time-varying pricing, which charge more for energy use on peak, or direct load control, which allows utilities to curtail certain loads during high demand periods. We reviewed recent North American studies of these strategies. The data suggest that the most effective strategy is a critical peak price (CPP) program with enabling technology to automatically curtail loads on event days. There is little evidence that this causes substantial hardship for occupants, particularly if they have input into which loads are controlled and how, and have an override option. In such cases, a peak load reduction of at least 30% is a reasonable expectation. It might be possible to attain such load reductions without enabling technology by focusing on household types more likely to respond, and providing them with excellent support. A simple time-of-use (TOU) program can only expect to realise on-peak reductions of 5%. © 2010 .&quot;,&quot;author&quot;:[{&quot;dropping-particle&quot;:&quot;&quot;,&quot;family&quot;:&quot;Newsham&quot;,&quot;given&quot;:&quot;Guy R.&quot;,&quot;non-dropping-particle&quot;:&quot;&quot;,&quot;parse-names&quot;:false,&quot;suffix&quot;:&quot;&quot;},{&quot;dropping-particle&quot;:&quot;&quot;,&quot;family&quot;:&quot;Bowker&quot;,&quot;given&quot;:&quot;Brent G.&quot;,&quot;non-dropping-particle&quot;:&quot;&quot;,&quot;parse-names&quot;:false,&quot;suffix&quot;:&quot;&quot;}],&quot;container-title&quot;:&quot;Energy Policy&quot;,&quot;id&quot;:&quot;f1237fcf-1e1c-3a86-999d-8bc1253d87d2&quot;,&quot;issue&quot;:&quot;7&quot;,&quot;issued&quot;:{&quot;date-parts&quot;:[[&quot;2010&quot;,&quot;7&quot;,&quot;1&quot;]]},&quot;page&quot;:&quot;3289-3296&quot;,&quot;publisher&quot;:&quot;Elsevier&quot;,&quot;title&quot;:&quot;The effect of utility time-varying pricing and load control strategies on residential summer peak electricity use: A review&quot;,&quot;type&quot;:&quot;article-journal&quot;,&quot;volume&quot;:&quot;38&quot;,&quot;container-title-short&quot;:&quot;Energy Policy&quot;},&quot;uris&quot;:[&quot;http://www.mendeley.com/documents/?uuid=6a753e32-93cd-4fe3-ab0b-84a4be4301c7&quot;],&quot;isTemporary&quot;:false,&quot;legacyDesktopId&quot;:&quot;6a753e32-93cd-4fe3-ab0b-84a4be4301c7&quot;}]},{&quot;citationID&quot;:&quot;MENDELEY_CITATION_8c40389c-698c-47b2-8523-0564cdbd12f4&quot;,&quot;properties&quot;:{&quot;noteIndex&quot;:0},&quot;isEdited&quot;:false,&quot;manualOverride&quot;:{&quot;citeprocText&quot;:&quot;[107]&quot;,&quot;isManuallyOverridden&quot;:false,&quot;manualOverrideText&quot;:&quot;&quot;},&quot;citationTag&quot;:&quot;MENDELEY_CITATION_v3_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&quot;,&quot;citationItems&quot;:[{&quot;id&quot;:&quot;88e63fb2-3662-3f27-af1f-835dc98b1647&quot;,&quot;itemData&quot;:{&quot;ISSN&quot;:&quot;00012505&quot;,&quot;abstract&quot;:&quot;This paper describes an investigation into the use of building thermal capacitance as a means of reducing the operating costs associated with maintaining adequate comfort conditions in buildings (termed 'dynamic building control'). The state of the building thermal storage can be controlled through variations of the zone temperatures over time within the thermal comfort region. The primary opportunities in varying zone setpoints in an optimal fashion are associated with shifting cooling loads from daytime to nighttime to (1) reduce peak electrical demands, (2) take advantage of low nighttime electrical rates, (3) offset mechanical cooling with 'free' cooling at night, and (4) enhance equipment operation at more favorable part-load conditions. The approach utilized in this study was to apply dynamic optimization techniques to computer simulations of buildings and their associated cooling systems for a range of conditions in order to determine the maximum possible savings. Results indicate that both energy costs and peak electrical use can be significantly reduced through optimal control of the intrinsic thermal storage within building structures. However, the cost savings depend upon several factors, including (1) utility rate structure , (2) part-load characteristics of the cooling plant and air-handling system, (3) weather, (4) the occupancy schedule, and (5) building thermal capacitance.&quot;,&quot;author&quot;:[{&quot;dropping-particle&quot;:&quot;&quot;,&quot;family&quot;:&quot;Braun&quot;,&quot;given&quot;:&quot;James E&quot;,&quot;non-dropping-particle&quot;:&quot;&quot;,&quot;parse-names&quot;:false,&quot;suffix&quot;:&quot;&quot;}],&quot;container-title&quot;:&quot;ASHRAE Transactions&quot;,&quot;id&quot;:&quot;88e63fb2-3662-3f27-af1f-835dc98b1647&quot;,&quot;issue&quot;:&quot;pt 2&quot;,&quot;issued&quot;:{&quot;date-parts&quot;:[[&quot;1990&quot;]]},&quot;page&quot;:&quot;876-888&quot;,&quot;title&quot;:&quot;Reducing energy costs and peak electrical demand through optimal control of building thermal storage&quot;,&quot;type&quot;:&quot;paper-conference&quot;,&quot;container-title-short&quot;:&quot;ASHRAE Trans&quot;},&quot;uris&quot;:[&quot;http://www.mendeley.com/documents/?uuid=88e63fb2-3662-3f27-af1f-835dc98b1647&quot;],&quot;isTemporary&quot;:false,&quot;legacyDesktopId&quot;:&quot;88e63fb2-3662-3f27-af1f-835dc98b1647&quot;}]},{&quot;citationID&quot;:&quot;MENDELEY_CITATION_0b9b900b-f637-47b4-847b-061da63e39f9&quot;,&quot;properties&quot;:{&quot;noteIndex&quot;:0},&quot;isEdited&quot;:false,&quot;manualOverride&quot;:{&quot;citeprocText&quot;:&quot;[108]&quot;,&quot;isManuallyOverridden&quot;:false,&quot;manualOverrideText&quot;:&quot;&quot;},&quot;citationTag&quot;:&quot;MENDELEY_CITATION_v3_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&quot;,&quot;citationItems&quot;:[{&quot;id&quot;:&quot;ba0b484b-215d-3ee4-927f-b57b785b244d&quot;,&quot;itemData&quot;:{&quot;DOI&quot;:&quot;10.1002/er.4440150909&quot;,&quot;ISSN&quot;:&quot;1099114X&quot;,&quot;abstract&quot;:&quot;Cooling loads during the peak period can be reduced if a building is subcooled a few degrees below its normal thermostat set‐point during the preceding night. During the day the thermostat must control the warm‐up in such a way that the stored energy is released when it brings maximum benefit. This strategy exploits the heat capacity of the building itself; it can be implemented at low cost and without sacrifice of comfort. To evaluate the strategy for a given building and to control the thermostat, one needs to know the thermal behaviour of the building. Building temperature, internal load and solar data are used to determine a small number of thermal parameters which characterize the building. Several thermostat control strategies, distinguished by their knowledge of the building dynamics, are described and simulated, with a data‐based dynamic model. Universal graphs for effective storage capacity and storage efficiency are developed. A simple economic analysis shows that subcooling is likely to be cost‐effective for many commercial buildings, with current electric rate schedules. Copyright © 1991 John Wiley &amp; Sons, Ltd.&quot;,&quot;author&quot;:[{&quot;dropping-particle&quot;:&quot;&quot;,&quot;family&quot;:&quot;Rabl&quot;,&quot;given&quot;:&quot;A.&quot;,&quot;non-dropping-particle&quot;:&quot;&quot;,&quot;parse-names&quot;:false,&quot;suffix&quot;:&quot;&quot;},{&quot;dropping-particle&quot;:&quot;&quot;,&quot;family&quot;:&quot;Norford&quot;,&quot;given&quot;:&quot;L. K.&quot;,&quot;non-dropping-particle&quot;:&quot;&quot;,&quot;parse-names&quot;:false,&quot;suffix&quot;:&quot;&quot;}],&quot;container-title&quot;:&quot;International Journal of Energy Research&quot;,&quot;id&quot;:&quot;ba0b484b-215d-3ee4-927f-b57b785b244d&quot;,&quot;issue&quot;:&quot;9&quot;,&quot;issued&quot;:{&quot;date-parts&quot;:[[&quot;1991&quot;,&quot;12&quot;,&quot;1&quot;]]},&quot;page&quot;:&quot;781-798&quot;,&quot;publisher&quot;:&quot;John Wiley &amp; Sons, Ltd&quot;,&quot;title&quot;:&quot;Peak load reduction by preconditioning buildings at night&quot;,&quot;type&quot;:&quot;article-journal&quot;,&quot;volume&quot;:&quot;15&quot;,&quot;container-title-short&quot;:&quot;Int J Energy Res&quot;},&quot;uris&quot;:[&quot;http://www.mendeley.com/documents/?uuid=ba0b484b-215d-3ee4-927f-b57b785b244d&quot;],&quot;isTemporary&quot;:false,&quot;legacyDesktopId&quot;:&quot;ba0b484b-215d-3ee4-927f-b57b785b244d&quot;}]},{&quot;citationID&quot;:&quot;MENDELEY_CITATION_391fb902-c851-497e-bea3-8e6a0ad5eeb5&quot;,&quot;properties&quot;:{&quot;noteIndex&quot;:0},&quot;isEdited&quot;:false,&quot;manualOverride&quot;:{&quot;citeprocText&quot;:&quot;[108]&quot;,&quot;isManuallyOverridden&quot;:false,&quot;manualOverrideText&quot;:&quot;&quot;},&quot;citationTag&quot;:&quot;MENDELEY_CITATION_v3_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&quot;,&quot;citationItems&quot;:[{&quot;id&quot;:&quot;ba0b484b-215d-3ee4-927f-b57b785b244d&quot;,&quot;itemData&quot;:{&quot;DOI&quot;:&quot;10.1002/er.4440150909&quot;,&quot;ISSN&quot;:&quot;1099114X&quot;,&quot;abstract&quot;:&quot;Cooling loads during the peak period can be reduced if a building is subcooled a few degrees below its normal thermostat set‐point during the preceding night. During the day the thermostat must control the warm‐up in such a way that the stored energy is released when it brings maximum benefit. This strategy exploits the heat capacity of the building itself; it can be implemented at low cost and without sacrifice of comfort. To evaluate the strategy for a given building and to control the thermostat, one needs to know the thermal behaviour of the building. Building temperature, internal load and solar data are used to determine a small number of thermal parameters which characterize the building. Several thermostat control strategies, distinguished by their knowledge of the building dynamics, are described and simulated, with a data‐based dynamic model. Universal graphs for effective storage capacity and storage efficiency are developed. A simple economic analysis shows that subcooling is likely to be cost‐effective for many commercial buildings, with current electric rate schedules. Copyright © 1991 John Wiley &amp; Sons, Ltd.&quot;,&quot;author&quot;:[{&quot;dropping-particle&quot;:&quot;&quot;,&quot;family&quot;:&quot;Rabl&quot;,&quot;given&quot;:&quot;A.&quot;,&quot;non-dropping-particle&quot;:&quot;&quot;,&quot;parse-names&quot;:false,&quot;suffix&quot;:&quot;&quot;},{&quot;dropping-particle&quot;:&quot;&quot;,&quot;family&quot;:&quot;Norford&quot;,&quot;given&quot;:&quot;L. K.&quot;,&quot;non-dropping-particle&quot;:&quot;&quot;,&quot;parse-names&quot;:false,&quot;suffix&quot;:&quot;&quot;}],&quot;container-title&quot;:&quot;International Journal of Energy Research&quot;,&quot;id&quot;:&quot;ba0b484b-215d-3ee4-927f-b57b785b244d&quot;,&quot;issue&quot;:&quot;9&quot;,&quot;issued&quot;:{&quot;date-parts&quot;:[[&quot;1991&quot;,&quot;12&quot;,&quot;1&quot;]]},&quot;page&quot;:&quot;781-798&quot;,&quot;publisher&quot;:&quot;John Wiley &amp; Sons, Ltd&quot;,&quot;title&quot;:&quot;Peak load reduction by preconditioning buildings at night&quot;,&quot;type&quot;:&quot;article-journal&quot;,&quot;volume&quot;:&quot;15&quot;,&quot;container-title-short&quot;:&quot;Int J Energy Res&quot;},&quot;uris&quot;:[&quot;http://www.mendeley.com/documents/?uuid=ba0b484b-215d-3ee4-927f-b57b785b244d&quot;],&quot;isTemporary&quot;:false,&quot;legacyDesktopId&quot;:&quot;ba0b484b-215d-3ee4-927f-b57b785b244d&quot;}]},{&quot;citationID&quot;:&quot;MENDELEY_CITATION_73a841c4-c36e-47e7-bb11-f3fe94a41c80&quot;,&quot;properties&quot;:{&quot;noteIndex&quot;:0},&quot;isEdited&quot;:false,&quot;manualOverride&quot;:{&quot;citeprocText&quot;:&quot;[107]&quot;,&quot;isManuallyOverridden&quot;:false,&quot;manualOverrideText&quot;:&quot;&quot;},&quot;citationTag&quot;:&quot;MENDELEY_CITATION_v3_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&quot;,&quot;citationItems&quot;:[{&quot;id&quot;:&quot;88e63fb2-3662-3f27-af1f-835dc98b1647&quot;,&quot;itemData&quot;:{&quot;ISSN&quot;:&quot;00012505&quot;,&quot;abstract&quot;:&quot;This paper describes an investigation into the use of building thermal capacitance as a means of reducing the operating costs associated with maintaining adequate comfort conditions in buildings (termed 'dynamic building control'). The state of the building thermal storage can be controlled through variations of the zone temperatures over time within the thermal comfort region. The primary opportunities in varying zone setpoints in an optimal fashion are associated with shifting cooling loads from daytime to nighttime to (1) reduce peak electrical demands, (2) take advantage of low nighttime electrical rates, (3) offset mechanical cooling with 'free' cooling at night, and (4) enhance equipment operation at more favorable part-load conditions. The approach utilized in this study was to apply dynamic optimization techniques to computer simulations of buildings and their associated cooling systems for a range of conditions in order to determine the maximum possible savings. Results indicate that both energy costs and peak electrical use can be significantly reduced through optimal control of the intrinsic thermal storage within building structures. However, the cost savings depend upon several factors, including (1) utility rate structure , (2) part-load characteristics of the cooling plant and air-handling system, (3) weather, (4) the occupancy schedule, and (5) building thermal capacitance.&quot;,&quot;author&quot;:[{&quot;dropping-particle&quot;:&quot;&quot;,&quot;family&quot;:&quot;Braun&quot;,&quot;given&quot;:&quot;James E&quot;,&quot;non-dropping-particle&quot;:&quot;&quot;,&quot;parse-names&quot;:false,&quot;suffix&quot;:&quot;&quot;}],&quot;container-title&quot;:&quot;ASHRAE Transactions&quot;,&quot;id&quot;:&quot;88e63fb2-3662-3f27-af1f-835dc98b1647&quot;,&quot;issue&quot;:&quot;pt 2&quot;,&quot;issued&quot;:{&quot;date-parts&quot;:[[&quot;1990&quot;]]},&quot;page&quot;:&quot;876-888&quot;,&quot;title&quot;:&quot;Reducing energy costs and peak electrical demand through optimal control of building thermal storage&quot;,&quot;type&quot;:&quot;paper-conference&quot;,&quot;container-title-short&quot;:&quot;ASHRAE Trans&quot;},&quot;uris&quot;:[&quot;http://www.mendeley.com/documents/?uuid=88e63fb2-3662-3f27-af1f-835dc98b1647&quot;],&quot;isTemporary&quot;:false,&quot;legacyDesktopId&quot;:&quot;88e63fb2-3662-3f27-af1f-835dc98b1647&quot;}]},{&quot;citationID&quot;:&quot;MENDELEY_CITATION_0deae282-5c54-4677-a99b-8b8e55f68cbc&quot;,&quot;properties&quot;:{&quot;noteIndex&quot;:0},&quot;isEdited&quot;:false,&quot;manualOverride&quot;:{&quot;citeprocText&quot;:&quot;[107]&quot;,&quot;isManuallyOverridden&quot;:false,&quot;manualOverrideText&quot;:&quot;&quot;},&quot;citationTag&quot;:&quot;MENDELEY_CITATION_v3_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&quot;,&quot;citationItems&quot;:[{&quot;id&quot;:&quot;88e63fb2-3662-3f27-af1f-835dc98b1647&quot;,&quot;itemData&quot;:{&quot;ISSN&quot;:&quot;00012505&quot;,&quot;abstract&quot;:&quot;This paper describes an investigation into the use of building thermal capacitance as a means of reducing the operating costs associated with maintaining adequate comfort conditions in buildings (termed 'dynamic building control'). The state of the building thermal storage can be controlled through variations of the zone temperatures over time within the thermal comfort region. The primary opportunities in varying zone setpoints in an optimal fashion are associated with shifting cooling loads from daytime to nighttime to (1) reduce peak electrical demands, (2) take advantage of low nighttime electrical rates, (3) offset mechanical cooling with 'free' cooling at night, and (4) enhance equipment operation at more favorable part-load conditions. The approach utilized in this study was to apply dynamic optimization techniques to computer simulations of buildings and their associated cooling systems for a range of conditions in order to determine the maximum possible savings. Results indicate that both energy costs and peak electrical use can be significantly reduced through optimal control of the intrinsic thermal storage within building structures. However, the cost savings depend upon several factors, including (1) utility rate structure , (2) part-load characteristics of the cooling plant and air-handling system, (3) weather, (4) the occupancy schedule, and (5) building thermal capacitance.&quot;,&quot;author&quot;:[{&quot;dropping-particle&quot;:&quot;&quot;,&quot;family&quot;:&quot;Braun&quot;,&quot;given&quot;:&quot;James E&quot;,&quot;non-dropping-particle&quot;:&quot;&quot;,&quot;parse-names&quot;:false,&quot;suffix&quot;:&quot;&quot;}],&quot;container-title&quot;:&quot;ASHRAE Transactions&quot;,&quot;id&quot;:&quot;88e63fb2-3662-3f27-af1f-835dc98b1647&quot;,&quot;issue&quot;:&quot;pt 2&quot;,&quot;issued&quot;:{&quot;date-parts&quot;:[[&quot;1990&quot;]]},&quot;page&quot;:&quot;876-888&quot;,&quot;title&quot;:&quot;Reducing energy costs and peak electrical demand through optimal control of building thermal storage&quot;,&quot;type&quot;:&quot;paper-conference&quot;,&quot;container-title-short&quot;:&quot;ASHRAE Trans&quot;},&quot;uris&quot;:[&quot;http://www.mendeley.com/documents/?uuid=88e63fb2-3662-3f27-af1f-835dc98b1647&quot;],&quot;isTemporary&quot;:false,&quot;legacyDesktopId&quot;:&quot;88e63fb2-3662-3f27-af1f-835dc98b1647&quot;}]},{&quot;citationID&quot;:&quot;MENDELEY_CITATION_d44e281b-a95b-4a48-a686-d35f43156dd7&quot;,&quot;properties&quot;:{&quot;noteIndex&quot;:0},&quot;isEdited&quot;:false,&quot;manualOverride&quot;:{&quot;citeprocText&quot;:&quot;[109]&quot;,&quot;isManuallyOverridden&quot;:false,&quot;manualOverrideText&quot;:&quot;&quot;},&quot;citationTag&quot;:&quot;MENDELEY_CITATION_v3_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&quot;,&quot;citationItems&quot;:[{&quot;id&quot;:&quot;17df0b1e-7bd8-388e-8777-fe7920f9ca1a&quot;,&quot;itemData&quot;:{&quot;DOI&quot;:&quot;10.1016/j.enpol.2011.10.016&quot;,&quot;ISSN&quot;:&quot;03014215&quot;,&quot;abstract&quot;:&quot;Within the next years, consumer households will be increasingly equipped with smart metering and intelligent appliances. These technologies are the basis for households to better monitor electricity consumption and to actively control loads in private homes. Demand side management (DSM) can be adopted to private households. We present a simulation model that generates household load profiles under flat tariffs and simulates changes in these profiles when households are equipped with smart appliances and face time-based electricity prices.We investigate the impact of smart appliances and variable prices on electricity bills of a household. We show that for households the savings from equipping them with smart appliances are moderate compared to the required investment. This finding is quite robust with respect to variation of tariff price spreads and to different types of appliance utilization patterns.Finally, our results indicate that electric utilities may face new demand peaks when day-ahead hourly prices are applied. However, a considerable amount of residential load is available for shifting, which is interesting for the utilities to balance demand and supply. © 2011 Elsevier Ltd.&quot;,&quot;author&quot;:[{&quot;dropping-particle&quot;:&quot;&quot;,&quot;family&quot;:&quot;Gottwalt&quot;,&quot;given&quot;:&quot;Sebastian&quot;,&quot;non-dropping-particle&quot;:&quot;&quot;,&quot;parse-names&quot;:false,&quot;suffix&quot;:&quot;&quot;},{&quot;dropping-particle&quot;:&quot;&quot;,&quot;family&quot;:&quot;Ketter&quot;,&quot;given&quot;:&quot;Wolfgang&quot;,&quot;non-dropping-particle&quot;:&quot;&quot;,&quot;parse-names&quot;:false,&quot;suffix&quot;:&quot;&quot;},{&quot;dropping-particle&quot;:&quot;&quot;,&quot;family&quot;:&quot;Block&quot;,&quot;given&quot;:&quot;Carsten&quot;,&quot;non-dropping-particle&quot;:&quot;&quot;,&quot;parse-names&quot;:false,&quot;suffix&quot;:&quot;&quot;},{&quot;dropping-particle&quot;:&quot;&quot;,&quot;family&quot;:&quot;Collins&quot;,&quot;given&quot;:&quot;John&quot;,&quot;non-dropping-particle&quot;:&quot;&quot;,&quot;parse-names&quot;:false,&quot;suffix&quot;:&quot;&quot;},{&quot;dropping-particle&quot;:&quot;&quot;,&quot;family&quot;:&quot;Weinhardt&quot;,&quot;given&quot;:&quot;Christof&quot;,&quot;non-dropping-particle&quot;:&quot;&quot;,&quot;parse-names&quot;:false,&quot;suffix&quot;:&quot;&quot;}],&quot;container-title&quot;:&quot;Energy Policy&quot;,&quot;id&quot;:&quot;17df0b1e-7bd8-388e-8777-fe7920f9ca1a&quot;,&quot;issue&quot;:&quot;12&quot;,&quot;issued&quot;:{&quot;date-parts&quot;:[[&quot;2011&quot;,&quot;12&quot;,&quot;1&quot;]]},&quot;page&quot;:&quot;8163-8174&quot;,&quot;publisher&quot;:&quot;Elsevier&quot;,&quot;title&quot;:&quot;Demand side management-A simulation of household behavior under variable prices&quot;,&quot;type&quot;:&quot;article-journal&quot;,&quot;volume&quot;:&quot;39&quot;,&quot;container-title-short&quot;:&quot;Energy Policy&quot;},&quot;uris&quot;:[&quot;http://www.mendeley.com/documents/?uuid=17df0b1e-7bd8-388e-8777-fe7920f9ca1a&quot;],&quot;isTemporary&quot;:false,&quot;legacyDesktopId&quot;:&quot;17df0b1e-7bd8-388e-8777-fe7920f9ca1a&quot;}]},{&quot;citationID&quot;:&quot;MENDELEY_CITATION_5e2437f2-aeb6-40dd-8017-a3d5289a7e14&quot;,&quot;properties&quot;:{&quot;noteIndex&quot;:0},&quot;isEdited&quot;:false,&quot;manualOverride&quot;:{&quot;citeprocText&quot;:&quot;[110]&quot;,&quot;isManuallyOverridden&quot;:false,&quot;manualOverrideText&quot;:&quot;&quot;},&quot;citationTag&quot;:&quot;MENDELEY_CITATION_v3_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&quot;,&quot;citationItems&quot;:[{&quot;id&quot;:&quot;351cde86-d205-36b7-8290-3541cfc988b2&quot;,&quot;itemData&quot;:{&quot;DOI&quot;:&quot;10.23919/ecc.2013.6669762&quot;,&quot;ISBN&quot;:&quot;9783033039629&quot;,&quot;abstract&quot;:&quot;This paper proposes a Model Predictive Control (MPC) scheme to control residential buildings with space heating/cooling loads, an Electric Water Heater (EWH), photovoltaics (PV) and battery storage in a time-varying electricity price environment. The controller uses models for the system components as well as predictions for future disturbances such as weather conditions, occupancy and electricity prices to find the building operation that minimizes electricity costs over the prediction horizon while respecting user comfort constraints. The building operation is investigated under three different price scenarios: (1) a simple day-night tariff for end-customers, (2) a day-ahead dynamic tariff reflecting the wholesale market marginal costs and (3) a real-time dynamic tariff. Residential buildings response to such price signals is investigated in a case study and their potential for Demand Response (DR) programs is evaluated. © 2013 EUCA.&quot;,&quot;author&quot;:[{&quot;dropping-particle&quot;:&quot;&quot;,&quot;family&quot;:&quot;Vrettos&quot;,&quot;given&quot;:&quot;Evangelos&quot;,&quot;non-dropping-particle&quot;:&quot;&quot;,&quot;parse-names&quot;:false,&quot;suffix&quot;:&quot;&quot;},{&quot;dropping-particle&quot;:&quot;&quot;,&quot;family&quot;:&quot;Lai&quot;,&quot;given&quot;:&quot;Kuanlin&quot;,&quot;non-dropping-particle&quot;:&quot;&quot;,&quot;parse-names&quot;:false,&quot;suffix&quot;:&quot;&quot;},{&quot;dropping-particle&quot;:&quot;&quot;,&quot;family&quot;:&quot;Oldewurtel&quot;,&quot;given&quot;:&quot;Frauke&quot;,&quot;non-dropping-particle&quot;:&quot;&quot;,&quot;parse-names&quot;:false,&quot;suffix&quot;:&quot;&quot;},{&quot;dropping-particle&quot;:&quot;&quot;,&quot;family&quot;:&quot;Andersson&quot;,&quot;given&quot;:&quot;Goran&quot;,&quot;non-dropping-particle&quot;:&quot;&quot;,&quot;parse-names&quot;:false,&quot;suffix&quot;:&quot;&quot;}],&quot;container-title&quot;:&quot;2013 European Control Conference, ECC 2013&quot;,&quot;id&quot;:&quot;351cde86-d205-36b7-8290-3541cfc988b2&quot;,&quot;issued&quot;:{&quot;date-parts&quot;:[[&quot;2013&quot;]]},&quot;page&quot;:&quot;2527-2534&quot;,&quot;title&quot;:&quot;Predictive Control of buildings for Demand Response with dynamic day-ahead and real-time prices&quot;,&quot;type&quot;:&quot;paper-conference&quot;,&quot;container-title-short&quot;:&quot;&quot;},&quot;uris&quot;:[&quot;http://www.mendeley.com/documents/?uuid=351cde86-d205-36b7-8290-3541cfc988b2&quot;],&quot;isTemporary&quot;:false,&quot;legacyDesktopId&quot;:&quot;351cde86-d205-36b7-8290-3541cfc988b2&quot;}]},{&quot;citationID&quot;:&quot;MENDELEY_CITATION_ea3f5f4e-395c-4fb9-ba14-e63bdcb02f61&quot;,&quot;properties&quot;:{&quot;noteIndex&quot;:0},&quot;isEdited&quot;:false,&quot;manualOverride&quot;:{&quot;citeprocText&quot;:&quot;[111]&quot;,&quot;isManuallyOverridden&quot;:false,&quot;manualOverrideText&quot;:&quot;&quot;},&quot;citationTag&quot;:&quot;MENDELEY_CITATION_v3_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&quot;,&quot;citationItems&quot;:[{&quot;id&quot;:&quot;8db83729-ebb3-3e2c-9543-ca106a1a8897&quot;,&quot;itemData&quot;:{&quot;DOI&quot;:&quot;10.1016/j.enbuild.2014.05.002&quot;,&quot;ISSN&quot;:&quot;03787788&quot;,&quot;abstract&quot;:&quot;In the U.S.; heating, ventilating and air conditioning (HVAC) systems are the largest consumers of electrical energy and a major contributor to peak demand. To reduce both peak load and energy cost, the set-point temperature of HVAC can be controlled depending on the electricity price. This paper presents a proposed controller that curtails peak load as well as saves electricity cost while maintaining reasonable thermal comfort. The controller changes set-point temperature when the retail price is higher than customers preset price. To evaluate the performance of the newly developed demand response controller, detailed energy models for two residential buildings are developed to analyze HVAC power consumption for different house sizes and floor plans. The house models are assumed to be located in Austin, Texas, USA and generated with OpenStudio and EnergyPlus. The design of internal load and occupation schedule are based on a residential energy consumption survey and experimental data by the Pecan Street Project, Austin, TX. In addition, historical data from Austin Energy for residential customers, 2012 is used to calibrate two house models. In addition, this paper uses the historical real-time wholesale price data for the Electricity Reliability Council of Texas (ERCOT) wholesale electricity market to model the two types of real-time tariffs that many utilities in the U.S. currently use to generate dynamic pricing for demand response programs. The simulation results show that our demand response controller could provide up to 10.8% of energy cost savings by using the proposed controller with dynamic pricing. While avoiding significant discomfort due to temperature change. Also, the results present potential for saving considering peak load by 24.7% and total electrical energy saving for HVAC in homes by 4.3% annually. © 2014 Elsevier B.V.&quot;,&quot;author&quot;:[{&quot;dropping-particle&quot;:&quot;&quot;,&quot;family&quot;:&quot;Yoon&quot;,&quot;given&quot;:&quot;Ji Hoon&quot;,&quot;non-dropping-particle&quot;:&quot;&quot;,&quot;parse-names&quot;:false,&quot;suffix&quot;:&quot;&quot;},{&quot;dropping-particle&quot;:&quot;&quot;,&quot;family&quot;:&quot;Bladick&quot;,&quot;given&quot;:&quot;Ross&quot;,&quot;non-dropping-particle&quot;:&quot;&quot;,&quot;parse-names&quot;:false,&quot;suffix&quot;:&quot;&quot;},{&quot;dropping-particle&quot;:&quot;&quot;,&quot;family&quot;:&quot;Novoselac&quot;,&quot;given&quot;:&quot;Atila&quot;,&quot;non-dropping-particle&quot;:&quot;&quot;,&quot;parse-names&quot;:false,&quot;suffix&quot;:&quot;&quot;}],&quot;container-title&quot;:&quot;Energy and Buildings&quot;,&quot;id&quot;:&quot;8db83729-ebb3-3e2c-9543-ca106a1a8897&quot;,&quot;issued&quot;:{&quot;date-parts&quot;:[[&quot;2014&quot;,&quot;9&quot;,&quot;1&quot;]]},&quot;page&quot;:&quot;531-541&quot;,&quot;publisher&quot;:&quot;Elsevier Ltd&quot;,&quot;title&quot;:&quot;Demand response for residential buildings based on dynamic price of electricity&quot;,&quot;type&quot;:&quot;article-journal&quot;,&quot;volume&quot;:&quot;80&quot;,&quot;container-title-short&quot;:&quot;Energy Build&quot;},&quot;uris&quot;:[&quot;http://www.mendeley.com/documents/?uuid=8db83729-ebb3-3e2c-9543-ca106a1a8897&quot;],&quot;isTemporary&quot;:false,&quot;legacyDesktopId&quot;:&quot;8db83729-ebb3-3e2c-9543-ca106a1a8897&quot;}]},{&quot;citationID&quot;:&quot;MENDELEY_CITATION_8c05c045-4509-4c88-ad4c-7b98a6932dac&quot;,&quot;properties&quot;:{&quot;noteIndex&quot;:0},&quot;isEdited&quot;:false,&quot;manualOverride&quot;:{&quot;citeprocText&quot;:&quot;[112]&quot;,&quot;isManuallyOverridden&quot;:false,&quot;manualOverrideText&quot;:&quot;&quot;},&quot;citationTag&quot;:&quot;MENDELEY_CITATION_v3_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&quot;,&quot;citationItems&quot;:[{&quot;id&quot;:&quot;f07ba434-759a-370d-b215-f1f8a0d5935a&quot;,&quot;itemData&quot;:{&quot;DOI&quot;:&quot;10.1080/23744731.2016.1195659&quot;,&quot;ISSN&quot;:&quot;2374474X&quot;,&quot;abstract&quot;:&quot;During peak hours, electrical loads of residential HVAC systems can cause imbalance between electricity supply and demand. Demand response control has the potential to facilitate supply–demand balance. The demand side load control can help reduce electricity consumption through demand response programs. Since HVAC loads are the major contributors to peak loads, reducing HVAC load at peak hours is an objective of many demand response technologies. This article analyzes performance of the dynamic thermostat controller of HVAC systems in homes that have dynamic price of electricity. Based on a price signal, the dynamic thermostat controller sets back the thermostat temperature to save electricity consumption and costs. The consumers choose participation in the demand response program based on the real-time price of electricity and set a threshold price that the thermostat uses to set the temperature during peak power price period. The performance of dynamic thermostat controller was analyzed for two cities, Austin TX and Chicago IL, and historical market price data were used to generate hourly based real-time price. In addition to different climate zones, two different types of residential buildings were modeled. Based on detailed energy simulation, the changes in HVAC system operation were analyzed when considering electric energy saving, peak power reduction, cost saving, as well as the potential thermal discomfort. The specific results show that dynamic pricing combined with dynamic thermostat controller results in 12% annual energy cost savings for HVAC operation with the energy saving of up to 6%, but without significantly changing the thermal comfort.&quot;,&quot;author&quot;:[{&quot;dropping-particle&quot;:&quot;&quot;,&quot;family&quot;:&quot;Yoon&quot;,&quot;given&quot;:&quot;Ji Hoon&quot;,&quot;non-dropping-particle&quot;:&quot;&quot;,&quot;parse-names&quot;:false,&quot;suffix&quot;:&quot;&quot;},{&quot;dropping-particle&quot;:&quot;&quot;,&quot;family&quot;:&quot;Baldick&quot;,&quot;given&quot;:&quot;Ross&quot;,&quot;non-dropping-particle&quot;:&quot;&quot;,&quot;parse-names&quot;:false,&quot;suffix&quot;:&quot;&quot;},{&quot;dropping-particle&quot;:&quot;&quot;,&quot;family&quot;:&quot;Novoselac&quot;,&quot;given&quot;:&quot;Atila&quot;,&quot;non-dropping-particle&quot;:&quot;&quot;,&quot;parse-names&quot;:false,&quot;suffix&quot;:&quot;&quot;}],&quot;container-title&quot;:&quot;Science and Technology for the Built Environment&quot;,&quot;id&quot;:&quot;f07ba434-759a-370d-b215-f1f8a0d5935a&quot;,&quot;issue&quot;:&quot;6&quot;,&quot;issued&quot;:{&quot;date-parts&quot;:[[&quot;2016&quot;,&quot;8&quot;,&quot;17&quot;]]},&quot;page&quot;:&quot;705-719&quot;,&quot;publisher&quot;:&quot;Taylor and Francis Inc.&quot;,&quot;title&quot;:&quot;Demand response control of residential HVAC loads based on dynamic electricity prices and economic analysis&quot;,&quot;type&quot;:&quot;article-journal&quot;,&quot;volume&quot;:&quot;22&quot;,&quot;container-title-short&quot;:&quot;Sci Technol Built Environ&quot;},&quot;uris&quot;:[&quot;http://www.mendeley.com/documents/?uuid=f07ba434-759a-370d-b215-f1f8a0d5935a&quot;],&quot;isTemporary&quot;:false,&quot;legacyDesktopId&quot;:&quot;f07ba434-759a-370d-b215-f1f8a0d5935a&quot;}]},{&quot;citationID&quot;:&quot;MENDELEY_CITATION_feecc86a-1a56-43e0-8905-887e1e0ad043&quot;,&quot;properties&quot;:{&quot;noteIndex&quot;:0},&quot;isEdited&quot;:false,&quot;manualOverride&quot;:{&quot;citeprocText&quot;:&quot;[113]&quot;,&quot;isManuallyOverridden&quot;:false,&quot;manualOverrideText&quot;:&quot;&quot;},&quot;citationTag&quot;:&quot;MENDELEY_CITATION_v3_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&quot;,&quot;citationItems&quot;:[{&quot;id&quot;:&quot;d94ac077-e8d3-39bd-8db5-a8a41a98e95c&quot;,&quot;itemData&quot;:{&quot;DOI&quot;:&quot;10.1016/j.enbuild.2014.12.047&quot;,&quot;ISSN&quot;:&quot;03787788&quot;,&quot;abstract&quot;:&quot;The increased generation of electricity from renewable energy sources may imply issues in the management of national electric systems, due to the low predictability of electricity generation from renewable energy sources. In this regard, interesting opportunities come from the use of advanced control strategies for the management of electric devices such as heat pumps, able to exploit dynamic electricity prices aimed to induce users to absorb/generate electricity according with the electricity grid imbalance. In this paper, the results of building energy simulations applying tailored heat pump control strategies suitable for the integration within smart grids are presented. In particular, three heat pump control strategies are applied, whose action is based on the cost of electricity (absolute and relative to the following 12 h) and on the level of the local electricity generation from photovoltaics. The analyzed control strategies ensure relevant money savings (up to 30%) and increase the degree of energy self-consumption (up to 12% for exported electricity and 22% for imported electricity). The analysis considers also comfort issues and shows that the best results may be achieved commanding the heat pump basing on the generation of the photovoltaic system as well as on the simultaneous heating/cooling loads and electricity prices.&quot;,&quot;author&quot;:[{&quot;dropping-particle&quot;:&quot;&quot;,&quot;family&quot;:&quot;Schibuola&quot;,&quot;given&quot;:&quot;Luigi&quot;,&quot;non-dropping-particle&quot;:&quot;&quot;,&quot;parse-names&quot;:false,&quot;suffix&quot;:&quot;&quot;},{&quot;dropping-particle&quot;:&quot;&quot;,&quot;family&quot;:&quot;Scarpa&quot;,&quot;given&quot;:&quot;Massimiliano&quot;,&quot;non-dropping-particle&quot;:&quot;&quot;,&quot;parse-names&quot;:false,&quot;suffix&quot;:&quot;&quot;},{&quot;dropping-particle&quot;:&quot;&quot;,&quot;family&quot;:&quot;Tambani&quot;,&quot;given&quot;:&quot;Chiara&quot;,&quot;non-dropping-particle&quot;:&quot;&quot;,&quot;parse-names&quot;:false,&quot;suffix&quot;:&quot;&quot;}],&quot;container-title&quot;:&quot;Energy and Buildings&quot;,&quot;id&quot;:&quot;d94ac077-e8d3-39bd-8db5-a8a41a98e95c&quot;,&quot;issued&quot;:{&quot;date-parts&quot;:[[&quot;2015&quot;,&quot;3&quot;,&quot;1&quot;]]},&quot;page&quot;:&quot;15-28&quot;,&quot;publisher&quot;:&quot;Elsevier Ltd&quot;,&quot;title&quot;:&quot;Demand response management by means of heat pumps controlled via real time pricing&quot;,&quot;type&quot;:&quot;article-journal&quot;,&quot;volume&quot;:&quot;90&quot;,&quot;container-title-short&quot;:&quot;Energy Build&quot;},&quot;uris&quot;:[&quot;http://www.mendeley.com/documents/?uuid=d94ac077-e8d3-39bd-8db5-a8a41a98e95c&quot;],&quot;isTemporary&quot;:false,&quot;legacyDesktopId&quot;:&quot;d94ac077-e8d3-39bd-8db5-a8a41a98e95c&quot;}]},{&quot;citationID&quot;:&quot;MENDELEY_CITATION_4b53a005-341c-48fa-89bb-76ce33602667&quot;,&quot;properties&quot;:{&quot;noteIndex&quot;:0},&quot;isEdited&quot;:false,&quot;manualOverride&quot;:{&quot;citeprocText&quot;:&quot;[114]&quot;,&quot;isManuallyOverridden&quot;:false,&quot;manualOverrideText&quot;:&quot;&quot;},&quot;citationTag&quot;:&quot;MENDELEY_CITATION_v3_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&quot;,&quot;citationItems&quot;:[{&quot;id&quot;:&quot;c47c8fa7-8347-33e8-a95c-2fc9890473bc&quot;,&quot;itemData&quot;:{&quot;DOI&quot;:&quot;10.1016/j.scs.2017.11.011&quot;,&quot;ISSN&quot;:&quot;22106707&quot;,&quot;abstract&quot;:&quot;In this paper, an intelligent building is considered with schedulable household appliances. The proposed energy management system is able to reduce the cost of energy payments in the building. An optimization approach is exploited to solve the scheduling of smart appliances. To achieve the minimum cost in household appliance operation time and energy consumption, an integer linear programming that involves the operational constraints for various household appliances. The mathematical model is solved with GAMS software. Five case studies, which are carried out with fifteen smart appliances, show substantial cost savings under real-time pricing. Experimental results demonstrate that the described optimization can be used in building automation for cost savings while allowing users different levels of control on the smart appliances.&quot;,&quot;author&quot;:[{&quot;dropping-particle&quot;:&quot;&quot;,&quot;family&quot;:&quot;Farrokhifar&quot;,&quot;given&quot;:&quot;Meisam&quot;,&quot;non-dropping-particle&quot;:&quot;&quot;,&quot;parse-names&quot;:false,&quot;suffix&quot;:&quot;&quot;},{&quot;dropping-particle&quot;:&quot;&quot;,&quot;family&quot;:&quot;Momayyezi&quot;,&quot;given&quot;:&quot;Farid&quot;,&quot;non-dropping-particle&quot;:&quot;&quot;,&quot;parse-names&quot;:false,&quot;suffix&quot;:&quot;&quot;},{&quot;dropping-particle&quot;:&quot;&quot;,&quot;family&quot;:&quot;Sadoogi&quot;,&quot;given&quot;:&quot;Nasser&quot;,&quot;non-dropping-particle&quot;:&quot;&quot;,&quot;parse-names&quot;:false,&quot;suffix&quot;:&quot;&quot;},{&quot;dropping-particle&quot;:&quot;&quot;,&quot;family&quot;:&quot;Safari&quot;,&quot;given&quot;:&quot;Amin&quot;,&quot;non-dropping-particle&quot;:&quot;&quot;,&quot;parse-names&quot;:false,&quot;suffix&quot;:&quot;&quot;}],&quot;container-title&quot;:&quot;Sustainable Cities and Society&quot;,&quot;id&quot;:&quot;c47c8fa7-8347-33e8-a95c-2fc9890473bc&quot;,&quot;issued&quot;:{&quot;date-parts&quot;:[[&quot;2018&quot;,&quot;2&quot;,&quot;1&quot;]]},&quot;page&quot;:&quot;85-92&quot;,&quot;publisher&quot;:&quot;Elsevier Ltd&quot;,&quot;title&quot;:&quot;Real-time based approach for intelligent building energy management using dynamic price policies&quot;,&quot;type&quot;:&quot;article-journal&quot;,&quot;volume&quot;:&quot;37&quot;,&quot;container-title-short&quot;:&quot;Sustain Cities Soc&quot;},&quot;uris&quot;:[&quot;http://www.mendeley.com/documents/?uuid=c47c8fa7-8347-33e8-a95c-2fc9890473bc&quot;],&quot;isTemporary&quot;:false,&quot;legacyDesktopId&quot;:&quot;c47c8fa7-8347-33e8-a95c-2fc9890473bc&quot;}]},{&quot;citationID&quot;:&quot;MENDELEY_CITATION_0a302003-9463-409d-a08f-223f376e2233&quot;,&quot;properties&quot;:{&quot;noteIndex&quot;:0},&quot;isEdited&quot;:false,&quot;manualOverride&quot;:{&quot;citeprocText&quot;:&quot;[115]&quot;,&quot;isManuallyOverridden&quot;:false,&quot;manualOverrideText&quot;:&quot;&quot;},&quot;citationTag&quot;:&quot;MENDELEY_CITATION_v3_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&quot;,&quot;citationItems&quot;:[{&quot;id&quot;:&quot;0423e724-3150-3a50-9b6a-35e2efc77f33&quot;,&quot;itemData&quot;:{&quot;DOI&quot;:&quot;10.1016/j.apenergy.2018.01.086&quot;,&quot;ISSN&quot;:&quot;03062619&quot;,&quot;abstract&quot;:&quot;Demand Response programs are increasingly used in the electricity sector, since they allow consumers to play a significant role for balancing supply and demand by reducing or shifting their electricity consumption. For that purpose, incentives such as time-based rates have been proposed. The present study analyzes the potential benefits of operating the heat pump of a plus-energy dwelling which participates in a dynamic pricing market, benefitting from the thermal storage capacity of the building. The software TRNSYS 17 has been used to model the building and the supply system. A validation of the model was carried out by using available measurements of the dwelling. Three setpoint temperature scenarios have been considered for sixteen different strategies which depend on temperature and electricity price thresholds, with the aim of determining which alternatives could lead to significant savings while maintaining an acceptable thermal comfort. Several factors such as cost savings, heat pump consumption, ratio of self-consumption of the dwelling and use of the heat pump during peak hours were also evaluated in every case. The results show that dynamic price thresholds should be used instead of fixed price thresholds, which may cause low activations of the heat pump or overheat the building above the comfort limits. Cost savings up to 25% may be achieved by using optimal strategies, increasing the self-consumption ratio, having almost no influence on the thermal comfort and achieving significant peak reductions on the grid. The outcomes of this study show the importance of looking at the implications of such strategies on several criteria within a demand response framework.&quot;,&quot;author&quot;:[{&quot;dropping-particle&quot;:&quot;&quot;,&quot;family&quot;:&quot;Romero Rodríguez&quot;,&quot;given&quot;:&quot;Laura&quot;,&quot;non-dropping-particle&quot;:&quot;&quot;,&quot;parse-names&quot;:false,&quot;suffix&quot;:&quot;&quot;},{&quot;dropping-particle&quot;:&quot;&quot;,&quot;family&quot;:&quot;Sánchez Ramos&quot;,&quot;given&quot;:&quot;José&quot;,&quot;non-dropping-particle&quot;:&quot;&quot;,&quot;parse-names&quot;:false,&quot;suffix&quot;:&quot;&quot;},{&quot;dropping-particle&quot;:&quot;&quot;,&quot;family&quot;:&quot;Álvarez Domínguez&quot;,&quot;given&quot;:&quot;Servando&quot;,&quot;non-dropping-particle&quot;:&quot;&quot;,&quot;parse-names&quot;:false,&quot;suffix&quot;:&quot;&quot;},{&quot;dropping-particle&quot;:&quot;&quot;,&quot;family&quot;:&quot;Eicker&quot;,&quot;given&quot;:&quot;Ursula&quot;,&quot;non-dropping-particle&quot;:&quot;&quot;,&quot;parse-names&quot;:false,&quot;suffix&quot;:&quot;&quot;}],&quot;container-title&quot;:&quot;Applied Energy&quot;,&quot;id&quot;:&quot;0423e724-3150-3a50-9b6a-35e2efc77f33&quot;,&quot;issued&quot;:{&quot;date-parts&quot;:[[&quot;2018&quot;,&quot;3&quot;,&quot;15&quot;]]},&quot;page&quot;:&quot;191-204&quot;,&quot;publisher&quot;:&quot;Elsevier Ltd&quot;,&quot;title&quot;:&quot;Contributions of heat pumps to demand response: A case study of a plus-energy dwelling&quot;,&quot;type&quot;:&quot;article-journal&quot;,&quot;volume&quot;:&quot;214&quot;,&quot;container-title-short&quot;:&quot;Appl Energy&quot;},&quot;uris&quot;:[&quot;http://www.mendeley.com/documents/?uuid=0423e724-3150-3a50-9b6a-35e2efc77f33&quot;],&quot;isTemporary&quot;:false,&quot;legacyDesktopId&quot;:&quot;0423e724-3150-3a50-9b6a-35e2efc77f33&quot;}]},{&quot;citationID&quot;:&quot;MENDELEY_CITATION_9a72e2ed-670c-4a9c-99c2-9606bc8e3cce&quot;,&quot;properties&quot;:{&quot;noteIndex&quot;:0},&quot;isEdited&quot;:false,&quot;manualOverride&quot;:{&quot;citeprocText&quot;:&quot;[116]&quot;,&quot;isManuallyOverridden&quot;:false,&quot;manualOverrideText&quot;:&quot;&quot;},&quot;citationTag&quot;:&quot;MENDELEY_CITATION_v3_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&quot;,&quot;citationItems&quot;:[{&quot;id&quot;:&quot;fd8c3dc8-a517-3c1c-919c-da71cd814288&quot;,&quot;itemData&quot;:{&quot;DOI&quot;:&quot;10.1007/s12273-017-0425-5&quot;,&quot;ISSN&quot;:&quot;19968744&quot;,&quot;abstract&quot;:&quot;The present article describes the integration of a data-driven predictive demand response control for residential buildings with heat pump and on-site energy generation. The data driven control approach schedules the heating system of the building. In each day, the next 24 hours heating demand of buildings, including space heating and domestic hot water consumption, are predicted by means of a hybrid wavelet transformation and a dynamic neural network. Linear programming is implemented to define a cost-optimal schedule for the heat pump operation. Moreover, the study discusses the impact of heat demand prediction error on performance of demand response control. In addition, the option of energy trading with the electrical grid is considered in order to evaluate the possibility of increasing the profit for private householders through on-site energy generation. The results highlight that the application of the proposed predictive control could reduce the heating energy cost up to 12% in the cold Finnish climate. Furthermore, on-site energy generation declines the total energy cost and consumption about 43% and 24% respectively. The application of a data-driven control for the demand prediction brings efficiency to demand response control.&quot;,&quot;author&quot;:[{&quot;dropping-particle&quot;:&quot;&quot;,&quot;family&quot;:&quot;Arabzadeh&quot;,&quot;given&quot;:&quot;Vahid&quot;,&quot;non-dropping-particle&quot;:&quot;&quot;,&quot;parse-names&quot;:false,&quot;suffix&quot;:&quot;&quot;},{&quot;dropping-particle&quot;:&quot;&quot;,&quot;family&quot;:&quot;Alimohammadisagvand&quot;,&quot;given&quot;:&quot;Behrang&quot;,&quot;non-dropping-particle&quot;:&quot;&quot;,&quot;parse-names&quot;:false,&quot;suffix&quot;:&quot;&quot;},{&quot;dropping-particle&quot;:&quot;&quot;,&quot;family&quot;:&quot;Jokisalo&quot;,&quot;given&quot;:&quot;Juha&quot;,&quot;non-dropping-particle&quot;:&quot;&quot;,&quot;parse-names&quot;:false,&quot;suffix&quot;:&quot;&quot;},{&quot;dropping-particle&quot;:&quot;&quot;,&quot;family&quot;:&quot;Siren&quot;,&quot;given&quot;:&quot;Kai&quot;,&quot;non-dropping-particle&quot;:&quot;&quot;,&quot;parse-names&quot;:false,&quot;suffix&quot;:&quot;&quot;}],&quot;container-title&quot;:&quot;Building Simulation&quot;,&quot;id&quot;:&quot;fd8c3dc8-a517-3c1c-919c-da71cd814288&quot;,&quot;issue&quot;:&quot;3&quot;,&quot;issued&quot;:{&quot;date-parts&quot;:[[&quot;2018&quot;,&quot;6&quot;,&quot;1&quot;]]},&quot;page&quot;:&quot;533-547&quot;,&quot;publisher&quot;:&quot;Tsinghua University Press&quot;,&quot;title&quot;:&quot;A novel cost-optimizing demand response control for a heat pump heated residential building&quot;,&quot;type&quot;:&quot;article-journal&quot;,&quot;volume&quot;:&quot;11&quot;,&quot;container-title-short&quot;:&quot;Build Simul&quot;},&quot;uris&quot;:[&quot;http://www.mendeley.com/documents/?uuid=fd8c3dc8-a517-3c1c-919c-da71cd814288&quot;],&quot;isTemporary&quot;:false,&quot;legacyDesktopId&quot;:&quot;fd8c3dc8-a517-3c1c-919c-da71cd814288&quot;}]},{&quot;citationID&quot;:&quot;MENDELEY_CITATION_38555e69-603a-40c5-9b72-f4ad0c09645a&quot;,&quot;properties&quot;:{&quot;noteIndex&quot;:0},&quot;isEdited&quot;:false,&quot;manualOverride&quot;:{&quot;isManuallyOverridden&quot;:false,&quot;citeprocText&quot;:&quot;[109]&quot;,&quot;manualOverrideText&quot;:&quot;&quot;},&quot;citationTag&quot;:&quot;MENDELEY_CITATION_v3_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&quot;,&quot;citationItems&quot;:[{&quot;id&quot;:&quot;17df0b1e-7bd8-388e-8777-fe7920f9ca1a&quot;,&quot;itemData&quot;:{&quot;type&quot;:&quot;article-journal&quot;,&quot;id&quot;:&quot;17df0b1e-7bd8-388e-8777-fe7920f9ca1a&quot;,&quot;title&quot;:&quot;Demand side management-A simulation of household behavior under variable prices&quot;,&quot;author&quot;:[{&quot;family&quot;:&quot;Gottwalt&quot;,&quot;given&quot;:&quot;Sebastian&quot;,&quot;parse-names&quot;:false,&quot;dropping-particle&quot;:&quot;&quot;,&quot;non-dropping-particle&quot;:&quot;&quot;},{&quot;family&quot;:&quot;Ketter&quot;,&quot;given&quot;:&quot;Wolfgang&quot;,&quot;parse-names&quot;:false,&quot;dropping-particle&quot;:&quot;&quot;,&quot;non-dropping-particle&quot;:&quot;&quot;},{&quot;family&quot;:&quot;Block&quot;,&quot;given&quot;:&quot;Carsten&quot;,&quot;parse-names&quot;:false,&quot;dropping-particle&quot;:&quot;&quot;,&quot;non-dropping-particle&quot;:&quot;&quot;},{&quot;family&quot;:&quot;Collins&quot;,&quot;given&quot;:&quot;John&quot;,&quot;parse-names&quot;:false,&quot;dropping-particle&quot;:&quot;&quot;,&quot;non-dropping-particle&quot;:&quot;&quot;},{&quot;family&quot;:&quot;Weinhardt&quot;,&quot;given&quot;:&quot;Christof&quot;,&quot;parse-names&quot;:false,&quot;dropping-particle&quot;:&quot;&quot;,&quot;non-dropping-particle&quot;:&quot;&quot;}],&quot;container-title&quot;:&quot;Energy Policy&quot;,&quot;container-title-short&quot;:&quot;Energy Policy&quot;,&quot;accessed&quot;:{&quot;date-parts&quot;:[[2020,4,29]]},&quot;DOI&quot;:&quot;10.1016/j.enpol.2011.10.016&quot;,&quot;ISSN&quot;:&quot;03014215&quot;,&quot;issued&quot;:{&quot;date-parts&quot;:[[2011,12,1]]},&quot;page&quot;:&quot;8163-8174&quot;,&quot;abstract&quot;:&quot;Within the next years, consumer households will be increasingly equipped with smart metering and intelligent appliances. These technologies are the basis for households to better monitor electricity consumption and to actively control loads in private homes. Demand side management (DSM) can be adopted to private households. We present a simulation model that generates household load profiles under flat tariffs and simulates changes in these profiles when households are equipped with smart appliances and face time-based electricity prices.We investigate the impact of smart appliances and variable prices on electricity bills of a household. We show that for households the savings from equipping them with smart appliances are moderate compared to the required investment. This finding is quite robust with respect to variation of tariff price spreads and to different types of appliance utilization patterns.Finally, our results indicate that electric utilities may face new demand peaks when day-ahead hourly prices are applied. However, a considerable amount of residential load is available for shifting, which is interesting for the utilities to balance demand and supply. © 2011 Elsevier Ltd.&quot;,&quot;publisher&quot;:&quot;Elsevier&quot;,&quot;issue&quot;:&quot;12&quot;,&quot;volume&quot;:&quot;39&quot;},&quot;isTemporary&quot;:false}]},{&quot;citationID&quot;:&quot;MENDELEY_CITATION_da624740-d6ba-4057-9e91-e3df3e7b83ec&quot;,&quot;properties&quot;:{&quot;noteIndex&quot;:0},&quot;isEdited&quot;:false,&quot;manualOverride&quot;:{&quot;isManuallyOverridden&quot;:false,&quot;citeprocText&quot;:&quot;[110]&quot;,&quot;manualOverrideText&quot;:&quot;&quot;},&quot;citationTag&quot;:&quot;MENDELEY_CITATION_v3_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&quot;,&quot;citationItems&quot;:[{&quot;id&quot;:&quot;351cde86-d205-36b7-8290-3541cfc988b2&quot;,&quot;itemData&quot;:{&quot;type&quot;:&quot;paper-conference&quot;,&quot;id&quot;:&quot;351cde86-d205-36b7-8290-3541cfc988b2&quot;,&quot;title&quot;:&quot;Predictive Control of buildings for Demand Response with dynamic day-ahead and real-time prices&quot;,&quot;author&quot;:[{&quot;family&quot;:&quot;Vrettos&quot;,&quot;given&quot;:&quot;Evangelos&quot;,&quot;parse-names&quot;:false,&quot;dropping-particle&quot;:&quot;&quot;,&quot;non-dropping-particle&quot;:&quot;&quot;},{&quot;family&quot;:&quot;Lai&quot;,&quot;given&quot;:&quot;Kuanlin&quot;,&quot;parse-names&quot;:false,&quot;dropping-particle&quot;:&quot;&quot;,&quot;non-dropping-particle&quot;:&quot;&quot;},{&quot;family&quot;:&quot;Oldewurtel&quot;,&quot;given&quot;:&quot;Frauke&quot;,&quot;parse-names&quot;:false,&quot;dropping-particle&quot;:&quot;&quot;,&quot;non-dropping-particle&quot;:&quot;&quot;},{&quot;family&quot;:&quot;Andersson&quot;,&quot;given&quot;:&quot;Goran&quot;,&quot;parse-names&quot;:false,&quot;dropping-particle&quot;:&quot;&quot;,&quot;non-dropping-particle&quot;:&quot;&quot;}],&quot;container-title&quot;:&quot;2013 European Control Conference, ECC 2013&quot;,&quot;accessed&quot;:{&quot;date-parts&quot;:[[2020,4,29]]},&quot;DOI&quot;:&quot;10.23919/ecc.2013.6669762&quot;,&quot;ISBN&quot;:&quot;9783033039629&quot;,&quot;issued&quot;:{&quot;date-parts&quot;:[[2013]]},&quot;page&quot;:&quot;2527-2534&quot;,&quot;abstract&quot;:&quot;This paper proposes a Model Predictive Control (MPC) scheme to control residential buildings with space heating/cooling loads, an Electric Water Heater (EWH), photovoltaics (PV) and battery storage in a time-varying electricity price environment. The controller uses models for the system components as well as predictions for future disturbances such as weather conditions, occupancy and electricity prices to find the building operation that minimizes electricity costs over the prediction horizon while respecting user comfort constraints. The building operation is investigated under three different price scenarios: (1) a simple day-night tariff for end-customers, (2) a day-ahead dynamic tariff reflecting the wholesale market marginal costs and (3) a real-time dynamic tariff. Residential buildings response to such price signals is investigated in a case study and their potential for Demand Response (DR) programs is evaluated. © 2013 EUCA.&quot;,&quot;container-title-short&quot;:&quot;&quot;},&quot;isTemporary&quot;:false}]},{&quot;citationID&quot;:&quot;MENDELEY_CITATION_46616ea6-3bfe-4234-b8de-9b42d7b5cf23&quot;,&quot;properties&quot;:{&quot;noteIndex&quot;:0},&quot;isEdited&quot;:false,&quot;manualOverride&quot;:{&quot;isManuallyOverridden&quot;:false,&quot;citeprocText&quot;:&quot;[113]&quot;,&quot;manualOverrideText&quot;:&quot;&quot;},&quot;citationTag&quot;:&quot;MENDELEY_CITATION_v3_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&quot;,&quot;citationItems&quot;:[{&quot;id&quot;:&quot;d94ac077-e8d3-39bd-8db5-a8a41a98e95c&quot;,&quot;itemData&quot;:{&quot;type&quot;:&quot;article-journal&quot;,&quot;id&quot;:&quot;d94ac077-e8d3-39bd-8db5-a8a41a98e95c&quot;,&quot;title&quot;:&quot;Demand response management by means of heat pumps controlled via real time pricing&quot;,&quot;author&quot;:[{&quot;family&quot;:&quot;Schibuola&quot;,&quot;given&quot;:&quot;Luigi&quot;,&quot;parse-names&quot;:false,&quot;dropping-particle&quot;:&quot;&quot;,&quot;non-dropping-particle&quot;:&quot;&quot;},{&quot;family&quot;:&quot;Scarpa&quot;,&quot;given&quot;:&quot;Massimiliano&quot;,&quot;parse-names&quot;:false,&quot;dropping-particle&quot;:&quot;&quot;,&quot;non-dropping-particle&quot;:&quot;&quot;},{&quot;family&quot;:&quot;Tambani&quot;,&quot;given&quot;:&quot;Chiara&quot;,&quot;parse-names&quot;:false,&quot;dropping-particle&quot;:&quot;&quot;,&quot;non-dropping-particle&quot;:&quot;&quot;}],&quot;container-title&quot;:&quot;Energy and Buildings&quot;,&quot;container-title-short&quot;:&quot;Energy Build&quot;,&quot;accessed&quot;:{&quot;date-parts&quot;:[[2020,4,29]]},&quot;DOI&quot;:&quot;10.1016/j.enbuild.2014.12.047&quot;,&quot;ISSN&quot;:&quot;03787788&quot;,&quot;issued&quot;:{&quot;date-parts&quot;:[[2015,3,1]]},&quot;page&quot;:&quot;15-28&quot;,&quot;abstract&quot;:&quot;The increased generation of electricity from renewable energy sources may imply issues in the management of national electric systems, due to the low predictability of electricity generation from renewable energy sources. In this regard, interesting opportunities come from the use of advanced control strategies for the management of electric devices such as heat pumps, able to exploit dynamic electricity prices aimed to induce users to absorb/generate electricity according with the electricity grid imbalance. In this paper, the results of building energy simulations applying tailored heat pump control strategies suitable for the integration within smart grids are presented. In particular, three heat pump control strategies are applied, whose action is based on the cost of electricity (absolute and relative to the following 12 h) and on the level of the local electricity generation from photovoltaics. The analyzed control strategies ensure relevant money savings (up to 30%) and increase the degree of energy self-consumption (up to 12% for exported electricity and 22% for imported electricity). The analysis considers also comfort issues and shows that the best results may be achieved commanding the heat pump basing on the generation of the photovoltaic system as well as on the simultaneous heating/cooling loads and electricity prices.&quot;,&quot;publisher&quot;:&quot;Elsevier Ltd&quot;,&quot;volume&quot;:&quot;90&quot;},&quot;isTemporary&quot;:false}]},{&quot;citationID&quot;:&quot;MENDELEY_CITATION_33c0300a-0df9-4f6c-b3ea-8b46b5c967db&quot;,&quot;properties&quot;:{&quot;noteIndex&quot;:0},&quot;isEdited&quot;:false,&quot;manualOverride&quot;:{&quot;isManuallyOverridden&quot;:false,&quot;citeprocText&quot;:&quot;[114]&quot;,&quot;manualOverrideText&quot;:&quot;&quot;},&quot;citationTag&quot;:&quot;MENDELEY_CITATION_v3_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&quot;,&quot;citationItems&quot;:[{&quot;id&quot;:&quot;c47c8fa7-8347-33e8-a95c-2fc9890473bc&quot;,&quot;itemData&quot;:{&quot;type&quot;:&quot;article-journal&quot;,&quot;id&quot;:&quot;c47c8fa7-8347-33e8-a95c-2fc9890473bc&quot;,&quot;title&quot;:&quot;Real-time based approach for intelligent building energy management using dynamic price policies&quot;,&quot;author&quot;:[{&quot;family&quot;:&quot;Farrokhifar&quot;,&quot;given&quot;:&quot;Meisam&quot;,&quot;parse-names&quot;:false,&quot;dropping-particle&quot;:&quot;&quot;,&quot;non-dropping-particle&quot;:&quot;&quot;},{&quot;family&quot;:&quot;Momayyezi&quot;,&quot;given&quot;:&quot;Farid&quot;,&quot;parse-names&quot;:false,&quot;dropping-particle&quot;:&quot;&quot;,&quot;non-dropping-particle&quot;:&quot;&quot;},{&quot;family&quot;:&quot;Sadoogi&quot;,&quot;given&quot;:&quot;Nasser&quot;,&quot;parse-names&quot;:false,&quot;dropping-particle&quot;:&quot;&quot;,&quot;non-dropping-particle&quot;:&quot;&quot;},{&quot;family&quot;:&quot;Safari&quot;,&quot;given&quot;:&quot;Amin&quot;,&quot;parse-names&quot;:false,&quot;dropping-particle&quot;:&quot;&quot;,&quot;non-dropping-particle&quot;:&quot;&quot;}],&quot;container-title&quot;:&quot;Sustainable Cities and Society&quot;,&quot;container-title-short&quot;:&quot;Sustain Cities Soc&quot;,&quot;accessed&quot;:{&quot;date-parts&quot;:[[2020,4,29]]},&quot;DOI&quot;:&quot;10.1016/j.scs.2017.11.011&quot;,&quot;ISSN&quot;:&quot;22106707&quot;,&quot;issued&quot;:{&quot;date-parts&quot;:[[2018,2,1]]},&quot;page&quot;:&quot;85-92&quot;,&quot;abstract&quot;:&quot;In this paper, an intelligent building is considered with schedulable household appliances. The proposed energy management system is able to reduce the cost of energy payments in the building. An optimization approach is exploited to solve the scheduling of smart appliances. To achieve the minimum cost in household appliance operation time and energy consumption, an integer linear programming that involves the operational constraints for various household appliances. The mathematical model is solved with GAMS software. Five case studies, which are carried out with fifteen smart appliances, show substantial cost savings under real-time pricing. Experimental results demonstrate that the described optimization can be used in building automation for cost savings while allowing users different levels of control on the smart appliances.&quot;,&quot;publisher&quot;:&quot;Elsevier Ltd&quot;,&quot;volume&quot;:&quot;37&quot;},&quot;isTemporary&quot;:false}]},{&quot;citationID&quot;:&quot;MENDELEY_CITATION_183b4a52-7260-4f80-8186-a9d29fef9dcf&quot;,&quot;properties&quot;:{&quot;noteIndex&quot;:0},&quot;isEdited&quot;:false,&quot;manualOverride&quot;:{&quot;citeprocText&quot;:&quot;[115]&quot;,&quot;isManuallyOverridden&quot;:false,&quot;manualOverrideText&quot;:&quot;&quot;},&quot;citationTag&quot;:&quot;MENDELEY_CITATION_v3_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&quot;,&quot;citationItems&quot;:[{&quot;id&quot;:&quot;0423e724-3150-3a50-9b6a-35e2efc77f33&quot;,&quot;itemData&quot;:{&quot;DOI&quot;:&quot;10.1016/j.apenergy.2018.01.086&quot;,&quot;ISSN&quot;:&quot;03062619&quot;,&quot;abstract&quot;:&quot;Demand Response programs are increasingly used in the electricity sector, since they allow consumers to play a significant role for balancing supply and demand by reducing or shifting their electricity consumption. For that purpose, incentives such as time-based rates have been proposed. The present study analyzes the potential benefits of operating the heat pump of a plus-energy dwelling which participates in a dynamic pricing market, benefitting from the thermal storage capacity of the building. The software TRNSYS 17 has been used to model the building and the supply system. A validation of the model was carried out by using available measurements of the dwelling. Three setpoint temperature scenarios have been considered for sixteen different strategies which depend on temperature and electricity price thresholds, with the aim of determining which alternatives could lead to significant savings while maintaining an acceptable thermal comfort. Several factors such as cost savings, heat pump consumption, ratio of self-consumption of the dwelling and use of the heat pump during peak hours were also evaluated in every case. The results show that dynamic price thresholds should be used instead of fixed price thresholds, which may cause low activations of the heat pump or overheat the building above the comfort limits. Cost savings up to 25% may be achieved by using optimal strategies, increasing the self-consumption ratio, having almost no influence on the thermal comfort and achieving significant peak reductions on the grid. The outcomes of this study show the importance of looking at the implications of such strategies on several criteria within a demand response framework.&quot;,&quot;author&quot;:[{&quot;dropping-particle&quot;:&quot;&quot;,&quot;family&quot;:&quot;Romero Rodríguez&quot;,&quot;given&quot;:&quot;Laura&quot;,&quot;non-dropping-particle&quot;:&quot;&quot;,&quot;parse-names&quot;:false,&quot;suffix&quot;:&quot;&quot;},{&quot;dropping-particle&quot;:&quot;&quot;,&quot;family&quot;:&quot;Sánchez Ramos&quot;,&quot;given&quot;:&quot;José&quot;,&quot;non-dropping-particle&quot;:&quot;&quot;,&quot;parse-names&quot;:false,&quot;suffix&quot;:&quot;&quot;},{&quot;dropping-particle&quot;:&quot;&quot;,&quot;family&quot;:&quot;Álvarez Domínguez&quot;,&quot;given&quot;:&quot;Servando&quot;,&quot;non-dropping-particle&quot;:&quot;&quot;,&quot;parse-names&quot;:false,&quot;suffix&quot;:&quot;&quot;},{&quot;dropping-particle&quot;:&quot;&quot;,&quot;family&quot;:&quot;Eicker&quot;,&quot;given&quot;:&quot;Ursula&quot;,&quot;non-dropping-particle&quot;:&quot;&quot;,&quot;parse-names&quot;:false,&quot;suffix&quot;:&quot;&quot;}],&quot;container-title&quot;:&quot;Applied Energy&quot;,&quot;id&quot;:&quot;0423e724-3150-3a50-9b6a-35e2efc77f33&quot;,&quot;issued&quot;:{&quot;date-parts&quot;:[[&quot;2018&quot;,&quot;3&quot;,&quot;15&quot;]]},&quot;page&quot;:&quot;191-204&quot;,&quot;publisher&quot;:&quot;Elsevier Ltd&quot;,&quot;title&quot;:&quot;Contributions of heat pumps to demand response: A case study of a plus-energy dwelling&quot;,&quot;type&quot;:&quot;article-journal&quot;,&quot;volume&quot;:&quot;214&quot;,&quot;container-title-short&quot;:&quot;Appl Energy&quot;},&quot;uris&quot;:[&quot;http://www.mendeley.com/documents/?uuid=0423e724-3150-3a50-9b6a-35e2efc77f33&quot;],&quot;isTemporary&quot;:false,&quot;legacyDesktopId&quot;:&quot;0423e724-3150-3a50-9b6a-35e2efc77f33&quot;}]},{&quot;citationID&quot;:&quot;MENDELEY_CITATION_124eb49d-e34c-4e07-a485-a4fa7e24a167&quot;,&quot;properties&quot;:{&quot;noteIndex&quot;:0},&quot;isEdited&quot;:false,&quot;manualOverride&quot;:{&quot;citeprocText&quot;:&quot;[116]&quot;,&quot;isManuallyOverridden&quot;:false,&quot;manualOverrideText&quot;:&quot;&quot;},&quot;citationTag&quot;:&quot;MENDELEY_CITATION_v3_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&quot;,&quot;citationItems&quot;:[{&quot;id&quot;:&quot;fd8c3dc8-a517-3c1c-919c-da71cd814288&quot;,&quot;itemData&quot;:{&quot;DOI&quot;:&quot;10.1007/s12273-017-0425-5&quot;,&quot;ISSN&quot;:&quot;19968744&quot;,&quot;abstract&quot;:&quot;The present article describes the integration of a data-driven predictive demand response control for residential buildings with heat pump and on-site energy generation. The data driven control approach schedules the heating system of the building. In each day, the next 24 hours heating demand of buildings, including space heating and domestic hot water consumption, are predicted by means of a hybrid wavelet transformation and a dynamic neural network. Linear programming is implemented to define a cost-optimal schedule for the heat pump operation. Moreover, the study discusses the impact of heat demand prediction error on performance of demand response control. In addition, the option of energy trading with the electrical grid is considered in order to evaluate the possibility of increasing the profit for private householders through on-site energy generation. The results highlight that the application of the proposed predictive control could reduce the heating energy cost up to 12% in the cold Finnish climate. Furthermore, on-site energy generation declines the total energy cost and consumption about 43% and 24% respectively. The application of a data-driven control for the demand prediction brings efficiency to demand response control.&quot;,&quot;author&quot;:[{&quot;dropping-particle&quot;:&quot;&quot;,&quot;family&quot;:&quot;Arabzadeh&quot;,&quot;given&quot;:&quot;Vahid&quot;,&quot;non-dropping-particle&quot;:&quot;&quot;,&quot;parse-names&quot;:false,&quot;suffix&quot;:&quot;&quot;},{&quot;dropping-particle&quot;:&quot;&quot;,&quot;family&quot;:&quot;Alimohammadisagvand&quot;,&quot;given&quot;:&quot;Behrang&quot;,&quot;non-dropping-particle&quot;:&quot;&quot;,&quot;parse-names&quot;:false,&quot;suffix&quot;:&quot;&quot;},{&quot;dropping-particle&quot;:&quot;&quot;,&quot;family&quot;:&quot;Jokisalo&quot;,&quot;given&quot;:&quot;Juha&quot;,&quot;non-dropping-particle&quot;:&quot;&quot;,&quot;parse-names&quot;:false,&quot;suffix&quot;:&quot;&quot;},{&quot;dropping-particle&quot;:&quot;&quot;,&quot;family&quot;:&quot;Siren&quot;,&quot;given&quot;:&quot;Kai&quot;,&quot;non-dropping-particle&quot;:&quot;&quot;,&quot;parse-names&quot;:false,&quot;suffix&quot;:&quot;&quot;}],&quot;container-title&quot;:&quot;Building Simulation&quot;,&quot;id&quot;:&quot;fd8c3dc8-a517-3c1c-919c-da71cd814288&quot;,&quot;issue&quot;:&quot;3&quot;,&quot;issued&quot;:{&quot;date-parts&quot;:[[&quot;2018&quot;,&quot;6&quot;,&quot;1&quot;]]},&quot;page&quot;:&quot;533-547&quot;,&quot;publisher&quot;:&quot;Tsinghua University Press&quot;,&quot;title&quot;:&quot;A novel cost-optimizing demand response control for a heat pump heated residential building&quot;,&quot;type&quot;:&quot;article-journal&quot;,&quot;volume&quot;:&quot;11&quot;,&quot;container-title-short&quot;:&quot;Build Simul&quot;},&quot;uris&quot;:[&quot;http://www.mendeley.com/documents/?uuid=fd8c3dc8-a517-3c1c-919c-da71cd814288&quot;],&quot;isTemporary&quot;:false,&quot;legacyDesktopId&quot;:&quot;fd8c3dc8-a517-3c1c-919c-da71cd814288&quot;}]},{&quot;citationID&quot;:&quot;MENDELEY_CITATION_d24dc9f8-8540-4d89-9fa3-149915994f27&quot;,&quot;properties&quot;:{&quot;noteIndex&quot;:0},&quot;isEdited&quot;:false,&quot;manualOverride&quot;:{&quot;citeprocText&quot;:&quot;[117]&quot;,&quot;isManuallyOverridden&quot;:false,&quot;manualOverrideText&quot;:&quot;&quot;},&quot;citationTag&quot;:&quot;MENDELEY_CITATION_v3_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&quot;,&quot;citationItems&quot;:[{&quot;id&quot;:&quot;56140ed6-9738-3026-9104-044df81daa78&quot;,&quot;itemData&quot;:{&quot;DOI&quot;:&quot;10.1016/j.energy.2015.02.011&quot;,&quot;ISSN&quot;:&quot;03605442&quot;,&quot;abstract&quot;:&quot;This study uses an advanced airflow, energy and humidity modelling tool to evaluate the potential for residential mechanical pre-cooling of building thermal mass to shift electricity loads away from the peak electricity demand period. The focus of this study is residential buildings with low thermal mass, such as timber-frame houses typical to the US. Simulations were performed for homes in 12 US DOE climate zones. The results show that the effectiveness of mechanical pre-cooling is highly dependent on climate zone and the selected pre-cooling strategy. The expected energy trade-off between cooling peak energy savings and increased off-peak energy use is also shown. The best pre-cooling results (more than 75% energy use shifted away from peak while minimising the total energy penalty) for most climates were obtained using a medium (5h) pre-cooling time window with a shallow (23.3°C) pre-cooling set point temperature. All of the pre-cooling strategies investigated caused the annual cooling energy demand of the simulated buildings to increase. Additionally, all of the pre-cooling strategies shifted at least 50% of the on-peak cooling loads away from a peak period window of 4pm-8pm in all climate zones.&quot;,&quot;author&quot;:[{&quot;dropping-particle&quot;:&quot;&quot;,&quot;family&quot;:&quot;Turner&quot;,&quot;given&quot;:&quot;W. J.N.&quot;,&quot;non-dropping-particle&quot;:&quot;&quot;,&quot;parse-names&quot;:false,&quot;suffix&quot;:&quot;&quot;},{&quot;dropping-particle&quot;:&quot;&quot;,&quot;family&quot;:&quot;Walker&quot;,&quot;given&quot;:&quot;I. S.&quot;,&quot;non-dropping-particle&quot;:&quot;&quot;,&quot;parse-names&quot;:false,&quot;suffix&quot;:&quot;&quot;},{&quot;dropping-particle&quot;:&quot;&quot;,&quot;family&quot;:&quot;Roux&quot;,&quot;given&quot;:&quot;J.&quot;,&quot;non-dropping-particle&quot;:&quot;&quot;,&quot;parse-names&quot;:false,&quot;suffix&quot;:&quot;&quot;}],&quot;container-title&quot;:&quot;Energy&quot;,&quot;id&quot;:&quot;56140ed6-9738-3026-9104-044df81daa78&quot;,&quot;issued&quot;:{&quot;date-parts&quot;:[[&quot;2015&quot;,&quot;3&quot;,&quot;15&quot;]]},&quot;page&quot;:&quot;1057-1067&quot;,&quot;publisher&quot;:&quot;Elsevier Ltd&quot;,&quot;title&quot;:&quot;Peak load reductions: Electric load shifting with mechanical pre-cooling of residential buildings with low thermal mass&quot;,&quot;type&quot;:&quot;article-journal&quot;,&quot;volume&quot;:&quot;82&quot;,&quot;container-title-short&quot;:&quot;&quot;},&quot;uris&quot;:[&quot;http://www.mendeley.com/documents/?uuid=56140ed6-9738-3026-9104-044df81daa78&quot;],&quot;isTemporary&quot;:false,&quot;legacyDesktopId&quot;:&quot;56140ed6-9738-3026-9104-044df81daa78&quot;}]},{&quot;citationID&quot;:&quot;MENDELEY_CITATION_5aa3153e-ceab-4cc2-96ba-f877f28cc3c1&quot;,&quot;properties&quot;:{&quot;noteIndex&quot;:0},&quot;isEdited&quot;:false,&quot;manualOverride&quot;:{&quot;isManuallyOverridden&quot;:false,&quot;citeprocText&quot;:&quot;[111]&quot;,&quot;manualOverrideText&quot;:&quot;&quot;},&quot;citationTag&quot;:&quot;MENDELEY_CITATION_v3_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&quot;,&quot;citationItems&quot;:[{&quot;id&quot;:&quot;8db83729-ebb3-3e2c-9543-ca106a1a8897&quot;,&quot;itemData&quot;:{&quot;type&quot;:&quot;article-journal&quot;,&quot;id&quot;:&quot;8db83729-ebb3-3e2c-9543-ca106a1a8897&quot;,&quot;title&quot;:&quot;Demand response for residential buildings based on dynamic price of electricity&quot;,&quot;author&quot;:[{&quot;family&quot;:&quot;Yoon&quot;,&quot;given&quot;:&quot;Ji Hoon&quot;,&quot;parse-names&quot;:false,&quot;dropping-particle&quot;:&quot;&quot;,&quot;non-dropping-particle&quot;:&quot;&quot;},{&quot;family&quot;:&quot;Bladick&quot;,&quot;given&quot;:&quot;Ross&quot;,&quot;parse-names&quot;:false,&quot;dropping-particle&quot;:&quot;&quot;,&quot;non-dropping-particle&quot;:&quot;&quot;},{&quot;family&quot;:&quot;Novoselac&quot;,&quot;given&quot;:&quot;Atila&quot;,&quot;parse-names&quot;:false,&quot;dropping-particle&quot;:&quot;&quot;,&quot;non-dropping-particle&quot;:&quot;&quot;}],&quot;container-title&quot;:&quot;Energy and Buildings&quot;,&quot;container-title-short&quot;:&quot;Energy Build&quot;,&quot;accessed&quot;:{&quot;date-parts&quot;:[[2020,4,29]]},&quot;DOI&quot;:&quot;10.1016/j.enbuild.2014.05.002&quot;,&quot;ISSN&quot;:&quot;03787788&quot;,&quot;issued&quot;:{&quot;date-parts&quot;:[[2014,9,1]]},&quot;page&quot;:&quot;531-541&quot;,&quot;abstract&quot;:&quot;In the U.S.; heating, ventilating and air conditioning (HVAC) systems are the largest consumers of electrical energy and a major contributor to peak demand. To reduce both peak load and energy cost, the set-point temperature of HVAC can be controlled depending on the electricity price. This paper presents a proposed controller that curtails peak load as well as saves electricity cost while maintaining reasonable thermal comfort. The controller changes set-point temperature when the retail price is higher than customers preset price. To evaluate the performance of the newly developed demand response controller, detailed energy models for two residential buildings are developed to analyze HVAC power consumption for different house sizes and floor plans. The house models are assumed to be located in Austin, Texas, USA and generated with OpenStudio and EnergyPlus. The design of internal load and occupation schedule are based on a residential energy consumption survey and experimental data by the Pecan Street Project, Austin, TX. In addition, historical data from Austin Energy for residential customers, 2012 is used to calibrate two house models. In addition, this paper uses the historical real-time wholesale price data for the Electricity Reliability Council of Texas (ERCOT) wholesale electricity market to model the two types of real-time tariffs that many utilities in the U.S. currently use to generate dynamic pricing for demand response programs. The simulation results show that our demand response controller could provide up to 10.8% of energy cost savings by using the proposed controller with dynamic pricing. While avoiding significant discomfort due to temperature change. Also, the results present potential for saving considering peak load by 24.7% and total electrical energy saving for HVAC in homes by 4.3% annually. © 2014 Elsevier B.V.&quot;,&quot;publisher&quot;:&quot;Elsevier Ltd&quot;,&quot;volume&quot;:&quot;80&quot;},&quot;isTemporary&quot;:false}]},{&quot;citationID&quot;:&quot;MENDELEY_CITATION_10a19d81-b6ea-4f66-98b8-5aa1236a5b71&quot;,&quot;properties&quot;:{&quot;noteIndex&quot;:0},&quot;isEdited&quot;:false,&quot;manualOverride&quot;:{&quot;citeprocText&quot;:&quot;[94]&quot;,&quot;isManuallyOverridden&quot;:false,&quot;manualOverrideText&quot;:&quot;&quot;},&quot;citationTag&quot;:&quot;MENDELEY_CITATION_v3_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&quot;,&quot;citationItems&quot;:[{&quot;id&quot;:&quot;62cfa62a-0bfa-3cee-8230-e0b9108ec489&quot;,&quot;itemData&quot;:{&quot;DOI&quot;:&quot;10.1016/j.applthermaleng.2012.09.023&quot;,&quot;ISSN&quot;:&quot;13594311&quot;,&quot;abstract&quot;:&quot;Heat pumps are seen as a promising technology for load management in the built environment, in combination with the smart grid concept. They can be coupled with thermal energy storage (TES) systems to shift electrical loads from high-peak to off-peak hours, thus serving as a powerful tool in demand-side management (DSM). This paper analyzes heat pumps with radiators or underfloor heating distribution systems coupled with TES with a view to showing how a heat pump system behaves and how it influences the building occupants' thermal comfort under a DSM strategy designed to flatten the shape of the electricity load curve by switching off the heat pump during peak hours (16:00-19:00). The reference scenario for the analysis was Northern Ireland (UK). The results showed that the heat pump is a good tool for the purposes of DSM, also thanks to the use of TES systems, in particular with heating distribution systems that have a low thermal inertia, e.g. radiators. It proved possible to achieve a good control of the indoor temperature, even if the heat pump was turned off for 3 h, and to reduce the electricity bill if a \&quot;time of use\&quot; tariff structure was adopted. © 2012 Elsevier Ltd. All rights reserved.&quot;,&quot;author&quot;:[{&quot;dropping-particle&quot;:&quot;&quot;,&quot;family&quot;:&quot;Arteconi&quot;,&quot;given&quot;:&quot;A.&quot;,&quot;non-dropping-particle&quot;:&quot;&quot;,&quot;parse-names&quot;:false,&quot;suffix&quot;:&quot;&quot;},{&quot;dropping-particle&quot;:&quot;&quot;,&quot;family&quot;:&quot;Hewitt&quot;,&quot;given&quot;:&quot;N. J.&quot;,&quot;non-dropping-particle&quot;:&quot;&quot;,&quot;parse-names&quot;:false,&quot;suffix&quot;:&quot;&quot;},{&quot;dropping-particle&quot;:&quot;&quot;,&quot;family&quot;:&quot;Polonara&quot;,&quot;given&quot;:&quot;F.&quot;,&quot;non-dropping-particle&quot;:&quot;&quot;,&quot;parse-names&quot;:false,&quot;suffix&quot;:&quot;&quot;}],&quot;container-title&quot;:&quot;Applied Thermal Engineering&quot;,&quot;id&quot;:&quot;62cfa62a-0bfa-3cee-8230-e0b9108ec489&quot;,&quot;issue&quot;:&quot;1-2&quot;,&quot;issued&quot;:{&quot;date-parts&quot;:[[&quot;2013&quot;,&quot;3&quot;,&quot;1&quot;]]},&quot;page&quot;:&quot;155-165&quot;,&quot;publisher&quot;:&quot;Pergamon&quot;,&quot;title&quot;:&quot;Domestic demand-side management (DSM): Role of heat pumps and thermal energy storage (TES) systems&quot;,&quot;type&quot;:&quot;article-journal&quot;,&quot;volume&quot;:&quot;51&quot;,&quot;container-title-short&quot;:&quot;Appl Therm Eng&quot;},&quot;uris&quot;:[&quot;http://www.mendeley.com/documents/?uuid=62cfa62a-0bfa-3cee-8230-e0b9108ec489&quot;],&quot;isTemporary&quot;:false,&quot;legacyDesktopId&quot;:&quot;62cfa62a-0bfa-3cee-8230-e0b9108ec489&quot;}]},{&quot;citationID&quot;:&quot;MENDELEY_CITATION_845c6e98-e672-4e6b-8952-b9576c8add8e&quot;,&quot;properties&quot;:{&quot;noteIndex&quot;:0},&quot;isEdited&quot;:false,&quot;manualOverride&quot;:{&quot;citeprocText&quot;:&quot;[118]&quot;,&quot;isManuallyOverridden&quot;:false,&quot;manualOverrideText&quot;:&quot;&quot;},&quot;citationTag&quot;:&quot;MENDELEY_CITATION_v3_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&quot;,&quot;citationItems&quot;:[{&quot;id&quot;:&quot;3e26d04b-ce4e-3927-b4df-acadd4623c94&quot;,&quot;itemData&quot;:{&quot;DOI&quot;:&quot;10.1109/ISGTEurope.2014.7028883&quot;,&quot;ISBN&quot;:&quot;9781479977208&quot;,&quot;abstract&quot;:&quot;Domestic Heating Ventilation and Air-Conditioning (HVAC) loads are among the most flexible residential loads for possible demand response (DR) applications. This paper aims at assessing the DR potential of HVAC loads in smart grids considering users' temperature preferences. For doing so, at first, a mathematical formulation is developed to evaluate the flexibility of HVAC loads. The model, by adjusting the HVAC load, intends to either maximize or minimize electricity consumption during specific hours of a day while the user thermal comfort is intact. The proposed model is then applied to a medium massive structure house in Helsinki, Finland. The study is performed for different seasons and the associated DR potential is evaluated. The simulation results showcase the significant potential of HVAC loads in both consumption reduction and load increment. It is shown that the DR potential can be significantly affected by temperature dead-bands representing consumers' willingness to accept change in their comfort. It is also demonstrated that installing even a small thermal storage capacity may lead to a greater value-added DR potential.&quot;,&quot;author&quot;:[{&quot;dropping-particle&quot;:&quot;&quot;,&quot;family&quot;:&quot;Ali&quot;,&quot;given&quot;:&quot;Mubbashir&quot;,&quot;non-dropping-particle&quot;:&quot;&quot;,&quot;parse-names&quot;:false,&quot;suffix&quot;:&quot;&quot;},{&quot;dropping-particle&quot;:&quot;&quot;,&quot;family&quot;:&quot;Safdarian&quot;,&quot;given&quot;:&quot;Amir&quot;,&quot;non-dropping-particle&quot;:&quot;&quot;,&quot;parse-names&quot;:false,&quot;suffix&quot;:&quot;&quot;},{&quot;dropping-particle&quot;:&quot;&quot;,&quot;family&quot;:&quot;Lehtonen&quot;,&quot;given&quot;:&quot;Matti&quot;,&quot;non-dropping-particle&quot;:&quot;&quot;,&quot;parse-names&quot;:false,&quot;suffix&quot;:&quot;&quot;}],&quot;container-title&quot;:&quot;IEEE PES Innovative Smart Grid Technologies Conference Europe&quot;,&quot;id&quot;:&quot;3e26d04b-ce4e-3927-b4df-acadd4623c94&quot;,&quot;issue&quot;:&quot;January&quot;,&quot;issued&quot;:{&quot;date-parts&quot;:[[&quot;2015&quot;,&quot;1&quot;,&quot;30&quot;]]},&quot;publisher&quot;:&quot;IEEE Computer Society&quot;,&quot;title&quot;:&quot;Demand response potential of residential HVAC loads considering users preferences&quot;,&quot;type&quot;:&quot;paper-conference&quot;,&quot;volume&quot;:&quot;2015-Janua&quot;,&quot;container-title-short&quot;:&quot;&quot;},&quot;uris&quot;:[&quot;http://www.mendeley.com/documents/?uuid=3e26d04b-ce4e-3927-b4df-acadd4623c94&quot;],&quot;isTemporary&quot;:false,&quot;legacyDesktopId&quot;:&quot;3e26d04b-ce4e-3927-b4df-acadd4623c94&quot;}]},{&quot;citationID&quot;:&quot;MENDELEY_CITATION_4de1ba3c-3cb4-40e8-bb2a-c0f653a163e2&quot;,&quot;properties&quot;:{&quot;noteIndex&quot;:0},&quot;isEdited&quot;:false,&quot;manualOverride&quot;:{&quot;citeprocText&quot;:&quot;[119]&quot;,&quot;isManuallyOverridden&quot;:false,&quot;manualOverrideText&quot;:&quot;&quot;},&quot;citationTag&quot;:&quot;MENDELEY_CITATION_v3_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&quot;,&quot;citationItems&quot;:[{&quot;id&quot;:&quot;813ac0d6-36d0-30eb-ad9a-68807630495a&quot;,&quot;itemData&quot;:{&quot;DOI&quot;:&quot;10.1177/1420326X15608514&quot;,&quot;ISSN&quot;:&quot;14230070&quot;,&quot;abstract&quot;:&quot;This study has two aims to investigate the energy demand response (DR) actions on thermal comfort and energy cost in detached residential houses (1960,2010 and passive) in a cold climate. The first one is to find out the acceptable range of indoor air and operative temperatures complying with the recommended thermal comfort categories in accordance with the EN 15251 standard. The second one is to minimize the energy cost of electric heating system by means of the DR control strategy, without sacrificing thermal comfort of the occupants. This research was carried out with the validated dynamic building simulation tool IDA Indoor Climate and Energy. Three different control strategies were studied: A) a strategy based on real-time hourly electricity price, B) new DR control strategy based on previous hourly electricity prices and C) new predictive DR control strategy based on future hourly electricity prices. The results show that the lowest acceptable indoor air and operative temperatures can be reduced to 19.4°C and 19.6°C, respectively. The maximum annual saving in total energy cost is about 10% by using the control algorithm C.&quot;,&quot;author&quot;:[{&quot;dropping-particle&quot;:&quot;&quot;,&quot;family&quot;:&quot;Alimohammadisagvand&quot;,&quot;given&quot;:&quot;Behrang&quot;,&quot;non-dropping-particle&quot;:&quot;&quot;,&quot;parse-names&quot;:false,&quot;suffix&quot;:&quot;&quot;},{&quot;dropping-particle&quot;:&quot;&quot;,&quot;family&quot;:&quot;Alam&quot;,&quot;given&quot;:&quot;Sadaf&quot;,&quot;non-dropping-particle&quot;:&quot;&quot;,&quot;parse-names&quot;:false,&quot;suffix&quot;:&quot;&quot;},{&quot;dropping-particle&quot;:&quot;&quot;,&quot;family&quot;:&quot;Ali&quot;,&quot;given&quot;:&quot;Mubbashir&quot;,&quot;non-dropping-particle&quot;:&quot;&quot;,&quot;parse-names&quot;:false,&quot;suffix&quot;:&quot;&quot;},{&quot;dropping-particle&quot;:&quot;&quot;,&quot;family&quot;:&quot;Degefa&quot;,&quot;given&quot;:&quot;Merkebu&quot;,&quot;non-dropping-particle&quot;:&quot;&quot;,&quot;parse-names&quot;:false,&quot;suffix&quot;:&quot;&quot;},{&quot;dropping-particle&quot;:&quot;&quot;,&quot;family&quot;:&quot;Jokisalo&quot;,&quot;given&quot;:&quot;Juha&quot;,&quot;non-dropping-particle&quot;:&quot;&quot;,&quot;parse-names&quot;:false,&quot;suffix&quot;:&quot;&quot;},{&quot;dropping-particle&quot;:&quot;&quot;,&quot;family&quot;:&quot;Sirén&quot;,&quot;given&quot;:&quot;Kai&quot;,&quot;non-dropping-particle&quot;:&quot;&quot;,&quot;parse-names&quot;:false,&quot;suffix&quot;:&quot;&quot;}],&quot;container-title&quot;:&quot;Indoor and Built Environment&quot;,&quot;id&quot;:&quot;813ac0d6-36d0-30eb-ad9a-68807630495a&quot;,&quot;issue&quot;:&quot;3&quot;,&quot;issued&quot;:{&quot;date-parts&quot;:[[&quot;2017&quot;,&quot;9&quot;,&quot;30&quot;]]},&quot;page&quot;:&quot;298-316&quot;,&quot;publisher&quot;:&quot;SAGE Publications Ltd&quot;,&quot;title&quot;:&quot;Influence of energy demand response actions on thermal comfort and energy cost in electrically heated residential houses&quot;,&quot;type&quot;:&quot;article-journal&quot;,&quot;volume&quot;:&quot;26&quot;,&quot;container-title-short&quot;:&quot;&quot;},&quot;uris&quot;:[&quot;http://www.mendeley.com/documents/?uuid=813ac0d6-36d0-30eb-ad9a-68807630495a&quot;],&quot;isTemporary&quot;:false,&quot;legacyDesktopId&quot;:&quot;813ac0d6-36d0-30eb-ad9a-68807630495a&quot;}]},{&quot;citationID&quot;:&quot;MENDELEY_CITATION_cc35edb0-d820-42c9-a323-2d015be8d3fa&quot;,&quot;properties&quot;:{&quot;noteIndex&quot;:0},&quot;isEdited&quot;:false,&quot;manualOverride&quot;:{&quot;citeprocText&quot;:&quot;[120]&quot;,&quot;isManuallyOverridden&quot;:false,&quot;manualOverrideText&quot;:&quot;&quot;},&quot;citationTag&quot;:&quot;MENDELEY_CITATION_v3_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&quot;,&quot;citationItems&quot;:[{&quot;id&quot;:&quot;8c216c12-3935-3d61-a3c6-354ff0df5656&quot;,&quot;itemData&quot;:{&quot;DOI&quot;:&quot;10.1016/j.apenergy.2016.04.013&quot;,&quot;ISSN&quot;:&quot;03062619&quot;,&quot;abstract&quot;:&quot;This study aims to define a cost-optimal solution based on demand response (DR) actions for a thermal energy storage system with a ground source heat pump in detached residential houses in a cold climate. This study finds out the minimum life cycle cost (LCC) of thermal energy storage over the period of 20 years by observing different temperature set points (55-95 °C) and sizes (0.3-1.5 m3) of a hot water storage tank with developed DR control algorithms. Three different control algorithms were studied: (A) a momentary DR control algorithm based on real-time hourly electricity price (HEP), (B) a backwards-looking DR control algorithm based on previous HEPs and (C) a predictive DR control algorithm based on future HEPs. This research was carried out with the validated dynamic building simulation tool IDA Indoor Climate and Energy. The results show that by using the predictive DR control algorithm the maximum annual savings in total delivered energy and cost are about 12% and 10%, respectively. The minimum LCC can be achieved by the smallest studied storage tank size of 0.3 m3 with 60 °C as the temperature set point, but the effect of storage tank size on LCC is relatively small.&quot;,&quot;author&quot;:[{&quot;dropping-particle&quot;:&quot;&quot;,&quot;family&quot;:&quot;Alimohammadisagvand&quot;,&quot;given&quot;:&quot;Behrang&quot;,&quot;non-dropping-particle&quot;:&quot;&quot;,&quot;parse-names&quot;:false,&quot;suffix&quot;:&quot;&quot;},{&quot;dropping-particle&quot;:&quot;&quot;,&quot;family&quot;:&quot;Jokisalo&quot;,&quot;given&quot;:&quot;Juha&quot;,&quot;non-dropping-particle&quot;:&quot;&quot;,&quot;parse-names&quot;:false,&quot;suffix&quot;:&quot;&quot;},{&quot;dropping-particle&quot;:&quot;&quot;,&quot;family&quot;:&quot;Kilpeläinen&quot;,&quot;given&quot;:&quot;Simo&quot;,&quot;non-dropping-particle&quot;:&quot;&quot;,&quot;parse-names&quot;:false,&quot;suffix&quot;:&quot;&quot;},{&quot;dropping-particle&quot;:&quot;&quot;,&quot;family&quot;:&quot;Ali&quot;,&quot;given&quot;:&quot;Mubbashir&quot;,&quot;non-dropping-particle&quot;:&quot;&quot;,&quot;parse-names&quot;:false,&quot;suffix&quot;:&quot;&quot;},{&quot;dropping-particle&quot;:&quot;&quot;,&quot;family&quot;:&quot;Sirén&quot;,&quot;given&quot;:&quot;Kai&quot;,&quot;non-dropping-particle&quot;:&quot;&quot;,&quot;parse-names&quot;:false,&quot;suffix&quot;:&quot;&quot;}],&quot;container-title&quot;:&quot;Applied Energy&quot;,&quot;id&quot;:&quot;8c216c12-3935-3d61-a3c6-354ff0df5656&quot;,&quot;issued&quot;:{&quot;date-parts&quot;:[[&quot;2016&quot;,&quot;7&quot;,&quot;15&quot;]]},&quot;page&quot;:&quot;275-287&quot;,&quot;publisher&quot;:&quot;Elsevier Ltd&quot;,&quot;title&quot;:&quot;Cost-optimal thermal energy storage system for a residential building with heat pump heating and demand response control&quot;,&quot;type&quot;:&quot;article-journal&quot;,&quot;volume&quot;:&quot;174&quot;,&quot;container-title-short&quot;:&quot;Appl Energy&quot;},&quot;uris&quot;:[&quot;http://www.mendeley.com/documents/?uuid=e5c6213a-5a72-4b29-8460-723635f3b79d&quot;],&quot;isTemporary&quot;:false,&quot;legacyDesktopId&quot;:&quot;e5c6213a-5a72-4b29-8460-723635f3b79d&quot;}]},{&quot;citationID&quot;:&quot;MENDELEY_CITATION_41dc94c8-2796-424a-aef8-6076a4902354&quot;,&quot;properties&quot;:{&quot;noteIndex&quot;:0},&quot;isEdited&quot;:false,&quot;manualOverride&quot;:{&quot;citeprocText&quot;:&quot;[121]–[123]&quot;,&quot;isManuallyOverridden&quot;:false,&quot;manualOverrideText&quot;:&quot;&quot;},&quot;citationTag&quot;:&quot;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&quot;,&quot;citationItems&quot;:[{&quot;id&quot;:&quot;8a4230c8-3490-3a19-a30b-007fa473089e&quot;,&quot;itemData&quot;:{&quot;DOI&quot;:&quot;10.1016/j.solener.2007.01.010&quot;,&quot;ISSN&quot;:&quot;0038092X&quot;,&quot;abstract&quot;:&quot;This article presents a study of the free cooling of a low-energy building using a latent-heat thermal energy storage (LHTES) device integrated into a mechanical ventilation system. The cylindrical LHTES device was filled with spheres of encapsulated RT20 paraffin, a phase-change material (PCM). A numerical model of the LHTES was developed to identify the parameters that have an influence on the LHTES's thermal response, to determine the optimum phase-change temperature and to form the LHTES's temperature-response function. The last of these defines the LHTES's outlet-air temperature for a periodic variation of the inlet ambient-air temperature and the defined operating conditions. The temperature-response function was then integrated into the TRNSYS building thermal response model. Numerical simulations showed that a PCM with a melting temperature between 20 and 22 °C is the most suitable for free cooling in the case of a continental climate. The analyses of the temperatures in a low-energy building showed that free cooling with an LHTES is an effective cooling technique. Suitable thermal comfort conditions in the presented case-study building could be achieved using an LHTES with 6.4 kg of PCM per square metre of floor area. © 2007 Elsevier Ltd. All rights reserved.&quot;,&quot;author&quot;:[{&quot;dropping-particle&quot;:&quot;&quot;,&quot;family&quot;:&quot;Arkar&quot;,&quot;given&quot;:&quot;C.&quot;,&quot;non-dropping-particle&quot;:&quot;&quot;,&quot;parse-names&quot;:false,&quot;suffix&quot;:&quot;&quot;},{&quot;dropping-particle&quot;:&quot;&quot;,&quot;family&quot;:&quot;Medved&quot;,&quot;given&quot;:&quot;S.&quot;,&quot;non-dropping-particle&quot;:&quot;&quot;,&quot;parse-names&quot;:false,&quot;suffix&quot;:&quot;&quot;}],&quot;container-title&quot;:&quot;Solar Energy&quot;,&quot;id&quot;:&quot;8a4230c8-3490-3a19-a30b-007fa473089e&quot;,&quot;issue&quot;:&quot;9&quot;,&quot;issued&quot;:{&quot;date-parts&quot;:[[&quot;2007&quot;,&quot;9&quot;]]},&quot;page&quot;:&quot;1078-1087&quot;,&quot;title&quot;:&quot;Free cooling of a building using PCM heat storage integrated into the ventilation system&quot;,&quot;type&quot;:&quot;article-journal&quot;,&quot;volume&quot;:&quot;81&quot;,&quot;container-title-short&quot;:&quot;&quot;},&quot;uris&quot;:[&quot;http://www.mendeley.com/documents/?uuid=8a4230c8-3490-3a19-a30b-007fa473089e&quot;],&quot;isTemporary&quot;:false,&quot;legacyDesktopId&quot;:&quot;8a4230c8-3490-3a19-a30b-007fa473089e&quot;},{&quot;id&quot;:&quot;8c1718a7-9ec4-3cc8-9cfc-f9f44caca55e&quot;,&quot;itemData&quot;:{&quot;DOI&quot;:&quot;10.1016/j.seta.2021.101533&quot;,&quot;ISSN&quot;:&quot;22131388&quot;,&quot;abstract&quot;:&quot;Rising concerns of environmental degradation and energy security particularly in developing countries like Pakistan has exhilarated the need for energy storage systems for efficient source utilization. Phase Change Material (PCM) based Thermal Energy Storage (TES) systems are used with air conditioning systems for thermal load management in buildings. The TES system discussed in this paper consists of a macro-encapsulated PCM Magnesium chloride hexahydrate (MCHH) in aluminum cylinders. The system is integrated with a domestic gas heater to capture extra energy dissipated by the gas heater, used to raise the room temperature to the thermal comfort level. A numerical model is developed in MATLAB based on the enthalpy method for the performance analysis and investigating the phase transition phenomenon of MCHH, followed by experimental validation. Different thermal performance indices of TES are investigated such as liquid fraction, energy, and exergy stored during the charging/discharging process. The model has predicted 42 kJ and 9 kJ of energy and exergy stored, respectively during the charging cycle, while experimentations showed 39.6 kJ and 6 kJ energy and exergy stored in the material, respectively. The deviation of 15% in energy and 33.33% in exergy from experimental results indicated that the actual phase transition is non-isothermal and the mathematical model does not include the factor to accommodate the actual melting phenomenon with changing thermophysical properties of PCM. This performance analysis is significant to design and optimize the PCM-based TES coupled with conventional heating sources.&quot;,&quot;author&quot;:[{&quot;dropping-particle&quot;:&quot;&quot;,&quot;family&quot;:&quot;Ahmed&quot;,&quot;given&quot;:&quot;Fawad&quot;,&quot;non-dropping-particle&quot;:&quot;&quot;,&quot;parse-names&quot;:false,&quot;suffix&quot;:&quot;&quot;},{&quot;dropping-particle&quot;:&quot;&quot;,&quot;family&quot;:&quot;Mahmood&quot;,&quot;given&quot;:&quot;Mariam&quot;,&quot;non-dropping-particle&quot;:&quot;&quot;,&quot;parse-names&quot;:false,&quot;suffix&quot;:&quot;&quot;},{&quot;dropping-particle&quot;:&quot;&quot;,&quot;family&quot;:&quot;Waqas&quot;,&quot;given&quot;:&quot;Adeel&quot;,&quot;non-dropping-particle&quot;:&quot;&quot;,&quot;parse-names&quot;:false,&quot;suffix&quot;:&quot;&quot;},{&quot;dropping-particle&quot;:&quot;&quot;,&quot;family&quot;:&quot;Ahmad&quot;,&quot;given&quot;:&quot;Naveed&quot;,&quot;non-dropping-particle&quot;:&quot;&quot;,&quot;parse-names&quot;:false,&quot;suffix&quot;:&quot;&quot;},{&quot;dropping-particle&quot;:&quot;&quot;,&quot;family&quot;:&quot;Ali&quot;,&quot;given&quot;:&quot;Majid&quot;,&quot;non-dropping-particle&quot;:&quot;&quot;,&quot;parse-names&quot;:false,&quot;suffix&quot;:&quot;&quot;}],&quot;container-title&quot;:&quot;Sustainable Energy Technologies and Assessments&quot;,&quot;id&quot;:&quot;8c1718a7-9ec4-3cc8-9cfc-f9f44caca55e&quot;,&quot;issued&quot;:{&quot;date-parts&quot;:[[&quot;2021&quot;,&quot;10&quot;,&quot;1&quot;]]},&quot;page&quot;:&quot;101533&quot;,&quot;publisher&quot;:&quot;Elsevier&quot;,&quot;title&quot;:&quot;Thermal analysis of macro-encapsulated phase change material coupled with domestic gas heater for building heating&quot;,&quot;type&quot;:&quot;article-journal&quot;,&quot;volume&quot;:&quot;47&quot;,&quot;container-title-short&quot;:&quot;&quot;},&quot;uris&quot;:[&quot;http://www.mendeley.com/documents/?uuid=8c1718a7-9ec4-3cc8-9cfc-f9f44caca55e&quot;],&quot;isTemporary&quot;:false,&quot;legacyDesktopId&quot;:&quot;8c1718a7-9ec4-3cc8-9cfc-f9f44caca55e&quot;},{&quot;id&quot;:&quot;dee2680b-0606-3ab0-92e9-a31279f4077e&quot;,&quot;itemData&quot;:{&quot;DOI&quot;:&quot;10.1016/j.renene.2019.01.026&quot;,&quot;ISSN&quot;:&quot;18790682&quot;,&quot;abstract&quot;:&quot;This paper studies the potential application of ventilation systems with thermal energy storage (TES) using phase change materials (PCMs) for space cooling in air conditioned buildings during the summer. A south-facing middle office room located in Beijing, China is considered for study. To simulate the indoor thermal environment and energy consumption of the room, a dynamic computational model which consists of a building thermal model, a heat transfer model of a TES unit and the performance curve of an air conditioner (AC) is built and validated. The time lag to switch on AC, the cooling energy provided by AC, PCMs and structure elements, the runtime of AC and fan, and the overall electricity energy consumption of the TES system are calculated and compared to a base case without night ventilation (NV) and a case with conventional NV system. The results indicate that the higher the indoor temperature set point, the higher the cooling energy contributions of PCMs and structure elements and therefore the higher the potential application of the TES system. The electricity energy saving ratio (ESR) by using the TES system over the base case is found to be 16.9%–50.8%, while that against the conventional NV system is 9.2%–33.6%.&quot;,&quot;author&quot;:[{&quot;dropping-particle&quot;:&quot;&quot;,&quot;family&quot;:&quot;Chen&quot;,&quot;given&quot;:&quot;Xiaoming&quot;,&quot;non-dropping-particle&quot;:&quot;&quot;,&quot;parse-names&quot;:false,&quot;suffix&quot;:&quot;&quot;},{&quot;dropping-particle&quot;:&quot;&quot;,&quot;family&quot;:&quot;Zhang&quot;,&quot;given&quot;:&quot;Quan&quot;,&quot;non-dropping-particle&quot;:&quot;&quot;,&quot;parse-names&quot;:false,&quot;suffix&quot;:&quot;&quot;},{&quot;dropping-particle&quot;:&quot;&quot;,&quot;family&quot;:&quot;Zhai&quot;,&quot;given&quot;:&quot;Zhiqiang John&quot;,&quot;non-dropping-particle&quot;:&quot;&quot;,&quot;parse-names&quot;:false,&quot;suffix&quot;:&quot;&quot;},{&quot;dropping-particle&quot;:&quot;&quot;,&quot;family&quot;:&quot;Ma&quot;,&quot;given&quot;:&quot;Xiaowei&quot;,&quot;non-dropping-particle&quot;:&quot;&quot;,&quot;parse-names&quot;:false,&quot;suffix&quot;:&quot;&quot;}],&quot;container-title&quot;:&quot;Renewable Energy&quot;,&quot;id&quot;:&quot;dee2680b-0606-3ab0-92e9-a31279f4077e&quot;,&quot;issued&quot;:{&quot;date-parts&quot;:[[&quot;2019&quot;,&quot;8&quot;,&quot;1&quot;]]},&quot;page&quot;:&quot;39-53&quot;,&quot;publisher&quot;:&quot;Pergamon&quot;,&quot;title&quot;:&quot;Potential of ventilation systems with thermal energy storage using PCMs applied to air conditioned buildings&quot;,&quot;type&quot;:&quot;article-journal&quot;,&quot;volume&quot;:&quot;138&quot;,&quot;container-title-short&quot;:&quot;Renew Energy&quot;},&quot;uris&quot;:[&quot;http://www.mendeley.com/documents/?uuid=dee2680b-0606-3ab0-92e9-a31279f4077e&quot;],&quot;isTemporary&quot;:false,&quot;legacyDesktopId&quot;:&quot;dee2680b-0606-3ab0-92e9-a31279f4077e&quot;}]},{&quot;citationID&quot;:&quot;MENDELEY_CITATION_65f7f62e-94ef-4d83-8503-ffa6441c39d7&quot;,&quot;properties&quot;:{&quot;noteIndex&quot;:0},&quot;isEdited&quot;:false,&quot;manualOverride&quot;:{&quot;citeprocText&quot;:&quot;[124]&quot;,&quot;isManuallyOverridden&quot;:false,&quot;manualOverrideText&quot;:&quot;&quot;},&quot;citationTag&quot;:&quot;MENDELEY_CITATION_v3_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&quot;,&quot;citationItems&quot;:[{&quot;id&quot;:&quot;560452fc-2ebe-335c-bde6-ecf074635661&quot;,&quot;itemData&quot;:{&quot;DOI&quot;:&quot;10.1016/j.enbuild.2006.07.005&quot;,&quot;ISSN&quot;:&quot;03787788&quot;,&quot;abstract&quot;:&quot;This paper addresses potential peak air conditioning load shifting strategies using encapsulated phase change materials. The materials being considered here are designed to be installed within the ceiling or wall insulation to assist in delaying the peak air conditioning demand times until later in the evening. To assist in understanding the behavior of this material, an idealized model has been developed which uses the one-dimensional diffusion equation driven by time varying temperature functions imposed at the boundaries. In developing the model, the phase change temperature is a critical parameter, as is the latent heat of melting. These variables are treated parametrically. Other variables such as the characteristic ambient temperature variations and the thermostat set point are varied relative to the phase change temperature. Comparisons are made to the temporal variations of the heat flows without the application of the phase change material to those with the phase change material. © 2006 Elsevier B.V. All rights reserved.&quot;,&quot;author&quot;:[{&quot;dropping-particle&quot;:&quot;&quot;,&quot;family&quot;:&quot;Halford&quot;,&quot;given&quot;:&quot;C. K.&quot;,&quot;non-dropping-particle&quot;:&quot;&quot;,&quot;parse-names&quot;:false,&quot;suffix&quot;:&quot;&quot;},{&quot;dropping-particle&quot;:&quot;&quot;,&quot;family&quot;:&quot;Boehm&quot;,&quot;given&quot;:&quot;R. F.&quot;,&quot;non-dropping-particle&quot;:&quot;&quot;,&quot;parse-names&quot;:false,&quot;suffix&quot;:&quot;&quot;}],&quot;container-title&quot;:&quot;Energy and Buildings&quot;,&quot;id&quot;:&quot;560452fc-2ebe-335c-bde6-ecf074635661&quot;,&quot;issue&quot;:&quot;3&quot;,&quot;issued&quot;:{&quot;date-parts&quot;:[[&quot;2007&quot;,&quot;3&quot;]]},&quot;page&quot;:&quot;298-305&quot;,&quot;title&quot;:&quot;Modeling of phase change material peak load shifting&quot;,&quot;type&quot;:&quot;article-journal&quot;,&quot;volume&quot;:&quot;39&quot;,&quot;container-title-short&quot;:&quot;Energy Build&quot;},&quot;uris&quot;:[&quot;http://www.mendeley.com/documents/?uuid=560452fc-2ebe-335c-bde6-ecf074635661&quot;],&quot;isTemporary&quot;:false,&quot;legacyDesktopId&quot;:&quot;560452fc-2ebe-335c-bde6-ecf074635661&quot;}]},{&quot;citationID&quot;:&quot;MENDELEY_CITATION_c76cf99d-295e-4b47-9a12-098c8b5910af&quot;,&quot;properties&quot;:{&quot;noteIndex&quot;:0},&quot;isEdited&quot;:false,&quot;manualOverride&quot;:{&quot;citeprocText&quot;:&quot;[125]&quot;,&quot;isManuallyOverridden&quot;:false,&quot;manualOverrideText&quot;:&quot;&quot;},&quot;citationTag&quot;:&quot;MENDELEY_CITATION_v3_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&quot;,&quot;citationItems&quot;:[{&quot;id&quot;:&quot;97c95d3b-c28a-3f20-b486-8299316d032c&quot;,&quot;itemData&quot;:{&quot;DOI&quot;:&quot;10.1016/j.solener.2014.05.007&quot;,&quot;ISSN&quot;:&quot;0038092X&quot;,&quot;abstract&quot;:&quot;Residential attics has the potential to be one of the most energy efficient building components by combining thermal processes of attic floor insulation, attic air space, ventilation in attics, and solar collecting roof decks. Large amounts of solar energy collected by the roofs in cooling-dominated and mixed climates generate excess cooling loads, which need to be removed from the building by the space conditioning systems. This paper investigates potential ways to improve the thermal design of the residential home attics to minimize the cooling energy consumption in the cooling-dominated and mixed climates. Dynamic thermal characteristics of thick attic floor insulations and blends of phase change materials (PCMs) with insulations are analyzed. Both approaches can provide notable reductions of thermal loads at the attic level. In addition, a significant time shift of peak-hour loads can move a major operation time for air conditioning system from the daytime peak hours to nighttime low demand hours. A reverse heat flow direction can be observed during the day in the case of really thick layers of bulk insulation or PCM-enhanced insulations, compared to the rest of the building envelope components. This effect may provide free passive cooling to the building, and can be very useful in locations of double electrical tariffs with high daytime peak-hour electric energy rates and less-expensive off-peak energy cost. In both of the above cases, an addition of PCM to the bulk insulation brings substantial performance enhancement not available for traditional insulation applications. This paper presents a short overview of dynamic material characteristics and energy performance data necessary for future dynamic applications of different configurations of the attic floor insulation and PCM-insulation blends in residential homes. A series of whole-building scale and material scale numerical simulations were performed on a single story ranch house to analyze potential energy savings and optimize location of PCM within the attic insulation. © 2014 Elsevier Ltd.&quot;,&quot;author&quot;:[{&quot;dropping-particle&quot;:&quot;&quot;,&quot;family&quot;:&quot;Kośny&quot;,&quot;given&quot;:&quot;Jan&quot;,&quot;non-dropping-particle&quot;:&quot;&quot;,&quot;parse-names&quot;:false,&quot;suffix&quot;:&quot;&quot;},{&quot;dropping-particle&quot;:&quot;&quot;,&quot;family&quot;:&quot;Fallahi&quot;,&quot;given&quot;:&quot;Ali&quot;,&quot;non-dropping-particle&quot;:&quot;&quot;,&quot;parse-names&quot;:false,&quot;suffix&quot;:&quot;&quot;},{&quot;dropping-particle&quot;:&quot;&quot;,&quot;family&quot;:&quot;Shukla&quot;,&quot;given&quot;:&quot;Nitin&quot;,&quot;non-dropping-particle&quot;:&quot;&quot;,&quot;parse-names&quot;:false,&quot;suffix&quot;:&quot;&quot;},{&quot;dropping-particle&quot;:&quot;&quot;,&quot;family&quot;:&quot;Kossecka&quot;,&quot;given&quot;:&quot;Elizabeth&quot;,&quot;non-dropping-particle&quot;:&quot;&quot;,&quot;parse-names&quot;:false,&quot;suffix&quot;:&quot;&quot;},{&quot;dropping-particle&quot;:&quot;&quot;,&quot;family&quot;:&quot;Ahbari&quot;,&quot;given&quot;:&quot;Ramin&quot;,&quot;non-dropping-particle&quot;:&quot;&quot;,&quot;parse-names&quot;:false,&quot;suffix&quot;:&quot;&quot;}],&quot;container-title&quot;:&quot;Solar Energy&quot;,&quot;id&quot;:&quot;97c95d3b-c28a-3f20-b486-8299316d032c&quot;,&quot;issued&quot;:{&quot;date-parts&quot;:[[&quot;2014&quot;,&quot;10&quot;,&quot;1&quot;]]},&quot;page&quot;:&quot;164-177&quot;,&quot;publisher&quot;:&quot;Elsevier Ltd&quot;,&quot;title&quot;:&quot;Thermal load mitigation and passive cooling in residential attics containing PCM-enhanced insulations&quot;,&quot;type&quot;:&quot;article-journal&quot;,&quot;volume&quot;:&quot;108&quot;,&quot;container-title-short&quot;:&quot;&quot;},&quot;uris&quot;:[&quot;http://www.mendeley.com/documents/?uuid=97c95d3b-c28a-3f20-b486-8299316d032c&quot;],&quot;isTemporary&quot;:false,&quot;legacyDesktopId&quot;:&quot;97c95d3b-c28a-3f20-b486-8299316d032c&quot;}]},{&quot;citationID&quot;:&quot;MENDELEY_CITATION_30b30120-b955-41ba-a60b-e286c05a1b88&quot;,&quot;properties&quot;:{&quot;noteIndex&quot;:0},&quot;isEdited&quot;:false,&quot;manualOverride&quot;:{&quot;citeprocText&quot;:&quot;[126]&quot;,&quot;isManuallyOverridden&quot;:false,&quot;manualOverrideText&quot;:&quot;&quot;},&quot;citationTag&quot;:&quot;MENDELEY_CITATION_v3_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&quot;,&quot;citationItems&quot;:[{&quot;id&quot;:&quot;a808e834-b695-3b10-a5dc-5c4edc6a3d80&quot;,&quot;itemData&quot;:{&quot;DOI&quot;:&quot;10.1016/j.apenergy.2015.03.027&quot;,&quot;ISSN&quot;:&quot;03062619&quot;,&quot;abstract&quot;:&quot;Phase change materials are used with various building materials in order to increase their thermal mass. This research is on the application of phase change material in the form of DuPont Energain® wallboards in combination with an underfloor heating system incorporating phase change materials. An experimental study was carried out using two identical test huts at the Tamaki Campus, University of Auckland. Results using a price-based method showed electricity savings in both consumption and cost of up to 35% and 44.4% respectively.&quot;,&quot;author&quot;:[{&quot;dropping-particle&quot;:&quot;&quot;,&quot;family&quot;:&quot;Barzin&quot;,&quot;given&quot;:&quot;Reza&quot;,&quot;non-dropping-particle&quot;:&quot;&quot;,&quot;parse-names&quot;:false,&quot;suffix&quot;:&quot;&quot;},{&quot;dropping-particle&quot;:&quot;&quot;,&quot;family&quot;:&quot;Chen&quot;,&quot;given&quot;:&quot;John J.J.&quot;,&quot;non-dropping-particle&quot;:&quot;&quot;,&quot;parse-names&quot;:false,&quot;suffix&quot;:&quot;&quot;},{&quot;dropping-particle&quot;:&quot;&quot;,&quot;family&quot;:&quot;Young&quot;,&quot;given&quot;:&quot;Brent R.&quot;,&quot;non-dropping-particle&quot;:&quot;&quot;,&quot;parse-names&quot;:false,&quot;suffix&quot;:&quot;&quot;},{&quot;dropping-particle&quot;:&quot;&quot;,&quot;family&quot;:&quot;Farid&quot;,&quot;given&quot;:&quot;Mohammed M.&quot;,&quot;non-dropping-particle&quot;:&quot;&quot;,&quot;parse-names&quot;:false,&quot;suffix&quot;:&quot;&quot;}],&quot;container-title&quot;:&quot;Applied Energy&quot;,&quot;id&quot;:&quot;a808e834-b695-3b10-a5dc-5c4edc6a3d80&quot;,&quot;issued&quot;:{&quot;date-parts&quot;:[[&quot;2015&quot;,&quot;6&quot;,&quot;5&quot;]]},&quot;page&quot;:&quot;39-48&quot;,&quot;publisher&quot;:&quot;Elsevier Ltd&quot;,&quot;title&quot;:&quot;Application of PCM underfloor heating in combination with PCM wallboards for space heating using price based control system&quot;,&quot;type&quot;:&quot;article-journal&quot;,&quot;volume&quot;:&quot;148&quot;,&quot;container-title-short&quot;:&quot;Appl Energy&quot;},&quot;uris&quot;:[&quot;http://www.mendeley.com/documents/?uuid=a808e834-b695-3b10-a5dc-5c4edc6a3d80&quot;],&quot;isTemporary&quot;:false,&quot;legacyDesktopId&quot;:&quot;a808e834-b695-3b10-a5dc-5c4edc6a3d80&quot;}]},{&quot;citationID&quot;:&quot;MENDELEY_CITATION_f3da7664-c0f1-463a-8908-5ce8908c22a8&quot;,&quot;properties&quot;:{&quot;noteIndex&quot;:0},&quot;isEdited&quot;:false,&quot;manualOverride&quot;:{&quot;citeprocText&quot;:&quot;[127]&quot;,&quot;isManuallyOverridden&quot;:false,&quot;manualOverrideText&quot;:&quot;&quot;},&quot;citationTag&quot;:&quot;MENDELEY_CITATION_v3_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&quot;,&quot;citationItems&quot;:[{&quot;id&quot;:&quot;7ee605b2-235e-32ed-9a67-9e1cbd40621d&quot;,&quot;itemData&quot;:{&quot;DOI&quot;:&quot;10.1016/j.enconman.2018.08.010&quot;,&quot;ISSN&quot;:&quot;01968904&quot;,&quot;abstract&quot;:&quot;The application of phase change materials (PCMs) in the building envelope can improve the thermal performance and the indoor thermal comfort conditions because they allow the proper storage or release of energy. In this work, three different solar assisted heat pump underfloor heating systems with and without the use of phase change material are designed, simulated and evaluated energetically for a building of 100 m2 floor area. Different kinds of solar collectors (flat plate, photovoltaic, thermal photovoltaic) are coupled to a storage tank which feeds a heat pump for space heating purposes. The PCM is used on the underfloor heating system in order to increase the storage capacity and to avoid the operation of the heat pump during the peak electricity demand period. Furthermore, this work presents and compares the coefficient of performance, the electricity consumption, the solar coverage and the indoor temperature distribution of a building in Athens (Greece), with and without a PCM layer on the floor. More specifically, the PCM is placed on the underfloor heating system and different cases are examined by changing the collecting area, the collector type and the thickness of the insulation layer in the floor. The results prove that the use of the PCM layer on the underfloor heating system reduces the heating load by about 40%. The electricity consumption can be reduced between 42% and 67% using the solar-driven systems. It is also found that the system with the thermal PV consumes the lowest grid electricity. Moreover, the lowest simple payback period is found to be 9.61 years for the system with flat plate collectors without PCM. The simulation is conducted with TRNSYS for all the winter period.&quot;,&quot;author&quot;:[{&quot;dropping-particle&quot;:&quot;&quot;,&quot;family&quot;:&quot;Plytaria&quot;,&quot;given&quot;:&quot;Maria T.&quot;,&quot;non-dropping-particle&quot;:&quot;&quot;,&quot;parse-names&quot;:false,&quot;suffix&quot;:&quot;&quot;},{&quot;dropping-particle&quot;:&quot;&quot;,&quot;family&quot;:&quot;Tzivanidis&quot;,&quot;given&quot;:&quot;Christos&quot;,&quot;non-dropping-particle&quot;:&quot;&quot;,&quot;parse-names&quot;:false,&quot;suffix&quot;:&quot;&quot;},{&quot;dropping-particle&quot;:&quot;&quot;,&quot;family&quot;:&quot;Bellos&quot;,&quot;given&quot;:&quot;Evangelos&quot;,&quot;non-dropping-particle&quot;:&quot;&quot;,&quot;parse-names&quot;:false,&quot;suffix&quot;:&quot;&quot;},{&quot;dropping-particle&quot;:&quot;&quot;,&quot;family&quot;:&quot;Antonopoulos&quot;,&quot;given&quot;:&quot;Kimon A.&quot;,&quot;non-dropping-particle&quot;:&quot;&quot;,&quot;parse-names&quot;:false,&quot;suffix&quot;:&quot;&quot;}],&quot;container-title&quot;:&quot;Energy Conversion and Management&quot;,&quot;id&quot;:&quot;7ee605b2-235e-32ed-9a67-9e1cbd40621d&quot;,&quot;issued&quot;:{&quot;date-parts&quot;:[[&quot;2018&quot;,&quot;10&quot;,&quot;1&quot;]]},&quot;page&quot;:&quot;626-639&quot;,&quot;publisher&quot;:&quot;Elsevier Ltd&quot;,&quot;title&quot;:&quot;Energetic investigation of solar assisted heat pump underfloor heating systems with and without phase change materials&quot;,&quot;type&quot;:&quot;article-journal&quot;,&quot;volume&quot;:&quot;173&quot;,&quot;container-title-short&quot;:&quot;Energy Convers Manag&quot;},&quot;uris&quot;:[&quot;http://www.mendeley.com/documents/?uuid=7ee605b2-235e-32ed-9a67-9e1cbd40621d&quot;],&quot;isTemporary&quot;:false,&quot;legacyDesktopId&quot;:&quot;7ee605b2-235e-32ed-9a67-9e1cbd40621d&quot;}]},{&quot;citationID&quot;:&quot;MENDELEY_CITATION_1698231f-5c79-4608-a205-5a12c3967859&quot;,&quot;properties&quot;:{&quot;noteIndex&quot;:0},&quot;isEdited&quot;:false,&quot;manualOverride&quot;:{&quot;citeprocText&quot;:&quot;[128], [129]&quot;,&quot;isManuallyOverridden&quot;:false,&quot;manualOverrideText&quot;:&quot;&quot;},&quot;citationTag&quot;:&quot;MENDELEY_CITATION_v3_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&quot;,&quot;citationItems&quot;:[{&quot;id&quot;:&quot;4ad9b087-f466-36f5-bbf1-4b361dc57da9&quot;,&quot;itemData&quot;:{&quot;DOI&quot;:&quot;10.1115/ES2010-90035&quot;,&quot;ISBN&quot;:&quot;9780791843949&quot;,&quot;abstract&quot;:&quot;Phase Change Material (PCM) plays an important role as a thermal energy storage device by utilizing its high storage density and latent heat property. One of the potential applications of the PCM is in buildings by incorporating them in the envelope for energy conservation. During the summer cooling season, the main benefits are a decrease in overall energy consumption by the air conditioning unit and the time shift in peak load during the day. Experimental work was carried out by Arizona Public Service (APS) in collaboration with Phase Change Energy Solutions (PCES) Inc. with a new class of organic-based PCM. The experimental setup showed maximum energy savings of about 30%, a maximum peak load shift of ∼ 60 min, and maximum cost savings of about 30%. © 2010 by ASME.&quot;,&quot;author&quot;:[{&quot;dropping-particle&quot;:&quot;&quot;,&quot;family&quot;:&quot;Muruganantham&quot;,&quot;given&quot;:&quot;Karthik&quot;,&quot;non-dropping-particle&quot;:&quot;&quot;,&quot;parse-names&quot;:false,&quot;suffix&quot;:&quot;&quot;},{&quot;dropping-particle&quot;:&quot;&quot;,&quot;family&quot;:&quot;Phelan&quot;,&quot;given&quot;:&quot;Patrick&quot;,&quot;non-dropping-particle&quot;:&quot;&quot;,&quot;parse-names&quot;:false,&quot;suffix&quot;:&quot;&quot;},{&quot;dropping-particle&quot;:&quot;&quot;,&quot;family&quot;:&quot;Horwath&quot;,&quot;given&quot;:&quot;Peter&quot;,&quot;non-dropping-particle&quot;:&quot;&quot;,&quot;parse-names&quot;:false,&quot;suffix&quot;:&quot;&quot;},{&quot;dropping-particle&quot;:&quot;&quot;,&quot;family&quot;:&quot;Ludlam&quot;,&quot;given&quot;:&quot;David&quot;,&quot;non-dropping-particle&quot;:&quot;&quot;,&quot;parse-names&quot;:false,&quot;suffix&quot;:&quot;&quot;},{&quot;dropping-particle&quot;:&quot;&quot;,&quot;family&quot;:&quot;McDonald&quot;,&quot;given&quot;:&quot;Timothy&quot;,&quot;non-dropping-particle&quot;:&quot;&quot;,&quot;parse-names&quot;:false,&quot;suffix&quot;:&quot;&quot;}],&quot;container-title&quot;:&quot;ASME 2010 4th International Conference on Energy Sustainability, ES 2010&quot;,&quot;id&quot;:&quot;4ad9b087-f466-36f5-bbf1-4b361dc57da9&quot;,&quot;issued&quot;:{&quot;date-parts&quot;:[[&quot;2010&quot;,&quot;12&quot;,&quot;22&quot;]]},&quot;page&quot;:&quot;979-984&quot;,&quot;publisher&quot;:&quot;American Society of Mechanical Engineers Digital Collection&quot;,&quot;title&quot;:&quot;Experimental investigation of a bio-based phase-change material to improve building energy performance&quot;,&quot;type&quot;:&quot;paper-conference&quot;,&quot;volume&quot;:&quot;1&quot;,&quot;container-title-short&quot;:&quot;&quot;},&quot;uris&quot;:[&quot;http://www.mendeley.com/documents/?uuid=4ad9b087-f466-36f5-bbf1-4b361dc57da9&quot;],&quot;isTemporary&quot;:false,&quot;legacyDesktopId&quot;:&quot;4ad9b087-f466-36f5-bbf1-4b361dc57da9&quot;},{&quot;id&quot;:&quot;d1742f14-ef4f-3b70-8823-6f366766aab1&quot;,&quot;itemData&quot;:{&quot;DOI&quot;:&quot;10.3390/en12193661&quot;,&quot;ISSN&quot;:&quot;19961073&quot;,&quot;abstract&quot;:&quot;The present work concerns the energy retrofit of a public educational building at the University of Molise, located in Termoli, South Italy. The study provides a comparison of the results obtained by different dynamic simulations of passive strategies to improve thermal comfort and energy behavior of the building during the summer regime. Firstly, the building model was calibrated against historical consumption data. Then, a subsequent step involves the technical-economic analysis, by means of building performance simulations, of energy upgrading scenarios, specifically, cool roof and green roof technologies for the horizontal opaque envelope and thermal insulation, vented façade, and phase change materials' applications for the vertical opaque envelope. Improving the indoor thermal comfort and reducing the thermal energy demand during summertime through innovative solutions will be the primary objective of the present study. The energy efficiency measures are compared from the energy, emissions, costs, and indoor comfort points of view. Phase Change Materials applied to the inner side of the external walls are analyzed in depth and, by varying their melting temperature, optimization of design is performed too. This innovative material, with a melting temperature of 23 ◦C and a freezing temperature of 21 ◦C, determines the reduction of summer energy consumption of 11.7% and the increase of summer indoor comfort of 215 h. Even if consolidated, other solutions, like the cool roof, green roof, thermal insulation, and vented façade induce improvements in terms of summer energy saving, and the percentage difference compared to the basic building is less than 2%. For this case study, a Mediterranean building, with construction characteristics typical of the 1990s, traditional passive technologies are not very efficient in improving the energy performance, so the investigation focused on the adoption of innovative solutions such as PCMs, for reducing summer energy demand and improving indoor thermal comfort.&quot;,&quot;author&quot;:[{&quot;dropping-particle&quot;:&quot;&quot;,&quot;family&quot;:&quot;Ascione&quot;,&quot;given&quot;:&quot;Fabrizio&quot;,&quot;non-dropping-particle&quot;:&quot;&quot;,&quot;parse-names&quot;:false,&quot;suffix&quot;:&quot;&quot;},{&quot;dropping-particle&quot;:&quot;&quot;,&quot;family&quot;:&quot;Bianco&quot;,&quot;given&quot;:&quot;Nicola&quot;,&quot;non-dropping-particle&quot;:&quot;&quot;,&quot;parse-names&quot;:false,&quot;suffix&quot;:&quot;&quot;},{&quot;dropping-particle&quot;:&quot;&quot;,&quot;family&quot;:&quot;Masi&quot;,&quot;given&quot;:&quot;Rosa Francesca&quot;,&quot;non-dropping-particle&quot;:&quot;De&quot;,&quot;parse-names&quot;:false,&quot;suffix&quot;:&quot;&quot;},{&quot;dropping-particle&quot;:&quot;&quot;,&quot;family&quot;:&quot;Mastellone&quot;,&quot;given&quot;:&quot;Margherita&quot;,&quot;non-dropping-particle&quot;:&quot;&quot;,&quot;parse-names&quot;:false,&quot;suffix&quot;:&quot;&quot;},{&quot;dropping-particle&quot;:&quot;&quot;,&quot;family&quot;:&quot;Peter Vanoli&quot;,&quot;given&quot;:&quot;Giuseppe&quot;,&quot;non-dropping-particle&quot;:&quot;&quot;,&quot;parse-names&quot;:false,&quot;suffix&quot;:&quot;&quot;}],&quot;container-title&quot;:&quot;Energies&quot;,&quot;id&quot;:&quot;d1742f14-ef4f-3b70-8823-6f366766aab1&quot;,&quot;issue&quot;:&quot;19&quot;,&quot;issued&quot;:{&quot;date-parts&quot;:[[&quot;2019&quot;,&quot;9&quot;,&quot;25&quot;]]},&quot;page&quot;:&quot;3661&quot;,&quot;publisher&quot;:&quot;MDPI AG&quot;,&quot;title&quot;:&quot;Phase change materials for reducing cooling energy demand and improving indoor comfort: A step-by-step retrofit of a Mediterranean educational building&quot;,&quot;type&quot;:&quot;article-journal&quot;,&quot;volume&quot;:&quot;12&quot;,&quot;container-title-short&quot;:&quot;Energies (Basel)&quot;},&quot;uris&quot;:[&quot;http://www.mendeley.com/documents/?uuid=c97b6d94-5a97-46ce-9565-a689f6790509&quot;],&quot;isTemporary&quot;:false,&quot;legacyDesktopId&quot;:&quot;c97b6d94-5a97-46ce-9565-a689f6790509&quot;}]},{&quot;citationID&quot;:&quot;MENDELEY_CITATION_a2744fee-fb7c-45bb-b563-4ab0825867e5&quot;,&quot;properties&quot;:{&quot;noteIndex&quot;:0},&quot;isEdited&quot;:false,&quot;manualOverride&quot;:{&quot;citeprocText&quot;:&quot;[130]&quot;,&quot;isManuallyOverridden&quot;:false,&quot;manualOverrideText&quot;:&quot;&quot;},&quot;citationTag&quot;:&quot;MENDELEY_CITATION_v3_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&quot;,&quot;citationItems&quot;:[{&quot;id&quot;:&quot;b9a627c4-0a4c-3a74-a91a-4968aceda1bf&quot;,&quot;itemData&quot;:{&quot;DOI&quot;:&quot;10.1016/0378-7788(91)90009-R&quot;,&quot;ISSN&quot;:&quot;03787788&quot;,&quot;abstract&quot;:&quot;The use of phase change materials (PCMs) for short-term heat storage in direct-gain passive solar applications is discussed. Approximate formulae are presented for optimum phase change temperature and the thickness of a PCM wall. Numerical simulations based on the Test Meteorological Years of Helsinki, Finland (60°N) and Madison, Wisconsin (43°N) indicate that a phase change temperature of 1-3°C above the average room temperature would yield optimal diurnal heat storage results. A desired phase change point can be accurately obtained by using fatty acids and their mixtures. To ease the installation, PCMs can be impregnated into conventional construction materials such as plasterboard. The thermal performance of a PCM wall in the direct-gain room in a residential application was briefly studied through hourly simulations. According to conservative estimates, direct energy savings of 5-20% could be expected, depending on climate. As this may not always be adequate for economic cost-effectiveness, the effect of increased thermal comfort plays also a key role in evaluating the total benefits of PCMs storage. © 1991.&quot;,&quot;author&quot;:[{&quot;dropping-particle&quot;:&quot;&quot;,&quot;family&quot;:&quot;Peippo&quot;,&quot;given&quot;:&quot;K.&quot;,&quot;non-dropping-particle&quot;:&quot;&quot;,&quot;parse-names&quot;:false,&quot;suffix&quot;:&quot;&quot;},{&quot;dropping-particle&quot;:&quot;&quot;,&quot;family&quot;:&quot;Kauranen&quot;,&quot;given&quot;:&quot;P.&quot;,&quot;non-dropping-particle&quot;:&quot;&quot;,&quot;parse-names&quot;:false,&quot;suffix&quot;:&quot;&quot;},{&quot;dropping-particle&quot;:&quot;&quot;,&quot;family&quot;:&quot;Lund&quot;,&quot;given&quot;:&quot;P. D.&quot;,&quot;non-dropping-particle&quot;:&quot;&quot;,&quot;parse-names&quot;:false,&quot;suffix&quot;:&quot;&quot;}],&quot;container-title&quot;:&quot;Energy and Buildings&quot;,&quot;id&quot;:&quot;b9a627c4-0a4c-3a74-a91a-4968aceda1bf&quot;,&quot;issue&quot;:&quot;4&quot;,&quot;issued&quot;:{&quot;date-parts&quot;:[[&quot;1991&quot;,&quot;1&quot;,&quot;1&quot;]]},&quot;page&quot;:&quot;259-270&quot;,&quot;publisher&quot;:&quot;Elsevier&quot;,&quot;title&quot;:&quot;A multicomponent PCM wall optimized for passive solar heating&quot;,&quot;type&quot;:&quot;article-journal&quot;,&quot;volume&quot;:&quot;17&quot;,&quot;container-title-short&quot;:&quot;Energy Build&quot;},&quot;uris&quot;:[&quot;http://www.mendeley.com/documents/?uuid=b9a627c4-0a4c-3a74-a91a-4968aceda1bf&quot;],&quot;isTemporary&quot;:false,&quot;legacyDesktopId&quot;:&quot;b9a627c4-0a4c-3a74-a91a-4968aceda1bf&quot;}]},{&quot;citationID&quot;:&quot;MENDELEY_CITATION_bf5bdc5c-80c7-4977-919e-ec1e92512f49&quot;,&quot;properties&quot;:{&quot;noteIndex&quot;:0},&quot;isEdited&quot;:false,&quot;manualOverride&quot;:{&quot;citeprocText&quot;:&quot;[131]&quot;,&quot;isManuallyOverridden&quot;:false,&quot;manualOverrideText&quot;:&quot;&quot;},&quot;citationTag&quot;:&quot;MENDELEY_CITATION_v3_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&quot;,&quot;citationItems&quot;:[{&quot;id&quot;:&quot;b08dd425-f667-35c5-87af-16df70043eae&quot;,&quot;itemData&quot;:{&quot;DOI&quot;:&quot;10.1016/j.energy.2015.05.144&quot;,&quot;ISSN&quot;:&quot;03605442&quot;,&quot;abstract&quot;:&quot;This paper presents an analysis of a price-based control system in conjunction with energy storage using phase change materials for two applications: space heating in buildings and domestic freezers. The freezer used for this experimental study was provided with energy storage trays containing a eutectic solution of ammonium chloride (melting point of -15°C). In the building application, DuPont wallboards were used to provide thermal storage. Experimental results showed that using thermal storage material in conjunction with the proposed price-based control method can improve performance of these systems and lead to a successful peak load shifting. Depending on electricity price trends, cost savings using the proposed strategy can vary. Savings of up to 16.5% and 62.64% per day were achieved for the freezer and building applications respectively, based on New Zealand electricity rates.&quot;,&quot;author&quot;:[{&quot;dropping-particle&quot;:&quot;&quot;,&quot;family&quot;:&quot;Barzin&quot;,&quot;given&quot;:&quot;Reza&quot;,&quot;non-dropping-particle&quot;:&quot;&quot;,&quot;parse-names&quot;:false,&quot;suffix&quot;:&quot;&quot;},{&quot;dropping-particle&quot;:&quot;&quot;,&quot;family&quot;:&quot;Chen&quot;,&quot;given&quot;:&quot;John J.J.&quot;,&quot;non-dropping-particle&quot;:&quot;&quot;,&quot;parse-names&quot;:false,&quot;suffix&quot;:&quot;&quot;},{&quot;dropping-particle&quot;:&quot;&quot;,&quot;family&quot;:&quot;Young&quot;,&quot;given&quot;:&quot;Brent R.&quot;,&quot;non-dropping-particle&quot;:&quot;&quot;,&quot;parse-names&quot;:false,&quot;suffix&quot;:&quot;&quot;},{&quot;dropping-particle&quot;:&quot;&quot;,&quot;family&quot;:&quot;Farid&quot;,&quot;given&quot;:&quot;Mohammed M.&quot;,&quot;non-dropping-particle&quot;:&quot;&quot;,&quot;parse-names&quot;:false,&quot;suffix&quot;:&quot;&quot;}],&quot;container-title&quot;:&quot;Energy&quot;,&quot;id&quot;:&quot;b08dd425-f667-35c5-87af-16df70043eae&quot;,&quot;issued&quot;:{&quot;date-parts&quot;:[[&quot;2015&quot;,&quot;12&quot;,&quot;1&quot;]]},&quot;page&quot;:&quot;505-514&quot;,&quot;publisher&quot;:&quot;Elsevier Ltd&quot;,&quot;title&quot;:&quot;Peak load shifting with energy storage and price-based control system&quot;,&quot;type&quot;:&quot;article-journal&quot;,&quot;volume&quot;:&quot;92&quot;,&quot;container-title-short&quot;:&quot;&quot;},&quot;uris&quot;:[&quot;http://www.mendeley.com/documents/?uuid=42e6324c-5751-44cb-bca1-8ed423a9aa25&quot;],&quot;isTemporary&quot;:false,&quot;legacyDesktopId&quot;:&quot;42e6324c-5751-44cb-bca1-8ed423a9aa25&quot;}]},{&quot;citationID&quot;:&quot;MENDELEY_CITATION_4e9673e0-701a-40ba-99f1-ed8653f06448&quot;,&quot;properties&quot;:{&quot;noteIndex&quot;:0},&quot;isEdited&quot;:false,&quot;manualOverride&quot;:{&quot;citeprocText&quot;:&quot;[132]&quot;,&quot;isManuallyOverridden&quot;:false,&quot;manualOverrideText&quot;:&quot;&quot;},&quot;citationTag&quot;:&quot;MENDELEY_CITATION_v3_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&quot;,&quot;citationItems&quot;:[{&quot;id&quot;:&quot;6030ea4a-fd8b-3790-bc33-36ba8503d7e7&quot;,&quot;itemData&quot;:{&quot;DOI&quot;:&quot;10.1016/j.seta.2020.100969&quot;,&quot;ISSN&quot;:&quot;22131388&quot;,&quot;abstract&quot;:&quot;Commercial and residential buildings consume 20% of the world's total energy usage and forecasts indicate a growing trend of 1.5% per year by 2040. Share of energy consumption in the heating ventilation and air conditioning (HVAC) reached to 40–70% of the building energy usage. Reduction in the heat exchange between the interior and exterior spaces is an energy-efficient technique for lowering HVAC energy demand. In this study, the thermal performance of a PCM-based wall was numerically examined in the winter. The main purpose of this research was to investigate the efficacy of installing PCM inside the envelope on reducing heat loss from the conditioned space and at the same time its effect on air handling unit (AHU) energy usage. For this, seven different PCM layers at melting temperatures of 276.15–293.15 K with a thickness of 1 cm were loaded into the envelope. Based on the results, among the PCMs thermophysical properties, thermal conductivity has more manifest efficacy. Under the best conditions, owing to installing PCM of A3 inside the envelope, the energy-saving in December, January and February diminished by 11.25%, 11.23% and 10.35%, respectively. Also, thermodynamic calculations affirmed that the maximum reduction in AHU power usage owing to PCM loading was 11.73%. Using payback time technique, the economic analysis was performed and it was found that under the best conditions, the payback time is 18.6 years.&quot;,&quot;author&quot;:[{&quot;dropping-particle&quot;:&quot;&quot;,&quot;family&quot;:&quot;Abu-Hamdeh&quot;,&quot;given&quot;:&quot;Nidal H.&quot;,&quot;non-dropping-particle&quot;:&quot;&quot;,&quot;parse-names&quot;:false,&quot;suffix&quot;:&quot;&quot;},{&quot;dropping-particle&quot;:&quot;&quot;,&quot;family&quot;:&quot;Melaibari&quot;,&quot;given&quot;:&quot;Ammar A.&quot;,&quot;non-dropping-particle&quot;:&quot;&quot;,&quot;parse-names&quot;:false,&quot;suffix&quot;:&quot;&quot;},{&quot;dropping-particle&quot;:&quot;&quot;,&quot;family&quot;:&quot;Alquthami&quot;,&quot;given&quot;:&quot;Thamer S.&quot;,&quot;non-dropping-particle&quot;:&quot;&quot;,&quot;parse-names&quot;:false,&quot;suffix&quot;:&quot;&quot;},{&quot;dropping-particle&quot;:&quot;&quot;,&quot;family&quot;:&quot;Khoshaim&quot;,&quot;given&quot;:&quot;Ahmed&quot;,&quot;non-dropping-particle&quot;:&quot;&quot;,&quot;parse-names&quot;:false,&quot;suffix&quot;:&quot;&quot;},{&quot;dropping-particle&quot;:&quot;&quot;,&quot;family&quot;:&quot;Oztop&quot;,&quot;given&quot;:&quot;Hakan F.&quot;,&quot;non-dropping-particle&quot;:&quot;&quot;,&quot;parse-names&quot;:false,&quot;suffix&quot;:&quot;&quot;},{&quot;dropping-particle&quot;:&quot;&quot;,&quot;family&quot;:&quot;Karimipour&quot;,&quot;given&quot;:&quot;Aliakbar&quot;,&quot;non-dropping-particle&quot;:&quot;&quot;,&quot;parse-names&quot;:false,&quot;suffix&quot;:&quot;&quot;}],&quot;container-title&quot;:&quot;Sustainable Energy Technologies and Assessments&quot;,&quot;id&quot;:&quot;6030ea4a-fd8b-3790-bc33-36ba8503d7e7&quot;,&quot;issued&quot;:{&quot;date-parts&quot;:[[&quot;2021&quot;,&quot;2&quot;,&quot;1&quot;]]},&quot;page&quot;:&quot;100969&quot;,&quot;publisher&quot;:&quot;Elsevier Ltd&quot;,&quot;title&quot;:&quot;Efficacy of incorporating PCM into the building envelope on the energy saving and AHU power usage in winter&quot;,&quot;type&quot;:&quot;article-journal&quot;,&quot;volume&quot;:&quot;43&quot;,&quot;container-title-short&quot;:&quot;&quot;},&quot;uris&quot;:[&quot;http://www.mendeley.com/documents/?uuid=6030ea4a-fd8b-3790-bc33-36ba8503d7e7&quot;],&quot;isTemporary&quot;:false,&quot;legacyDesktopId&quot;:&quot;6030ea4a-fd8b-3790-bc33-36ba8503d7e7&quot;}]},{&quot;citationID&quot;:&quot;MENDELEY_CITATION_c95f7f71-c018-4d1c-83cc-652584463acd&quot;,&quot;properties&quot;:{&quot;noteIndex&quot;:0},&quot;isEdited&quot;:false,&quot;manualOverride&quot;:{&quot;citeprocText&quot;:&quot;[133]&quot;,&quot;isManuallyOverridden&quot;:false,&quot;manualOverrideText&quot;:&quot;&quot;},&quot;citationTag&quot;:&quot;MENDELEY_CITATION_v3_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&quot;,&quot;citationItems&quot;:[{&quot;id&quot;:&quot;3fafca39-9c2b-335d-b64d-1a5657207e2f&quot;,&quot;itemData&quot;:{&quot;DOI&quot;:&quot;10.3390/app10124336&quot;,&quot;ISSN&quot;:&quot;20763417&quot;,&quot;abstract&quot;:&quot;Aventilated window system enhanced by phase change material (PCM) has been developed, and its energy-saving potential examined in previous works. In this paper, the ventilation control strategies are further developed, to improve the energy-saving potential of the PCM energy storage. The influence of ventilation airflow rate on the energy-saving potential of the PCM storage is firstly studied based on an EnergyPlus model of a sustainable low energy house located in New York. It shows that in summer, the optimized ventilation airflow rate is 300 m3/h. The energy-saving of utilizing a ventilated window with PCM energy storage is 10.1% compared to using a stand-alone ventilated window, and 12.0% compared to using a standard window. In winter, the optimized ventilation airflow rate is 102 m3/h. The energy-saving of utilizing a ventilated window with PCM energy storage is 26.6% compared to using a stand-alone ventilated window, and 32.8% compared to using a standard window. Based on the optimized ventilation airflow rate, a demand control ventilation strategy, which personalizes the air supply and heat pump setting based on the demand of each room, is proposed and its energy-saving potential examined. The results show that the energy savings of using demand control compared to a constant ventilation airflow rate in the house is 14.7% in summer and 30.4% in winter.&quot;,&quot;author&quot;:[{&quot;dropping-particle&quot;:&quot;&quot;,&quot;family&quot;:&quot;Hu&quot;,&quot;given&quot;:&quot;Yue&quot;,&quot;non-dropping-particle&quot;:&quot;&quot;,&quot;parse-names&quot;:false,&quot;suffix&quot;:&quot;&quot;},{&quot;dropping-particle&quot;:&quot;&quot;,&quot;family&quot;:&quot;Heiselberg&quot;,&quot;given&quot;:&quot;Per Kvols&quot;,&quot;non-dropping-particle&quot;:&quot;&quot;,&quot;parse-names&quot;:false,&quot;suffix&quot;:&quot;&quot;},{&quot;dropping-particle&quot;:&quot;&quot;,&quot;family&quot;:&quot;Larsen&quot;,&quot;given&quot;:&quot;Tine Steen&quot;,&quot;non-dropping-particle&quot;:&quot;&quot;,&quot;parse-names&quot;:false,&quot;suffix&quot;:&quot;&quot;}],&quot;container-title&quot;:&quot;Applied Sciences (Switzerland)&quot;,&quot;id&quot;:&quot;3fafca39-9c2b-335d-b64d-1a5657207e2f&quot;,&quot;issue&quot;:&quot;12&quot;,&quot;issued&quot;:{&quot;date-parts&quot;:[[&quot;2020&quot;,&quot;6&quot;,&quot;24&quot;]]},&quot;page&quot;:&quot;4336&quot;,&quot;publisher&quot;:&quot;Multidisciplinary Digital Publishing Institute&quot;,&quot;title&quot;:&quot;Demand control strategies of a pcm enhanced ventilation system for residential buildings&quot;,&quot;type&quot;:&quot;article-journal&quot;,&quot;volume&quot;:&quot;10&quot;,&quot;container-title-short&quot;:&quot;&quot;},&quot;uris&quot;:[&quot;http://www.mendeley.com/documents/?uuid=3fafca39-9c2b-335d-b64d-1a5657207e2f&quot;],&quot;isTemporary&quot;:false,&quot;legacyDesktopId&quot;:&quot;3fafca39-9c2b-335d-b64d-1a5657207e2f&quot;}]},{&quot;citationID&quot;:&quot;MENDELEY_CITATION_e5dddbab-6d54-48f2-84aa-a4859a85a33c&quot;,&quot;properties&quot;:{&quot;noteIndex&quot;:0},&quot;isEdited&quot;:false,&quot;manualOverride&quot;:{&quot;citeprocText&quot;:&quot;[124]&quot;,&quot;isManuallyOverridden&quot;:false,&quot;manualOverrideText&quot;:&quot;&quot;},&quot;citationTag&quot;:&quot;MENDELEY_CITATION_v3_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&quot;,&quot;citationItems&quot;:[{&quot;id&quot;:&quot;560452fc-2ebe-335c-bde6-ecf074635661&quot;,&quot;itemData&quot;:{&quot;DOI&quot;:&quot;10.1016/j.enbuild.2006.07.005&quot;,&quot;ISSN&quot;:&quot;03787788&quot;,&quot;abstract&quot;:&quot;This paper addresses potential peak air conditioning load shifting strategies using encapsulated phase change materials. The materials being considered here are designed to be installed within the ceiling or wall insulation to assist in delaying the peak air conditioning demand times until later in the evening. To assist in understanding the behavior of this material, an idealized model has been developed which uses the one-dimensional diffusion equation driven by time varying temperature functions imposed at the boundaries. In developing the model, the phase change temperature is a critical parameter, as is the latent heat of melting. These variables are treated parametrically. Other variables such as the characteristic ambient temperature variations and the thermostat set point are varied relative to the phase change temperature. Comparisons are made to the temporal variations of the heat flows without the application of the phase change material to those with the phase change material. © 2006 Elsevier B.V. All rights reserved.&quot;,&quot;author&quot;:[{&quot;dropping-particle&quot;:&quot;&quot;,&quot;family&quot;:&quot;Halford&quot;,&quot;given&quot;:&quot;C. K.&quot;,&quot;non-dropping-particle&quot;:&quot;&quot;,&quot;parse-names&quot;:false,&quot;suffix&quot;:&quot;&quot;},{&quot;dropping-particle&quot;:&quot;&quot;,&quot;family&quot;:&quot;Boehm&quot;,&quot;given&quot;:&quot;R. F.&quot;,&quot;non-dropping-particle&quot;:&quot;&quot;,&quot;parse-names&quot;:false,&quot;suffix&quot;:&quot;&quot;}],&quot;container-title&quot;:&quot;Energy and Buildings&quot;,&quot;id&quot;:&quot;560452fc-2ebe-335c-bde6-ecf074635661&quot;,&quot;issue&quot;:&quot;3&quot;,&quot;issued&quot;:{&quot;date-parts&quot;:[[&quot;2007&quot;,&quot;3&quot;]]},&quot;page&quot;:&quot;298-305&quot;,&quot;title&quot;:&quot;Modeling of phase change material peak load shifting&quot;,&quot;type&quot;:&quot;article-journal&quot;,&quot;volume&quot;:&quot;39&quot;,&quot;container-title-short&quot;:&quot;Energy Build&quot;},&quot;uris&quot;:[&quot;http://www.mendeley.com/documents/?uuid=560452fc-2ebe-335c-bde6-ecf074635661&quot;],&quot;isTemporary&quot;:false,&quot;legacyDesktopId&quot;:&quot;560452fc-2ebe-335c-bde6-ecf074635661&quot;}]},{&quot;citationID&quot;:&quot;MENDELEY_CITATION_37c9a80c-5288-4359-81f9-bddda78a02b8&quot;,&quot;properties&quot;:{&quot;noteIndex&quot;:0},&quot;isEdited&quot;:false,&quot;manualOverride&quot;:{&quot;citeprocText&quot;:&quot;[126]&quot;,&quot;isManuallyOverridden&quot;:false,&quot;manualOverrideText&quot;:&quot;&quot;},&quot;citationTag&quot;:&quot;MENDELEY_CITATION_v3_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&quot;,&quot;citationItems&quot;:[{&quot;id&quot;:&quot;a808e834-b695-3b10-a5dc-5c4edc6a3d80&quot;,&quot;itemData&quot;:{&quot;DOI&quot;:&quot;10.1016/j.apenergy.2015.03.027&quot;,&quot;ISSN&quot;:&quot;03062619&quot;,&quot;abstract&quot;:&quot;Phase change materials are used with various building materials in order to increase their thermal mass. This research is on the application of phase change material in the form of DuPont Energain® wallboards in combination with an underfloor heating system incorporating phase change materials. An experimental study was carried out using two identical test huts at the Tamaki Campus, University of Auckland. Results using a price-based method showed electricity savings in both consumption and cost of up to 35% and 44.4% respectively.&quot;,&quot;author&quot;:[{&quot;dropping-particle&quot;:&quot;&quot;,&quot;family&quot;:&quot;Barzin&quot;,&quot;given&quot;:&quot;Reza&quot;,&quot;non-dropping-particle&quot;:&quot;&quot;,&quot;parse-names&quot;:false,&quot;suffix&quot;:&quot;&quot;},{&quot;dropping-particle&quot;:&quot;&quot;,&quot;family&quot;:&quot;Chen&quot;,&quot;given&quot;:&quot;John J.J.&quot;,&quot;non-dropping-particle&quot;:&quot;&quot;,&quot;parse-names&quot;:false,&quot;suffix&quot;:&quot;&quot;},{&quot;dropping-particle&quot;:&quot;&quot;,&quot;family&quot;:&quot;Young&quot;,&quot;given&quot;:&quot;Brent R.&quot;,&quot;non-dropping-particle&quot;:&quot;&quot;,&quot;parse-names&quot;:false,&quot;suffix&quot;:&quot;&quot;},{&quot;dropping-particle&quot;:&quot;&quot;,&quot;family&quot;:&quot;Farid&quot;,&quot;given&quot;:&quot;Mohammed M.&quot;,&quot;non-dropping-particle&quot;:&quot;&quot;,&quot;parse-names&quot;:false,&quot;suffix&quot;:&quot;&quot;}],&quot;container-title&quot;:&quot;Applied Energy&quot;,&quot;id&quot;:&quot;a808e834-b695-3b10-a5dc-5c4edc6a3d80&quot;,&quot;issued&quot;:{&quot;date-parts&quot;:[[&quot;2015&quot;,&quot;6&quot;,&quot;5&quot;]]},&quot;page&quot;:&quot;39-48&quot;,&quot;publisher&quot;:&quot;Elsevier Ltd&quot;,&quot;title&quot;:&quot;Application of PCM underfloor heating in combination with PCM wallboards for space heating using price based control system&quot;,&quot;type&quot;:&quot;article-journal&quot;,&quot;volume&quot;:&quot;148&quot;,&quot;container-title-short&quot;:&quot;Appl Energy&quot;},&quot;uris&quot;:[&quot;http://www.mendeley.com/documents/?uuid=a808e834-b695-3b10-a5dc-5c4edc6a3d80&quot;],&quot;isTemporary&quot;:false,&quot;legacyDesktopId&quot;:&quot;a808e834-b695-3b10-a5dc-5c4edc6a3d80&quot;}]},{&quot;citationID&quot;:&quot;MENDELEY_CITATION_73a4f3a0-4c42-4645-aeda-d5074973c96f&quot;,&quot;properties&quot;:{&quot;noteIndex&quot;:0},&quot;isEdited&quot;:false,&quot;manualOverride&quot;:{&quot;citeprocText&quot;:&quot;[134]&quot;,&quot;isManuallyOverridden&quot;:false,&quot;manualOverrideText&quot;:&quot;&quot;},&quot;citationTag&quot;:&quot;MENDELEY_CITATION_v3_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&quot;,&quot;citationItems&quot;:[{&quot;id&quot;:&quot;c9784494-e70c-3422-83bf-db545fc29c6e&quot;,&quot;itemData&quot;:{&quot;DOI&quot;:&quot;10.1016/j.apenergy.2017.01.060&quot;,&quot;ISSN&quot;:&quot;03062619&quot;,&quot;abstract&quot;:&quot;Phase Change Materials (PCM) can be incorporated into various building components to increase their thermal mass to reduce energy consumption and to perform peak load shifting. This work shows the benefits of PCM when incorporated in walls, ceiling, and in combination with PCM underfloor heating system using two different types of PCMs. The use of higher melting point PCM with the underfloor heating system allowed significant peak load shifting, while using lower melting point PCM in the walls and ceiling provided the comfort needed in the building. Two identical huts built at Tamaki Campus of University of Auckland (New Zealand) are modelled using the software EnergyPlus. The simulations results are validated against experimental data obtained from two office size constructions. Ten days period is analysed, showing for the first time successful morning and evening peak load shifting with energy and cost saving of 32% and 42%, respectively.&quot;,&quot;author&quot;:[{&quot;dropping-particle&quot;:&quot;&quot;,&quot;family&quot;:&quot;Devaux&quot;,&quot;given&quot;:&quot;Paul&quot;,&quot;non-dropping-particle&quot;:&quot;&quot;,&quot;parse-names&quot;:false,&quot;suffix&quot;:&quot;&quot;},{&quot;dropping-particle&quot;:&quot;&quot;,&quot;family&quot;:&quot;Farid&quot;,&quot;given&quot;:&quot;Mohammed Mehdi&quot;,&quot;non-dropping-particle&quot;:&quot;&quot;,&quot;parse-names&quot;:false,&quot;suffix&quot;:&quot;&quot;}],&quot;container-title&quot;:&quot;Applied Energy&quot;,&quot;id&quot;:&quot;c9784494-e70c-3422-83bf-db545fc29c6e&quot;,&quot;issued&quot;:{&quot;date-parts&quot;:[[&quot;2017&quot;]]},&quot;page&quot;:&quot;593-602&quot;,&quot;publisher&quot;:&quot;Elsevier Ltd&quot;,&quot;title&quot;:&quot;Benefits of PCM underfloor heating with PCM wallboards for space heating in winter&quot;,&quot;type&quot;:&quot;article-journal&quot;,&quot;volume&quot;:&quot;191&quot;,&quot;container-title-short&quot;:&quot;Appl Energy&quot;},&quot;uris&quot;:[&quot;http://www.mendeley.com/documents/?uuid=2ddb2cdd-396a-4c1c-8e70-54f7a6f7bb6d&quot;],&quot;isTemporary&quot;:false,&quot;legacyDesktopId&quot;:&quot;2ddb2cdd-396a-4c1c-8e70-54f7a6f7bb6d&quot;}]},{&quot;citationID&quot;:&quot;MENDELEY_CITATION_0314cdbe-7a83-4290-abbe-cf4cce525260&quot;,&quot;properties&quot;:{&quot;noteIndex&quot;:0},&quot;isEdited&quot;:false,&quot;manualOverride&quot;:{&quot;citeprocText&quot;:&quot;[127]&quot;,&quot;isManuallyOverridden&quot;:false,&quot;manualOverrideText&quot;:&quot;&quot;},&quot;citationTag&quot;:&quot;MENDELEY_CITATION_v3_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&quot;,&quot;citationItems&quot;:[{&quot;id&quot;:&quot;7ee605b2-235e-32ed-9a67-9e1cbd40621d&quot;,&quot;itemData&quot;:{&quot;DOI&quot;:&quot;10.1016/j.enconman.2018.08.010&quot;,&quot;ISSN&quot;:&quot;01968904&quot;,&quot;abstract&quot;:&quot;The application of phase change materials (PCMs) in the building envelope can improve the thermal performance and the indoor thermal comfort conditions because they allow the proper storage or release of energy. In this work, three different solar assisted heat pump underfloor heating systems with and without the use of phase change material are designed, simulated and evaluated energetically for a building of 100 m2 floor area. Different kinds of solar collectors (flat plate, photovoltaic, thermal photovoltaic) are coupled to a storage tank which feeds a heat pump for space heating purposes. The PCM is used on the underfloor heating system in order to increase the storage capacity and to avoid the operation of the heat pump during the peak electricity demand period. Furthermore, this work presents and compares the coefficient of performance, the electricity consumption, the solar coverage and the indoor temperature distribution of a building in Athens (Greece), with and without a PCM layer on the floor. More specifically, the PCM is placed on the underfloor heating system and different cases are examined by changing the collecting area, the collector type and the thickness of the insulation layer in the floor. The results prove that the use of the PCM layer on the underfloor heating system reduces the heating load by about 40%. The electricity consumption can be reduced between 42% and 67% using the solar-driven systems. It is also found that the system with the thermal PV consumes the lowest grid electricity. Moreover, the lowest simple payback period is found to be 9.61 years for the system with flat plate collectors without PCM. The simulation is conducted with TRNSYS for all the winter period.&quot;,&quot;author&quot;:[{&quot;dropping-particle&quot;:&quot;&quot;,&quot;family&quot;:&quot;Plytaria&quot;,&quot;given&quot;:&quot;Maria T.&quot;,&quot;non-dropping-particle&quot;:&quot;&quot;,&quot;parse-names&quot;:false,&quot;suffix&quot;:&quot;&quot;},{&quot;dropping-particle&quot;:&quot;&quot;,&quot;family&quot;:&quot;Tzivanidis&quot;,&quot;given&quot;:&quot;Christos&quot;,&quot;non-dropping-particle&quot;:&quot;&quot;,&quot;parse-names&quot;:false,&quot;suffix&quot;:&quot;&quot;},{&quot;dropping-particle&quot;:&quot;&quot;,&quot;family&quot;:&quot;Bellos&quot;,&quot;given&quot;:&quot;Evangelos&quot;,&quot;non-dropping-particle&quot;:&quot;&quot;,&quot;parse-names&quot;:false,&quot;suffix&quot;:&quot;&quot;},{&quot;dropping-particle&quot;:&quot;&quot;,&quot;family&quot;:&quot;Antonopoulos&quot;,&quot;given&quot;:&quot;Kimon A.&quot;,&quot;non-dropping-particle&quot;:&quot;&quot;,&quot;parse-names&quot;:false,&quot;suffix&quot;:&quot;&quot;}],&quot;container-title&quot;:&quot;Energy Conversion and Management&quot;,&quot;id&quot;:&quot;7ee605b2-235e-32ed-9a67-9e1cbd40621d&quot;,&quot;issued&quot;:{&quot;date-parts&quot;:[[&quot;2018&quot;,&quot;10&quot;,&quot;1&quot;]]},&quot;page&quot;:&quot;626-639&quot;,&quot;publisher&quot;:&quot;Elsevier Ltd&quot;,&quot;title&quot;:&quot;Energetic investigation of solar assisted heat pump underfloor heating systems with and without phase change materials&quot;,&quot;type&quot;:&quot;article-journal&quot;,&quot;volume&quot;:&quot;173&quot;,&quot;container-title-short&quot;:&quot;Energy Convers Manag&quot;},&quot;uris&quot;:[&quot;http://www.mendeley.com/documents/?uuid=7ee605b2-235e-32ed-9a67-9e1cbd40621d&quot;],&quot;isTemporary&quot;:false,&quot;legacyDesktopId&quot;:&quot;7ee605b2-235e-32ed-9a67-9e1cbd40621d&quot;}]},{&quot;citationID&quot;:&quot;MENDELEY_CITATION_aac91da8-4525-47df-a14e-94e8ade3191a&quot;,&quot;properties&quot;:{&quot;noteIndex&quot;:0},&quot;isEdited&quot;:false,&quot;manualOverride&quot;:{&quot;citeprocText&quot;:&quot;[125]&quot;,&quot;isManuallyOverridden&quot;:false,&quot;manualOverrideText&quot;:&quot;&quot;},&quot;citationTag&quot;:&quot;MENDELEY_CITATION_v3_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&quot;,&quot;citationItems&quot;:[{&quot;id&quot;:&quot;97c95d3b-c28a-3f20-b486-8299316d032c&quot;,&quot;itemData&quot;:{&quot;DOI&quot;:&quot;10.1016/j.solener.2014.05.007&quot;,&quot;ISSN&quot;:&quot;0038092X&quot;,&quot;abstract&quot;:&quot;Residential attics has the potential to be one of the most energy efficient building components by combining thermal processes of attic floor insulation, attic air space, ventilation in attics, and solar collecting roof decks. Large amounts of solar energy collected by the roofs in cooling-dominated and mixed climates generate excess cooling loads, which need to be removed from the building by the space conditioning systems. This paper investigates potential ways to improve the thermal design of the residential home attics to minimize the cooling energy consumption in the cooling-dominated and mixed climates. Dynamic thermal characteristics of thick attic floor insulations and blends of phase change materials (PCMs) with insulations are analyzed. Both approaches can provide notable reductions of thermal loads at the attic level. In addition, a significant time shift of peak-hour loads can move a major operation time for air conditioning system from the daytime peak hours to nighttime low demand hours. A reverse heat flow direction can be observed during the day in the case of really thick layers of bulk insulation or PCM-enhanced insulations, compared to the rest of the building envelope components. This effect may provide free passive cooling to the building, and can be very useful in locations of double electrical tariffs with high daytime peak-hour electric energy rates and less-expensive off-peak energy cost. In both of the above cases, an addition of PCM to the bulk insulation brings substantial performance enhancement not available for traditional insulation applications. This paper presents a short overview of dynamic material characteristics and energy performance data necessary for future dynamic applications of different configurations of the attic floor insulation and PCM-insulation blends in residential homes. A series of whole-building scale and material scale numerical simulations were performed on a single story ranch house to analyze potential energy savings and optimize location of PCM within the attic insulation. © 2014 Elsevier Ltd.&quot;,&quot;author&quot;:[{&quot;dropping-particle&quot;:&quot;&quot;,&quot;family&quot;:&quot;Kośny&quot;,&quot;given&quot;:&quot;Jan&quot;,&quot;non-dropping-particle&quot;:&quot;&quot;,&quot;parse-names&quot;:false,&quot;suffix&quot;:&quot;&quot;},{&quot;dropping-particle&quot;:&quot;&quot;,&quot;family&quot;:&quot;Fallahi&quot;,&quot;given&quot;:&quot;Ali&quot;,&quot;non-dropping-particle&quot;:&quot;&quot;,&quot;parse-names&quot;:false,&quot;suffix&quot;:&quot;&quot;},{&quot;dropping-particle&quot;:&quot;&quot;,&quot;family&quot;:&quot;Shukla&quot;,&quot;given&quot;:&quot;Nitin&quot;,&quot;non-dropping-particle&quot;:&quot;&quot;,&quot;parse-names&quot;:false,&quot;suffix&quot;:&quot;&quot;},{&quot;dropping-particle&quot;:&quot;&quot;,&quot;family&quot;:&quot;Kossecka&quot;,&quot;given&quot;:&quot;Elizabeth&quot;,&quot;non-dropping-particle&quot;:&quot;&quot;,&quot;parse-names&quot;:false,&quot;suffix&quot;:&quot;&quot;},{&quot;dropping-particle&quot;:&quot;&quot;,&quot;family&quot;:&quot;Ahbari&quot;,&quot;given&quot;:&quot;Ramin&quot;,&quot;non-dropping-particle&quot;:&quot;&quot;,&quot;parse-names&quot;:false,&quot;suffix&quot;:&quot;&quot;}],&quot;container-title&quot;:&quot;Solar Energy&quot;,&quot;id&quot;:&quot;97c95d3b-c28a-3f20-b486-8299316d032c&quot;,&quot;issued&quot;:{&quot;date-parts&quot;:[[&quot;2014&quot;,&quot;10&quot;,&quot;1&quot;]]},&quot;page&quot;:&quot;164-177&quot;,&quot;publisher&quot;:&quot;Elsevier Ltd&quot;,&quot;title&quot;:&quot;Thermal load mitigation and passive cooling in residential attics containing PCM-enhanced insulations&quot;,&quot;type&quot;:&quot;article-journal&quot;,&quot;volume&quot;:&quot;108&quot;,&quot;container-title-short&quot;:&quot;&quot;},&quot;uris&quot;:[&quot;http://www.mendeley.com/documents/?uuid=97c95d3b-c28a-3f20-b486-8299316d032c&quot;],&quot;isTemporary&quot;:false,&quot;legacyDesktopId&quot;:&quot;97c95d3b-c28a-3f20-b486-8299316d032c&quot;}]},{&quot;citationID&quot;:&quot;MENDELEY_CITATION_cedeadb9-2d2b-401b-8b3b-93e1eaeaf44d&quot;,&quot;properties&quot;:{&quot;noteIndex&quot;:0},&quot;isEdited&quot;:false,&quot;manualOverride&quot;:{&quot;citeprocText&quot;:&quot;[124]&quot;,&quot;isManuallyOverridden&quot;:false,&quot;manualOverrideText&quot;:&quot;&quot;},&quot;citationTag&quot;:&quot;MENDELEY_CITATION_v3_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&quot;,&quot;citationItems&quot;:[{&quot;id&quot;:&quot;560452fc-2ebe-335c-bde6-ecf074635661&quot;,&quot;itemData&quot;:{&quot;DOI&quot;:&quot;10.1016/j.enbuild.2006.07.005&quot;,&quot;ISSN&quot;:&quot;03787788&quot;,&quot;abstract&quot;:&quot;This paper addresses potential peak air conditioning load shifting strategies using encapsulated phase change materials. The materials being considered here are designed to be installed within the ceiling or wall insulation to assist in delaying the peak air conditioning demand times until later in the evening. To assist in understanding the behavior of this material, an idealized model has been developed which uses the one-dimensional diffusion equation driven by time varying temperature functions imposed at the boundaries. In developing the model, the phase change temperature is a critical parameter, as is the latent heat of melting. These variables are treated parametrically. Other variables such as the characteristic ambient temperature variations and the thermostat set point are varied relative to the phase change temperature. Comparisons are made to the temporal variations of the heat flows without the application of the phase change material to those with the phase change material. © 2006 Elsevier B.V. All rights reserved.&quot;,&quot;author&quot;:[{&quot;dropping-particle&quot;:&quot;&quot;,&quot;family&quot;:&quot;Halford&quot;,&quot;given&quot;:&quot;C. K.&quot;,&quot;non-dropping-particle&quot;:&quot;&quot;,&quot;parse-names&quot;:false,&quot;suffix&quot;:&quot;&quot;},{&quot;dropping-particle&quot;:&quot;&quot;,&quot;family&quot;:&quot;Boehm&quot;,&quot;given&quot;:&quot;R. F.&quot;,&quot;non-dropping-particle&quot;:&quot;&quot;,&quot;parse-names&quot;:false,&quot;suffix&quot;:&quot;&quot;}],&quot;container-title&quot;:&quot;Energy and Buildings&quot;,&quot;id&quot;:&quot;560452fc-2ebe-335c-bde6-ecf074635661&quot;,&quot;issue&quot;:&quot;3&quot;,&quot;issued&quot;:{&quot;date-parts&quot;:[[&quot;2007&quot;,&quot;3&quot;]]},&quot;page&quot;:&quot;298-305&quot;,&quot;title&quot;:&quot;Modeling of phase change material peak load shifting&quot;,&quot;type&quot;:&quot;article-journal&quot;,&quot;volume&quot;:&quot;39&quot;,&quot;container-title-short&quot;:&quot;Energy Build&quot;},&quot;uris&quot;:[&quot;http://www.mendeley.com/documents/?uuid=560452fc-2ebe-335c-bde6-ecf074635661&quot;],&quot;isTemporary&quot;:false,&quot;legacyDesktopId&quot;:&quot;560452fc-2ebe-335c-bde6-ecf074635661&quot;}]},{&quot;citationID&quot;:&quot;MENDELEY_CITATION_b29fc9fe-ed9d-4855-9884-b00b490d8e8c&quot;,&quot;properties&quot;:{&quot;noteIndex&quot;:0},&quot;isEdited&quot;:false,&quot;manualOverride&quot;:{&quot;citeprocText&quot;:&quot;[129]&quot;,&quot;isManuallyOverridden&quot;:false,&quot;manualOverrideText&quot;:&quot;&quot;},&quot;citationTag&quot;:&quot;MENDELEY_CITATION_v3_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&quot;,&quot;citationItems&quot;:[{&quot;id&quot;:&quot;d1742f14-ef4f-3b70-8823-6f366766aab1&quot;,&quot;itemData&quot;:{&quot;DOI&quot;:&quot;10.3390/en12193661&quot;,&quot;ISSN&quot;:&quot;19961073&quot;,&quot;abstract&quot;:&quot;The present work concerns the energy retrofit of a public educational building at the University of Molise, located in Termoli, South Italy. The study provides a comparison of the results obtained by different dynamic simulations of passive strategies to improve thermal comfort and energy behavior of the building during the summer regime. Firstly, the building model was calibrated against historical consumption data. Then, a subsequent step involves the technical-economic analysis, by means of building performance simulations, of energy upgrading scenarios, specifically, cool roof and green roof technologies for the horizontal opaque envelope and thermal insulation, vented façade, and phase change materials' applications for the vertical opaque envelope. Improving the indoor thermal comfort and reducing the thermal energy demand during summertime through innovative solutions will be the primary objective of the present study. The energy efficiency measures are compared from the energy, emissions, costs, and indoor comfort points of view. Phase Change Materials applied to the inner side of the external walls are analyzed in depth and, by varying their melting temperature, optimization of design is performed too. This innovative material, with a melting temperature of 23 ◦C and a freezing temperature of 21 ◦C, determines the reduction of summer energy consumption of 11.7% and the increase of summer indoor comfort of 215 h. Even if consolidated, other solutions, like the cool roof, green roof, thermal insulation, and vented façade induce improvements in terms of summer energy saving, and the percentage difference compared to the basic building is less than 2%. For this case study, a Mediterranean building, with construction characteristics typical of the 1990s, traditional passive technologies are not very efficient in improving the energy performance, so the investigation focused on the adoption of innovative solutions such as PCMs, for reducing summer energy demand and improving indoor thermal comfort.&quot;,&quot;author&quot;:[{&quot;dropping-particle&quot;:&quot;&quot;,&quot;family&quot;:&quot;Ascione&quot;,&quot;given&quot;:&quot;Fabrizio&quot;,&quot;non-dropping-particle&quot;:&quot;&quot;,&quot;parse-names&quot;:false,&quot;suffix&quot;:&quot;&quot;},{&quot;dropping-particle&quot;:&quot;&quot;,&quot;family&quot;:&quot;Bianco&quot;,&quot;given&quot;:&quot;Nicola&quot;,&quot;non-dropping-particle&quot;:&quot;&quot;,&quot;parse-names&quot;:false,&quot;suffix&quot;:&quot;&quot;},{&quot;dropping-particle&quot;:&quot;&quot;,&quot;family&quot;:&quot;Masi&quot;,&quot;given&quot;:&quot;Rosa Francesca&quot;,&quot;non-dropping-particle&quot;:&quot;De&quot;,&quot;parse-names&quot;:false,&quot;suffix&quot;:&quot;&quot;},{&quot;dropping-particle&quot;:&quot;&quot;,&quot;family&quot;:&quot;Mastellone&quot;,&quot;given&quot;:&quot;Margherita&quot;,&quot;non-dropping-particle&quot;:&quot;&quot;,&quot;parse-names&quot;:false,&quot;suffix&quot;:&quot;&quot;},{&quot;dropping-particle&quot;:&quot;&quot;,&quot;family&quot;:&quot;Peter Vanoli&quot;,&quot;given&quot;:&quot;Giuseppe&quot;,&quot;non-dropping-particle&quot;:&quot;&quot;,&quot;parse-names&quot;:false,&quot;suffix&quot;:&quot;&quot;}],&quot;container-title&quot;:&quot;Energies&quot;,&quot;id&quot;:&quot;d1742f14-ef4f-3b70-8823-6f366766aab1&quot;,&quot;issue&quot;:&quot;19&quot;,&quot;issued&quot;:{&quot;date-parts&quot;:[[&quot;2019&quot;,&quot;9&quot;,&quot;25&quot;]]},&quot;page&quot;:&quot;3661&quot;,&quot;publisher&quot;:&quot;MDPI AG&quot;,&quot;title&quot;:&quot;Phase change materials for reducing cooling energy demand and improving indoor comfort: A step-by-step retrofit of a Mediterranean educational building&quot;,&quot;type&quot;:&quot;article-journal&quot;,&quot;volume&quot;:&quot;12&quot;,&quot;container-title-short&quot;:&quot;Energies (Basel)&quot;},&quot;uris&quot;:[&quot;http://www.mendeley.com/documents/?uuid=c97b6d94-5a97-46ce-9565-a689f6790509&quot;],&quot;isTemporary&quot;:false,&quot;legacyDesktopId&quot;:&quot;c97b6d94-5a97-46ce-9565-a689f6790509&quot;}]},{&quot;citationID&quot;:&quot;MENDELEY_CITATION_bf5fe4a6-f3a4-498a-a1e2-60943b111436&quot;,&quot;properties&quot;:{&quot;noteIndex&quot;:0},&quot;isEdited&quot;:false,&quot;manualOverride&quot;:{&quot;citeprocText&quot;:&quot;[126]&quot;,&quot;isManuallyOverridden&quot;:false,&quot;manualOverrideText&quot;:&quot;&quot;},&quot;citationTag&quot;:&quot;MENDELEY_CITATION_v3_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&quot;,&quot;citationItems&quot;:[{&quot;id&quot;:&quot;a808e834-b695-3b10-a5dc-5c4edc6a3d80&quot;,&quot;itemData&quot;:{&quot;DOI&quot;:&quot;10.1016/j.apenergy.2015.03.027&quot;,&quot;ISSN&quot;:&quot;03062619&quot;,&quot;abstract&quot;:&quot;Phase change materials are used with various building materials in order to increase their thermal mass. This research is on the application of phase change material in the form of DuPont Energain® wallboards in combination with an underfloor heating system incorporating phase change materials. An experimental study was carried out using two identical test huts at the Tamaki Campus, University of Auckland. Results using a price-based method showed electricity savings in both consumption and cost of up to 35% and 44.4% respectively.&quot;,&quot;author&quot;:[{&quot;dropping-particle&quot;:&quot;&quot;,&quot;family&quot;:&quot;Barzin&quot;,&quot;given&quot;:&quot;Reza&quot;,&quot;non-dropping-particle&quot;:&quot;&quot;,&quot;parse-names&quot;:false,&quot;suffix&quot;:&quot;&quot;},{&quot;dropping-particle&quot;:&quot;&quot;,&quot;family&quot;:&quot;Chen&quot;,&quot;given&quot;:&quot;John J.J.&quot;,&quot;non-dropping-particle&quot;:&quot;&quot;,&quot;parse-names&quot;:false,&quot;suffix&quot;:&quot;&quot;},{&quot;dropping-particle&quot;:&quot;&quot;,&quot;family&quot;:&quot;Young&quot;,&quot;given&quot;:&quot;Brent R.&quot;,&quot;non-dropping-particle&quot;:&quot;&quot;,&quot;parse-names&quot;:false,&quot;suffix&quot;:&quot;&quot;},{&quot;dropping-particle&quot;:&quot;&quot;,&quot;family&quot;:&quot;Farid&quot;,&quot;given&quot;:&quot;Mohammed M.&quot;,&quot;non-dropping-particle&quot;:&quot;&quot;,&quot;parse-names&quot;:false,&quot;suffix&quot;:&quot;&quot;}],&quot;container-title&quot;:&quot;Applied Energy&quot;,&quot;id&quot;:&quot;a808e834-b695-3b10-a5dc-5c4edc6a3d80&quot;,&quot;issued&quot;:{&quot;date-parts&quot;:[[&quot;2015&quot;,&quot;6&quot;,&quot;5&quot;]]},&quot;page&quot;:&quot;39-48&quot;,&quot;publisher&quot;:&quot;Elsevier Ltd&quot;,&quot;title&quot;:&quot;Application of PCM underfloor heating in combination with PCM wallboards for space heating using price based control system&quot;,&quot;type&quot;:&quot;article-journal&quot;,&quot;volume&quot;:&quot;148&quot;,&quot;container-title-short&quot;:&quot;Appl Energy&quot;},&quot;uris&quot;:[&quot;http://www.mendeley.com/documents/?uuid=a808e834-b695-3b10-a5dc-5c4edc6a3d80&quot;],&quot;isTemporary&quot;:false,&quot;legacyDesktopId&quot;:&quot;a808e834-b695-3b10-a5dc-5c4edc6a3d80&quot;}]},{&quot;citationID&quot;:&quot;MENDELEY_CITATION_5ce9c5c6-6c9a-4d86-9ff3-2dca9f91b01f&quot;,&quot;properties&quot;:{&quot;noteIndex&quot;:0},&quot;isEdited&quot;:false,&quot;manualOverride&quot;:{&quot;citeprocText&quot;:&quot;[127]&quot;,&quot;isManuallyOverridden&quot;:false,&quot;manualOverrideText&quot;:&quot;&quot;},&quot;citationTag&quot;:&quot;MENDELEY_CITATION_v3_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&quot;,&quot;citationItems&quot;:[{&quot;id&quot;:&quot;7ee605b2-235e-32ed-9a67-9e1cbd40621d&quot;,&quot;itemData&quot;:{&quot;DOI&quot;:&quot;10.1016/j.enconman.2018.08.010&quot;,&quot;ISSN&quot;:&quot;01968904&quot;,&quot;abstract&quot;:&quot;The application of phase change materials (PCMs) in the building envelope can improve the thermal performance and the indoor thermal comfort conditions because they allow the proper storage or release of energy. In this work, three different solar assisted heat pump underfloor heating systems with and without the use of phase change material are designed, simulated and evaluated energetically for a building of 100 m2 floor area. Different kinds of solar collectors (flat plate, photovoltaic, thermal photovoltaic) are coupled to a storage tank which feeds a heat pump for space heating purposes. The PCM is used on the underfloor heating system in order to increase the storage capacity and to avoid the operation of the heat pump during the peak electricity demand period. Furthermore, this work presents and compares the coefficient of performance, the electricity consumption, the solar coverage and the indoor temperature distribution of a building in Athens (Greece), with and without a PCM layer on the floor. More specifically, the PCM is placed on the underfloor heating system and different cases are examined by changing the collecting area, the collector type and the thickness of the insulation layer in the floor. The results prove that the use of the PCM layer on the underfloor heating system reduces the heating load by about 40%. The electricity consumption can be reduced between 42% and 67% using the solar-driven systems. It is also found that the system with the thermal PV consumes the lowest grid electricity. Moreover, the lowest simple payback period is found to be 9.61 years for the system with flat plate collectors without PCM. The simulation is conducted with TRNSYS for all the winter period.&quot;,&quot;author&quot;:[{&quot;dropping-particle&quot;:&quot;&quot;,&quot;family&quot;:&quot;Plytaria&quot;,&quot;given&quot;:&quot;Maria T.&quot;,&quot;non-dropping-particle&quot;:&quot;&quot;,&quot;parse-names&quot;:false,&quot;suffix&quot;:&quot;&quot;},{&quot;dropping-particle&quot;:&quot;&quot;,&quot;family&quot;:&quot;Tzivanidis&quot;,&quot;given&quot;:&quot;Christos&quot;,&quot;non-dropping-particle&quot;:&quot;&quot;,&quot;parse-names&quot;:false,&quot;suffix&quot;:&quot;&quot;},{&quot;dropping-particle&quot;:&quot;&quot;,&quot;family&quot;:&quot;Bellos&quot;,&quot;given&quot;:&quot;Evangelos&quot;,&quot;non-dropping-particle&quot;:&quot;&quot;,&quot;parse-names&quot;:false,&quot;suffix&quot;:&quot;&quot;},{&quot;dropping-particle&quot;:&quot;&quot;,&quot;family&quot;:&quot;Antonopoulos&quot;,&quot;given&quot;:&quot;Kimon A.&quot;,&quot;non-dropping-particle&quot;:&quot;&quot;,&quot;parse-names&quot;:false,&quot;suffix&quot;:&quot;&quot;}],&quot;container-title&quot;:&quot;Energy Conversion and Management&quot;,&quot;id&quot;:&quot;7ee605b2-235e-32ed-9a67-9e1cbd40621d&quot;,&quot;issued&quot;:{&quot;date-parts&quot;:[[&quot;2018&quot;,&quot;10&quot;,&quot;1&quot;]]},&quot;page&quot;:&quot;626-639&quot;,&quot;publisher&quot;:&quot;Elsevier Ltd&quot;,&quot;title&quot;:&quot;Energetic investigation of solar assisted heat pump underfloor heating systems with and without phase change materials&quot;,&quot;type&quot;:&quot;article-journal&quot;,&quot;volume&quot;:&quot;173&quot;,&quot;container-title-short&quot;:&quot;Energy Convers Manag&quot;},&quot;uris&quot;:[&quot;http://www.mendeley.com/documents/?uuid=7ee605b2-235e-32ed-9a67-9e1cbd40621d&quot;],&quot;isTemporary&quot;:false,&quot;legacyDesktopId&quot;:&quot;7ee605b2-235e-32ed-9a67-9e1cbd40621d&quot;}]},{&quot;citationID&quot;:&quot;MENDELEY_CITATION_3d42bf5c-aeaa-48fb-86ff-5a8ddf41db15&quot;,&quot;properties&quot;:{&quot;noteIndex&quot;:0},&quot;isEdited&quot;:false,&quot;manualOverride&quot;:{&quot;citeprocText&quot;:&quot;[130]&quot;,&quot;isManuallyOverridden&quot;:false,&quot;manualOverrideText&quot;:&quot;&quot;},&quot;citationTag&quot;:&quot;MENDELEY_CITATION_v3_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&quot;,&quot;citationItems&quot;:[{&quot;id&quot;:&quot;b9a627c4-0a4c-3a74-a91a-4968aceda1bf&quot;,&quot;itemData&quot;:{&quot;DOI&quot;:&quot;10.1016/0378-7788(91)90009-R&quot;,&quot;ISSN&quot;:&quot;03787788&quot;,&quot;abstract&quot;:&quot;The use of phase change materials (PCMs) for short-term heat storage in direct-gain passive solar applications is discussed. Approximate formulae are presented for optimum phase change temperature and the thickness of a PCM wall. Numerical simulations based on the Test Meteorological Years of Helsinki, Finland (60°N) and Madison, Wisconsin (43°N) indicate that a phase change temperature of 1-3°C above the average room temperature would yield optimal diurnal heat storage results. A desired phase change point can be accurately obtained by using fatty acids and their mixtures. To ease the installation, PCMs can be impregnated into conventional construction materials such as plasterboard. The thermal performance of a PCM wall in the direct-gain room in a residential application was briefly studied through hourly simulations. According to conservative estimates, direct energy savings of 5-20% could be expected, depending on climate. As this may not always be adequate for economic cost-effectiveness, the effect of increased thermal comfort plays also a key role in evaluating the total benefits of PCMs storage. © 1991.&quot;,&quot;author&quot;:[{&quot;dropping-particle&quot;:&quot;&quot;,&quot;family&quot;:&quot;Peippo&quot;,&quot;given&quot;:&quot;K.&quot;,&quot;non-dropping-particle&quot;:&quot;&quot;,&quot;parse-names&quot;:false,&quot;suffix&quot;:&quot;&quot;},{&quot;dropping-particle&quot;:&quot;&quot;,&quot;family&quot;:&quot;Kauranen&quot;,&quot;given&quot;:&quot;P.&quot;,&quot;non-dropping-particle&quot;:&quot;&quot;,&quot;parse-names&quot;:false,&quot;suffix&quot;:&quot;&quot;},{&quot;dropping-particle&quot;:&quot;&quot;,&quot;family&quot;:&quot;Lund&quot;,&quot;given&quot;:&quot;P. D.&quot;,&quot;non-dropping-particle&quot;:&quot;&quot;,&quot;parse-names&quot;:false,&quot;suffix&quot;:&quot;&quot;}],&quot;container-title&quot;:&quot;Energy and Buildings&quot;,&quot;id&quot;:&quot;b9a627c4-0a4c-3a74-a91a-4968aceda1bf&quot;,&quot;issue&quot;:&quot;4&quot;,&quot;issued&quot;:{&quot;date-parts&quot;:[[&quot;1991&quot;,&quot;1&quot;,&quot;1&quot;]]},&quot;page&quot;:&quot;259-270&quot;,&quot;publisher&quot;:&quot;Elsevier&quot;,&quot;title&quot;:&quot;A multicomponent PCM wall optimized for passive solar heating&quot;,&quot;type&quot;:&quot;article-journal&quot;,&quot;volume&quot;:&quot;17&quot;,&quot;container-title-short&quot;:&quot;Energy Build&quot;},&quot;uris&quot;:[&quot;http://www.mendeley.com/documents/?uuid=b9a627c4-0a4c-3a74-a91a-4968aceda1bf&quot;],&quot;isTemporary&quot;:false,&quot;legacyDesktopId&quot;:&quot;b9a627c4-0a4c-3a74-a91a-4968aceda1bf&quot;}]},{&quot;citationID&quot;:&quot;MENDELEY_CITATION_81d3f84e-804f-494b-94c4-5343e5856f12&quot;,&quot;properties&quot;:{&quot;noteIndex&quot;:0},&quot;isEdited&quot;:false,&quot;manualOverride&quot;:{&quot;citeprocText&quot;:&quot;[131]&quot;,&quot;isManuallyOverridden&quot;:false,&quot;manualOverrideText&quot;:&quot;&quot;},&quot;citationTag&quot;:&quot;MENDELEY_CITATION_v3_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&quot;,&quot;citationItems&quot;:[{&quot;id&quot;:&quot;b08dd425-f667-35c5-87af-16df70043eae&quot;,&quot;itemData&quot;:{&quot;DOI&quot;:&quot;10.1016/j.energy.2015.05.144&quot;,&quot;ISSN&quot;:&quot;03605442&quot;,&quot;abstract&quot;:&quot;This paper presents an analysis of a price-based control system in conjunction with energy storage using phase change materials for two applications: space heating in buildings and domestic freezers. The freezer used for this experimental study was provided with energy storage trays containing a eutectic solution of ammonium chloride (melting point of -15°C). In the building application, DuPont wallboards were used to provide thermal storage. Experimental results showed that using thermal storage material in conjunction with the proposed price-based control method can improve performance of these systems and lead to a successful peak load shifting. Depending on electricity price trends, cost savings using the proposed strategy can vary. Savings of up to 16.5% and 62.64% per day were achieved for the freezer and building applications respectively, based on New Zealand electricity rates.&quot;,&quot;author&quot;:[{&quot;dropping-particle&quot;:&quot;&quot;,&quot;family&quot;:&quot;Barzin&quot;,&quot;given&quot;:&quot;Reza&quot;,&quot;non-dropping-particle&quot;:&quot;&quot;,&quot;parse-names&quot;:false,&quot;suffix&quot;:&quot;&quot;},{&quot;dropping-particle&quot;:&quot;&quot;,&quot;family&quot;:&quot;Chen&quot;,&quot;given&quot;:&quot;John J.J.&quot;,&quot;non-dropping-particle&quot;:&quot;&quot;,&quot;parse-names&quot;:false,&quot;suffix&quot;:&quot;&quot;},{&quot;dropping-particle&quot;:&quot;&quot;,&quot;family&quot;:&quot;Young&quot;,&quot;given&quot;:&quot;Brent R.&quot;,&quot;non-dropping-particle&quot;:&quot;&quot;,&quot;parse-names&quot;:false,&quot;suffix&quot;:&quot;&quot;},{&quot;dropping-particle&quot;:&quot;&quot;,&quot;family&quot;:&quot;Farid&quot;,&quot;given&quot;:&quot;Mohammed M.&quot;,&quot;non-dropping-particle&quot;:&quot;&quot;,&quot;parse-names&quot;:false,&quot;suffix&quot;:&quot;&quot;}],&quot;container-title&quot;:&quot;Energy&quot;,&quot;id&quot;:&quot;b08dd425-f667-35c5-87af-16df70043eae&quot;,&quot;issued&quot;:{&quot;date-parts&quot;:[[&quot;2015&quot;,&quot;12&quot;,&quot;1&quot;]]},&quot;page&quot;:&quot;505-514&quot;,&quot;publisher&quot;:&quot;Elsevier Ltd&quot;,&quot;title&quot;:&quot;Peak load shifting with energy storage and price-based control system&quot;,&quot;type&quot;:&quot;article-journal&quot;,&quot;volume&quot;:&quot;92&quot;,&quot;container-title-short&quot;:&quot;&quot;},&quot;uris&quot;:[&quot;http://www.mendeley.com/documents/?uuid=42e6324c-5751-44cb-bca1-8ed423a9aa25&quot;],&quot;isTemporary&quot;:false,&quot;legacyDesktopId&quot;:&quot;42e6324c-5751-44cb-bca1-8ed423a9aa25&quot;}]},{&quot;citationID&quot;:&quot;MENDELEY_CITATION_f0f076af-9f2d-434f-be2c-fe8d71814c0c&quot;,&quot;properties&quot;:{&quot;noteIndex&quot;:0},&quot;isEdited&quot;:false,&quot;manualOverride&quot;:{&quot;citeprocText&quot;:&quot;[132]&quot;,&quot;isManuallyOverridden&quot;:false,&quot;manualOverrideText&quot;:&quot;&quot;},&quot;citationTag&quot;:&quot;MENDELEY_CITATION_v3_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&quot;,&quot;citationItems&quot;:[{&quot;id&quot;:&quot;6030ea4a-fd8b-3790-bc33-36ba8503d7e7&quot;,&quot;itemData&quot;:{&quot;DOI&quot;:&quot;10.1016/j.seta.2020.100969&quot;,&quot;ISSN&quot;:&quot;22131388&quot;,&quot;abstract&quot;:&quot;Commercial and residential buildings consume 20% of the world's total energy usage and forecasts indicate a growing trend of 1.5% per year by 2040. Share of energy consumption in the heating ventilation and air conditioning (HVAC) reached to 40–70% of the building energy usage. Reduction in the heat exchange between the interior and exterior spaces is an energy-efficient technique for lowering HVAC energy demand. In this study, the thermal performance of a PCM-based wall was numerically examined in the winter. The main purpose of this research was to investigate the efficacy of installing PCM inside the envelope on reducing heat loss from the conditioned space and at the same time its effect on air handling unit (AHU) energy usage. For this, seven different PCM layers at melting temperatures of 276.15–293.15 K with a thickness of 1 cm were loaded into the envelope. Based on the results, among the PCMs thermophysical properties, thermal conductivity has more manifest efficacy. Under the best conditions, owing to installing PCM of A3 inside the envelope, the energy-saving in December, January and February diminished by 11.25%, 11.23% and 10.35%, respectively. Also, thermodynamic calculations affirmed that the maximum reduction in AHU power usage owing to PCM loading was 11.73%. Using payback time technique, the economic analysis was performed and it was found that under the best conditions, the payback time is 18.6 years.&quot;,&quot;author&quot;:[{&quot;dropping-particle&quot;:&quot;&quot;,&quot;family&quot;:&quot;Abu-Hamdeh&quot;,&quot;given&quot;:&quot;Nidal H.&quot;,&quot;non-dropping-particle&quot;:&quot;&quot;,&quot;parse-names&quot;:false,&quot;suffix&quot;:&quot;&quot;},{&quot;dropping-particle&quot;:&quot;&quot;,&quot;family&quot;:&quot;Melaibari&quot;,&quot;given&quot;:&quot;Ammar A.&quot;,&quot;non-dropping-particle&quot;:&quot;&quot;,&quot;parse-names&quot;:false,&quot;suffix&quot;:&quot;&quot;},{&quot;dropping-particle&quot;:&quot;&quot;,&quot;family&quot;:&quot;Alquthami&quot;,&quot;given&quot;:&quot;Thamer S.&quot;,&quot;non-dropping-particle&quot;:&quot;&quot;,&quot;parse-names&quot;:false,&quot;suffix&quot;:&quot;&quot;},{&quot;dropping-particle&quot;:&quot;&quot;,&quot;family&quot;:&quot;Khoshaim&quot;,&quot;given&quot;:&quot;Ahmed&quot;,&quot;non-dropping-particle&quot;:&quot;&quot;,&quot;parse-names&quot;:false,&quot;suffix&quot;:&quot;&quot;},{&quot;dropping-particle&quot;:&quot;&quot;,&quot;family&quot;:&quot;Oztop&quot;,&quot;given&quot;:&quot;Hakan F.&quot;,&quot;non-dropping-particle&quot;:&quot;&quot;,&quot;parse-names&quot;:false,&quot;suffix&quot;:&quot;&quot;},{&quot;dropping-particle&quot;:&quot;&quot;,&quot;family&quot;:&quot;Karimipour&quot;,&quot;given&quot;:&quot;Aliakbar&quot;,&quot;non-dropping-particle&quot;:&quot;&quot;,&quot;parse-names&quot;:false,&quot;suffix&quot;:&quot;&quot;}],&quot;container-title&quot;:&quot;Sustainable Energy Technologies and Assessments&quot;,&quot;id&quot;:&quot;6030ea4a-fd8b-3790-bc33-36ba8503d7e7&quot;,&quot;issued&quot;:{&quot;date-parts&quot;:[[&quot;2021&quot;,&quot;2&quot;,&quot;1&quot;]]},&quot;page&quot;:&quot;100969&quot;,&quot;publisher&quot;:&quot;Elsevier Ltd&quot;,&quot;title&quot;:&quot;Efficacy of incorporating PCM into the building envelope on the energy saving and AHU power usage in winter&quot;,&quot;type&quot;:&quot;article-journal&quot;,&quot;volume&quot;:&quot;43&quot;,&quot;container-title-short&quot;:&quot;&quot;},&quot;uris&quot;:[&quot;http://www.mendeley.com/documents/?uuid=6030ea4a-fd8b-3790-bc33-36ba8503d7e7&quot;],&quot;isTemporary&quot;:false,&quot;legacyDesktopId&quot;:&quot;6030ea4a-fd8b-3790-bc33-36ba8503d7e7&quot;}]},{&quot;citationID&quot;:&quot;MENDELEY_CITATION_db97f028-3042-479b-a533-606aebae473e&quot;,&quot;properties&quot;:{&quot;noteIndex&quot;:0},&quot;isEdited&quot;:false,&quot;manualOverride&quot;:{&quot;citeprocText&quot;:&quot;[134]&quot;,&quot;isManuallyOverridden&quot;:false,&quot;manualOverrideText&quot;:&quot;&quot;},&quot;citationTag&quot;:&quot;MENDELEY_CITATION_v3_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&quot;,&quot;citationItems&quot;:[{&quot;id&quot;:&quot;c9784494-e70c-3422-83bf-db545fc29c6e&quot;,&quot;itemData&quot;:{&quot;DOI&quot;:&quot;10.1016/j.apenergy.2017.01.060&quot;,&quot;ISSN&quot;:&quot;03062619&quot;,&quot;abstract&quot;:&quot;Phase Change Materials (PCM) can be incorporated into various building components to increase their thermal mass to reduce energy consumption and to perform peak load shifting. This work shows the benefits of PCM when incorporated in walls, ceiling, and in combination with PCM underfloor heating system using two different types of PCMs. The use of higher melting point PCM with the underfloor heating system allowed significant peak load shifting, while using lower melting point PCM in the walls and ceiling provided the comfort needed in the building. Two identical huts built at Tamaki Campus of University of Auckland (New Zealand) are modelled using the software EnergyPlus. The simulations results are validated against experimental data obtained from two office size constructions. Ten days period is analysed, showing for the first time successful morning and evening peak load shifting with energy and cost saving of 32% and 42%, respectively.&quot;,&quot;author&quot;:[{&quot;dropping-particle&quot;:&quot;&quot;,&quot;family&quot;:&quot;Devaux&quot;,&quot;given&quot;:&quot;Paul&quot;,&quot;non-dropping-particle&quot;:&quot;&quot;,&quot;parse-names&quot;:false,&quot;suffix&quot;:&quot;&quot;},{&quot;dropping-particle&quot;:&quot;&quot;,&quot;family&quot;:&quot;Farid&quot;,&quot;given&quot;:&quot;Mohammed Mehdi&quot;,&quot;non-dropping-particle&quot;:&quot;&quot;,&quot;parse-names&quot;:false,&quot;suffix&quot;:&quot;&quot;}],&quot;container-title&quot;:&quot;Applied Energy&quot;,&quot;id&quot;:&quot;c9784494-e70c-3422-83bf-db545fc29c6e&quot;,&quot;issued&quot;:{&quot;date-parts&quot;:[[&quot;2017&quot;]]},&quot;page&quot;:&quot;593-602&quot;,&quot;publisher&quot;:&quot;Elsevier Ltd&quot;,&quot;title&quot;:&quot;Benefits of PCM underfloor heating with PCM wallboards for space heating in winter&quot;,&quot;type&quot;:&quot;article-journal&quot;,&quot;volume&quot;:&quot;191&quot;,&quot;container-title-short&quot;:&quot;Appl Energy&quot;},&quot;uris&quot;:[&quot;http://www.mendeley.com/documents/?uuid=2ddb2cdd-396a-4c1c-8e70-54f7a6f7bb6d&quot;],&quot;isTemporary&quot;:false,&quot;legacyDesktopId&quot;:&quot;2ddb2cdd-396a-4c1c-8e70-54f7a6f7bb6d&quot;}]},{&quot;citationID&quot;:&quot;MENDELEY_CITATION_f8ef8a67-4860-4862-9afc-15ff6dd43ca0&quot;,&quot;properties&quot;:{&quot;noteIndex&quot;:0},&quot;isEdited&quot;:false,&quot;manualOverride&quot;:{&quot;citeprocText&quot;:&quot;[125]&quot;,&quot;isManuallyOverridden&quot;:false,&quot;manualOverrideText&quot;:&quot;&quot;},&quot;citationTag&quot;:&quot;MENDELEY_CITATION_v3_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&quot;,&quot;citationItems&quot;:[{&quot;id&quot;:&quot;97c95d3b-c28a-3f20-b486-8299316d032c&quot;,&quot;itemData&quot;:{&quot;DOI&quot;:&quot;10.1016/j.solener.2014.05.007&quot;,&quot;ISSN&quot;:&quot;0038092X&quot;,&quot;abstract&quot;:&quot;Residential attics has the potential to be one of the most energy efficient building components by combining thermal processes of attic floor insulation, attic air space, ventilation in attics, and solar collecting roof decks. Large amounts of solar energy collected by the roofs in cooling-dominated and mixed climates generate excess cooling loads, which need to be removed from the building by the space conditioning systems. This paper investigates potential ways to improve the thermal design of the residential home attics to minimize the cooling energy consumption in the cooling-dominated and mixed climates. Dynamic thermal characteristics of thick attic floor insulations and blends of phase change materials (PCMs) with insulations are analyzed. Both approaches can provide notable reductions of thermal loads at the attic level. In addition, a significant time shift of peak-hour loads can move a major operation time for air conditioning system from the daytime peak hours to nighttime low demand hours. A reverse heat flow direction can be observed during the day in the case of really thick layers of bulk insulation or PCM-enhanced insulations, compared to the rest of the building envelope components. This effect may provide free passive cooling to the building, and can be very useful in locations of double electrical tariffs with high daytime peak-hour electric energy rates and less-expensive off-peak energy cost. In both of the above cases, an addition of PCM to the bulk insulation brings substantial performance enhancement not available for traditional insulation applications. This paper presents a short overview of dynamic material characteristics and energy performance data necessary for future dynamic applications of different configurations of the attic floor insulation and PCM-insulation blends in residential homes. A series of whole-building scale and material scale numerical simulations were performed on a single story ranch house to analyze potential energy savings and optimize location of PCM within the attic insulation. © 2014 Elsevier Ltd.&quot;,&quot;author&quot;:[{&quot;dropping-particle&quot;:&quot;&quot;,&quot;family&quot;:&quot;Kośny&quot;,&quot;given&quot;:&quot;Jan&quot;,&quot;non-dropping-particle&quot;:&quot;&quot;,&quot;parse-names&quot;:false,&quot;suffix&quot;:&quot;&quot;},{&quot;dropping-particle&quot;:&quot;&quot;,&quot;family&quot;:&quot;Fallahi&quot;,&quot;given&quot;:&quot;Ali&quot;,&quot;non-dropping-particle&quot;:&quot;&quot;,&quot;parse-names&quot;:false,&quot;suffix&quot;:&quot;&quot;},{&quot;dropping-particle&quot;:&quot;&quot;,&quot;family&quot;:&quot;Shukla&quot;,&quot;given&quot;:&quot;Nitin&quot;,&quot;non-dropping-particle&quot;:&quot;&quot;,&quot;parse-names&quot;:false,&quot;suffix&quot;:&quot;&quot;},{&quot;dropping-particle&quot;:&quot;&quot;,&quot;family&quot;:&quot;Kossecka&quot;,&quot;given&quot;:&quot;Elizabeth&quot;,&quot;non-dropping-particle&quot;:&quot;&quot;,&quot;parse-names&quot;:false,&quot;suffix&quot;:&quot;&quot;},{&quot;dropping-particle&quot;:&quot;&quot;,&quot;family&quot;:&quot;Ahbari&quot;,&quot;given&quot;:&quot;Ramin&quot;,&quot;non-dropping-particle&quot;:&quot;&quot;,&quot;parse-names&quot;:false,&quot;suffix&quot;:&quot;&quot;}],&quot;container-title&quot;:&quot;Solar Energy&quot;,&quot;id&quot;:&quot;97c95d3b-c28a-3f20-b486-8299316d032c&quot;,&quot;issued&quot;:{&quot;date-parts&quot;:[[&quot;2014&quot;,&quot;10&quot;,&quot;1&quot;]]},&quot;page&quot;:&quot;164-177&quot;,&quot;publisher&quot;:&quot;Elsevier Ltd&quot;,&quot;title&quot;:&quot;Thermal load mitigation and passive cooling in residential attics containing PCM-enhanced insulations&quot;,&quot;type&quot;:&quot;article-journal&quot;,&quot;volume&quot;:&quot;108&quot;,&quot;container-title-short&quot;:&quot;&quot;},&quot;uris&quot;:[&quot;http://www.mendeley.com/documents/?uuid=97c95d3b-c28a-3f20-b486-8299316d032c&quot;],&quot;isTemporary&quot;:false,&quot;legacyDesktopId&quot;:&quot;97c95d3b-c28a-3f20-b486-8299316d032c&quot;}]},{&quot;citationID&quot;:&quot;MENDELEY_CITATION_be58a750-934b-445f-b1c4-c3a697412298&quot;,&quot;properties&quot;:{&quot;noteIndex&quot;:0},&quot;isEdited&quot;:false,&quot;manualOverride&quot;:{&quot;citeprocText&quot;:&quot;[128]&quot;,&quot;isManuallyOverridden&quot;:false,&quot;manualOverrideText&quot;:&quot;&quot;},&quot;citationTag&quot;:&quot;MENDELEY_CITATION_v3_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&quot;,&quot;citationItems&quot;:[{&quot;id&quot;:&quot;4ad9b087-f466-36f5-bbf1-4b361dc57da9&quot;,&quot;itemData&quot;:{&quot;DOI&quot;:&quot;10.1115/ES2010-90035&quot;,&quot;ISBN&quot;:&quot;9780791843949&quot;,&quot;abstract&quot;:&quot;Phase Change Material (PCM) plays an important role as a thermal energy storage device by utilizing its high storage density and latent heat property. One of the potential applications of the PCM is in buildings by incorporating them in the envelope for energy conservation. During the summer cooling season, the main benefits are a decrease in overall energy consumption by the air conditioning unit and the time shift in peak load during the day. Experimental work was carried out by Arizona Public Service (APS) in collaboration with Phase Change Energy Solutions (PCES) Inc. with a new class of organic-based PCM. The experimental setup showed maximum energy savings of about 30%, a maximum peak load shift of ∼ 60 min, and maximum cost savings of about 30%. © 2010 by ASME.&quot;,&quot;author&quot;:[{&quot;dropping-particle&quot;:&quot;&quot;,&quot;family&quot;:&quot;Muruganantham&quot;,&quot;given&quot;:&quot;Karthik&quot;,&quot;non-dropping-particle&quot;:&quot;&quot;,&quot;parse-names&quot;:false,&quot;suffix&quot;:&quot;&quot;},{&quot;dropping-particle&quot;:&quot;&quot;,&quot;family&quot;:&quot;Phelan&quot;,&quot;given&quot;:&quot;Patrick&quot;,&quot;non-dropping-particle&quot;:&quot;&quot;,&quot;parse-names&quot;:false,&quot;suffix&quot;:&quot;&quot;},{&quot;dropping-particle&quot;:&quot;&quot;,&quot;family&quot;:&quot;Horwath&quot;,&quot;given&quot;:&quot;Peter&quot;,&quot;non-dropping-particle&quot;:&quot;&quot;,&quot;parse-names&quot;:false,&quot;suffix&quot;:&quot;&quot;},{&quot;dropping-particle&quot;:&quot;&quot;,&quot;family&quot;:&quot;Ludlam&quot;,&quot;given&quot;:&quot;David&quot;,&quot;non-dropping-particle&quot;:&quot;&quot;,&quot;parse-names&quot;:false,&quot;suffix&quot;:&quot;&quot;},{&quot;dropping-particle&quot;:&quot;&quot;,&quot;family&quot;:&quot;McDonald&quot;,&quot;given&quot;:&quot;Timothy&quot;,&quot;non-dropping-particle&quot;:&quot;&quot;,&quot;parse-names&quot;:false,&quot;suffix&quot;:&quot;&quot;}],&quot;container-title&quot;:&quot;ASME 2010 4th International Conference on Energy Sustainability, ES 2010&quot;,&quot;id&quot;:&quot;4ad9b087-f466-36f5-bbf1-4b361dc57da9&quot;,&quot;issued&quot;:{&quot;date-parts&quot;:[[&quot;2010&quot;,&quot;12&quot;,&quot;22&quot;]]},&quot;page&quot;:&quot;979-984&quot;,&quot;publisher&quot;:&quot;American Society of Mechanical Engineers Digital Collection&quot;,&quot;title&quot;:&quot;Experimental investigation of a bio-based phase-change material to improve building energy performance&quot;,&quot;type&quot;:&quot;paper-conference&quot;,&quot;volume&quot;:&quot;1&quot;,&quot;container-title-short&quot;:&quot;&quot;},&quot;uris&quot;:[&quot;http://www.mendeley.com/documents/?uuid=4ad9b087-f466-36f5-bbf1-4b361dc57da9&quot;],&quot;isTemporary&quot;:false,&quot;legacyDesktopId&quot;:&quot;4ad9b087-f466-36f5-bbf1-4b361dc57da9&quot;}]},{&quot;citationID&quot;:&quot;MENDELEY_CITATION_46afdaa9-a1a0-4ffa-bf81-c719ea1fd5c5&quot;,&quot;properties&quot;:{&quot;noteIndex&quot;:0},&quot;isEdited&quot;:false,&quot;manualOverride&quot;:{&quot;citeprocText&quot;:&quot;[133]&quot;,&quot;isManuallyOverridden&quot;:false,&quot;manualOverrideText&quot;:&quot;&quot;},&quot;citationTag&quot;:&quot;MENDELEY_CITATION_v3_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&quot;,&quot;citationItems&quot;:[{&quot;id&quot;:&quot;3fafca39-9c2b-335d-b64d-1a5657207e2f&quot;,&quot;itemData&quot;:{&quot;DOI&quot;:&quot;10.3390/app10124336&quot;,&quot;ISSN&quot;:&quot;20763417&quot;,&quot;abstract&quot;:&quot;Aventilated window system enhanced by phase change material (PCM) has been developed, and its energy-saving potential examined in previous works. In this paper, the ventilation control strategies are further developed, to improve the energy-saving potential of the PCM energy storage. The influence of ventilation airflow rate on the energy-saving potential of the PCM storage is firstly studied based on an EnergyPlus model of a sustainable low energy house located in New York. It shows that in summer, the optimized ventilation airflow rate is 300 m3/h. The energy-saving of utilizing a ventilated window with PCM energy storage is 10.1% compared to using a stand-alone ventilated window, and 12.0% compared to using a standard window. In winter, the optimized ventilation airflow rate is 102 m3/h. The energy-saving of utilizing a ventilated window with PCM energy storage is 26.6% compared to using a stand-alone ventilated window, and 32.8% compared to using a standard window. Based on the optimized ventilation airflow rate, a demand control ventilation strategy, which personalizes the air supply and heat pump setting based on the demand of each room, is proposed and its energy-saving potential examined. The results show that the energy savings of using demand control compared to a constant ventilation airflow rate in the house is 14.7% in summer and 30.4% in winter.&quot;,&quot;author&quot;:[{&quot;dropping-particle&quot;:&quot;&quot;,&quot;family&quot;:&quot;Hu&quot;,&quot;given&quot;:&quot;Yue&quot;,&quot;non-dropping-particle&quot;:&quot;&quot;,&quot;parse-names&quot;:false,&quot;suffix&quot;:&quot;&quot;},{&quot;dropping-particle&quot;:&quot;&quot;,&quot;family&quot;:&quot;Heiselberg&quot;,&quot;given&quot;:&quot;Per Kvols&quot;,&quot;non-dropping-particle&quot;:&quot;&quot;,&quot;parse-names&quot;:false,&quot;suffix&quot;:&quot;&quot;},{&quot;dropping-particle&quot;:&quot;&quot;,&quot;family&quot;:&quot;Larsen&quot;,&quot;given&quot;:&quot;Tine Steen&quot;,&quot;non-dropping-particle&quot;:&quot;&quot;,&quot;parse-names&quot;:false,&quot;suffix&quot;:&quot;&quot;}],&quot;container-title&quot;:&quot;Applied Sciences (Switzerland)&quot;,&quot;id&quot;:&quot;3fafca39-9c2b-335d-b64d-1a5657207e2f&quot;,&quot;issue&quot;:&quot;12&quot;,&quot;issued&quot;:{&quot;date-parts&quot;:[[&quot;2020&quot;,&quot;6&quot;,&quot;24&quot;]]},&quot;page&quot;:&quot;4336&quot;,&quot;publisher&quot;:&quot;Multidisciplinary Digital Publishing Institute&quot;,&quot;title&quot;:&quot;Demand control strategies of a pcm enhanced ventilation system for residential buildings&quot;,&quot;type&quot;:&quot;article-journal&quot;,&quot;volume&quot;:&quot;10&quot;,&quot;container-title-short&quot;:&quot;&quot;},&quot;uris&quot;:[&quot;http://www.mendeley.com/documents/?uuid=3fafca39-9c2b-335d-b64d-1a5657207e2f&quot;],&quot;isTemporary&quot;:false,&quot;legacyDesktopId&quot;:&quot;3fafca39-9c2b-335d-b64d-1a5657207e2f&quot;}]},{&quot;citationID&quot;:&quot;MENDELEY_CITATION_63bd75f0-42f6-4bfa-9d62-182f374c2fc1&quot;,&quot;properties&quot;:{&quot;noteIndex&quot;:0},&quot;isEdited&quot;:false,&quot;manualOverride&quot;:{&quot;citeprocText&quot;:&quot;[135]&quot;,&quot;isManuallyOverridden&quot;:false,&quot;manualOverrideText&quot;:&quot;&quot;},&quot;citationTag&quot;:&quot;MENDELEY_CITATION_v3_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&quot;,&quot;citationItems&quot;:[{&quot;id&quot;:&quot;d4ab8d0b-c34c-3e05-b8d9-c542df2548b9&quot;,&quot;itemData&quot;:{&quot;DOI&quot;:&quot;10.1002/er.1082&quot;,&quot;ISSN&quot;:&quot;0363907X&quot;,&quot;abstract&quot;:&quot;This paper presents the development of a thermally enhanced frame wall that reduces peak air conditioning demand in residential buildings. A frame wall that integrates a highly crystalline paraffin phase-change material (PCM), via macro-encapsulation, was developed, constructed, and evaluated. This prototype wall is referred to as phase-change frame wall (PCFW). Results from field testing show that the PCFW reduced wall peak heat fluxes by as much as 38%. For a period of several days that included walls facing different directions, the average wall peak heat flux reduction was approximately 15% when PCFWs with a 10% concentration of PCM (based on indoor sheathing weight) were used and approximately 9% when a 20% PCM concentration was used. The average space-cooling load was reduced by approximately 8.6% when 10% PCM was applied and 10.8% when 20% PCM was used. The level of insulation in the PCFWs that were tested was 1.94 m2 K/W (R-11). Copyright © 2005 John Wiley &amp; Sons, Ltd.&quot;,&quot;author&quot;:[{&quot;dropping-particle&quot;:&quot;&quot;,&quot;family&quot;:&quot;Zhang&quot;,&quot;given&quot;:&quot;Meng&quot;,&quot;non-dropping-particle&quot;:&quot;&quot;,&quot;parse-names&quot;:false,&quot;suffix&quot;:&quot;&quot;},{&quot;dropping-particle&quot;:&quot;&quot;,&quot;family&quot;:&quot;Medina&quot;,&quot;given&quot;:&quot;Mario A.&quot;,&quot;non-dropping-particle&quot;:&quot;&quot;,&quot;parse-names&quot;:false,&quot;suffix&quot;:&quot;&quot;},{&quot;dropping-particle&quot;:&quot;&quot;,&quot;family&quot;:&quot;King&quot;,&quot;given&quot;:&quot;Jennifer B.&quot;,&quot;non-dropping-particle&quot;:&quot;&quot;,&quot;parse-names&quot;:false,&quot;suffix&quot;:&quot;&quot;}],&quot;container-title&quot;:&quot;International Journal of Energy Research&quot;,&quot;id&quot;:&quot;d4ab8d0b-c34c-3e05-b8d9-c542df2548b9&quot;,&quot;issue&quot;:&quot;9&quot;,&quot;issued&quot;:{&quot;date-parts&quot;:[[&quot;2005&quot;,&quot;7&quot;]]},&quot;page&quot;:&quot;795-809&quot;,&quot;title&quot;:&quot;Development of a thermally enhanced frame wall with phase-change materials for on-peak air conditioning demand reduction and energy savings in residential buildings&quot;,&quot;type&quot;:&quot;article-journal&quot;,&quot;volume&quot;:&quot;29&quot;,&quot;container-title-short&quot;:&quot;Int J Energy Res&quot;},&quot;uris&quot;:[&quot;http://www.mendeley.com/documents/?uuid=45d821f0-516f-4882-90fb-bc45bf95a233&quot;],&quot;isTemporary&quot;:false,&quot;legacyDesktopId&quot;:&quot;45d821f0-516f-4882-90fb-bc45bf95a233&quot;}]},{&quot;citationID&quot;:&quot;MENDELEY_CITATION_7f477c9f-f1af-4de3-9c2d-49b712cfce3c&quot;,&quot;properties&quot;:{&quot;noteIndex&quot;:0},&quot;isEdited&quot;:false,&quot;manualOverride&quot;:{&quot;citeprocText&quot;:&quot;[23]&quot;,&quot;isManuallyOverridden&quot;:false,&quot;manualOverrideText&quot;:&quot;&quot;},&quot;citationTag&quot;:&quot;MENDELEY_CITATION_v3_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&quot;,&quot;citationItems&quot;:[{&quot;id&quot;:&quot;a99d46fa-950a-3fd3-904d-7caca65d5bdc&quot;,&quot;itemData&quot;:{&quot;DOI&quot;:&quot;https://doi.org/10.23697/62tr-nt79&quot;,&quot;author&quot;:[{&quot;dropping-particle&quot;:&quot;&quot;,&quot;family&quot;:&quot;Sultan&quot;,&quot;given&quot;:&quot;Sara&quot;,&quot;non-dropping-particle&quot;:&quot;&quot;,&quot;parse-names&quot;:false,&quot;suffix&quot;:&quot;&quot;},{&quot;dropping-particle&quot;:&quot;&quot;,&quot;family&quot;:&quot;Gluesenkamp&quot;,&quot;given&quot;:&quot;Kyle R&quot;,&quot;non-dropping-particle&quot;:&quot;&quot;,&quot;parse-names&quot;:false,&quot;suffix&quot;:&quot;&quot;},{&quot;dropping-particle&quot;:&quot;&quot;,&quot;family&quot;:&quot;States&quot;,&quot;given&quot;:&quot;United&quot;,&quot;non-dropping-particle&quot;:&quot;&quot;,&quot;parse-names&quot;:false,&quot;suffix&quot;:&quot;&quot;}],&quot;container-title&quot;:&quot;IEA Heat Pump Technologies Magazine&quot;,&quot;id&quot;:&quot;a99d46fa-950a-3fd3-904d-7caca65d5bdc&quot;,&quot;issue&quot;:&quot;2&quot;,&quot;issued&quot;:{&quot;date-parts&quot;:[[&quot;2021&quot;]]},&quot;page&quot;:&quot;27-30&quot;,&quot;title&quot;:&quot;The State of Art of Heat-Pump integrated Thermal Energy Storage for Demand Response&quot;,&quot;type&quot;:&quot;article-magazine&quot;,&quot;volume&quot;:&quot;40&quot;,&quot;container-title-short&quot;:&quot;&quot;},&quot;uris&quot;:[&quot;http://www.mendeley.com/documents/?uuid=d4034055-1a5e-4dd3-9717-d37a05152361&quot;],&quot;isTemporary&quot;:false,&quot;legacyDesktopId&quot;:&quot;d4034055-1a5e-4dd3-9717-d37a05152361&quot;}]},{&quot;citationID&quot;:&quot;MENDELEY_CITATION_a6b2eb68-d219-4a56-94a7-628148fa50b4&quot;,&quot;properties&quot;:{&quot;noteIndex&quot;:0},&quot;isEdited&quot;:false,&quot;manualOverride&quot;:{&quot;citeprocText&quot;:&quot;[46]&quot;,&quot;isManuallyOverridden&quot;:false,&quot;manualOverrideText&quot;:&quot;&quot;},&quot;citationTag&quot;:&quot;MENDELEY_CITATION_v3_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&quot;,&quot;citationItems&quot;:[{&quot;id&quot;:&quot;a959076f-3157-3e46-9329-704c3e29ed17&quot;,&quot;itemData&quot;:{&quot;DOI&quot;:&quot;10.1016/j.enbuild.2011.12.022&quot;,&quot;ISSN&quot;:&quot;03787788&quot;,&quot;abstract&quot;:&quot;This work describes a model developed to simulate a radiant floor system with PCM in simple building types. The building simulation model has been validated by comparing its behavior with Energy Plus. The PCM radiant floor model is based on a one-dimensional finite difference scheme where the effective capacity method is used for PCM simulation. Some adjustments have been made to this one-dimensional scheme so that the thermal effect of two-dimensional heat transfer within the radiant floor slab is taken into account. The results of an analyzed case study are also presented in this paper. Here, the PCM floor heating system is fed by a heat pump which mainly operates during night time, thus reducing the costs of electric energy consumption. © 2012 Elsevier B.V. All rights reserved.&quot;,&quot;author&quot;:[{&quot;dropping-particle&quot;:&quot;&quot;,&quot;family&quot;:&quot;Mazo&quot;,&quot;given&quot;:&quot;Javier&quot;,&quot;non-dropping-particle&quot;:&quot;&quot;,&quot;parse-names&quot;:false,&quot;suffix&quot;:&quot;&quot;},{&quot;dropping-particle&quot;:&quot;&quot;,&quot;family&quot;:&quot;Delgado&quot;,&quot;given&quot;:&quot;Monica&quot;,&quot;non-dropping-particle&quot;:&quot;&quot;,&quot;parse-names&quot;:false,&quot;suffix&quot;:&quot;&quot;},{&quot;dropping-particle&quot;:&quot;&quot;,&quot;family&quot;:&quot;Marin&quot;,&quot;given&quot;:&quot;Jose Maria&quot;,&quot;non-dropping-particle&quot;:&quot;&quot;,&quot;parse-names&quot;:false,&quot;suffix&quot;:&quot;&quot;},{&quot;dropping-particle&quot;:&quot;&quot;,&quot;family&quot;:&quot;Zalba&quot;,&quot;given&quot;:&quot;Belen&quot;,&quot;non-dropping-particle&quot;:&quot;&quot;,&quot;parse-names&quot;:false,&quot;suffix&quot;:&quot;&quot;}],&quot;container-title&quot;:&quot;Energy and Buildings&quot;,&quot;id&quot;:&quot;a959076f-3157-3e46-9329-704c3e29ed17&quot;,&quot;issued&quot;:{&quot;date-parts&quot;:[[&quot;2012&quot;,&quot;4&quot;,&quot;1&quot;]]},&quot;page&quot;:&quot;458-466&quot;,&quot;publisher&quot;:&quot;Elsevier&quot;,&quot;title&quot;:&quot;Modeling a radiant floor system with Phase Change Material (PCM) integrated into a building simulation tool: Analysis of a case study of a floor heating system coupled to a heat pump&quot;,&quot;type&quot;:&quot;article-journal&quot;,&quot;volume&quot;:&quot;47&quot;,&quot;container-title-short&quot;:&quot;Energy Build&quot;},&quot;uris&quot;:[&quot;http://www.mendeley.com/documents/?uuid=c7796304-28fe-4981-ab75-fbf2684fb7f4&quot;],&quot;isTemporary&quot;:false,&quot;legacyDesktopId&quot;:&quot;c7796304-28fe-4981-ab75-fbf2684fb7f4&quot;}]},{&quot;citationID&quot;:&quot;MENDELEY_CITATION_7cc2dda7-db5f-450e-bd0f-f0e95f0317c2&quot;,&quot;properties&quot;:{&quot;noteIndex&quot;:0},&quot;isEdited&quot;:false,&quot;manualOverride&quot;:{&quot;citeprocText&quot;:&quot;[136]&quot;,&quot;isManuallyOverridden&quot;:false,&quot;manualOverrideText&quot;:&quot;&quot;},&quot;citationTag&quot;:&quot;MENDELEY_CITATION_v3_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&quot;,&quot;citationItems&quot;:[{&quot;id&quot;:&quot;17a415ea-52e6-3bab-94c5-f16dc6a535fc&quot;,&quot;itemData&quot;:{&quot;ISSN&quot;:&quot;00012505&quot;,&quot;abstract&quot;:&quot;In this study, the effects of peak shaving control of air-conditioning systems using phase-change material (PCM) for ceiling board in an office building were examined. Rock wool PCM ceiling board (PCM ceiling board) was enhanced by adding microcapsulate PCM, whose melting point, at about 25°C, is close to room temperature. The load on the air-handling unit (AHU) can be reduced by using the thermal storage of the PCM ceiling board during the peak shaving control period. At the same time, the radiation field in the room can also be improved due to stabilization of the ceiling board temperature at the PCM melting point. During overnight thermal storage, cool air from the AHU flows into the ceiling chamber space and chills the PCM ceiling board, storing the cooling thermal energy. During the peak shaving period, when the thermal load is at maximum, the air from the room returns to the AHU via the ceiling chamber space. As a result of passing through the cooled-down PCM ceiling board, the warm air from the room cools down before returning to the AHU. The maximum thermal load and the capacity of heat source can thus be reduced. The results of this research were obtained by examining measurements of the thermal capacity of the PCM ceiling board and a numerical simulation. The maximum thermal load was cut by 9.4% compared to conventional rock wool ceiling board. From this result, it can be concluded that the PCM ceiling system acts effectively to enable peak shaving control. © 2006 ASHRAE.&quot;,&quot;author&quot;:[{&quot;dropping-particle&quot;:&quot;&quot;,&quot;family&quot;:&quot;Kondo&quot;,&quot;given&quot;:&quot;Takeshi&quot;,&quot;non-dropping-particle&quot;:&quot;&quot;,&quot;parse-names&quot;:false,&quot;suffix&quot;:&quot;&quot;},{&quot;dropping-particle&quot;:&quot;&quot;,&quot;family&quot;:&quot;Ibamoto&quot;,&quot;given&quot;:&quot;Tadahiko&quot;,&quot;non-dropping-particle&quot;:&quot;&quot;,&quot;parse-names&quot;:false,&quot;suffix&quot;:&quot;&quot;}],&quot;container-title&quot;:&quot;ASHRAE Transactions&quot;,&quot;id&quot;:&quot;17a415ea-52e6-3bab-94c5-f16dc6a535fc&quot;,&quot;issued&quot;:{&quot;date-parts&quot;:[[&quot;2006&quot;]]},&quot;page&quot;:&quot;526-531&quot;,&quot;title&quot;:&quot;Research on thermal storage using rock wool phase-change material ceiling board&quot;,&quot;type&quot;:&quot;paper-conference&quot;,&quot;volume&quot;:&quot;112 PART 1&quot;,&quot;container-title-short&quot;:&quot;ASHRAE Trans&quot;},&quot;uris&quot;:[&quot;http://www.mendeley.com/documents/?uuid=17a415ea-52e6-3bab-94c5-f16dc6a535fc&quot;],&quot;isTemporary&quot;:false,&quot;legacyDesktopId&quot;:&quot;17a415ea-52e6-3bab-94c5-f16dc6a535fc&quot;}]},{&quot;citationID&quot;:&quot;MENDELEY_CITATION_9773460c-f738-448f-a513-b3efe9bff4c0&quot;,&quot;properties&quot;:{&quot;noteIndex&quot;:0},&quot;isEdited&quot;:false,&quot;manualOverride&quot;:{&quot;citeprocText&quot;:&quot;[137]&quot;,&quot;isManuallyOverridden&quot;:false,&quot;manualOverrideText&quot;:&quot;&quot;},&quot;citationTag&quot;:&quot;MENDELEY_CITATION_v3_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&quot;,&quot;citationItems&quot;:[{&quot;id&quot;:&quot;5fe76538-f179-3a02-8ba5-d6061256b0c7&quot;,&quot;itemData&quot;:{&quot;DOI&quot;:&quot;10.1016/j.enconman.2011.05.011&quot;,&quot;ISSN&quot;:&quot;01968904&quot;,&quot;abstract&quot;:&quot;Studies are conducted to investigate the impacts of shape-stabilized phase change material (SSPCM) and different control strategies on the energy consumption and peak load demand as well as electricity cost of building air-conditioning systems at typical summer conditions in two climates (subtropical and dry continental climates). An office building using a typical variable air volume (VAV) air-conditioning system was selected and simulated as the reference building in this study. Its envelopes were enhanced by integrating the SSPCM layers into its walls while the air-conditioning system and other configurations of the building remained unchanged. The building system was tested under two typical weather conditions and two typical electricity pricing policies (i.e., time-based pricing and energy-plus-demand-based pricing). Test results show that the use of SSPCM in the building could reduce the building electricity cost significantly (over 11% in electricity cost reduction and over 20% in peak load reduction), under two pricing policies by using load shifting control and demand limiting control respectively. This paper presents the test results and the evaluation on the energy performance and the optimal control strategies of air-conditioned commercial buildings with envelopes enhanced by SSPCM. © 2011 Elsevier Ltd. All rights reserved.&quot;,&quot;author&quot;:[{&quot;dropping-particle&quot;:&quot;&quot;,&quot;family&quot;:&quot;Zhu&quot;,&quot;given&quot;:&quot;Na&quot;,&quot;non-dropping-particle&quot;:&quot;&quot;,&quot;parse-names&quot;:false,&quot;suffix&quot;:&quot;&quot;},{&quot;dropping-particle&quot;:&quot;&quot;,&quot;family&quot;:&quot;Wang&quot;,&quot;given&quot;:&quot;Shengwei&quot;,&quot;non-dropping-particle&quot;:&quot;&quot;,&quot;parse-names&quot;:false,&quot;suffix&quot;:&quot;&quot;},{&quot;dropping-particle&quot;:&quot;&quot;,&quot;family&quot;:&quot;Ma&quot;,&quot;given&quot;:&quot;Zhenjun&quot;,&quot;non-dropping-particle&quot;:&quot;&quot;,&quot;parse-names&quot;:false,&quot;suffix&quot;:&quot;&quot;},{&quot;dropping-particle&quot;:&quot;&quot;,&quot;family&quot;:&quot;Sun&quot;,&quot;given&quot;:&quot;Yongjun&quot;,&quot;non-dropping-particle&quot;:&quot;&quot;,&quot;parse-names&quot;:false,&quot;suffix&quot;:&quot;&quot;}],&quot;container-title&quot;:&quot;Energy Conversion and Management&quot;,&quot;id&quot;:&quot;5fe76538-f179-3a02-8ba5-d6061256b0c7&quot;,&quot;issue&quot;:&quot;10&quot;,&quot;issued&quot;:{&quot;date-parts&quot;:[[&quot;2011&quot;,&quot;9&quot;,&quot;1&quot;]]},&quot;page&quot;:&quot;3197-3205&quot;,&quot;publisher&quot;:&quot;Elsevier Ltd&quot;,&quot;title&quot;:&quot;Energy performance and optimal control of air-conditioned buildings with envelopes enhanced by phase change materials&quot;,&quot;type&quot;:&quot;article-journal&quot;,&quot;volume&quot;:&quot;52&quot;,&quot;container-title-short&quot;:&quot;Energy Convers Manag&quot;},&quot;uris&quot;:[&quot;http://www.mendeley.com/documents/?uuid=5fe76538-f179-3a02-8ba5-d6061256b0c7&quot;],&quot;isTemporary&quot;:false,&quot;legacyDesktopId&quot;:&quot;5fe76538-f179-3a02-8ba5-d6061256b0c7&quot;}]},{&quot;citationID&quot;:&quot;MENDELEY_CITATION_57b13c1c-cf39-445d-bcac-09c8a161dd72&quot;,&quot;properties&quot;:{&quot;noteIndex&quot;:0},&quot;isEdited&quot;:false,&quot;manualOverride&quot;:{&quot;citeprocText&quot;:&quot;[138]&quot;,&quot;isManuallyOverridden&quot;:false,&quot;manualOverrideText&quot;:&quot;&quot;},&quot;citationTag&quot;:&quot;MENDELEY_CITATION_v3_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&quot;,&quot;citationItems&quot;:[{&quot;id&quot;:&quot;3d10cc4e-d585-31b4-a536-e13c5c2a4460&quot;,&quot;itemData&quot;:{&quot;DOI&quot;:&quot;10.1080/10789669.2006.10391213&quot;,&quot;ISSN&quot;:&quot;10789669&quot;,&quot;abstract&quot;:&quot;An air distribution system equipped with a storage device using phase-change materials (PCMs) was proposed for peak shaving. Mixtures of paraffin waxes were chosen as the PCMs, and experiments were conducted to identify thermal characteristics, such as melting temperature and latent heat. Although the mixtures had less heat storage capacity than the pure wax, the heat of fusion was around 90 kJ/kg (40 Btu/lb), which could be competitive with sensible storage materials. A simulation using the enthalpy method was conducted to evaluate system performance. The PCM was cooled during nighttime, and the stored heat was discharged from 13:00 to 16:00, while the heat source was stopped. The simulation program evaluated temperature fluctuation during the discharge period for each mixture and quantity of PCM. Installing 5 kg/m2 (1 lb/ft2) of PCM, the temperature during the discharge period could be maintained within an acceptable condition. It is concluded that this system could contribute to peak shaving for buildings. © 2006 Taylor &amp; Francis Group, LLC.&quot;,&quot;author&quot;:[{&quot;dropping-particle&quot;:&quot;&quot;,&quot;family&quot;:&quot;Yamaha&quot;,&quot;given&quot;:&quot;Motoi&quot;,&quot;non-dropping-particle&quot;:&quot;&quot;,&quot;parse-names&quot;:false,&quot;suffix&quot;:&quot;&quot;},{&quot;dropping-particle&quot;:&quot;&quot;,&quot;family&quot;:&quot;Misaki&quot;,&quot;given&quot;:&quot;Shinya&quot;,&quot;non-dropping-particle&quot;:&quot;&quot;,&quot;parse-names&quot;:false,&quot;suffix&quot;:&quot;&quot;}],&quot;container-title&quot;:&quot;HVAC and R Research&quot;,&quot;id&quot;:&quot;3d10cc4e-d585-31b4-a536-e13c5c2a4460&quot;,&quot;issued&quot;:{&quot;date-parts&quot;:[[&quot;2006&quot;]]},&quot;page&quot;:&quot;861-869&quot;,&quot;title&quot;:&quot;The evaluation of peak shaving by a thermal storage system using phase-change materials in air distribution systems&quot;,&quot;type&quot;:&quot;article-journal&quot;,&quot;volume&quot;:&quot;12&quot;,&quot;container-title-short&quot;:&quot;&quot;},&quot;uris&quot;:[&quot;http://www.mendeley.com/documents/?uuid=3d10cc4e-d585-31b4-a536-e13c5c2a4460&quot;],&quot;isTemporary&quot;:false,&quot;legacyDesktopId&quot;:&quot;3d10cc4e-d585-31b4-a536-e13c5c2a4460&quot;}]},{&quot;citationID&quot;:&quot;MENDELEY_CITATION_2bdefc6a-a2c5-4c10-85e4-aeb066f8cc2f&quot;,&quot;properties&quot;:{&quot;noteIndex&quot;:0},&quot;isEdited&quot;:false,&quot;manualOverride&quot;:{&quot;citeprocText&quot;:&quot;[139]&quot;,&quot;isManuallyOverridden&quot;:false,&quot;manualOverrideText&quot;:&quot;&quot;},&quot;citationTag&quot;:&quot;MENDELEY_CITATION_v3_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&quot;,&quot;citationItems&quot;:[{&quot;id&quot;:&quot;fa74c9fd-be3c-5947-acd7-bf4b39b8d310&quot;,&quot;itemData&quot;:{&quot;DOI&quot;:&quot;10.1016/j.enbuild.2016.01.042&quot;,&quot;ISSN&quot;:&quot;03787788&quot;,&quot;abstract&quot;:&quot;This communication presents the thermal performance and economic evaluation of the thermal management system (TMS) for cooling applications using calcium chloride hexahydrate as a phase change material. This experimental work was done to shift the peak time cool energy demand for off peak time. The PCM was selected for TMS on the basis of availability in the desired temperature range and long term thermal behavior. The designed system was tested with air conditioning system for cool energy storage and discharged with three heating loads (1 kW, 2 kW and 3 kW) for the real life application. The energetic and exergetic efficiencies were also calculated and found to be highest for 1 kW and lowest for 3 kW heating load. The economic evaluation of the TMS has been carried with respect of per unit cost of electricity generated by coal, diesel and solar energy and found that payback time is low for solar based generation in comparison to electricity generation by other sources. The results of this study were also compared with those of the theoretical values and are found in good agreement with each other.&quot;,&quot;author&quot;:[{&quot;dropping-particle&quot;:&quot;V.&quot;,&quot;family&quot;:&quot;Tyagi&quot;,&quot;given&quot;:&quot;V.&quot;,&quot;non-dropping-particle&quot;:&quot;&quot;,&quot;parse-names&quot;:false,&quot;suffix&quot;:&quot;&quot;},{&quot;dropping-particle&quot;:&quot;&quot;,&quot;family&quot;:&quot;Pandey&quot;,&quot;given&quot;:&quot;A. K.&quot;,&quot;non-dropping-particle&quot;:&quot;&quot;,&quot;parse-names&quot;:false,&quot;suffix&quot;:&quot;&quot;},{&quot;dropping-particle&quot;:&quot;&quot;,&quot;family&quot;:&quot;Buddhi&quot;,&quot;given&quot;:&quot;D.&quot;,&quot;non-dropping-particle&quot;:&quot;&quot;,&quot;parse-names&quot;:false,&quot;suffix&quot;:&quot;&quot;},{&quot;dropping-particle&quot;:&quot;&quot;,&quot;family&quot;:&quot;Kothari&quot;,&quot;given&quot;:&quot;Richa&quot;,&quot;non-dropping-particle&quot;:&quot;&quot;,&quot;parse-names&quot;:false,&quot;suffix&quot;:&quot;&quot;}],&quot;container-title&quot;:&quot;Energy and Buildings&quot;,&quot;id&quot;:&quot;fa74c9fd-be3c-5947-acd7-bf4b39b8d310&quot;,&quot;issued&quot;:{&quot;date-parts&quot;:[[&quot;2016&quot;]]},&quot;page&quot;:&quot;44-52&quot;,&quot;publisher&quot;:&quot;Elsevier B.V.&quot;,&quot;title&quot;:&quot;Thermal performance assessment of encapsulated PCM based thermal management system to reduce peak energy demand in buildings&quot;,&quot;type&quot;:&quot;article-journal&quot;,&quot;volume&quot;:&quot;117&quot;,&quot;container-title-short&quot;:&quot;Energy Build&quot;},&quot;uris&quot;:[&quot;http://www.mendeley.com/documents/?uuid=36a2239b-cd73-4a47-957a-905e8f0d75cd&quot;],&quot;isTemporary&quot;:false,&quot;legacyDesktopId&quot;:&quot;36a2239b-cd73-4a47-957a-905e8f0d75cd&quot;}]},{&quot;citationID&quot;:&quot;MENDELEY_CITATION_77c436f2-1c61-49a2-a6da-e36afd7fb0d8&quot;,&quot;properties&quot;:{&quot;noteIndex&quot;:0},&quot;isEdited&quot;:false,&quot;manualOverride&quot;:{&quot;isManuallyOverridden&quot;:false,&quot;citeprocText&quot;:&quot;[140]&quot;,&quot;manualOverrideText&quot;:&quot;&quot;},&quot;citationTag&quot;:&quot;MENDELEY_CITATION_v3_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&quot;,&quot;citationItems&quot;:[{&quot;id&quot;:&quot;5fee9029-1d45-3736-a015-3d7892ec9e18&quot;,&quot;itemData&quot;:{&quot;type&quot;:&quot;article-journal&quot;,&quot;id&quot;:&quot;5fee9029-1d45-3736-a015-3d7892ec9e18&quot;,&quot;title&quot;:&quot;Energy and economic analysis of a building air-conditioner with a phase change material (PCM)&quot;,&quot;author&quot;:[{&quot;family&quot;:&quot;Chaiyat&quot;,&quot;given&quot;:&quot;Nattaporn&quot;,&quot;parse-names&quot;:false,&quot;dropping-particle&quot;:&quot;&quot;,&quot;non-dropping-particle&quot;:&quot;&quot;}],&quot;container-title&quot;:&quot;Energy Conversion and Management&quot;,&quot;container-title-short&quot;:&quot;Energy Convers Manag&quot;,&quot;DOI&quot;:&quot;10.1016/j.enconman.2015.01.068&quot;,&quot;ISSN&quot;:&quot;01968904&quot;,&quot;URL&quot;:&quot;http://dx.doi.org/10.1016/j.enconman.2015.01.068&quot;,&quot;issued&quot;:{&quot;date-parts&quot;:[[2015]]},&quot;page&quot;:&quot;150-158&quot;,&quot;abstract&quot;:&quot;In this study, a concept of using phase change material (PCM) for improving cooling efficiency of an air-conditioner had been presented under Thailand climate. Rubitherm20 (RT-20) was selected to evaluate the thermal performance by reducing the air temperature entering the evaporating coil. The model of PCM celluloid balls had been performed with the air-conditioner. For the experiment, 2 TR of R-134a air-conditioner was chosen to test a pack bed of PCM balls with thickness 40 cm. The pressure drops of the air flowing through the bed were considered with and without a set of by-pass tubes along the height of the storage bed. The mathematical model of the air-conditioner with the PCM storage was developed and verified with the testing results. From the study results, it could be seen that pressure drops of the bed with and without bypass tubes were nearly the same results. Thus, PCM ball pack bed using RT-20 without bypass tubes was used to improve the cooling efficiency of the air-conditioner. The experimental result of the modified unit was compared and verified with the mathematical model, which agreed quite well with the simulation result. Finally, the model was used to analyze the economic result, which found that the electrical consumption of the modified air-conditioner could be decreased around 3.09 kW h/d. The saving cost from the PCM bed could be 9.10% of 170.03 USD/y and the payback period was around 4.15 y.&quot;,&quot;publisher&quot;:&quot;Elsevier Ltd&quot;,&quot;volume&quot;:&quot;94&quot;},&quot;isTemporary&quot;:false}]},{&quot;citationID&quot;:&quot;MENDELEY_CITATION_23e323b9-3a90-4fde-9c15-79d88e139969&quot;,&quot;properties&quot;:{&quot;noteIndex&quot;:0},&quot;isEdited&quot;:false,&quot;manualOverride&quot;:{&quot;isManuallyOverridden&quot;:false,&quot;citeprocText&quot;:&quot;[141]&quot;,&quot;manualOverrideText&quot;:&quot;&quot;},&quot;citationTag&quot;:&quot;MENDELEY_CITATION_v3_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&quot;,&quot;citationItems&quot;:[{&quot;id&quot;:&quot;ac8b49eb-a59c-3fae-b662-de887265d037&quot;,&quot;itemData&quot;:{&quot;type&quot;:&quot;article-journal&quot;,&quot;id&quot;:&quot;ac8b49eb-a59c-3fae-b662-de887265d037&quot;,&quot;title&quot;:&quot;Energy reduction of building air-conditioner with phase change material in Thailand&quot;,&quot;author&quot;:[{&quot;family&quot;:&quot;Chaiyat&quot;,&quot;given&quot;:&quot;Nattaporn&quot;,&quot;parse-names&quot;:false,&quot;dropping-particle&quot;:&quot;&quot;,&quot;non-dropping-particle&quot;:&quot;&quot;},{&quot;family&quot;:&quot;Kiatsiriroat&quot;,&quot;given&quot;:&quot;Tanongkiat&quot;,&quot;parse-names&quot;:false,&quot;dropping-particle&quot;:&quot;&quot;,&quot;non-dropping-particle&quot;:&quot;&quot;}],&quot;container-title&quot;:&quot;Case Studies in Thermal Engineering&quot;,&quot;DOI&quot;:&quot;10.1016/j.csite.2014.09.006&quot;,&quot;ISSN&quot;:&quot;2214157X&quot;,&quot;URL&quot;:&quot;http://dx.doi.org/10.1016/j.csite.2014.09.006&quot;,&quot;issued&quot;:{&quot;date-parts&quot;:[[2014]]},&quot;page&quot;:&quot;175-186&quot;,&quot;abstract&quot;:&quot;In this study, a concept of using phase change material (PCM) for improving cooling efficiency of an air-conditioner had been presented under Thai climate. Paraffin waxes melting point at around 20°C was selected to evaluate the thermal performance by reducing the air temperature entering the evaporating coil. The model of PCM celluloid balls had been performed with the air-conditioner. Moreover, the mathematical model of the air-conditioner with the PCM storage was developed and verified with the testing results. From the study results, it could be seen that the simulated data agreed quite well with the experimental result at the discrepant around 2-4%. Finally, the model was used to analyze the economic result which was found that the electrical consumption of the modified air-conditioner could be decreased 3.09 kWh/d. The electrical power consumption of the modified unit was 36.27 kWh/d at the operating time 15 h/d compared with 39.36 kW h/d of the normal unit at the operating time 12 h/d. The saving cost of the PCM bed could be 9.10% or 170.03 USD and the payback period was 4.15 y.&quot;,&quot;publisher&quot;:&quot;Elsevier&quot;,&quot;volume&quot;:&quot;4&quot;,&quot;container-title-short&quot;:&quot;&quot;},&quot;isTemporary&quot;:false}]},{&quot;citationID&quot;:&quot;MENDELEY_CITATION_a4c87979-1e13-416b-8836-7f97dc8e1094&quot;,&quot;properties&quot;:{&quot;noteIndex&quot;:0},&quot;isEdited&quot;:false,&quot;manualOverride&quot;:{&quot;citeprocText&quot;:&quot;[142]&quot;,&quot;isManuallyOverridden&quot;:false,&quot;manualOverrideText&quot;:&quot;&quot;},&quot;citationTag&quot;:&quot;MENDELEY_CITATION_v3_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&quot;,&quot;citationItems&quot;:[{&quot;id&quot;:&quot;deaab15d-be80-555a-8eff-7898a2ce9674&quot;,&quot;itemData&quot;:{&quot;DOI&quot;:&quot;10.1016/j.enbuild.2014.02.069&quot;,&quot;ISSN&quot;:&quot;03787788&quot;,&quot;abstract&quot;:&quot;Achieving energy savings with domestic off peak air conditioning using phase change materials (PCMs) has always proved a challenge. Although the energy efficiency ratio of an air conditioner is higher during the night, this improvement often does not offset the exergy loss experienced when using thermal storage. Simulations have been conducted using the effectiveness-number of transfer units (-NTU) representation of a PCM system to determine the instantaneous heat transfer when coupled to an inverter chiller cooling system. Results show that although 85% of the energy consumption for cooling could be shifted to the off-peak period with an ice based system, the energy demand increased by 7.6%. The investigation demonstrated that by using a PCM with a melting point of 4 °C, it is possible to achieve an energy saving for cooling. A savings of around 13.5% can be achieved using a PCM with a melting point of 10 °C. Energy usage was increased with a more efficient PCM storage system. This unexpected result was due to which period the storage system was charged. A more efficient storage system charged quicker during the warmer part of the evening. Therefore energy minimisation requires optimal charging during the coldest part of the night. © 2014 Elsevier B.V.&quot;,&quot;author&quot;:[{&quot;dropping-particle&quot;:&quot;&quot;,&quot;family&quot;:&quot;Bruno&quot;,&quot;given&quot;:&quot;F.&quot;,&quot;non-dropping-particle&quot;:&quot;&quot;,&quot;parse-names&quot;:false,&quot;suffix&quot;:&quot;&quot;},{&quot;dropping-particle&quot;:&quot;&quot;,&quot;family&quot;:&quot;Tay&quot;,&quot;given&quot;:&quot;N. H S&quot;,&quot;non-dropping-particle&quot;:&quot;&quot;,&quot;parse-names&quot;:false,&quot;suffix&quot;:&quot;&quot;},{&quot;dropping-particle&quot;:&quot;&quot;,&quot;family&quot;:&quot;Belusko&quot;,&quot;given&quot;:&quot;M.&quot;,&quot;non-dropping-particle&quot;:&quot;&quot;,&quot;parse-names&quot;:false,&quot;suffix&quot;:&quot;&quot;}],&quot;container-title&quot;:&quot;Energy and Buildings&quot;,&quot;id&quot;:&quot;deaab15d-be80-555a-8eff-7898a2ce9674&quot;,&quot;issued&quot;:{&quot;date-parts&quot;:[[&quot;2014&quot;,&quot;6&quot;,&quot;1&quot;]]},&quot;page&quot;:&quot;347-353&quot;,&quot;publisher&quot;:&quot;Elsevier&quot;,&quot;title&quot;:&quot;Minimising energy usage for domestic cooling with off-peak PCM storage&quot;,&quot;type&quot;:&quot;article-journal&quot;,&quot;volume&quot;:&quot;76&quot;,&quot;container-title-short&quot;:&quot;Energy Build&quot;},&quot;uris&quot;:[&quot;http://www.mendeley.com/documents/?uuid=ce9ddac8-9d77-4022-96d8-2b13a12d39f8&quot;],&quot;isTemporary&quot;:false,&quot;legacyDesktopId&quot;:&quot;ce9ddac8-9d77-4022-96d8-2b13a12d39f8&quot;}]},{&quot;citationID&quot;:&quot;MENDELEY_CITATION_c59941b3-b43c-4f45-8140-41dd6c9b23b7&quot;,&quot;properties&quot;:{&quot;noteIndex&quot;:0},&quot;isEdited&quot;:false,&quot;manualOverride&quot;:{&quot;citeprocText&quot;:&quot;[143]&quot;,&quot;isManuallyOverridden&quot;:false,&quot;manualOverrideText&quot;:&quot;&quot;},&quot;citationTag&quot;:&quot;MENDELEY_CITATION_v3_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&quot;,&quot;citationItems&quot;:[{&quot;id&quot;:&quot;d5b3b78b-3ac5-53af-bfe5-296cd315ed5e&quot;,&quot;itemData&quot;:{&quot;DOI&quot;:&quot;10.1016/j.enbuild.2014.04.029&quot;,&quot;ISSN&quot;:&quot;03787788&quot;,&quot;abstract&quot;:&quot;This paper exposes a HVAC system installed and tested during the Solar Decathlon Europe 2012 competition at the SMLsystem prototype. This system is focussed to improve the performance of a heat pump based HVAC system with two thermal storage tanks using phase change materials (PCM). A cold tank is used to take advantage of the low outside temperatures at night to cool the PCM with a high COP and it is used later to cool the building when the outside temperature rises. The second tank is operated as an alternative hot reservoir which provides the system the flexibility to dissipate the heat to the tank at a constant temperature granting never to reduce the COP from a minimum value. Different functioning strategies to evaluate the efficient use of the HVAC system for cold accumulation and heat dissipation are shown and implemented.&quot;,&quot;author&quot;:[{&quot;dropping-particle&quot;:&quot;&quot;,&quot;family&quot;:&quot;Real&quot;,&quot;given&quot;:&quot;A.&quot;,&quot;non-dropping-particle&quot;:&quot;&quot;,&quot;parse-names&quot;:false,&quot;suffix&quot;:&quot;&quot;},{&quot;dropping-particle&quot;:&quot;&quot;,&quot;family&quot;:&quot;García&quot;,&quot;given&quot;:&quot;V.&quot;,&quot;non-dropping-particle&quot;:&quot;&quot;,&quot;parse-names&quot;:false,&quot;suffix&quot;:&quot;&quot;},{&quot;dropping-particle&quot;:&quot;&quot;,&quot;family&quot;:&quot;Domenech&quot;,&quot;given&quot;:&quot;L.&quot;,&quot;non-dropping-particle&quot;:&quot;&quot;,&quot;parse-names&quot;:false,&quot;suffix&quot;:&quot;&quot;},{&quot;dropping-particle&quot;:&quot;&quot;,&quot;family&quot;:&quot;Renau&quot;,&quot;given&quot;:&quot;J.&quot;,&quot;non-dropping-particle&quot;:&quot;&quot;,&quot;parse-names&quot;:false,&quot;suffix&quot;:&quot;&quot;},{&quot;dropping-particle&quot;:&quot;&quot;,&quot;family&quot;:&quot;Montés&quot;,&quot;given&quot;:&quot;N.&quot;,&quot;non-dropping-particle&quot;:&quot;&quot;,&quot;parse-names&quot;:false,&quot;suffix&quot;:&quot;&quot;},{&quot;dropping-particle&quot;:&quot;&quot;,&quot;family&quot;:&quot;Sánchez&quot;,&quot;given&quot;:&quot;F.&quot;,&quot;non-dropping-particle&quot;:&quot;&quot;,&quot;parse-names&quot;:false,&quot;suffix&quot;:&quot;&quot;}],&quot;container-title&quot;:&quot;Energy and Buildings&quot;,&quot;id&quot;:&quot;d5b3b78b-3ac5-53af-bfe5-296cd315ed5e&quot;,&quot;issued&quot;:{&quot;date-parts&quot;:[[&quot;2014&quot;]]},&quot;page&quot;:&quot;108-116&quot;,&quot;publisher&quot;:&quot;Elsevier B.V.&quot;,&quot;title&quot;:&quot;Improvement of a heat pump based HVAC system with PCM thermal storage for cold accumulation and heat dissipation&quot;,&quot;type&quot;:&quot;article-journal&quot;,&quot;volume&quot;:&quot;83&quot;,&quot;container-title-short&quot;:&quot;Energy Build&quot;},&quot;uris&quot;:[&quot;http://www.mendeley.com/documents/?uuid=3e977037-1f91-4752-b507-f6eaa87108ec&quot;],&quot;isTemporary&quot;:false,&quot;legacyDesktopId&quot;:&quot;3e977037-1f91-4752-b507-f6eaa87108ec&quot;}]},{&quot;citationID&quot;:&quot;MENDELEY_CITATION_ee5f904b-a5e3-4a49-8384-0f3f39ebf53e&quot;,&quot;properties&quot;:{&quot;noteIndex&quot;:0},&quot;isEdited&quot;:false,&quot;manualOverride&quot;:{&quot;citeprocText&quot;:&quot;[44], [144]–[146]&quot;,&quot;isManuallyOverridden&quot;:false,&quot;manualOverrideText&quot;:&quot;&quot;},&quot;citationTag&quot;:&quot;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&quot;,&quot;citationItems&quot;:[{&quot;id&quot;:&quot;f72bfbe2-1e11-3f49-a826-233eafec5191&quot;,&quot;itemData&quot;:{&quot;DOI&quot;:&quot;10.1016/j.apenergy.2015.10.122&quot;,&quot;ISSN&quot;:&quot;03062619&quot;,&quot;abstract&quot;:&quot;In this work, a combination of a latent heat thermal storage unit and a refrigeration system is presented as an air conditioning system. Overall system, including charging and discharging processes is analyzed for different phase change materials (PCMs) from exergoeconomic and environmental points of view. Based on comfort condition, three cases are selected with different size of PCM slabs and different PCMs: RT27, S27 and SP25. When the charging process takes place during the whole of off-peak hours the following results are obtained: (1) the system using SP25 has the highest value of the coefficient of performance; (2) the system using RT27 has the highest value of exergy efficiency and (3) the system using S27 has the lowest value of total cost rate. Finally, in order to obtain the best balance between the exergy destruction cost rate and the capital cost rate, the exergoeconomic factor is defined for each component, for different cases when system operates in the best performance conditions.&quot;,&quot;author&quot;:[{&quot;dropping-particle&quot;:&quot;&quot;,&quot;family&quot;:&quot;Mosaffa&quot;,&quot;given&quot;:&quot;A. H.&quot;,&quot;non-dropping-particle&quot;:&quot;&quot;,&quot;parse-names&quot;:false,&quot;suffix&quot;:&quot;&quot;},{&quot;dropping-particle&quot;:&quot;&quot;,&quot;family&quot;:&quot;Garousi Farshi&quot;,&quot;given&quot;:&quot;L.&quot;,&quot;non-dropping-particle&quot;:&quot;&quot;,&quot;parse-names&quot;:false,&quot;suffix&quot;:&quot;&quot;}],&quot;container-title&quot;:&quot;Applied Energy&quot;,&quot;id&quot;:&quot;f72bfbe2-1e11-3f49-a826-233eafec5191&quot;,&quot;issued&quot;:{&quot;date-parts&quot;:[[&quot;2016&quot;]]},&quot;page&quot;:&quot;515-526&quot;,&quot;publisher&quot;:&quot;Elsevier Ltd&quot;,&quot;title&quot;:&quot;Exergoeconomic and environmental analyses of an air conditioning system using thermal energy storage&quot;,&quot;type&quot;:&quot;article-journal&quot;,&quot;volume&quot;:&quot;162&quot;,&quot;container-title-short&quot;:&quot;Appl Energy&quot;},&quot;uris&quot;:[&quot;http://www.mendeley.com/documents/?uuid=248ace03-226d-4426-ab1a-17a1e2957e68&quot;],&quot;isTemporary&quot;:false,&quot;legacyDesktopId&quot;:&quot;248ace03-226d-4426-ab1a-17a1e2957e68&quot;},{&quot;id&quot;:&quot;f207b857-e432-34f3-89de-9424149ae6d4&quot;,&quot;itemData&quot;:{&quot;DOI&quot;:&quot;10.1016/j.ijrefrig.2012.03.023&quot;,&quot;ISSN&quot;:&quot;01407007&quot;,&quot;abstract&quot;:&quot;Thermal Energy Storage (TES) technology based on the use of Phase Change Materials (PCM) has recently raised an important practical interest. This is mainly due to the high-energy storage density during phase change within a very narrow temperature range. To give an illustrative example, eighty times more heat is required to melt certain amount of ice at 0 °C than to heat up 1 °C the same amount of water. In this paper, novel cooling unit using PCM called Indirect Evaporative and Storage Unit (IESU) has been designed, modeled and simulated through over the year. Moreover IESU has been optimized from technical and economic point of view for residential application in Mediterranean climate. Cooling systems with heat storage have attracted an increasing attention over the past decades. However, studies of IESU haven't been found in open literature. © 2012 Published by Elsevier Ltd and IIR. All rights reserved.&quot;,&quot;author&quot;:[{&quot;dropping-particle&quot;:&quot;&quot;,&quot;family&quot;:&quot;Jaber&quot;,&quot;given&quot;:&quot;Samar&quot;,&quot;non-dropping-particle&quot;:&quot;&quot;,&quot;parse-names&quot;:false,&quot;suffix&quot;:&quot;&quot;},{&quot;dropping-particle&quot;:&quot;&quot;,&quot;family&quot;:&quot;Ajib&quot;,&quot;given&quot;:&quot;Salman&quot;,&quot;non-dropping-particle&quot;:&quot;&quot;,&quot;parse-names&quot;:false,&quot;suffix&quot;:&quot;&quot;}],&quot;container-title&quot;:&quot;International Journal of Refrigeration&quot;,&quot;id&quot;:&quot;f207b857-e432-34f3-89de-9424149ae6d4&quot;,&quot;issued&quot;:{&quot;date-parts&quot;:[[&quot;2012&quot;]]},&quot;title&quot;:&quot;Novel cooling unit using PCM for residential application&quot;,&quot;type&quot;:&quot;article-journal&quot;,&quot;container-title-short&quot;:&quot;&quot;},&quot;uris&quot;:[&quot;http://www.mendeley.com/documents/?uuid=fdd4d341-668e-499c-9975-1d3c7137dd7a&quot;],&quot;isTemporary&quot;:false,&quot;legacyDesktopId&quot;:&quot;fdd4d341-668e-499c-9975-1d3c7137dd7a&quot;},{&quot;id&quot;:&quot;f5a3a029-6d67-3338-9450-9fabd028d938&quot;,&quot;itemData&quot;:{&quot;DOI&quot;:&quot;10.1016/j.enbuild.2007.05.001&quot;,&quot;ISSN&quot;:&quot;03787788&quot;,&quot;abstract&quot;:&quot;An air source heat pump water heater with phase change material (PCM) for thermal storage was designed to take advantage of off-peak electrical energy. The heat transfer model of PCM was based upon a pure conduction formulation. Quasi-steady state method was used to calculate the temperature distribution and phase front location of PCM during thermal storage process. Temperature and thermal resistance iteration approach has been developed for the analysis of temperature variation of heat transfer fluid (HTF) and phase front location of PCM during thermal release process. To test the physical validity of the calculational results, experimental studies about storing heat and releasing heat of PCM were carried. Comparison between the calculational results and the experimental data shows good agreement. Graphical results including system pressure and input power of heat pump, time-wise variation of stored and released thermal energy of PCM were presented and discussed. © 2007 Elsevier B.V. All rights reserved.&quot;,&quot;author&quot;:[{&quot;dropping-particle&quot;:&quot;&quot;,&quot;family&quot;:&quot;Long&quot;,&quot;given&quot;:&quot;Jian You&quot;,&quot;non-dropping-particle&quot;:&quot;&quot;,&quot;parse-names&quot;:false,&quot;suffix&quot;:&quot;&quot;},{&quot;dropping-particle&quot;:&quot;&quot;,&quot;family&quot;:&quot;Zhu&quot;,&quot;given&quot;:&quot;Dong Sheng&quot;,&quot;non-dropping-particle&quot;:&quot;&quot;,&quot;parse-names&quot;:false,&quot;suffix&quot;:&quot;&quot;}],&quot;container-title&quot;:&quot;Energy and Buildings&quot;,&quot;id&quot;:&quot;f5a3a029-6d67-3338-9450-9fabd028d938&quot;,&quot;issue&quot;:&quot;4&quot;,&quot;issued&quot;:{&quot;date-parts&quot;:[[&quot;2008&quot;,&quot;1&quot;,&quot;1&quot;]]},&quot;page&quot;:&quot;666-672&quot;,&quot;publisher&quot;:&quot;Elsevier&quot;,&quot;title&quot;:&quot;Numerical and experimental study on heat pump water heater with PCM for thermal storage&quot;,&quot;type&quot;:&quot;article-journal&quot;,&quot;volume&quot;:&quot;40&quot;,&quot;container-title-short&quot;:&quot;Energy Build&quot;},&quot;uris&quot;:[&quot;http://www.mendeley.com/documents/?uuid=f5a3a029-6d67-3338-9450-9fabd028d938&quot;],&quot;isTemporary&quot;:false,&quot;legacyDesktopId&quot;:&quot;f5a3a029-6d67-3338-9450-9fabd028d938&quot;},{&quot;id&quot;:&quot;bb0b5855-c4db-31ba-b77d-3cd19e1ace59&quot;,&quot;itemData&quot;:{&quot;DOI&quot;:&quot;10.1016/j.apenergy.2017.08.209&quot;,&quot;ISSN&quot;:&quot;03062619&quot;,&quot;abstract&quot;:&quot;With the improvement of energy saving and environmental protection requirements, the market share of heat pump water heater (HPWH) is gradually increasing. In order to increase the heat storage capacity and improve the performance of the system, an air-source HPWH with storage tank using water and finned phase change material (PCM) for heat storage is designed and experimentally studied. Performances of the HPWH for the first operation when the PCM is in heat storage and the second operation when the PCM is in heat discharge were compared and discussed. Furthermore, performances between the HPWH using water-PCM for heat storage and conventional HPWH with standard water tank were compared. The results show that the volume of the storage tank has little increase, but the heat storage is increased by 14%. Besides, when water is heated from 15 to 55 °C, the first operation time for the HPWH is almost the same as the normal operation time of the conventional HPWH, but the second operation time is shortened by13%.The results also show that the HPWH has good water temperature uniformity and its COP was improved.&quot;,&quot;author&quot;:[{&quot;dropping-particle&quot;:&quot;&quot;,&quot;family&quot;:&quot;Zou&quot;,&quot;given&quot;:&quot;Deqiu&quot;,&quot;non-dropping-particle&quot;:&quot;&quot;,&quot;parse-names&quot;:false,&quot;suffix&quot;:&quot;&quot;},{&quot;dropping-particle&quot;:&quot;&quot;,&quot;family&quot;:&quot;Ma&quot;,&quot;given&quot;:&quot;Xianfeng&quot;,&quot;non-dropping-particle&quot;:&quot;&quot;,&quot;parse-names&quot;:false,&quot;suffix&quot;:&quot;&quot;},{&quot;dropping-particle&quot;:&quot;&quot;,&quot;family&quot;:&quot;Liu&quot;,&quot;given&quot;:&quot;Xiaoshi&quot;,&quot;non-dropping-particle&quot;:&quot;&quot;,&quot;parse-names&quot;:false,&quot;suffix&quot;:&quot;&quot;},{&quot;dropping-particle&quot;:&quot;&quot;,&quot;family&quot;:&quot;Zheng&quot;,&quot;given&quot;:&quot;Pengjun&quot;,&quot;non-dropping-particle&quot;:&quot;&quot;,&quot;parse-names&quot;:false,&quot;suffix&quot;:&quot;&quot;},{&quot;dropping-particle&quot;:&quot;&quot;,&quot;family&quot;:&quot;Cai&quot;,&quot;given&quot;:&quot;Baiming&quot;,&quot;non-dropping-particle&quot;:&quot;&quot;,&quot;parse-names&quot;:false,&quot;suffix&quot;:&quot;&quot;},{&quot;dropping-particle&quot;:&quot;&quot;,&quot;family&quot;:&quot;Huang&quot;,&quot;given&quot;:&quot;Jianfeng&quot;,&quot;non-dropping-particle&quot;:&quot;&quot;,&quot;parse-names&quot;:false,&quot;suffix&quot;:&quot;&quot;},{&quot;dropping-particle&quot;:&quot;&quot;,&quot;family&quot;:&quot;Guo&quot;,&quot;given&quot;:&quot;Jiangrong&quot;,&quot;non-dropping-particle&quot;:&quot;&quot;,&quot;parse-names&quot;:false,&quot;suffix&quot;:&quot;&quot;},{&quot;dropping-particle&quot;:&quot;&quot;,&quot;family&quot;:&quot;Liu&quot;,&quot;given&quot;:&quot;Mo&quot;,&quot;non-dropping-particle&quot;:&quot;&quot;,&quot;parse-names&quot;:false,&quot;suffix&quot;:&quot;&quot;}],&quot;container-title&quot;:&quot;Applied Energy&quot;,&quot;id&quot;:&quot;bb0b5855-c4db-31ba-b77d-3cd19e1ace59&quot;,&quot;issued&quot;:{&quot;date-parts&quot;:[[&quot;2017&quot;,&quot;11&quot;,&quot;15&quot;]]},&quot;page&quot;:&quot;784-792&quot;,&quot;publisher&quot;:&quot;Elsevier Ltd&quot;,&quot;title&quot;:&quot;Experimental research of an air-source heat pump water heater using water-PCM for heat storage&quot;,&quot;type&quot;:&quot;article-journal&quot;,&quot;volume&quot;:&quot;206&quot;,&quot;container-title-short&quot;:&quot;Appl Energy&quot;},&quot;uris&quot;:[&quot;http://www.mendeley.com/documents/?uuid=bb0b5855-c4db-31ba-b77d-3cd19e1ace59&quot;],&quot;isTemporary&quot;:false,&quot;legacyDesktopId&quot;:&quot;bb0b5855-c4db-31ba-b77d-3cd19e1ace59&quot;}]},{&quot;citationID&quot;:&quot;MENDELEY_CITATION_e5cfd6a5-8a00-463e-9112-92ffb517e976&quot;,&quot;properties&quot;:{&quot;noteIndex&quot;:0},&quot;isEdited&quot;:false,&quot;manualOverride&quot;:{&quot;citeprocText&quot;:&quot;[143]&quot;,&quot;isManuallyOverridden&quot;:false,&quot;manualOverrideText&quot;:&quot;&quot;},&quot;citationTag&quot;:&quot;MENDELEY_CITATION_v3_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&quot;,&quot;citationItems&quot;:[{&quot;id&quot;:&quot;d5b3b78b-3ac5-53af-bfe5-296cd315ed5e&quot;,&quot;itemData&quot;:{&quot;DOI&quot;:&quot;10.1016/j.enbuild.2014.04.029&quot;,&quot;ISSN&quot;:&quot;03787788&quot;,&quot;abstract&quot;:&quot;This paper exposes a HVAC system installed and tested during the Solar Decathlon Europe 2012 competition at the SMLsystem prototype. This system is focussed to improve the performance of a heat pump based HVAC system with two thermal storage tanks using phase change materials (PCM). A cold tank is used to take advantage of the low outside temperatures at night to cool the PCM with a high COP and it is used later to cool the building when the outside temperature rises. The second tank is operated as an alternative hot reservoir which provides the system the flexibility to dissipate the heat to the tank at a constant temperature granting never to reduce the COP from a minimum value. Different functioning strategies to evaluate the efficient use of the HVAC system for cold accumulation and heat dissipation are shown and implemented.&quot;,&quot;author&quot;:[{&quot;dropping-particle&quot;:&quot;&quot;,&quot;family&quot;:&quot;Real&quot;,&quot;given&quot;:&quot;A.&quot;,&quot;non-dropping-particle&quot;:&quot;&quot;,&quot;parse-names&quot;:false,&quot;suffix&quot;:&quot;&quot;},{&quot;dropping-particle&quot;:&quot;&quot;,&quot;family&quot;:&quot;García&quot;,&quot;given&quot;:&quot;V.&quot;,&quot;non-dropping-particle&quot;:&quot;&quot;,&quot;parse-names&quot;:false,&quot;suffix&quot;:&quot;&quot;},{&quot;dropping-particle&quot;:&quot;&quot;,&quot;family&quot;:&quot;Domenech&quot;,&quot;given&quot;:&quot;L.&quot;,&quot;non-dropping-particle&quot;:&quot;&quot;,&quot;parse-names&quot;:false,&quot;suffix&quot;:&quot;&quot;},{&quot;dropping-particle&quot;:&quot;&quot;,&quot;family&quot;:&quot;Renau&quot;,&quot;given&quot;:&quot;J.&quot;,&quot;non-dropping-particle&quot;:&quot;&quot;,&quot;parse-names&quot;:false,&quot;suffix&quot;:&quot;&quot;},{&quot;dropping-particle&quot;:&quot;&quot;,&quot;family&quot;:&quot;Montés&quot;,&quot;given&quot;:&quot;N.&quot;,&quot;non-dropping-particle&quot;:&quot;&quot;,&quot;parse-names&quot;:false,&quot;suffix&quot;:&quot;&quot;},{&quot;dropping-particle&quot;:&quot;&quot;,&quot;family&quot;:&quot;Sánchez&quot;,&quot;given&quot;:&quot;F.&quot;,&quot;non-dropping-particle&quot;:&quot;&quot;,&quot;parse-names&quot;:false,&quot;suffix&quot;:&quot;&quot;}],&quot;container-title&quot;:&quot;Energy and Buildings&quot;,&quot;id&quot;:&quot;d5b3b78b-3ac5-53af-bfe5-296cd315ed5e&quot;,&quot;issued&quot;:{&quot;date-parts&quot;:[[&quot;2014&quot;]]},&quot;page&quot;:&quot;108-116&quot;,&quot;publisher&quot;:&quot;Elsevier B.V.&quot;,&quot;title&quot;:&quot;Improvement of a heat pump based HVAC system with PCM thermal storage for cold accumulation and heat dissipation&quot;,&quot;type&quot;:&quot;article-journal&quot;,&quot;volume&quot;:&quot;83&quot;,&quot;container-title-short&quot;:&quot;Energy Build&quot;},&quot;uris&quot;:[&quot;http://www.mendeley.com/documents/?uuid=3e977037-1f91-4752-b507-f6eaa87108ec&quot;],&quot;isTemporary&quot;:false,&quot;legacyDesktopId&quot;:&quot;3e977037-1f91-4752-b507-f6eaa87108ec&quot;}]},{&quot;citationID&quot;:&quot;MENDELEY_CITATION_87140a3b-420c-4cb5-a29c-c0a0820bcc78&quot;,&quot;properties&quot;:{&quot;noteIndex&quot;:0},&quot;isEdited&quot;:false,&quot;manualOverride&quot;:{&quot;citeprocText&quot;:&quot;[147]&quot;,&quot;isManuallyOverridden&quot;:false,&quot;manualOverrideText&quot;:&quot;&quot;},&quot;citationTag&quot;:&quot;MENDELEY_CITATION_v3_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&quot;,&quot;citationItems&quot;:[{&quot;id&quot;:&quot;1aeb0e0a-88dc-3701-86f1-d5b0f5847713&quot;,&quot;itemData&quot;:{&quot;DOI&quot;:&quot;10.1016/j.rser.2014.07.062&quot;,&quot;ISSN&quot;:&quot;13640321&quot;,&quot;abstract&quot;:&quot;Heat pumps for space heating and cooling are a mature and highly efficient technology that can take advantage of renewable energies. They can also provide energy savings by load shifting when they operate together with thermal energy storage (TES). This paper presents a literature review of TES systems using phase change materials (PCM) potentially applicable to domestic heat pumps used in residential and administrative buildings. The paper describes the systems proposed by the different authors and presents the main conclusions of the studies. The TES systems presented are not only used as energy storage to shift the load demand but also for other applications such as heat recovery or defrosting in air-conditioners. The PCM have the suitable melting temperature to work together with standard heat pumps in each application. Moreover, some systems where the heat pump is coupled to latent heat thermal energy storage (LHTES) units and other energy sources or where the TES system is incorporated in a radiant floor or air distribution system have also been included. © 2014 Elsevier Ltd.&quot;,&quot;author&quot;:[{&quot;dropping-particle&quot;:&quot;&quot;,&quot;family&quot;:&quot;Moreno&quot;,&quot;given&quot;:&quot;Pere&quot;,&quot;non-dropping-particle&quot;:&quot;&quot;,&quot;parse-names&quot;:false,&quot;suffix&quot;:&quot;&quot;},{&quot;dropping-particle&quot;:&quot;&quot;,&quot;family&quot;:&quot;Solé&quot;,&quot;given&quot;:&quot;Cristian&quot;,&quot;non-dropping-particle&quot;:&quot;&quot;,&quot;parse-names&quot;:false,&quot;suffix&quot;:&quot;&quot;},{&quot;dropping-particle&quot;:&quot;&quot;,&quot;family&quot;:&quot;Castell&quot;,&quot;given&quot;:&quot;Albert&quot;,&quot;non-dropping-particle&quot;:&quot;&quot;,&quot;parse-names&quot;:false,&quot;suffix&quot;:&quot;&quot;},{&quot;dropping-particle&quot;:&quot;&quot;,&quot;family&quot;:&quot;Cabeza&quot;,&quot;given&quot;:&quot;Luisa F.&quot;,&quot;non-dropping-particle&quot;:&quot;&quot;,&quot;parse-names&quot;:false,&quot;suffix&quot;:&quot;&quot;}],&quot;container-title&quot;:&quot;Renewable and Sustainable Energy Reviews&quot;,&quot;id&quot;:&quot;1aeb0e0a-88dc-3701-86f1-d5b0f5847713&quot;,&quot;issued&quot;:{&quot;date-parts&quot;:[[&quot;2014&quot;]]},&quot;page&quot;:&quot;1-13&quot;,&quot;publisher&quot;:&quot;Elsevier&quot;,&quot;title&quot;:&quot;The use of phase change materials in domestic heat pump and air-conditioning systems for short term storage: A review&quot;,&quot;type&quot;:&quot;article-journal&quot;,&quot;volume&quot;:&quot;39&quot;,&quot;container-title-short&quot;:&quot;&quot;},&quot;uris&quot;:[&quot;http://www.mendeley.com/documents/?uuid=5886a8a6-db35-481c-809d-b50eb5637638&quot;],&quot;isTemporary&quot;:false,&quot;legacyDesktopId&quot;:&quot;5886a8a6-db35-481c-809d-b50eb5637638&quot;}]},{&quot;citationID&quot;:&quot;MENDELEY_CITATION_ca358dde-15cd-4712-8701-d15b1f4df511&quot;,&quot;properties&quot;:{&quot;noteIndex&quot;:0},&quot;isEdited&quot;:false,&quot;manualOverride&quot;:{&quot;citeprocText&quot;:&quot;[44]&quot;,&quot;isManuallyOverridden&quot;:false,&quot;manualOverrideText&quot;:&quot;&quot;},&quot;citationTag&quot;:&quot;MENDELEY_CITATION_v3_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&quot;,&quot;citationItems&quot;:[{&quot;id&quot;:&quot;f72bfbe2-1e11-3f49-a826-233eafec5191&quot;,&quot;itemData&quot;:{&quot;DOI&quot;:&quot;10.1016/j.apenergy.2015.10.122&quot;,&quot;ISSN&quot;:&quot;03062619&quot;,&quot;abstract&quot;:&quot;In this work, a combination of a latent heat thermal storage unit and a refrigeration system is presented as an air conditioning system. Overall system, including charging and discharging processes is analyzed for different phase change materials (PCMs) from exergoeconomic and environmental points of view. Based on comfort condition, three cases are selected with different size of PCM slabs and different PCMs: RT27, S27 and SP25. When the charging process takes place during the whole of off-peak hours the following results are obtained: (1) the system using SP25 has the highest value of the coefficient of performance; (2) the system using RT27 has the highest value of exergy efficiency and (3) the system using S27 has the lowest value of total cost rate. Finally, in order to obtain the best balance between the exergy destruction cost rate and the capital cost rate, the exergoeconomic factor is defined for each component, for different cases when system operates in the best performance conditions.&quot;,&quot;author&quot;:[{&quot;dropping-particle&quot;:&quot;&quot;,&quot;family&quot;:&quot;Mosaffa&quot;,&quot;given&quot;:&quot;A. H.&quot;,&quot;non-dropping-particle&quot;:&quot;&quot;,&quot;parse-names&quot;:false,&quot;suffix&quot;:&quot;&quot;},{&quot;dropping-particle&quot;:&quot;&quot;,&quot;family&quot;:&quot;Garousi Farshi&quot;,&quot;given&quot;:&quot;L.&quot;,&quot;non-dropping-particle&quot;:&quot;&quot;,&quot;parse-names&quot;:false,&quot;suffix&quot;:&quot;&quot;}],&quot;container-title&quot;:&quot;Applied Energy&quot;,&quot;id&quot;:&quot;f72bfbe2-1e11-3f49-a826-233eafec5191&quot;,&quot;issued&quot;:{&quot;date-parts&quot;:[[&quot;2016&quot;]]},&quot;page&quot;:&quot;515-526&quot;,&quot;publisher&quot;:&quot;Elsevier Ltd&quot;,&quot;title&quot;:&quot;Exergoeconomic and environmental analyses of an air conditioning system using thermal energy storage&quot;,&quot;type&quot;:&quot;article-journal&quot;,&quot;volume&quot;:&quot;162&quot;,&quot;container-title-short&quot;:&quot;Appl Energy&quot;},&quot;uris&quot;:[&quot;http://www.mendeley.com/documents/?uuid=248ace03-226d-4426-ab1a-17a1e2957e68&quot;],&quot;isTemporary&quot;:false,&quot;legacyDesktopId&quot;:&quot;248ace03-226d-4426-ab1a-17a1e2957e68&quot;}]},{&quot;citationID&quot;:&quot;MENDELEY_CITATION_cb6a7f98-9e84-40e4-bfb4-4bdeb86cf39c&quot;,&quot;properties&quot;:{&quot;noteIndex&quot;:0},&quot;isEdited&quot;:false,&quot;manualOverride&quot;:{&quot;citeprocText&quot;:&quot;[144]&quot;,&quot;isManuallyOverridden&quot;:false,&quot;manualOverrideText&quot;:&quot;&quot;},&quot;citationTag&quot;:&quot;MENDELEY_CITATION_v3_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&quot;,&quot;citationItems&quot;:[{&quot;id&quot;:&quot;f207b857-e432-34f3-89de-9424149ae6d4&quot;,&quot;itemData&quot;:{&quot;DOI&quot;:&quot;10.1016/j.ijrefrig.2012.03.023&quot;,&quot;ISSN&quot;:&quot;01407007&quot;,&quot;abstract&quot;:&quot;Thermal Energy Storage (TES) technology based on the use of Phase Change Materials (PCM) has recently raised an important practical interest. This is mainly due to the high-energy storage density during phase change within a very narrow temperature range. To give an illustrative example, eighty times more heat is required to melt certain amount of ice at 0 °C than to heat up 1 °C the same amount of water. In this paper, novel cooling unit using PCM called Indirect Evaporative and Storage Unit (IESU) has been designed, modeled and simulated through over the year. Moreover IESU has been optimized from technical and economic point of view for residential application in Mediterranean climate. Cooling systems with heat storage have attracted an increasing attention over the past decades. However, studies of IESU haven't been found in open literature. © 2012 Published by Elsevier Ltd and IIR. All rights reserved.&quot;,&quot;author&quot;:[{&quot;dropping-particle&quot;:&quot;&quot;,&quot;family&quot;:&quot;Jaber&quot;,&quot;given&quot;:&quot;Samar&quot;,&quot;non-dropping-particle&quot;:&quot;&quot;,&quot;parse-names&quot;:false,&quot;suffix&quot;:&quot;&quot;},{&quot;dropping-particle&quot;:&quot;&quot;,&quot;family&quot;:&quot;Ajib&quot;,&quot;given&quot;:&quot;Salman&quot;,&quot;non-dropping-particle&quot;:&quot;&quot;,&quot;parse-names&quot;:false,&quot;suffix&quot;:&quot;&quot;}],&quot;container-title&quot;:&quot;International Journal of Refrigeration&quot;,&quot;id&quot;:&quot;f207b857-e432-34f3-89de-9424149ae6d4&quot;,&quot;issued&quot;:{&quot;date-parts&quot;:[[&quot;2012&quot;]]},&quot;title&quot;:&quot;Novel cooling unit using PCM for residential application&quot;,&quot;type&quot;:&quot;article-journal&quot;,&quot;container-title-short&quot;:&quot;&quot;},&quot;uris&quot;:[&quot;http://www.mendeley.com/documents/?uuid=fdd4d341-668e-499c-9975-1d3c7137dd7a&quot;],&quot;isTemporary&quot;:false,&quot;legacyDesktopId&quot;:&quot;fdd4d341-668e-499c-9975-1d3c7137dd7a&quot;}]},{&quot;citationID&quot;:&quot;MENDELEY_CITATION_38853b91-c043-425f-a655-290e19a78ed8&quot;,&quot;properties&quot;:{&quot;noteIndex&quot;:0},&quot;isEdited&quot;:false,&quot;manualOverride&quot;:{&quot;citeprocText&quot;:&quot;[145]&quot;,&quot;isManuallyOverridden&quot;:false,&quot;manualOverrideText&quot;:&quot;&quot;},&quot;citationTag&quot;:&quot;MENDELEY_CITATION_v3_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&quot;,&quot;citationItems&quot;:[{&quot;id&quot;:&quot;f5a3a029-6d67-3338-9450-9fabd028d938&quot;,&quot;itemData&quot;:{&quot;DOI&quot;:&quot;10.1016/j.enbuild.2007.05.001&quot;,&quot;ISSN&quot;:&quot;03787788&quot;,&quot;abstract&quot;:&quot;An air source heat pump water heater with phase change material (PCM) for thermal storage was designed to take advantage of off-peak electrical energy. The heat transfer model of PCM was based upon a pure conduction formulation. Quasi-steady state method was used to calculate the temperature distribution and phase front location of PCM during thermal storage process. Temperature and thermal resistance iteration approach has been developed for the analysis of temperature variation of heat transfer fluid (HTF) and phase front location of PCM during thermal release process. To test the physical validity of the calculational results, experimental studies about storing heat and releasing heat of PCM were carried. Comparison between the calculational results and the experimental data shows good agreement. Graphical results including system pressure and input power of heat pump, time-wise variation of stored and released thermal energy of PCM were presented and discussed. © 2007 Elsevier B.V. All rights reserved.&quot;,&quot;author&quot;:[{&quot;dropping-particle&quot;:&quot;&quot;,&quot;family&quot;:&quot;Long&quot;,&quot;given&quot;:&quot;Jian You&quot;,&quot;non-dropping-particle&quot;:&quot;&quot;,&quot;parse-names&quot;:false,&quot;suffix&quot;:&quot;&quot;},{&quot;dropping-particle&quot;:&quot;&quot;,&quot;family&quot;:&quot;Zhu&quot;,&quot;given&quot;:&quot;Dong Sheng&quot;,&quot;non-dropping-particle&quot;:&quot;&quot;,&quot;parse-names&quot;:false,&quot;suffix&quot;:&quot;&quot;}],&quot;container-title&quot;:&quot;Energy and Buildings&quot;,&quot;id&quot;:&quot;f5a3a029-6d67-3338-9450-9fabd028d938&quot;,&quot;issue&quot;:&quot;4&quot;,&quot;issued&quot;:{&quot;date-parts&quot;:[[&quot;2008&quot;,&quot;1&quot;,&quot;1&quot;]]},&quot;page&quot;:&quot;666-672&quot;,&quot;publisher&quot;:&quot;Elsevier&quot;,&quot;title&quot;:&quot;Numerical and experimental study on heat pump water heater with PCM for thermal storage&quot;,&quot;type&quot;:&quot;article-journal&quot;,&quot;volume&quot;:&quot;40&quot;,&quot;container-title-short&quot;:&quot;Energy Build&quot;},&quot;uris&quot;:[&quot;http://www.mendeley.com/documents/?uuid=f5a3a029-6d67-3338-9450-9fabd028d938&quot;],&quot;isTemporary&quot;:false,&quot;legacyDesktopId&quot;:&quot;f5a3a029-6d67-3338-9450-9fabd028d938&quot;}]},{&quot;citationID&quot;:&quot;MENDELEY_CITATION_63c35595-1b61-49a2-a392-cb0ce4e7eff5&quot;,&quot;properties&quot;:{&quot;noteIndex&quot;:0},&quot;isEdited&quot;:false,&quot;manualOverride&quot;:{&quot;citeprocText&quot;:&quot;[146]&quot;,&quot;isManuallyOverridden&quot;:false,&quot;manualOverrideText&quot;:&quot;&quot;},&quot;citationTag&quot;:&quot;MENDELEY_CITATION_v3_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&quot;,&quot;citationItems&quot;:[{&quot;id&quot;:&quot;bb0b5855-c4db-31ba-b77d-3cd19e1ace59&quot;,&quot;itemData&quot;:{&quot;DOI&quot;:&quot;10.1016/j.apenergy.2017.08.209&quot;,&quot;ISSN&quot;:&quot;03062619&quot;,&quot;abstract&quot;:&quot;With the improvement of energy saving and environmental protection requirements, the market share of heat pump water heater (HPWH) is gradually increasing. In order to increase the heat storage capacity and improve the performance of the system, an air-source HPWH with storage tank using water and finned phase change material (PCM) for heat storage is designed and experimentally studied. Performances of the HPWH for the first operation when the PCM is in heat storage and the second operation when the PCM is in heat discharge were compared and discussed. Furthermore, performances between the HPWH using water-PCM for heat storage and conventional HPWH with standard water tank were compared. The results show that the volume of the storage tank has little increase, but the heat storage is increased by 14%. Besides, when water is heated from 15 to 55 °C, the first operation time for the HPWH is almost the same as the normal operation time of the conventional HPWH, but the second operation time is shortened by13%.The results also show that the HPWH has good water temperature uniformity and its COP was improved.&quot;,&quot;author&quot;:[{&quot;dropping-particle&quot;:&quot;&quot;,&quot;family&quot;:&quot;Zou&quot;,&quot;given&quot;:&quot;Deqiu&quot;,&quot;non-dropping-particle&quot;:&quot;&quot;,&quot;parse-names&quot;:false,&quot;suffix&quot;:&quot;&quot;},{&quot;dropping-particle&quot;:&quot;&quot;,&quot;family&quot;:&quot;Ma&quot;,&quot;given&quot;:&quot;Xianfeng&quot;,&quot;non-dropping-particle&quot;:&quot;&quot;,&quot;parse-names&quot;:false,&quot;suffix&quot;:&quot;&quot;},{&quot;dropping-particle&quot;:&quot;&quot;,&quot;family&quot;:&quot;Liu&quot;,&quot;given&quot;:&quot;Xiaoshi&quot;,&quot;non-dropping-particle&quot;:&quot;&quot;,&quot;parse-names&quot;:false,&quot;suffix&quot;:&quot;&quot;},{&quot;dropping-particle&quot;:&quot;&quot;,&quot;family&quot;:&quot;Zheng&quot;,&quot;given&quot;:&quot;Pengjun&quot;,&quot;non-dropping-particle&quot;:&quot;&quot;,&quot;parse-names&quot;:false,&quot;suffix&quot;:&quot;&quot;},{&quot;dropping-particle&quot;:&quot;&quot;,&quot;family&quot;:&quot;Cai&quot;,&quot;given&quot;:&quot;Baiming&quot;,&quot;non-dropping-particle&quot;:&quot;&quot;,&quot;parse-names&quot;:false,&quot;suffix&quot;:&quot;&quot;},{&quot;dropping-particle&quot;:&quot;&quot;,&quot;family&quot;:&quot;Huang&quot;,&quot;given&quot;:&quot;Jianfeng&quot;,&quot;non-dropping-particle&quot;:&quot;&quot;,&quot;parse-names&quot;:false,&quot;suffix&quot;:&quot;&quot;},{&quot;dropping-particle&quot;:&quot;&quot;,&quot;family&quot;:&quot;Guo&quot;,&quot;given&quot;:&quot;Jiangrong&quot;,&quot;non-dropping-particle&quot;:&quot;&quot;,&quot;parse-names&quot;:false,&quot;suffix&quot;:&quot;&quot;},{&quot;dropping-particle&quot;:&quot;&quot;,&quot;family&quot;:&quot;Liu&quot;,&quot;given&quot;:&quot;Mo&quot;,&quot;non-dropping-particle&quot;:&quot;&quot;,&quot;parse-names&quot;:false,&quot;suffix&quot;:&quot;&quot;}],&quot;container-title&quot;:&quot;Applied Energy&quot;,&quot;id&quot;:&quot;bb0b5855-c4db-31ba-b77d-3cd19e1ace59&quot;,&quot;issued&quot;:{&quot;date-parts&quot;:[[&quot;2017&quot;,&quot;11&quot;,&quot;15&quot;]]},&quot;page&quot;:&quot;784-792&quot;,&quot;publisher&quot;:&quot;Elsevier Ltd&quot;,&quot;title&quot;:&quot;Experimental research of an air-source heat pump water heater using water-PCM for heat storage&quot;,&quot;type&quot;:&quot;article-journal&quot;,&quot;volume&quot;:&quot;206&quot;,&quot;container-title-short&quot;:&quot;Appl Energy&quot;},&quot;uris&quot;:[&quot;http://www.mendeley.com/documents/?uuid=bb0b5855-c4db-31ba-b77d-3cd19e1ace59&quot;],&quot;isTemporary&quot;:false,&quot;legacyDesktopId&quot;:&quot;bb0b5855-c4db-31ba-b77d-3cd19e1ace59&quot;}]},{&quot;citationID&quot;:&quot;MENDELEY_CITATION_21c70848-7de8-4236-ba9b-da875efb4b88&quot;,&quot;properties&quot;:{&quot;noteIndex&quot;:0},&quot;isEdited&quot;:false,&quot;manualOverride&quot;:{&quot;citeprocText&quot;:&quot;[145]&quot;,&quot;isManuallyOverridden&quot;:false,&quot;manualOverrideText&quot;:&quot;&quot;},&quot;citationTag&quot;:&quot;MENDELEY_CITATION_v3_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&quot;,&quot;citationItems&quot;:[{&quot;id&quot;:&quot;f5a3a029-6d67-3338-9450-9fabd028d938&quot;,&quot;itemData&quot;:{&quot;DOI&quot;:&quot;10.1016/j.enbuild.2007.05.001&quot;,&quot;ISSN&quot;:&quot;03787788&quot;,&quot;abstract&quot;:&quot;An air source heat pump water heater with phase change material (PCM) for thermal storage was designed to take advantage of off-peak electrical energy. The heat transfer model of PCM was based upon a pure conduction formulation. Quasi-steady state method was used to calculate the temperature distribution and phase front location of PCM during thermal storage process. Temperature and thermal resistance iteration approach has been developed for the analysis of temperature variation of heat transfer fluid (HTF) and phase front location of PCM during thermal release process. To test the physical validity of the calculational results, experimental studies about storing heat and releasing heat of PCM were carried. Comparison between the calculational results and the experimental data shows good agreement. Graphical results including system pressure and input power of heat pump, time-wise variation of stored and released thermal energy of PCM were presented and discussed. © 2007 Elsevier B.V. All rights reserved.&quot;,&quot;author&quot;:[{&quot;dropping-particle&quot;:&quot;&quot;,&quot;family&quot;:&quot;Long&quot;,&quot;given&quot;:&quot;Jian You&quot;,&quot;non-dropping-particle&quot;:&quot;&quot;,&quot;parse-names&quot;:false,&quot;suffix&quot;:&quot;&quot;},{&quot;dropping-particle&quot;:&quot;&quot;,&quot;family&quot;:&quot;Zhu&quot;,&quot;given&quot;:&quot;Dong Sheng&quot;,&quot;non-dropping-particle&quot;:&quot;&quot;,&quot;parse-names&quot;:false,&quot;suffix&quot;:&quot;&quot;}],&quot;container-title&quot;:&quot;Energy and Buildings&quot;,&quot;id&quot;:&quot;f5a3a029-6d67-3338-9450-9fabd028d938&quot;,&quot;issue&quot;:&quot;4&quot;,&quot;issued&quot;:{&quot;date-parts&quot;:[[&quot;2008&quot;,&quot;1&quot;,&quot;1&quot;]]},&quot;page&quot;:&quot;666-672&quot;,&quot;publisher&quot;:&quot;Elsevier&quot;,&quot;title&quot;:&quot;Numerical and experimental study on heat pump water heater with PCM for thermal storage&quot;,&quot;type&quot;:&quot;article-journal&quot;,&quot;volume&quot;:&quot;40&quot;,&quot;container-title-short&quot;:&quot;Energy Build&quot;},&quot;uris&quot;:[&quot;http://www.mendeley.com/documents/?uuid=f5a3a029-6d67-3338-9450-9fabd028d938&quot;],&quot;isTemporary&quot;:false,&quot;legacyDesktopId&quot;:&quot;f5a3a029-6d67-3338-9450-9fabd028d938&quot;}]},{&quot;citationID&quot;:&quot;MENDELEY_CITATION_8378d9bc-aef0-42f1-955b-a5945abcddce&quot;,&quot;properties&quot;:{&quot;noteIndex&quot;:0},&quot;isEdited&quot;:false,&quot;manualOverride&quot;:{&quot;citeprocText&quot;:&quot;[146]&quot;,&quot;isManuallyOverridden&quot;:false,&quot;manualOverrideText&quot;:&quot;&quot;},&quot;citationTag&quot;:&quot;MENDELEY_CITATION_v3_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&quot;,&quot;citationItems&quot;:[{&quot;id&quot;:&quot;bb0b5855-c4db-31ba-b77d-3cd19e1ace59&quot;,&quot;itemData&quot;:{&quot;DOI&quot;:&quot;10.1016/j.apenergy.2017.08.209&quot;,&quot;ISSN&quot;:&quot;03062619&quot;,&quot;abstract&quot;:&quot;With the improvement of energy saving and environmental protection requirements, the market share of heat pump water heater (HPWH) is gradually increasing. In order to increase the heat storage capacity and improve the performance of the system, an air-source HPWH with storage tank using water and finned phase change material (PCM) for heat storage is designed and experimentally studied. Performances of the HPWH for the first operation when the PCM is in heat storage and the second operation when the PCM is in heat discharge were compared and discussed. Furthermore, performances between the HPWH using water-PCM for heat storage and conventional HPWH with standard water tank were compared. The results show that the volume of the storage tank has little increase, but the heat storage is increased by 14%. Besides, when water is heated from 15 to 55 °C, the first operation time for the HPWH is almost the same as the normal operation time of the conventional HPWH, but the second operation time is shortened by13%.The results also show that the HPWH has good water temperature uniformity and its COP was improved.&quot;,&quot;author&quot;:[{&quot;dropping-particle&quot;:&quot;&quot;,&quot;family&quot;:&quot;Zou&quot;,&quot;given&quot;:&quot;Deqiu&quot;,&quot;non-dropping-particle&quot;:&quot;&quot;,&quot;parse-names&quot;:false,&quot;suffix&quot;:&quot;&quot;},{&quot;dropping-particle&quot;:&quot;&quot;,&quot;family&quot;:&quot;Ma&quot;,&quot;given&quot;:&quot;Xianfeng&quot;,&quot;non-dropping-particle&quot;:&quot;&quot;,&quot;parse-names&quot;:false,&quot;suffix&quot;:&quot;&quot;},{&quot;dropping-particle&quot;:&quot;&quot;,&quot;family&quot;:&quot;Liu&quot;,&quot;given&quot;:&quot;Xiaoshi&quot;,&quot;non-dropping-particle&quot;:&quot;&quot;,&quot;parse-names&quot;:false,&quot;suffix&quot;:&quot;&quot;},{&quot;dropping-particle&quot;:&quot;&quot;,&quot;family&quot;:&quot;Zheng&quot;,&quot;given&quot;:&quot;Pengjun&quot;,&quot;non-dropping-particle&quot;:&quot;&quot;,&quot;parse-names&quot;:false,&quot;suffix&quot;:&quot;&quot;},{&quot;dropping-particle&quot;:&quot;&quot;,&quot;family&quot;:&quot;Cai&quot;,&quot;given&quot;:&quot;Baiming&quot;,&quot;non-dropping-particle&quot;:&quot;&quot;,&quot;parse-names&quot;:false,&quot;suffix&quot;:&quot;&quot;},{&quot;dropping-particle&quot;:&quot;&quot;,&quot;family&quot;:&quot;Huang&quot;,&quot;given&quot;:&quot;Jianfeng&quot;,&quot;non-dropping-particle&quot;:&quot;&quot;,&quot;parse-names&quot;:false,&quot;suffix&quot;:&quot;&quot;},{&quot;dropping-particle&quot;:&quot;&quot;,&quot;family&quot;:&quot;Guo&quot;,&quot;given&quot;:&quot;Jiangrong&quot;,&quot;non-dropping-particle&quot;:&quot;&quot;,&quot;parse-names&quot;:false,&quot;suffix&quot;:&quot;&quot;},{&quot;dropping-particle&quot;:&quot;&quot;,&quot;family&quot;:&quot;Liu&quot;,&quot;given&quot;:&quot;Mo&quot;,&quot;non-dropping-particle&quot;:&quot;&quot;,&quot;parse-names&quot;:false,&quot;suffix&quot;:&quot;&quot;}],&quot;container-title&quot;:&quot;Applied Energy&quot;,&quot;id&quot;:&quot;bb0b5855-c4db-31ba-b77d-3cd19e1ace59&quot;,&quot;issued&quot;:{&quot;date-parts&quot;:[[&quot;2017&quot;,&quot;11&quot;,&quot;15&quot;]]},&quot;page&quot;:&quot;784-792&quot;,&quot;publisher&quot;:&quot;Elsevier Ltd&quot;,&quot;title&quot;:&quot;Experimental research of an air-source heat pump water heater using water-PCM for heat storage&quot;,&quot;type&quot;:&quot;article-journal&quot;,&quot;volume&quot;:&quot;206&quot;,&quot;container-title-short&quot;:&quot;Appl Energy&quot;},&quot;uris&quot;:[&quot;http://www.mendeley.com/documents/?uuid=bb0b5855-c4db-31ba-b77d-3cd19e1ace59&quot;],&quot;isTemporary&quot;:false,&quot;legacyDesktopId&quot;:&quot;bb0b5855-c4db-31ba-b77d-3cd19e1ace59&quot;}]},{&quot;citationID&quot;:&quot;MENDELEY_CITATION_0c877172-6ea2-4c81-94a0-b343921d4958&quot;,&quot;properties&quot;:{&quot;noteIndex&quot;:0},&quot;isEdited&quot;:false,&quot;manualOverride&quot;:{&quot;citeprocText&quot;:&quot;[3]&quot;,&quot;isManuallyOverridden&quot;:false,&quot;manualOverrideText&quot;:&quot;&quot;},&quot;citationTag&quot;:&quot;MENDELEY_CITATION_v3_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&quot;,&quot;citationItems&quot;:[{&quot;id&quot;:&quot;d58303d9-4049-3b21-b4ce-c77cfc399f52&quot;,&quot;itemData&quot;:{&quot;DOI&quot;:&quot;10.1109/PESGM40551.2019.8973936&quot;,&quot;ISBN&quot;:&quot;9781728119816&quot;,&quot;ISSN&quot;:&quot;19449933&quot;,&quot;abstract&quot;:&quot;In this paper, we examine the potential for using phase change material (PCM) as a thermal storage medium for improving the efficiency as well as enabling grid-responsive control of heat pump (HP) systems. Previous research in PCM integration in buildings has primarily been focused on integration with building envelopes. An objective of our research is to design a novel and practical PCM integration with existing HP systems. High-fidelity models for building, HP and PCM are developed to facilitate the model-based predictive control (MPC) design. To optimize the operation of HP and PCM, we introduce an optimization problem considering various constraints for both comfort and hardware constraints. We include experimental results in which a house fleet are optimized to minimize their power consumption or electricity cost. We numerically demonstrate the designs potential for reducing power consumption or electricity cost by 13% or 19%, respectively.&quot;,&quot;author&quot;:[{&quot;dropping-particle&quot;:&quot;&quot;,&quot;family&quot;:&quot;Dong&quot;,&quot;given&quot;:&quot;Jin&quot;,&quot;non-dropping-particle&quot;:&quot;&quot;,&quot;parse-names&quot;:false,&quot;suffix&quot;:&quot;&quot;},{&quot;dropping-particle&quot;:&quot;&quot;,&quot;family&quot;:&quot;Shen&quot;,&quot;given&quot;:&quot;Bo&quot;,&quot;non-dropping-particle&quot;:&quot;&quot;,&quot;parse-names&quot;:false,&quot;suffix&quot;:&quot;&quot;},{&quot;dropping-particle&quot;:&quot;&quot;,&quot;family&quot;:&quot;Munk&quot;,&quot;given&quot;:&quot;Jeffrey&quot;,&quot;non-dropping-particle&quot;:&quot;&quot;,&quot;parse-names&quot;:false,&quot;suffix&quot;:&quot;&quot;},{&quot;dropping-particle&quot;:&quot;&quot;,&quot;family&quot;:&quot;Gluesenkamp&quot;,&quot;given&quot;:&quot;Kyle R.&quot;,&quot;non-dropping-particle&quot;:&quot;&quot;,&quot;parse-names&quot;:false,&quot;suffix&quot;:&quot;&quot;},{&quot;dropping-particle&quot;:&quot;&quot;,&quot;family&quot;:&quot;Laclair&quot;,&quot;given&quot;:&quot;Tim&quot;,&quot;non-dropping-particle&quot;:&quot;&quot;,&quot;parse-names&quot;:false,&quot;suffix&quot;:&quot;&quot;},{&quot;dropping-particle&quot;:&quot;&quot;,&quot;family&quot;:&quot;Kuruganti&quot;,&quot;given&quot;:&quot;Teja&quot;,&quot;non-dropping-particle&quot;:&quot;&quot;,&quot;parse-names&quot;:false,&quot;suffix&quot;:&quot;&quot;}],&quot;container-title&quot;:&quot;IEEE Power and Energy Society General Meeting&quot;,&quot;id&quot;:&quot;d58303d9-4049-3b21-b4ce-c77cfc399f52&quot;,&quot;issued&quot;:{&quot;date-parts&quot;:[[&quot;2019&quot;]]},&quot;title&quot;:&quot;Novel PCM Integration with Electrical Heat Pump for Demand Response&quot;,&quot;type&quot;:&quot;paper-conference&quot;,&quot;container-title-short&quot;:&quot;&quot;},&quot;uris&quot;:[&quot;http://www.mendeley.com/documents/?uuid=a85cbfa5-0df7-4e10-9431-26967e90678b&quot;],&quot;isTemporary&quot;:false,&quot;legacyDesktopId&quot;:&quot;a85cbfa5-0df7-4e10-9431-26967e90678b&quot;}]},{&quot;citationID&quot;:&quot;MENDELEY_CITATION_34646736-9f36-4eb8-8c90-37b946d01652&quot;,&quot;properties&quot;:{&quot;noteIndex&quot;:0},&quot;isEdited&quot;:false,&quot;manualOverride&quot;:{&quot;citeprocText&quot;:&quot;[148]&quot;,&quot;isManuallyOverridden&quot;:false,&quot;manualOverrideText&quot;:&quot;&quot;},&quot;citationTag&quot;:&quot;MENDELEY_CITATION_v3_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&quot;,&quot;citationItems&quot;:[{&quot;id&quot;:&quot;bbb70e9c-6b20-3c71-b4f4-6a1aa72715eb&quot;,&quot;itemData&quot;:{&quot;DOI&quot;:&quot;10.1016/j.renene.2020.08.007&quot;,&quot;ISSN&quot;:&quot;18790682&quot;,&quot;abstract&quot;:&quot;The incorporation of phase change materials (PCMs) in buildings increases their thermal mass and hence improves thermal comfort through internal temperature stabilization. In this paper, the thermal performance of an active PCM system was compared with that of a passive system. Two identical test huts, each equipped with a control system were used to investigate the potential of passive and active systems for energy-saving and peak load shifting. One of the huts was equipped with PCM-impregnated wallboards, while the other hut was provided with active air-PCM heat storage units designed and fabricated at the University of Auckland. Both huts were cooled with an air conditioner or heated using both solar and electric heaters. For space cooling, the hut with active PCM consumed 8% more electricity to maintain comfort, although the energy storage capacity of PCM used was 50% less than that used in the active application. Over ten days in winter, the energy consumed in the hut provided with an active storage system was 22% less when both passive and active systems had the same amount of energy storage capacity. The investigation of peak load shifting showed 32% less in electricity cost when an active storage system was used.&quot;,&quot;author&quot;:[{&quot;dropping-particle&quot;:&quot;&quot;,&quot;family&quot;:&quot;Gholamibozanjani&quot;,&quot;given&quot;:&quot;Gohar&quot;,&quot;non-dropping-particle&quot;:&quot;&quot;,&quot;parse-names&quot;:false,&quot;suffix&quot;:&quot;&quot;},{&quot;dropping-particle&quot;:&quot;&quot;,&quot;family&quot;:&quot;Farid&quot;,&quot;given&quot;:&quot;Mohammed&quot;,&quot;non-dropping-particle&quot;:&quot;&quot;,&quot;parse-names&quot;:false,&quot;suffix&quot;:&quot;&quot;}],&quot;container-title&quot;:&quot;Renewable Energy&quot;,&quot;id&quot;:&quot;bbb70e9c-6b20-3c71-b4f4-6a1aa72715eb&quot;,&quot;issued&quot;:{&quot;date-parts&quot;:[[&quot;2020&quot;,&quot;12&quot;,&quot;1&quot;]]},&quot;page&quot;:&quot;112-123&quot;,&quot;publisher&quot;:&quot;Pergamon&quot;,&quot;title&quot;:&quot;A comparison between passive and active PCM systems applied to buildings&quot;,&quot;type&quot;:&quot;article-journal&quot;,&quot;volume&quot;:&quot;162&quot;,&quot;container-title-short&quot;:&quot;Renew Energy&quot;},&quot;uris&quot;:[&quot;http://www.mendeley.com/documents/?uuid=bbb70e9c-6b20-3c71-b4f4-6a1aa72715eb&quot;],&quot;isTemporary&quot;:false,&quot;legacyDesktopId&quot;:&quot;bbb70e9c-6b20-3c71-b4f4-6a1aa72715eb&quot;}]},{&quot;citationID&quot;:&quot;MENDELEY_CITATION_e4b1bd01-b700-4504-a94a-9f8286dc5cab&quot;,&quot;properties&quot;:{&quot;noteIndex&quot;:0},&quot;isEdited&quot;:false,&quot;manualOverride&quot;:{&quot;citeprocText&quot;:&quot;[136]&quot;,&quot;isManuallyOverridden&quot;:false,&quot;manualOverrideText&quot;:&quot;&quot;},&quot;citationTag&quot;:&quot;MENDELEY_CITATION_v3_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&quot;,&quot;citationItems&quot;:[{&quot;id&quot;:&quot;17a415ea-52e6-3bab-94c5-f16dc6a535fc&quot;,&quot;itemData&quot;:{&quot;ISSN&quot;:&quot;00012505&quot;,&quot;abstract&quot;:&quot;In this study, the effects of peak shaving control of air-conditioning systems using phase-change material (PCM) for ceiling board in an office building were examined. Rock wool PCM ceiling board (PCM ceiling board) was enhanced by adding microcapsulate PCM, whose melting point, at about 25°C, is close to room temperature. The load on the air-handling unit (AHU) can be reduced by using the thermal storage of the PCM ceiling board during the peak shaving control period. At the same time, the radiation field in the room can also be improved due to stabilization of the ceiling board temperature at the PCM melting point. During overnight thermal storage, cool air from the AHU flows into the ceiling chamber space and chills the PCM ceiling board, storing the cooling thermal energy. During the peak shaving period, when the thermal load is at maximum, the air from the room returns to the AHU via the ceiling chamber space. As a result of passing through the cooled-down PCM ceiling board, the warm air from the room cools down before returning to the AHU. The maximum thermal load and the capacity of heat source can thus be reduced. The results of this research were obtained by examining measurements of the thermal capacity of the PCM ceiling board and a numerical simulation. The maximum thermal load was cut by 9.4% compared to conventional rock wool ceiling board. From this result, it can be concluded that the PCM ceiling system acts effectively to enable peak shaving control. © 2006 ASHRAE.&quot;,&quot;author&quot;:[{&quot;dropping-particle&quot;:&quot;&quot;,&quot;family&quot;:&quot;Kondo&quot;,&quot;given&quot;:&quot;Takeshi&quot;,&quot;non-dropping-particle&quot;:&quot;&quot;,&quot;parse-names&quot;:false,&quot;suffix&quot;:&quot;&quot;},{&quot;dropping-particle&quot;:&quot;&quot;,&quot;family&quot;:&quot;Ibamoto&quot;,&quot;given&quot;:&quot;Tadahiko&quot;,&quot;non-dropping-particle&quot;:&quot;&quot;,&quot;parse-names&quot;:false,&quot;suffix&quot;:&quot;&quot;}],&quot;container-title&quot;:&quot;ASHRAE Transactions&quot;,&quot;id&quot;:&quot;17a415ea-52e6-3bab-94c5-f16dc6a535fc&quot;,&quot;issued&quot;:{&quot;date-parts&quot;:[[&quot;2006&quot;]]},&quot;page&quot;:&quot;526-531&quot;,&quot;title&quot;:&quot;Research on thermal storage using rock wool phase-change material ceiling board&quot;,&quot;type&quot;:&quot;paper-conference&quot;,&quot;volume&quot;:&quot;112 PART 1&quot;,&quot;container-title-short&quot;:&quot;ASHRAE Trans&quot;},&quot;uris&quot;:[&quot;http://www.mendeley.com/documents/?uuid=17a415ea-52e6-3bab-94c5-f16dc6a535fc&quot;],&quot;isTemporary&quot;:false,&quot;legacyDesktopId&quot;:&quot;17a415ea-52e6-3bab-94c5-f16dc6a535fc&quot;}]},{&quot;citationID&quot;:&quot;MENDELEY_CITATION_6cc1953a-23f3-4598-9a73-0fbd36d12dd8&quot;,&quot;properties&quot;:{&quot;noteIndex&quot;:0},&quot;isEdited&quot;:false,&quot;manualOverride&quot;:{&quot;citeprocText&quot;:&quot;[137]&quot;,&quot;isManuallyOverridden&quot;:false,&quot;manualOverrideText&quot;:&quot;&quot;},&quot;citationTag&quot;:&quot;MENDELEY_CITATION_v3_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&quot;,&quot;citationItems&quot;:[{&quot;id&quot;:&quot;5fe76538-f179-3a02-8ba5-d6061256b0c7&quot;,&quot;itemData&quot;:{&quot;DOI&quot;:&quot;10.1016/j.enconman.2011.05.011&quot;,&quot;ISSN&quot;:&quot;01968904&quot;,&quot;abstract&quot;:&quot;Studies are conducted to investigate the impacts of shape-stabilized phase change material (SSPCM) and different control strategies on the energy consumption and peak load demand as well as electricity cost of building air-conditioning systems at typical summer conditions in two climates (subtropical and dry continental climates). An office building using a typical variable air volume (VAV) air-conditioning system was selected and simulated as the reference building in this study. Its envelopes were enhanced by integrating the SSPCM layers into its walls while the air-conditioning system and other configurations of the building remained unchanged. The building system was tested under two typical weather conditions and two typical electricity pricing policies (i.e., time-based pricing and energy-plus-demand-based pricing). Test results show that the use of SSPCM in the building could reduce the building electricity cost significantly (over 11% in electricity cost reduction and over 20% in peak load reduction), under two pricing policies by using load shifting control and demand limiting control respectively. This paper presents the test results and the evaluation on the energy performance and the optimal control strategies of air-conditioned commercial buildings with envelopes enhanced by SSPCM. © 2011 Elsevier Ltd. All rights reserved.&quot;,&quot;author&quot;:[{&quot;dropping-particle&quot;:&quot;&quot;,&quot;family&quot;:&quot;Zhu&quot;,&quot;given&quot;:&quot;Na&quot;,&quot;non-dropping-particle&quot;:&quot;&quot;,&quot;parse-names&quot;:false,&quot;suffix&quot;:&quot;&quot;},{&quot;dropping-particle&quot;:&quot;&quot;,&quot;family&quot;:&quot;Wang&quot;,&quot;given&quot;:&quot;Shengwei&quot;,&quot;non-dropping-particle&quot;:&quot;&quot;,&quot;parse-names&quot;:false,&quot;suffix&quot;:&quot;&quot;},{&quot;dropping-particle&quot;:&quot;&quot;,&quot;family&quot;:&quot;Ma&quot;,&quot;given&quot;:&quot;Zhenjun&quot;,&quot;non-dropping-particle&quot;:&quot;&quot;,&quot;parse-names&quot;:false,&quot;suffix&quot;:&quot;&quot;},{&quot;dropping-particle&quot;:&quot;&quot;,&quot;family&quot;:&quot;Sun&quot;,&quot;given&quot;:&quot;Yongjun&quot;,&quot;non-dropping-particle&quot;:&quot;&quot;,&quot;parse-names&quot;:false,&quot;suffix&quot;:&quot;&quot;}],&quot;container-title&quot;:&quot;Energy Conversion and Management&quot;,&quot;id&quot;:&quot;5fe76538-f179-3a02-8ba5-d6061256b0c7&quot;,&quot;issue&quot;:&quot;10&quot;,&quot;issued&quot;:{&quot;date-parts&quot;:[[&quot;2011&quot;,&quot;9&quot;,&quot;1&quot;]]},&quot;page&quot;:&quot;3197-3205&quot;,&quot;publisher&quot;:&quot;Elsevier Ltd&quot;,&quot;title&quot;:&quot;Energy performance and optimal control of air-conditioned buildings with envelopes enhanced by phase change materials&quot;,&quot;type&quot;:&quot;article-journal&quot;,&quot;volume&quot;:&quot;52&quot;,&quot;container-title-short&quot;:&quot;Energy Convers Manag&quot;},&quot;uris&quot;:[&quot;http://www.mendeley.com/documents/?uuid=5fe76538-f179-3a02-8ba5-d6061256b0c7&quot;],&quot;isTemporary&quot;:false,&quot;legacyDesktopId&quot;:&quot;5fe76538-f179-3a02-8ba5-d6061256b0c7&quot;}]},{&quot;citationID&quot;:&quot;MENDELEY_CITATION_713e8cf5-1183-4e0c-af7e-307d3164b577&quot;,&quot;properties&quot;:{&quot;noteIndex&quot;:0},&quot;isEdited&quot;:false,&quot;manualOverride&quot;:{&quot;isManuallyOverridden&quot;:false,&quot;citeprocText&quot;:&quot;[140]&quot;,&quot;manualOverrideText&quot;:&quot;&quot;},&quot;citationTag&quot;:&quot;MENDELEY_CITATION_v3_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&quot;,&quot;citationItems&quot;:[{&quot;id&quot;:&quot;5fee9029-1d45-3736-a015-3d7892ec9e18&quot;,&quot;itemData&quot;:{&quot;type&quot;:&quot;article-journal&quot;,&quot;id&quot;:&quot;5fee9029-1d45-3736-a015-3d7892ec9e18&quot;,&quot;title&quot;:&quot;Energy and economic analysis of a building air-conditioner with a phase change material (PCM)&quot;,&quot;author&quot;:[{&quot;family&quot;:&quot;Chaiyat&quot;,&quot;given&quot;:&quot;Nattaporn&quot;,&quot;parse-names&quot;:false,&quot;dropping-particle&quot;:&quot;&quot;,&quot;non-dropping-particle&quot;:&quot;&quot;}],&quot;container-title&quot;:&quot;Energy Conversion and Management&quot;,&quot;container-title-short&quot;:&quot;Energy Convers Manag&quot;,&quot;DOI&quot;:&quot;10.1016/j.enconman.2015.01.068&quot;,&quot;ISSN&quot;:&quot;01968904&quot;,&quot;URL&quot;:&quot;http://dx.doi.org/10.1016/j.enconman.2015.01.068&quot;,&quot;issued&quot;:{&quot;date-parts&quot;:[[2015]]},&quot;page&quot;:&quot;150-158&quot;,&quot;abstract&quot;:&quot;In this study, a concept of using phase change material (PCM) for improving cooling efficiency of an air-conditioner had been presented under Thailand climate. Rubitherm20 (RT-20) was selected to evaluate the thermal performance by reducing the air temperature entering the evaporating coil. The model of PCM celluloid balls had been performed with the air-conditioner. For the experiment, 2 TR of R-134a air-conditioner was chosen to test a pack bed of PCM balls with thickness 40 cm. The pressure drops of the air flowing through the bed were considered with and without a set of by-pass tubes along the height of the storage bed. The mathematical model of the air-conditioner with the PCM storage was developed and verified with the testing results. From the study results, it could be seen that pressure drops of the bed with and without bypass tubes were nearly the same results. Thus, PCM ball pack bed using RT-20 without bypass tubes was used to improve the cooling efficiency of the air-conditioner. The experimental result of the modified unit was compared and verified with the mathematical model, which agreed quite well with the simulation result. Finally, the model was used to analyze the economic result, which found that the electrical consumption of the modified air-conditioner could be decreased around 3.09 kW h/d. The saving cost from the PCM bed could be 9.10% of 170.03 USD/y and the payback period was around 4.15 y.&quot;,&quot;publisher&quot;:&quot;Elsevier Ltd&quot;,&quot;volume&quot;:&quot;94&quot;},&quot;isTemporary&quot;:false}]},{&quot;citationID&quot;:&quot;MENDELEY_CITATION_4ff1a75f-6941-4129-ad1d-a81a4d1540a6&quot;,&quot;properties&quot;:{&quot;noteIndex&quot;:0},&quot;isEdited&quot;:false,&quot;manualOverride&quot;:{&quot;citeprocText&quot;:&quot;[44]&quot;,&quot;isManuallyOverridden&quot;:false,&quot;manualOverrideText&quot;:&quot;&quot;},&quot;citationTag&quot;:&quot;MENDELEY_CITATION_v3_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&quot;,&quot;citationItems&quot;:[{&quot;id&quot;:&quot;f72bfbe2-1e11-3f49-a826-233eafec5191&quot;,&quot;itemData&quot;:{&quot;DOI&quot;:&quot;10.1016/j.apenergy.2015.10.122&quot;,&quot;ISSN&quot;:&quot;03062619&quot;,&quot;abstract&quot;:&quot;In this work, a combination of a latent heat thermal storage unit and a refrigeration system is presented as an air conditioning system. Overall system, including charging and discharging processes is analyzed for different phase change materials (PCMs) from exergoeconomic and environmental points of view. Based on comfort condition, three cases are selected with different size of PCM slabs and different PCMs: RT27, S27 and SP25. When the charging process takes place during the whole of off-peak hours the following results are obtained: (1) the system using SP25 has the highest value of the coefficient of performance; (2) the system using RT27 has the highest value of exergy efficiency and (3) the system using S27 has the lowest value of total cost rate. Finally, in order to obtain the best balance between the exergy destruction cost rate and the capital cost rate, the exergoeconomic factor is defined for each component, for different cases when system operates in the best performance conditions.&quot;,&quot;author&quot;:[{&quot;dropping-particle&quot;:&quot;&quot;,&quot;family&quot;:&quot;Mosaffa&quot;,&quot;given&quot;:&quot;A. H.&quot;,&quot;non-dropping-particle&quot;:&quot;&quot;,&quot;parse-names&quot;:false,&quot;suffix&quot;:&quot;&quot;},{&quot;dropping-particle&quot;:&quot;&quot;,&quot;family&quot;:&quot;Garousi Farshi&quot;,&quot;given&quot;:&quot;L.&quot;,&quot;non-dropping-particle&quot;:&quot;&quot;,&quot;parse-names&quot;:false,&quot;suffix&quot;:&quot;&quot;}],&quot;container-title&quot;:&quot;Applied Energy&quot;,&quot;id&quot;:&quot;f72bfbe2-1e11-3f49-a826-233eafec5191&quot;,&quot;issued&quot;:{&quot;date-parts&quot;:[[&quot;2016&quot;]]},&quot;page&quot;:&quot;515-526&quot;,&quot;publisher&quot;:&quot;Elsevier Ltd&quot;,&quot;title&quot;:&quot;Exergoeconomic and environmental analyses of an air conditioning system using thermal energy storage&quot;,&quot;type&quot;:&quot;article-journal&quot;,&quot;volume&quot;:&quot;162&quot;,&quot;container-title-short&quot;:&quot;Appl Energy&quot;},&quot;uris&quot;:[&quot;http://www.mendeley.com/documents/?uuid=248ace03-226d-4426-ab1a-17a1e2957e68&quot;],&quot;isTemporary&quot;:false,&quot;legacyDesktopId&quot;:&quot;248ace03-226d-4426-ab1a-17a1e2957e68&quot;}]},{&quot;citationID&quot;:&quot;MENDELEY_CITATION_b05c52d2-4454-4fa5-8e76-ea93867458c4&quot;,&quot;properties&quot;:{&quot;noteIndex&quot;:0},&quot;isEdited&quot;:false,&quot;manualOverride&quot;:{&quot;citeprocText&quot;:&quot;[144]&quot;,&quot;isManuallyOverridden&quot;:false,&quot;manualOverrideText&quot;:&quot;&quot;},&quot;citationTag&quot;:&quot;MENDELEY_CITATION_v3_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&quot;,&quot;citationItems&quot;:[{&quot;id&quot;:&quot;f207b857-e432-34f3-89de-9424149ae6d4&quot;,&quot;itemData&quot;:{&quot;DOI&quot;:&quot;10.1016/j.ijrefrig.2012.03.023&quot;,&quot;ISSN&quot;:&quot;01407007&quot;,&quot;abstract&quot;:&quot;Thermal Energy Storage (TES) technology based on the use of Phase Change Materials (PCM) has recently raised an important practical interest. This is mainly due to the high-energy storage density during phase change within a very narrow temperature range. To give an illustrative example, eighty times more heat is required to melt certain amount of ice at 0 °C than to heat up 1 °C the same amount of water. In this paper, novel cooling unit using PCM called Indirect Evaporative and Storage Unit (IESU) has been designed, modeled and simulated through over the year. Moreover IESU has been optimized from technical and economic point of view for residential application in Mediterranean climate. Cooling systems with heat storage have attracted an increasing attention over the past decades. However, studies of IESU haven't been found in open literature. © 2012 Published by Elsevier Ltd and IIR. All rights reserved.&quot;,&quot;author&quot;:[{&quot;dropping-particle&quot;:&quot;&quot;,&quot;family&quot;:&quot;Jaber&quot;,&quot;given&quot;:&quot;Samar&quot;,&quot;non-dropping-particle&quot;:&quot;&quot;,&quot;parse-names&quot;:false,&quot;suffix&quot;:&quot;&quot;},{&quot;dropping-particle&quot;:&quot;&quot;,&quot;family&quot;:&quot;Ajib&quot;,&quot;given&quot;:&quot;Salman&quot;,&quot;non-dropping-particle&quot;:&quot;&quot;,&quot;parse-names&quot;:false,&quot;suffix&quot;:&quot;&quot;}],&quot;container-title&quot;:&quot;International Journal of Refrigeration&quot;,&quot;id&quot;:&quot;f207b857-e432-34f3-89de-9424149ae6d4&quot;,&quot;issued&quot;:{&quot;date-parts&quot;:[[&quot;2012&quot;]]},&quot;title&quot;:&quot;Novel cooling unit using PCM for residential application&quot;,&quot;type&quot;:&quot;article-journal&quot;,&quot;container-title-short&quot;:&quot;&quot;},&quot;uris&quot;:[&quot;http://www.mendeley.com/documents/?uuid=fdd4d341-668e-499c-9975-1d3c7137dd7a&quot;],&quot;isTemporary&quot;:false,&quot;legacyDesktopId&quot;:&quot;fdd4d341-668e-499c-9975-1d3c7137dd7a&quot;}]},{&quot;citationID&quot;:&quot;MENDELEY_CITATION_0d4f918a-c630-4294-9af4-47954e93486a&quot;,&quot;properties&quot;:{&quot;noteIndex&quot;:0},&quot;isEdited&quot;:false,&quot;manualOverride&quot;:{&quot;citeprocText&quot;:&quot;[3]&quot;,&quot;isManuallyOverridden&quot;:false,&quot;manualOverrideText&quot;:&quot;&quot;},&quot;citationTag&quot;:&quot;MENDELEY_CITATION_v3_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&quot;,&quot;citationItems&quot;:[{&quot;id&quot;:&quot;d58303d9-4049-3b21-b4ce-c77cfc399f52&quot;,&quot;itemData&quot;:{&quot;DOI&quot;:&quot;10.1109/PESGM40551.2019.8973936&quot;,&quot;ISBN&quot;:&quot;9781728119816&quot;,&quot;ISSN&quot;:&quot;19449933&quot;,&quot;abstract&quot;:&quot;In this paper, we examine the potential for using phase change material (PCM) as a thermal storage medium for improving the efficiency as well as enabling grid-responsive control of heat pump (HP) systems. Previous research in PCM integration in buildings has primarily been focused on integration with building envelopes. An objective of our research is to design a novel and practical PCM integration with existing HP systems. High-fidelity models for building, HP and PCM are developed to facilitate the model-based predictive control (MPC) design. To optimize the operation of HP and PCM, we introduce an optimization problem considering various constraints for both comfort and hardware constraints. We include experimental results in which a house fleet are optimized to minimize their power consumption or electricity cost. We numerically demonstrate the designs potential for reducing power consumption or electricity cost by 13% or 19%, respectively.&quot;,&quot;author&quot;:[{&quot;dropping-particle&quot;:&quot;&quot;,&quot;family&quot;:&quot;Dong&quot;,&quot;given&quot;:&quot;Jin&quot;,&quot;non-dropping-particle&quot;:&quot;&quot;,&quot;parse-names&quot;:false,&quot;suffix&quot;:&quot;&quot;},{&quot;dropping-particle&quot;:&quot;&quot;,&quot;family&quot;:&quot;Shen&quot;,&quot;given&quot;:&quot;Bo&quot;,&quot;non-dropping-particle&quot;:&quot;&quot;,&quot;parse-names&quot;:false,&quot;suffix&quot;:&quot;&quot;},{&quot;dropping-particle&quot;:&quot;&quot;,&quot;family&quot;:&quot;Munk&quot;,&quot;given&quot;:&quot;Jeffrey&quot;,&quot;non-dropping-particle&quot;:&quot;&quot;,&quot;parse-names&quot;:false,&quot;suffix&quot;:&quot;&quot;},{&quot;dropping-particle&quot;:&quot;&quot;,&quot;family&quot;:&quot;Gluesenkamp&quot;,&quot;given&quot;:&quot;Kyle R.&quot;,&quot;non-dropping-particle&quot;:&quot;&quot;,&quot;parse-names&quot;:false,&quot;suffix&quot;:&quot;&quot;},{&quot;dropping-particle&quot;:&quot;&quot;,&quot;family&quot;:&quot;Laclair&quot;,&quot;given&quot;:&quot;Tim&quot;,&quot;non-dropping-particle&quot;:&quot;&quot;,&quot;parse-names&quot;:false,&quot;suffix&quot;:&quot;&quot;},{&quot;dropping-particle&quot;:&quot;&quot;,&quot;family&quot;:&quot;Kuruganti&quot;,&quot;given&quot;:&quot;Teja&quot;,&quot;non-dropping-particle&quot;:&quot;&quot;,&quot;parse-names&quot;:false,&quot;suffix&quot;:&quot;&quot;}],&quot;container-title&quot;:&quot;IEEE Power and Energy Society General Meeting&quot;,&quot;id&quot;:&quot;d58303d9-4049-3b21-b4ce-c77cfc399f52&quot;,&quot;issued&quot;:{&quot;date-parts&quot;:[[&quot;2019&quot;]]},&quot;title&quot;:&quot;Novel PCM Integration with Electrical Heat Pump for Demand Response&quot;,&quot;type&quot;:&quot;paper-conference&quot;,&quot;container-title-short&quot;:&quot;&quot;},&quot;uris&quot;:[&quot;http://www.mendeley.com/documents/?uuid=a85cbfa5-0df7-4e10-9431-26967e90678b&quot;],&quot;isTemporary&quot;:false,&quot;legacyDesktopId&quot;:&quot;a85cbfa5-0df7-4e10-9431-26967e90678b&quot;}]},{&quot;citationID&quot;:&quot;MENDELEY_CITATION_cb18dd54-73b0-4aa8-bb7b-e6a674eb9122&quot;,&quot;properties&quot;:{&quot;noteIndex&quot;:0},&quot;isEdited&quot;:false,&quot;manualOverride&quot;:{&quot;citeprocText&quot;:&quot;[149]&quot;,&quot;isManuallyOverridden&quot;:false,&quot;manualOverrideText&quot;:&quot;&quot;},&quot;citationTag&quot;:&quot;MENDELEY_CITATION_v3_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&quot;,&quot;citationItems&quot;:[{&quot;id&quot;:&quot;47c87de1-4562-392a-befb-5282d6512c37&quot;,&quot;itemData&quot;:{&quot;DOI&quot;:&quot;10.1016/j.solener.2004.04.014&quot;,&quot;ISSN&quot;:&quot;0038092X&quot;,&quot;abstract&quot;:&quot;We have developed an experimental ventilation system that features direct heat exchange between ventilation air and granules containing a phase change material (PCM). Measurement of outlet air temperature when the inlet air temperature was periodically varied to simulate changes of outdoor ambient air temperature showed that the outlet air temperature was stabilized and remained within the phase change temperature range. This effect is expected to be useful in practical ventilation systems. The potential of such systems for reducing ventilation load was examined through computer simulation for eight representative cities of Japan. This revealed how different temperature conditions would affect required heat storage capacity. © 2004 Elsevier Ltd. All rights reserved.&quot;,&quot;author&quot;:[{&quot;dropping-particle&quot;:&quot;&quot;,&quot;family&quot;:&quot;Takeda&quot;,&quot;given&quot;:&quot;S.&quot;,&quot;non-dropping-particle&quot;:&quot;&quot;,&quot;parse-names&quot;:false,&quot;suffix&quot;:&quot;&quot;},{&quot;dropping-particle&quot;:&quot;&quot;,&quot;family&quot;:&quot;Nagano&quot;,&quot;given&quot;:&quot;K.&quot;,&quot;non-dropping-particle&quot;:&quot;&quot;,&quot;parse-names&quot;:false,&quot;suffix&quot;:&quot;&quot;},{&quot;dropping-particle&quot;:&quot;&quot;,&quot;family&quot;:&quot;Mochida&quot;,&quot;given&quot;:&quot;T.&quot;,&quot;non-dropping-particle&quot;:&quot;&quot;,&quot;parse-names&quot;:false,&quot;suffix&quot;:&quot;&quot;},{&quot;dropping-particle&quot;:&quot;&quot;,&quot;family&quot;:&quot;Shimakura&quot;,&quot;given&quot;:&quot;K.&quot;,&quot;non-dropping-particle&quot;:&quot;&quot;,&quot;parse-names&quot;:false,&quot;suffix&quot;:&quot;&quot;}],&quot;container-title&quot;:&quot;Solar Energy&quot;,&quot;id&quot;:&quot;47c87de1-4562-392a-befb-5282d6512c37&quot;,&quot;issue&quot;:&quot;3&quot;,&quot;issued&quot;:{&quot;date-parts&quot;:[[&quot;2004&quot;,&quot;9&quot;,&quot;1&quot;]]},&quot;page&quot;:&quot;329-338&quot;,&quot;publisher&quot;:&quot;Pergamon&quot;,&quot;title&quot;:&quot;Development of a ventilation system utilizing thermal energy storage for granules containing phase change material&quot;,&quot;type&quot;:&quot;article-journal&quot;,&quot;volume&quot;:&quot;77&quot;,&quot;container-title-short&quot;:&quot;&quot;},&quot;uris&quot;:[&quot;http://www.mendeley.com/documents/?uuid=15fbcda1-ec45-44bf-934a-79c79f2d7fc6&quot;],&quot;isTemporary&quot;:false,&quot;legacyDesktopId&quot;:&quot;15fbcda1-ec45-44bf-934a-79c79f2d7fc6&quot;}]},{&quot;citationID&quot;:&quot;MENDELEY_CITATION_8c34f937-8aaa-4c58-ab46-e8f197c7f37a&quot;,&quot;properties&quot;:{&quot;noteIndex&quot;:0},&quot;isEdited&quot;:false,&quot;manualOverride&quot;:{&quot;citeprocText&quot;:&quot;[150]&quot;,&quot;isManuallyOverridden&quot;:false,&quot;manualOverrideText&quot;:&quot;&quot;},&quot;citationTag&quot;:&quot;MENDELEY_CITATION_v3_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&quot;,&quot;citationItems&quot;:[{&quot;id&quot;:&quot;b31a28ce-f91a-31ed-bee7-c4840dcdec6a&quot;,&quot;itemData&quot;:{&quot;DOI&quot;:&quot;10.1016/j.enbuild.2005.07.010&quot;,&quot;ISSN&quot;:&quot;03787788&quot;,&quot;abstract&quot;:&quot;We have proposed a new floor supply air conditioning system, using phase change material to augment building mass thermal storage. A scale model was constructed for such a system. Granules containing phase change material (PCM), with a phase change temperature of about 20 °C, were made from foamed glass beads and paraffin waxes. Results from measurements simulating an air conditioning schedule in office buildings indicate that 89% of daily cooling load could be stored each night in a system that used a 30 mm thick packed bed of the granular PCM. © 2005 Elsevier B.V. All rights reserved.&quot;,&quot;author&quot;:[{&quot;dropping-particle&quot;:&quot;&quot;,&quot;family&quot;:&quot;Nagano&quot;,&quot;given&quot;:&quot;K.&quot;,&quot;non-dropping-particle&quot;:&quot;&quot;,&quot;parse-names&quot;:false,&quot;suffix&quot;:&quot;&quot;},{&quot;dropping-particle&quot;:&quot;&quot;,&quot;family&quot;:&quot;Takeda&quot;,&quot;given&quot;:&quot;S.&quot;,&quot;non-dropping-particle&quot;:&quot;&quot;,&quot;parse-names&quot;:false,&quot;suffix&quot;:&quot;&quot;},{&quot;dropping-particle&quot;:&quot;&quot;,&quot;family&quot;:&quot;Mochida&quot;,&quot;given&quot;:&quot;T.&quot;,&quot;non-dropping-particle&quot;:&quot;&quot;,&quot;parse-names&quot;:false,&quot;suffix&quot;:&quot;&quot;},{&quot;dropping-particle&quot;:&quot;&quot;,&quot;family&quot;:&quot;Shimakura&quot;,&quot;given&quot;:&quot;K.&quot;,&quot;non-dropping-particle&quot;:&quot;&quot;,&quot;parse-names&quot;:false,&quot;suffix&quot;:&quot;&quot;},{&quot;dropping-particle&quot;:&quot;&quot;,&quot;family&quot;:&quot;Nakamura&quot;,&quot;given&quot;:&quot;T.&quot;,&quot;non-dropping-particle&quot;:&quot;&quot;,&quot;parse-names&quot;:false,&quot;suffix&quot;:&quot;&quot;}],&quot;container-title&quot;:&quot;Energy and Buildings&quot;,&quot;id&quot;:&quot;b31a28ce-f91a-31ed-bee7-c4840dcdec6a&quot;,&quot;issue&quot;:&quot;5&quot;,&quot;issued&quot;:{&quot;date-parts&quot;:[[&quot;2006&quot;,&quot;5&quot;,&quot;1&quot;]]},&quot;page&quot;:&quot;436-446&quot;,&quot;publisher&quot;:&quot;Elsevier&quot;,&quot;title&quot;:&quot;Study of a floor supply air conditioning system using granular phase change material to augment building mass thermal storage - Heat response in small scale experiments&quot;,&quot;type&quot;:&quot;article-journal&quot;,&quot;volume&quot;:&quot;38&quot;,&quot;container-title-short&quot;:&quot;Energy Build&quot;},&quot;uris&quot;:[&quot;http://www.mendeley.com/documents/?uuid=443886c6-dd09-4a31-9eab-047bad8529db&quot;],&quot;isTemporary&quot;:false,&quot;legacyDesktopId&quot;:&quot;443886c6-dd09-4a31-9eab-047bad8529db&quot;}]},{&quot;citationID&quot;:&quot;MENDELEY_CITATION_5ace054b-828d-4051-b98e-1154542a1508&quot;,&quot;properties&quot;:{&quot;noteIndex&quot;:0},&quot;isEdited&quot;:false,&quot;manualOverride&quot;:{&quot;citeprocText&quot;:&quot;[151]&quot;,&quot;isManuallyOverridden&quot;:false,&quot;manualOverrideText&quot;:&quot;&quot;},&quot;citationTag&quot;:&quot;MENDELEY_CITATION_v3_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&quot;,&quot;citationItems&quot;:[{&quot;id&quot;:&quot;808067bd-535f-39eb-a9ef-78b829ffbc85&quot;,&quot;itemData&quot;:{&quot;DOI&quot;:&quot;10.1016/j.enbuild.2012.05.002&quot;,&quot;ISSN&quot;:&quot;03787788&quot;,&quot;abstract&quot;:&quot;Cooling demand constitutes a large portion of total electrical demand for office buildings during peak hours. Ice storage technology can help shift this peak cooling demand to off-peak periods. This research analyzes the chiller energy consumption of conventional non-storage and ice storage cooling systems for large and medium-sized office buildings in diverse climate zones. Demand Response Quick Assessment Tool (DRQAT) has been used to model and simulate large and medium-sized office buildings. The construction and weather files in DRQAT have been modified to incorporate construction standard and weather data for the cities representing the diverse climate zones. Results indicate that the chiller energy consumption for non-storage and ice storage systems depends highly on climatic conditions. Climate zones with hot summers as well as small day and night temperature variations show higher chiller energy consumptions. The marine climate zone has the lowest chiller energy consumption. The cold/humid climate zone has higher chiller energy consumption than the cold/dry and very cold climate zones. The cold/dry and very cold climate zones have comparable chiller energy consumption. Research findings as presented in this paper will help utilities and building owners to quantify the benefits of installing ice storage systems in office buildings located in different climatic conditions. © 2012 Elsevier B.V.&quot;,&quot;author&quot;:[{&quot;dropping-particle&quot;:&quot;&quot;,&quot;family&quot;:&quot;Sehar&quot;,&quot;given&quot;:&quot;Fakeha&quot;,&quot;non-dropping-particle&quot;:&quot;&quot;,&quot;parse-names&quot;:false,&quot;suffix&quot;:&quot;&quot;},{&quot;dropping-particle&quot;:&quot;&quot;,&quot;family&quot;:&quot;Rahman&quot;,&quot;given&quot;:&quot;Saifur&quot;,&quot;non-dropping-particle&quot;:&quot;&quot;,&quot;parse-names&quot;:false,&quot;suffix&quot;:&quot;&quot;},{&quot;dropping-particle&quot;:&quot;&quot;,&quot;family&quot;:&quot;Pipattanasomporn&quot;,&quot;given&quot;:&quot;Manisa&quot;,&quot;non-dropping-particle&quot;:&quot;&quot;,&quot;parse-names&quot;:false,&quot;suffix&quot;:&quot;&quot;}],&quot;container-title&quot;:&quot;Energy and Buildings&quot;,&quot;id&quot;:&quot;808067bd-535f-39eb-a9ef-78b829ffbc85&quot;,&quot;issued&quot;:{&quot;date-parts&quot;:[[&quot;2012&quot;,&quot;8&quot;]]},&quot;page&quot;:&quot;255-262&quot;,&quot;title&quot;:&quot;Impacts of ice storage on electrical energy consumptions in office buildings&quot;,&quot;type&quot;:&quot;article-journal&quot;,&quot;volume&quot;:&quot;51&quot;,&quot;container-title-short&quot;:&quot;Energy Build&quot;},&quot;uris&quot;:[&quot;http://www.mendeley.com/documents/?uuid=4ff9821d-d297-47d5-8ab6-7ecf86b28cb6&quot;],&quot;isTemporary&quot;:false,&quot;legacyDesktopId&quot;:&quot;4ff9821d-d297-47d5-8ab6-7ecf86b28cb6&quot;}]},{&quot;citationID&quot;:&quot;MENDELEY_CITATION_e21564a4-918f-4295-9159-0689380102db&quot;,&quot;properties&quot;:{&quot;noteIndex&quot;:0},&quot;isEdited&quot;:false,&quot;manualOverride&quot;:{&quot;citeprocText&quot;:&quot;[152]&quot;,&quot;isManuallyOverridden&quot;:false,&quot;manualOverrideText&quot;:&quot;&quot;},&quot;citationTag&quot;:&quot;MENDELEY_CITATION_v3_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&quot;,&quot;citationItems&quot;:[{&quot;id&quot;:&quot;b51ffe0b-6a22-34c4-b326-45b69ffba995&quot;,&quot;itemData&quot;:{&quot;DOI&quot;:&quot;10.1016/j.enbuild.2012.12.040&quot;,&quot;ISSN&quot;:&quot;03787788&quot;,&quot;abstract&quot;:&quot;A major portion of electricity consumption in buildings in residential, administrative, and commercial sectors is related to air-conditioning (A/C) systems. To reduce and shift the electricity consumption of A/C systems from on-peak hours to off-peak hours, an ice thermal energy storage (ITES) can be utilized. In this paper, thermo-economic optimization of an ITES system was carried out for A/C applications. In order to consider the environmental aspects, a penalty cost was considered for CO2 emission. Applying the genetic algorithm optimization technique, the optimum values of system design parameters were obtained. The objective function included the capital and operational costs as well as the penalty cost due to CO2 emission, without and with costs associated with exergy destruction. The results indicated that, on average, the amount of electricity consumption and CO2 emission of ITES system were lower 9% and 9.8%, respectively, in comparison with those of a conventional system. Furthermore, the ITES extra capital cost could be paid back through savings in electricity cost in 3.43 years. © 2013 Elsevier B.V.&quot;,&quot;author&quot;:[{&quot;dropping-particle&quot;:&quot;&quot;,&quot;family&quot;:&quot;Sanaye&quot;,&quot;given&quot;:&quot;Sepehr&quot;,&quot;non-dropping-particle&quot;:&quot;&quot;,&quot;parse-names&quot;:false,&quot;suffix&quot;:&quot;&quot;},{&quot;dropping-particle&quot;:&quot;&quot;,&quot;family&quot;:&quot;Shirazi&quot;,&quot;given&quot;:&quot;Ali&quot;,&quot;non-dropping-particle&quot;:&quot;&quot;,&quot;parse-names&quot;:false,&quot;suffix&quot;:&quot;&quot;}],&quot;container-title&quot;:&quot;Energy and Buildings&quot;,&quot;id&quot;:&quot;b51ffe0b-6a22-34c4-b326-45b69ffba995&quot;,&quot;issued&quot;:{&quot;date-parts&quot;:[[&quot;2013&quot;,&quot;5&quot;,&quot;1&quot;]]},&quot;page&quot;:&quot;100-109&quot;,&quot;publisher&quot;:&quot;Elsevier&quot;,&quot;title&quot;:&quot;Thermo-economic optimization of an ice thermal energy storage system for air-conditioning applications&quot;,&quot;type&quot;:&quot;article-journal&quot;,&quot;volume&quot;:&quot;60&quot;,&quot;container-title-short&quot;:&quot;Energy Build&quot;},&quot;uris&quot;:[&quot;http://www.mendeley.com/documents/?uuid=b51ffe0b-6a22-34c4-b326-45b69ffba995&quot;],&quot;isTemporary&quot;:false,&quot;legacyDesktopId&quot;:&quot;b51ffe0b-6a22-34c4-b326-45b69ffba995&quot;}]},{&quot;citationID&quot;:&quot;MENDELEY_CITATION_70976569-0804-43d2-b814-454235fb5e07&quot;,&quot;properties&quot;:{&quot;noteIndex&quot;:0},&quot;isEdited&quot;:false,&quot;manualOverride&quot;:{&quot;citeprocText&quot;:&quot;[42]&quot;,&quot;isManuallyOverridden&quot;:false,&quot;manualOverrideText&quot;:&quot;&quot;},&quot;citationTag&quot;:&quot;MENDELEY_CITATION_v3_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&quot;,&quot;citationItems&quot;:[{&quot;id&quot;:&quot;f8f7c02b-3562-32d0-9556-6d1d09dc0da1&quot;,&quot;itemData&quot;:{&quot;DOI&quot;:&quot;10.1016/j.enbuild.2014.02.069&quot;,&quot;ISSN&quot;:&quot;03787788&quot;,&quot;abstract&quot;:&quot;Achieving energy savings with domestic off peak air conditioning using phase change materials (PCMs) has always proved a challenge. Although the energy efficiency ratio of an air conditioner is higher during the night, this improvement often does not offset the exergy loss experienced when using thermal storage. Simulations have been conducted using the effectiveness-number of transfer units (-NTU) representation of a PCM system to determine the instantaneous heat transfer when coupled to an inverter chiller cooling system. Results show that although 85% of the energy consumption for cooling could be shifted to the off-peak period with an ice based system, the energy demand increased by 7.6%. The investigation demonstrated that by using a PCM with a melting point of 4 °C, it is possible to achieve an energy saving for cooling. A savings of around 13.5% can be achieved using a PCM with a melting point of 10 °C. Energy usage was increased with a more efficient PCM storage system. This unexpected result was due to which period the storage system was charged. A more efficient storage system charged quicker during the warmer part of the evening. Therefore energy minimisation requires optimal charging during the coldest part of the night. © 2014 Elsevier B.V.&quot;,&quot;author&quot;:[{&quot;dropping-particle&quot;:&quot;&quot;,&quot;family&quot;:&quot;Bruno&quot;,&quot;given&quot;:&quot;F.&quot;,&quot;non-dropping-particle&quot;:&quot;&quot;,&quot;parse-names&quot;:false,&quot;suffix&quot;:&quot;&quot;},{&quot;dropping-particle&quot;:&quot;&quot;,&quot;family&quot;:&quot;Tay&quot;,&quot;given&quot;:&quot;N. H S&quot;,&quot;non-dropping-particle&quot;:&quot;&quot;,&quot;parse-names&quot;:false,&quot;suffix&quot;:&quot;&quot;},{&quot;dropping-particle&quot;:&quot;&quot;,&quot;family&quot;:&quot;Belusko&quot;,&quot;given&quot;:&quot;M.&quot;,&quot;non-dropping-particle&quot;:&quot;&quot;,&quot;parse-names&quot;:false,&quot;suffix&quot;:&quot;&quot;}],&quot;container-title&quot;:&quot;Energy and Buildings&quot;,&quot;id&quot;:&quot;f8f7c02b-3562-32d0-9556-6d1d09dc0da1&quot;,&quot;issued&quot;:{&quot;date-parts&quot;:[[&quot;2014&quot;,&quot;6&quot;,&quot;1&quot;]]},&quot;page&quot;:&quot;347-353&quot;,&quot;publisher&quot;:&quot;Elsevier&quot;,&quot;title&quot;:&quot;Minimising energy usage for domestic cooling with off-peak PCM storage&quot;,&quot;type&quot;:&quot;article-journal&quot;,&quot;volume&quot;:&quot;76&quot;,&quot;container-title-short&quot;:&quot;Energy Build&quot;},&quot;uris&quot;:[&quot;http://www.mendeley.com/documents/?uuid=f8f7c02b-3562-32d0-9556-6d1d09dc0da1&quot;],&quot;isTemporary&quot;:false,&quot;legacyDesktopId&quot;:&quot;f8f7c02b-3562-32d0-9556-6d1d09dc0da1&quot;}]},{&quot;citationID&quot;:&quot;MENDELEY_CITATION_2de052c4-cca5-4e74-bdbc-0e17a6f8d617&quot;,&quot;properties&quot;:{&quot;noteIndex&quot;:0},&quot;isEdited&quot;:false,&quot;manualOverride&quot;:{&quot;citeprocText&quot;:&quot;[153]&quot;,&quot;isManuallyOverridden&quot;:false,&quot;manualOverrideText&quot;:&quot;&quot;},&quot;citationTag&quot;:&quot;MENDELEY_CITATION_v3_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&quot;,&quot;citationItems&quot;:[{&quot;id&quot;:&quot;b0e713b8-fe70-3b5b-adba-05f802bfa0bb&quot;,&quot;itemData&quot;:{&quot;DOI&quot;:&quot;10.1016/j.apenergy.2017.12.122&quot;,&quot;ISSN&quot;:&quot;03062619&quot;,&quot;abstract&quot;:&quot;The study provides novel and validated explicit equations of the apparent heat capacity variation with temperature for three phase change materials (PCM): RT20, RT25 and RT27. The developed models of PCM thermal behavior were successfully applied in the energy efficiency analysis of the fresh air cooling system with PCM latent heat storage system, serving a virtual office building considered to be located in different climatic conditions. Following the study, a practical guideline for estimation of the required quantity of PCM in fresh air cooling systems was provided. Two novel specific energy indicators were also proposed, which are useful for feasibility studies. The evaluation of PCM energy efficiency in fresh air cooling systems revealed that savings in the electric energy consumption of (7–41) % can be achieved, depending on the particular local conditions. Limits of the use of PCM in fresh air cooling systems were also provided.&quot;,&quot;author&quot;:[{&quot;dropping-particle&quot;:&quot;&quot;,&quot;family&quot;:&quot;Pop&quot;,&quot;given&quot;:&quot;Octavian G.&quot;,&quot;non-dropping-particle&quot;:&quot;&quot;,&quot;parse-names&quot;:false,&quot;suffix&quot;:&quot;&quot;},{&quot;dropping-particle&quot;:&quot;&quot;,&quot;family&quot;:&quot;Fechete Tutunaru&quot;,&quot;given&quot;:&quot;Lucian&quot;,&quot;non-dropping-particle&quot;:&quot;&quot;,&quot;parse-names&quot;:false,&quot;suffix&quot;:&quot;&quot;},{&quot;dropping-particle&quot;:&quot;&quot;,&quot;family&quot;:&quot;Bode&quot;,&quot;given&quot;:&quot;Florin&quot;,&quot;non-dropping-particle&quot;:&quot;&quot;,&quot;parse-names&quot;:false,&quot;suffix&quot;:&quot;&quot;},{&quot;dropping-particle&quot;:&quot;&quot;,&quot;family&quot;:&quot;Abrudan&quot;,&quot;given&quot;:&quot;Ancuţa C.&quot;,&quot;non-dropping-particle&quot;:&quot;&quot;,&quot;parse-names&quot;:false,&quot;suffix&quot;:&quot;&quot;},{&quot;dropping-particle&quot;:&quot;&quot;,&quot;family&quot;:&quot;Balan&quot;,&quot;given&quot;:&quot;Mugur C.&quot;,&quot;non-dropping-particle&quot;:&quot;&quot;,&quot;parse-names&quot;:false,&quot;suffix&quot;:&quot;&quot;}],&quot;container-title&quot;:&quot;Applied Energy&quot;,&quot;id&quot;:&quot;b0e713b8-fe70-3b5b-adba-05f802bfa0bb&quot;,&quot;issued&quot;:{&quot;date-parts&quot;:[[&quot;2018&quot;,&quot;2&quot;,&quot;15&quot;]]},&quot;page&quot;:&quot;976-996&quot;,&quot;publisher&quot;:&quot;Elsevier Ltd&quot;,&quot;title&quot;:&quot;Energy efficiency of PCM integrated in fresh air cooling systems in different climatic conditions&quot;,&quot;type&quot;:&quot;article-journal&quot;,&quot;volume&quot;:&quot;212&quot;,&quot;container-title-short&quot;:&quot;Appl Energy&quot;},&quot;uris&quot;:[&quot;http://www.mendeley.com/documents/?uuid=b0e713b8-fe70-3b5b-adba-05f802bfa0bb&quot;],&quot;isTemporary&quot;:false,&quot;legacyDesktopId&quot;:&quot;b0e713b8-fe70-3b5b-adba-05f802bfa0bb&quot;}]},{&quot;citationID&quot;:&quot;MENDELEY_CITATION_a2ab4a6c-51d7-42f5-a318-58bf789b1e51&quot;,&quot;properties&quot;:{&quot;noteIndex&quot;:0},&quot;isEdited&quot;:false,&quot;manualOverride&quot;:{&quot;citeprocText&quot;:&quot;[40]&quot;,&quot;isManuallyOverridden&quot;:false,&quot;manualOverrideText&quot;:&quot;&quot;},&quot;citationTag&quot;:&quot;MENDELEY_CITATION_v3_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&quot;,&quot;citationItems&quot;:[{&quot;id&quot;:&quot;3e5f4972-a383-36ea-be02-e3fa6f7cddea&quot;,&quot;itemData&quot;:{&quot;DOI&quot;:&quot;10.1016/j.apenergy.2019.01.197&quot;,&quot;ISSN&quot;:&quot;03062619&quot;,&quot;abstract&quot;:&quot;Space cooling is the main contributor to high electrical power demand in summer. This research investigates the effect of adding a phase change thermal energy storage unit (PCTSU) to an air source heat pump (HP) cooling system. The HP model improves on an existing model in the simulation software library to simulate the HP performance. The PCTSU performance is simulated using a newly developed two-dimensional transient heat transfer model, which is experimentally validated against available experimental results. The cooling system is operated in three modes to satisfy the space cooling demand of a 7.6 stars house in the City of Adelaide, Australia. The PCTSU is charged by the HP when outdoor temperature is relatively low and discharged either whenever space cooling is required during the day (mode M2) or during the peak period only (mode M3). The simulation is conducted for the whole cooling season, and the cooling energy and electricity usage performances of the system with a PCTSU (modes M2 and M3) are compared with those of the system without a PCTSU (mode M1). A sensitivity analysis reveals that the PCTSU performance is slightly sensitive to the uncertainties of melting temperature of the phase change material and to the inlet temperature of the heat transfer fluid. The PCTSU provides 25% and 13% of the cooling energy and requires 11% and 6% of the electrical energy usage for charging by the HP in modes M2 and M3 respectively. Both electricity usage and demand tariffs are considered, and the cost savings are 14% and 7% in the former and 14% and 13% in the latter, in modes M2 and M3 respectively. The cost analysis indicates that techno-economic benefits of using PCTSUs should be carefully analysed. Appropriate economic incentives are needed to accelerate the uptake of thermal storage for space cooling applications to reduce high electrical power demand and help to avoid the need to further increase the grid capacity.&quot;,&quot;author&quot;:[{&quot;dropping-particle&quot;:&quot;&quot;,&quot;family&quot;:&quot;Farah&quot;,&quot;given&quot;:&quot;Sleiman&quot;,&quot;non-dropping-particle&quot;:&quot;&quot;,&quot;parse-names&quot;:false,&quot;suffix&quot;:&quot;&quot;},{&quot;dropping-particle&quot;:&quot;&quot;,&quot;family&quot;:&quot;Liu&quot;,&quot;given&quot;:&quot;Ming&quot;,&quot;non-dropping-particle&quot;:&quot;&quot;,&quot;parse-names&quot;:false,&quot;suffix&quot;:&quot;&quot;},{&quot;dropping-particle&quot;:&quot;&quot;,&quot;family&quot;:&quot;Saman&quot;,&quot;given&quot;:&quot;Wasim&quot;,&quot;non-dropping-particle&quot;:&quot;&quot;,&quot;parse-names&quot;:false,&quot;suffix&quot;:&quot;&quot;}],&quot;container-title&quot;:&quot;Applied Energy&quot;,&quot;id&quot;:&quot;3e5f4972-a383-36ea-be02-e3fa6f7cddea&quot;,&quot;issued&quot;:{&quot;date-parts&quot;:[[&quot;2019&quot;,&quot;4&quot;,&quot;1&quot;]]},&quot;page&quot;:&quot;526-535&quot;,&quot;publisher&quot;:&quot;Elsevier&quot;,&quot;title&quot;:&quot;Numerical investigation of phase change material thermal storage for space cooling&quot;,&quot;type&quot;:&quot;article-journal&quot;,&quot;volume&quot;:&quot;239&quot;,&quot;container-title-short&quot;:&quot;Appl Energy&quot;},&quot;uris&quot;:[&quot;http://www.mendeley.com/documents/?uuid=3e5f4972-a383-36ea-be02-e3fa6f7cddea&quot;],&quot;isTemporary&quot;:false,&quot;legacyDesktopId&quot;:&quot;3e5f4972-a383-36ea-be02-e3fa6f7cddea&quot;}]},{&quot;citationID&quot;:&quot;MENDELEY_CITATION_cb3689d4-8c60-4677-b450-9843adf46c8e&quot;,&quot;properties&quot;:{&quot;noteIndex&quot;:0},&quot;isEdited&quot;:false,&quot;manualOverride&quot;:{&quot;citeprocText&quot;:&quot;[41]&quot;,&quot;isManuallyOverridden&quot;:false,&quot;manualOverrideText&quot;:&quot;&quot;},&quot;citationTag&quot;:&quot;MENDELEY_CITATION_v3_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&quot;,&quot;citationItems&quot;:[{&quot;id&quot;:&quot;bc9267be-fa3f-3c74-887e-177feba4acc7&quot;,&quot;itemData&quot;:{&quot;DOI&quot;:&quot;10.1016/j.enbuild.2020.110405&quot;,&quot;ISSN&quot;:&quot;03787788&quot;,&quot;abstract&quot;:&quot;This paper studies the performance of a cold storage heat pump system integrated with phase change materials (PCMs) for space cooling. An air-cooled heat pump unit comprising of two constant rotation speed compressors is selected. The PCM is an organic material that is commercially available, and has a phase change temperature of 10–12 °C. A coupled computational heat transfer model of the heat pump unit, fan coil units, and a cold storage tank filled with PCM slabs is developed. The simulations are performed under the climatic condition of Fuzhou, China. The operational behaviors of the cold charging and discharging processes of the system are analyzed. Furthermore, the overall electrical energy and electricity charge consumptions at various indoor temperature set points are compared. The results indicate that, the electrical energy consumption of the cold storage heat pump system increases as the indoor temperature increases. However, there is very little difference in the electrical energy consumption of the conventional heat pump system and the cold storage system. While under the demand tariff, the electricity charge saving ratio of the cold storage system over the conventional system is 9.07%-11.28%. In general, as the indoor temperature set point reduces, the electricity charge saving ratio increases. Moreover, the effect of cold charging temperature is also discussed. It is found that higher cold charging temperature consumes less electrical energy, however, takes longer to store the same amount of cold, and the differences relies on the required amount of cold.&quot;,&quot;author&quot;:[{&quot;dropping-particle&quot;:&quot;&quot;,&quot;family&quot;:&quot;Chen&quot;,&quot;given&quot;:&quot;Xiaoming&quot;,&quot;non-dropping-particle&quot;:&quot;&quot;,&quot;parse-names&quot;:false,&quot;suffix&quot;:&quot;&quot;},{&quot;dropping-particle&quot;:&quot;&quot;,&quot;family&quot;:&quot;Zhang&quot;,&quot;given&quot;:&quot;Quan&quot;,&quot;non-dropping-particle&quot;:&quot;&quot;,&quot;parse-names&quot;:false,&quot;suffix&quot;:&quot;&quot;},{&quot;dropping-particle&quot;:&quot;&quot;,&quot;family&quot;:&quot;Zhai&quot;,&quot;given&quot;:&quot;Zhiqiang (John)&quot;,&quot;non-dropping-particle&quot;:&quot;&quot;,&quot;parse-names&quot;:false,&quot;suffix&quot;:&quot;&quot;},{&quot;dropping-particle&quot;:&quot;&quot;,&quot;family&quot;:&quot;Qiu&quot;,&quot;given&quot;:&quot;Jinyou&quot;,&quot;non-dropping-particle&quot;:&quot;&quot;,&quot;parse-names&quot;:false,&quot;suffix&quot;:&quot;&quot;}],&quot;container-title&quot;:&quot;Energy and Buildings&quot;,&quot;id&quot;:&quot;bc9267be-fa3f-3c74-887e-177feba4acc7&quot;,&quot;issued&quot;:{&quot;date-parts&quot;:[[&quot;2020&quot;,&quot;12&quot;,&quot;1&quot;]]},&quot;page&quot;:&quot;110405&quot;,&quot;publisher&quot;:&quot;Elsevier&quot;,&quot;title&quot;:&quot;Performance of a cold storage air-cooled heat pump system with phase change materials for space cooling&quot;,&quot;type&quot;:&quot;article-journal&quot;,&quot;volume&quot;:&quot;228&quot;,&quot;container-title-short&quot;:&quot;Energy Build&quot;},&quot;uris&quot;:[&quot;http://www.mendeley.com/documents/?uuid=bc9267be-fa3f-3c74-887e-177feba4acc7&quot;],&quot;isTemporary&quot;:false,&quot;legacyDesktopId&quot;:&quot;bc9267be-fa3f-3c74-887e-177feba4acc7&quot;}]},{&quot;citationID&quot;:&quot;MENDELEY_CITATION_9a6c9f18-36ef-40d2-a635-c91726967f47&quot;,&quot;properties&quot;:{&quot;noteIndex&quot;:0},&quot;isEdited&quot;:false,&quot;manualOverride&quot;:{&quot;citeprocText&quot;:&quot;[39]&quot;,&quot;isManuallyOverridden&quot;:false,&quot;manualOverrideText&quot;:&quot;&quot;},&quot;citationTag&quot;:&quot;MENDELEY_CITATION_v3_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&quot;,&quot;citationItems&quot;:[{&quot;id&quot;:&quot;bacf03ef-2012-3b45-9f62-cf041aa46e90&quot;,&quot;itemData&quot;:{&quot;DOI&quot;:&quot;10.1016/j.enbuild.2021.110917&quot;,&quot;ISSN&quot;:&quot;03787788&quot;,&quot;abstract&quot;:&quot;Personal Conditioning Devices (PCD) create a microenvironment around their users and therefore, better satisfy an individual's thermal comfort than central HVAC systems can. Existing PCDs are categorized into stationary devices and wearable devices. Both types of devices have respective advantages and disadvantages. This paper introduces a novel personal conditioning device called Roving Comforter (RoCo) which is ductless, portable, and capable of providing up to 8 h of conditioned air without rejecting waste heat while in use. The conditioned air, typically 5 K cooler than the ambient air, is produced by a 150 W-mini heat pump system that rejects its condenser heat to an onboard phase change material (PCM) container. The PCM is solidified by the heat pump's reverse cycle after the cooling operation or by a thermo-syphon mode. Cyclic tests conducted in the lab confirmed the concept of RoCo design and its technical specifications. We further conducted EnergyPlus simulation to evaluate the power saving potential of RoCo in centrally air-conditioned buildings in seven US cities. The results show that increasing the central HVAC's temperature setpoint by 2.6 K during the peak hours of the day in the summer season could lead to energy savings between 10% and 70% among the seven cities. Finally, a survey investigation with 14 valid datasets from 40 human subjects demonstrated that RoCo could improve the thermal comfort for the users.&quot;,&quot;author&quot;:[{&quot;dropping-particle&quot;:&quot;&quot;,&quot;family&quot;:&quot;Ling&quot;,&quot;given&quot;:&quot;Jiazhen&quot;,&quot;non-dropping-particle&quot;:&quot;&quot;,&quot;parse-names&quot;:false,&quot;suffix&quot;:&quot;&quot;},{&quot;dropping-particle&quot;:&quot;&quot;,&quot;family&quot;:&quot;Dalgo&quot;,&quot;given&quot;:&quot;Daniel A.&quot;,&quot;non-dropping-particle&quot;:&quot;&quot;,&quot;parse-names&quot;:false,&quot;suffix&quot;:&quot;&quot;},{&quot;dropping-particle&quot;:&quot;&quot;,&quot;family&quot;:&quot;Zhu&quot;,&quot;given&quot;:&quot;Shengwei&quot;,&quot;non-dropping-particle&quot;:&quot;&quot;,&quot;parse-names&quot;:false,&quot;suffix&quot;:&quot;&quot;},{&quot;dropping-particle&quot;:&quot;&quot;,&quot;family&quot;:&quot;Qiao&quot;,&quot;given&quot;:&quot;Yiyuan&quot;,&quot;non-dropping-particle&quot;:&quot;&quot;,&quot;parse-names&quot;:false,&quot;suffix&quot;:&quot;&quot;},{&quot;dropping-particle&quot;:&quot;&quot;,&quot;family&quot;:&quot;Wang&quot;,&quot;given&quot;:&quot;Lingzhe&quot;,&quot;non-dropping-particle&quot;:&quot;&quot;,&quot;parse-names&quot;:false,&quot;suffix&quot;:&quot;&quot;},{&quot;dropping-particle&quot;:&quot;&quot;,&quot;family&quot;:&quot;Aute&quot;,&quot;given&quot;:&quot;Vikrant&quot;,&quot;non-dropping-particle&quot;:&quot;&quot;,&quot;parse-names&quot;:false,&quot;suffix&quot;:&quot;&quot;},{&quot;dropping-particle&quot;:&quot;&quot;,&quot;family&quot;:&quot;Srebric&quot;,&quot;given&quot;:&quot;Jelena&quot;,&quot;non-dropping-particle&quot;:&quot;&quot;,&quot;parse-names&quot;:false,&quot;suffix&quot;:&quot;&quot;},{&quot;dropping-particle&quot;:&quot;&quot;,&quot;family&quot;:&quot;Muehlbauer&quot;,&quot;given&quot;:&quot;Jan&quot;,&quot;non-dropping-particle&quot;:&quot;&quot;,&quot;parse-names&quot;:false,&quot;suffix&quot;:&quot;&quot;},{&quot;dropping-particle&quot;:&quot;&quot;,&quot;family&quot;:&quot;Hwang&quot;,&quot;given&quot;:&quot;Yunho&quot;,&quot;non-dropping-particle&quot;:&quot;&quot;,&quot;parse-names&quot;:false,&quot;suffix&quot;:&quot;&quot;},{&quot;dropping-particle&quot;:&quot;&quot;,&quot;family&quot;:&quot;Radermacher&quot;,&quot;given&quot;:&quot;Reinhard&quot;,&quot;non-dropping-particle&quot;:&quot;&quot;,&quot;parse-names&quot;:false,&quot;suffix&quot;:&quot;&quot;}],&quot;container-title&quot;:&quot;Energy and Buildings&quot;,&quot;id&quot;:&quot;bacf03ef-2012-3b45-9f62-cf041aa46e90&quot;,&quot;issued&quot;:{&quot;date-parts&quot;:[[&quot;2021&quot;,&quot;6&quot;,&quot;15&quot;]]},&quot;page&quot;:&quot;110917&quot;,&quot;publisher&quot;:&quot;Elsevier&quot;,&quot;title&quot;:&quot;Energy savings and thermal comfort evaluation of a novel personal conditioning device&quot;,&quot;type&quot;:&quot;article-journal&quot;,&quot;volume&quot;:&quot;241&quot;,&quot;container-title-short&quot;:&quot;Energy Build&quot;},&quot;uris&quot;:[&quot;http://www.mendeley.com/documents/?uuid=bacf03ef-2012-3b45-9f62-cf041aa46e90&quot;],&quot;isTemporary&quot;:false,&quot;legacyDesktopId&quot;:&quot;bacf03ef-2012-3b45-9f62-cf041aa46e90&quot;}]},{&quot;citationID&quot;:&quot;MENDELEY_CITATION_6232dda7-17b6-496e-9a42-13b8e61ddfb6&quot;,&quot;properties&quot;:{&quot;noteIndex&quot;:0},&quot;isEdited&quot;:false,&quot;manualOverride&quot;:{&quot;citeprocText&quot;:&quot;[154]&quot;,&quot;isManuallyOverridden&quot;:false,&quot;manualOverrideText&quot;:&quot;&quot;},&quot;citationTag&quot;:&quot;MENDELEY_CITATION_v3_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&quot;,&quot;citationItems&quot;:[{&quot;id&quot;:&quot;aad07b45-f5e8-3a1b-9f6e-4305e44d0e90&quot;,&quot;itemData&quot;:{&quot;abstract&quot;:&quot;Thermal energy storage (TES) is an increasingly popular tool to level out the daily electrical demand and add stability to the electrical grid as more intermittent renewable energy sources are installed. TES systems can locally decouple high thermal loads from the operation of a heat pump or reduce the electrical energy demand of the heat pump by providing a more favorable temperature gradient. In addition, many policy makers and utility providers have introduced time-of-use (TOU) rate schedules for residential customers to better reflect the price of electricity generation and demand for specific times. TOU rate schedules price grid-provided electricity differently throughout the day depending on the region's climate, time of year, and electrical production portfolio. Large differences between on-peak and off-peak electrical prices may create an economic advantage for a residential customer to install a TES system. In this work, the economic and energy savings are calculated for a modeled 223 square foot residential building with water/ice-based TES using a TOU rate structure. The weather data is from Fresno County, CA, ASHRAE climate zone 3B, and a representative residential TOU utility rate structure from a utility provider in California was used. The simulation was carried out for cooling only during a week of extreme hot summer daytime temperature and the results showed that total energy consumption could be reduced by 14.5% with an 87.5% reduction in on-peak energy usage when the TES is installed. The cost of operating this system for space cooling was reduced by nearly 20% using the sample utility rate plan.&quot;,&quot;author&quot;:[{&quot;dropping-particle&quot;:&quot;&quot;,&quot;family&quot;:&quot;Sultan&quot;,&quot;given&quot;:&quot;S&quot;,&quot;non-dropping-particle&quot;:&quot;&quot;,&quot;parse-names&quot;:false,&quot;suffix&quot;:&quot;&quot;},{&quot;dropping-particle&quot;:&quot;&quot;,&quot;family&quot;:&quot;Hirschey&quot;,&quot;given&quot;:&quot;J&quot;,&quot;non-dropping-particle&quot;:&quot;&quot;,&quot;parse-names&quot;:false,&quot;suffix&quot;:&quot;&quot;},{&quot;dropping-particle&quot;:&quot;&quot;,&quot;family&quot;:&quot;Gluesenkamp&quot;,&quot;given&quot;:&quot;KR&quot;,&quot;non-dropping-particle&quot;:&quot;&quot;,&quot;parse-names&quot;:false,&quot;suffix&quot;:&quot;&quot;},{&quot;dropping-particle&quot;:&quot;&quot;,&quot;family&quot;:&quot;Graham&quot;,&quot;given&quot;:&quot;S&quot;,&quot;non-dropping-particle&quot;:&quot;&quot;,&quot;parse-names&quot;:false,&quot;suffix&quot;:&quot;&quot;}],&quot;id&quot;:&quot;aad07b45-f5e8-3a1b-9f6e-4305e44d0e90&quot;,&quot;issued&quot;:{&quot;date-parts&quot;:[[&quot;2021&quot;]]},&quot;page&quot;:&quot;1-10&quot;,&quot;title&quot;:&quot;Analysis of Residential Time-of-Use Utility Rate Structures and Economic Implications for Thermal Energy Storage&quot;,&quot;type&quot;:&quot;paper-conference&quot;,&quot;container-title-short&quot;:&quot;&quot;},&quot;uris&quot;:[&quot;http://www.mendeley.com/documents/?uuid=aad07b45-f5e8-3a1b-9f6e-4305e44d0e90&quot;],&quot;isTemporary&quot;:false,&quot;legacyDesktopId&quot;:&quot;aad07b45-f5e8-3a1b-9f6e-4305e44d0e90&quot;}]},{&quot;citationID&quot;:&quot;MENDELEY_CITATION_505a1af1-cc4c-4c79-b4e2-d8c5906ae05d&quot;,&quot;properties&quot;:{&quot;noteIndex&quot;:0},&quot;isEdited&quot;:false,&quot;manualOverride&quot;:{&quot;citeprocText&quot;:&quot;[38]&quot;,&quot;isManuallyOverridden&quot;:false,&quot;manualOverrideText&quot;:&quot;&quot;},&quot;citationTag&quot;:&quot;MENDELEY_CITATION_v3_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&quot;,&quot;citationItems&quot;:[{&quot;id&quot;:&quot;dc31db93-ba26-3d21-b18d-4a77673e89df&quot;,&quot;itemData&quot;:{&quot;abstract&quot;:&quot;This paper presents a novel energy storage solution by incorporating phase change material (PCM) in the building supply-air duct to increase a building's thermal storage capacity. This solution has various advantages compared to PCM-integrated walls including more effective heat transfer (forced convection and greater temperature differentials). During off-peak hours, the system runs at a supply-air temperature below the material's solidification point to charge the PCM with cooling energy. During on-peak hours, a higher supply-air temperature is utilized so that the stored energy can be discharged into the supply-air. This shifts a portion of the building's cooling load from the on-peak hours to the off-peak hours. A numerical model for the melting and solidification of PCM in the duct was developed and modified using experimental data. Whole building energy simulations were conducted by coupling the PCM model with EnergyPlus DOE prototypical building model in a Simulink co-simulation platform. Simulations were performed for three cities in different climate zones over a three-month cooling season (June to August), and the PCM storage reduced the on-peak energy consumption by 20-25%. The electricity cost and payback period were determined using current time-of-use electricity rates.&quot;,&quot;author&quot;:[{&quot;dropping-particle&quot;:&quot;&quot;,&quot;family&quot;:&quot;Hlanze&quot;,&quot;given&quot;:&quot;P&quot;,&quot;non-dropping-particle&quot;:&quot;&quot;,&quot;parse-names&quot;:false,&quot;suffix&quot;:&quot;&quot;},{&quot;dropping-particle&quot;:&quot;&quot;,&quot;family&quot;:&quot;Elhefny&quot;,&quot;given&quot;:&quot;A&quot;,&quot;non-dropping-particle&quot;:&quot;&quot;,&quot;parse-names&quot;:false,&quot;suffix&quot;:&quot;&quot;},{&quot;dropping-particle&quot;:&quot;&quot;,&quot;family&quot;:&quot;Jiang&quot;,&quot;given&quot;:&quot;Z&quot;,&quot;non-dropping-particle&quot;:&quot;&quot;,&quot;parse-names&quot;:false,&quot;suffix&quot;:&quot;&quot;},{&quot;dropping-particle&quot;:&quot;&quot;,&quot;family&quot;:&quot;Cai&quot;,&quot;given&quot;:&quot;J&quot;,&quot;non-dropping-particle&quot;:&quot;&quot;,&quot;parse-names&quot;:false,&quot;suffix&quot;:&quot;&quot;},{&quot;dropping-particle&quot;:&quot;&quot;,&quot;family&quot;:&quot;Shabgard&quot;,&quot;given&quot;:&quot;H&quot;,&quot;non-dropping-particle&quot;:&quot;&quot;,&quot;parse-names&quot;:false,&quot;suffix&quot;:&quot;&quot;}],&quot;id&quot;:&quot;dc31db93-ba26-3d21-b18d-4a77673e89df&quot;,&quot;issued&quot;:{&quot;date-parts&quot;:[[&quot;2021&quot;]]},&quot;title&quot;:&quot;Integration of Phase Change Material-Based Storage in Air Distribution Systems to Increase Building Power Flexibility&quot;,&quot;type&quot;:&quot;article-journal&quot;,&quot;container-title-short&quot;:&quot;&quot;},&quot;uris&quot;:[&quot;http://www.mendeley.com/documents/?uuid=dc31db93-ba26-3d21-b18d-4a77673e89df&quot;],&quot;isTemporary&quot;:false,&quot;legacyDesktopId&quot;:&quot;dc31db93-ba26-3d21-b18d-4a77673e89df&quot;}]},{&quot;citationID&quot;:&quot;MENDELEY_CITATION_020320b5-e5da-4f03-bb3f-c8f6e814b483&quot;,&quot;properties&quot;:{&quot;noteIndex&quot;:0},&quot;isEdited&quot;:false,&quot;manualOverride&quot;:{&quot;citeprocText&quot;:&quot;[46]&quot;,&quot;isManuallyOverridden&quot;:false,&quot;manualOverrideText&quot;:&quot;&quot;},&quot;citationTag&quot;:&quot;MENDELEY_CITATION_v3_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&quot;,&quot;citationItems&quot;:[{&quot;id&quot;:&quot;a959076f-3157-3e46-9329-704c3e29ed17&quot;,&quot;itemData&quot;:{&quot;DOI&quot;:&quot;10.1016/j.enbuild.2011.12.022&quot;,&quot;ISSN&quot;:&quot;03787788&quot;,&quot;abstract&quot;:&quot;This work describes a model developed to simulate a radiant floor system with PCM in simple building types. The building simulation model has been validated by comparing its behavior with Energy Plus. The PCM radiant floor model is based on a one-dimensional finite difference scheme where the effective capacity method is used for PCM simulation. Some adjustments have been made to this one-dimensional scheme so that the thermal effect of two-dimensional heat transfer within the radiant floor slab is taken into account. The results of an analyzed case study are also presented in this paper. Here, the PCM floor heating system is fed by a heat pump which mainly operates during night time, thus reducing the costs of electric energy consumption. © 2012 Elsevier B.V. All rights reserved.&quot;,&quot;author&quot;:[{&quot;dropping-particle&quot;:&quot;&quot;,&quot;family&quot;:&quot;Mazo&quot;,&quot;given&quot;:&quot;Javier&quot;,&quot;non-dropping-particle&quot;:&quot;&quot;,&quot;parse-names&quot;:false,&quot;suffix&quot;:&quot;&quot;},{&quot;dropping-particle&quot;:&quot;&quot;,&quot;family&quot;:&quot;Delgado&quot;,&quot;given&quot;:&quot;Monica&quot;,&quot;non-dropping-particle&quot;:&quot;&quot;,&quot;parse-names&quot;:false,&quot;suffix&quot;:&quot;&quot;},{&quot;dropping-particle&quot;:&quot;&quot;,&quot;family&quot;:&quot;Marin&quot;,&quot;given&quot;:&quot;Jose Maria&quot;,&quot;non-dropping-particle&quot;:&quot;&quot;,&quot;parse-names&quot;:false,&quot;suffix&quot;:&quot;&quot;},{&quot;dropping-particle&quot;:&quot;&quot;,&quot;family&quot;:&quot;Zalba&quot;,&quot;given&quot;:&quot;Belen&quot;,&quot;non-dropping-particle&quot;:&quot;&quot;,&quot;parse-names&quot;:false,&quot;suffix&quot;:&quot;&quot;}],&quot;container-title&quot;:&quot;Energy and Buildings&quot;,&quot;id&quot;:&quot;a959076f-3157-3e46-9329-704c3e29ed17&quot;,&quot;issued&quot;:{&quot;date-parts&quot;:[[&quot;2012&quot;,&quot;4&quot;,&quot;1&quot;]]},&quot;page&quot;:&quot;458-466&quot;,&quot;publisher&quot;:&quot;Elsevier&quot;,&quot;title&quot;:&quot;Modeling a radiant floor system with Phase Change Material (PCM) integrated into a building simulation tool: Analysis of a case study of a floor heating system coupled to a heat pump&quot;,&quot;type&quot;:&quot;article-journal&quot;,&quot;volume&quot;:&quot;47&quot;,&quot;container-title-short&quot;:&quot;Energy Build&quot;},&quot;uris&quot;:[&quot;http://www.mendeley.com/documents/?uuid=c7796304-28fe-4981-ab75-fbf2684fb7f4&quot;],&quot;isTemporary&quot;:false,&quot;legacyDesktopId&quot;:&quot;c7796304-28fe-4981-ab75-fbf2684fb7f4&quot;}]},{&quot;citationID&quot;:&quot;MENDELEY_CITATION_f35dcdb1-5865-4d79-b7a8-d139712a4eb6&quot;,&quot;properties&quot;:{&quot;noteIndex&quot;:0},&quot;isEdited&quot;:false,&quot;manualOverride&quot;:{&quot;citeprocText&quot;:&quot;[155]&quot;,&quot;isManuallyOverridden&quot;:false,&quot;manualOverrideText&quot;:&quot;&quot;},&quot;citationTag&quot;:&quot;MENDELEY_CITATION_v3_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&quot;,&quot;citationItems&quot;:[{&quot;id&quot;:&quot;530a4c8b-c3db-3eab-b06f-f362736e7c88&quot;,&quot;itemData&quot;:{&quot;DOI&quot;:&quot;10.1016/S0196-8904(99)00026-6&quot;,&quot;ISSN&quot;:&quot;01968904&quot;,&quot;abstract&quot;:&quot;In order to investigate the performance of the combined solar-heat pump system with energy storage in encapsulated phase change material (PCM) packings for residential heating in Trabzon, Turkey, an experimental set-up was constructed. Also, a comparative study of the performance of this system has been undertaken theoretically. Simulations have been made with BASIC computer program of three basic combined configurations, as well as conventional solar and conventional heat pump systems in Trabzon by using meteorological data. The experimental results were obtained from December to May during the heating season for four heating systems. These systems are a conventional solar system, a series heat pump system, a parallel heat pump system and a dual source heat pump system. The experimentally obtained results are used to calculate the collector efficiency, heat pump coefficient of performance (COP), seasonal heating performance, the fraction of annual load met by free energy, storage and collector efficiencies and total energy consumption of the systems during the heating season.&quot;,&quot;author&quot;:[{&quot;dropping-particle&quot;:&quot;&quot;,&quot;family&quot;:&quot;Kaygusuz&quot;,&quot;given&quot;:&quot;K.&quot;,&quot;non-dropping-particle&quot;:&quot;&quot;,&quot;parse-names&quot;:false,&quot;suffix&quot;:&quot;&quot;},{&quot;dropping-particle&quot;:&quot;&quot;,&quot;family&quot;:&quot;Ayhan&quot;,&quot;given&quot;:&quot;T.&quot;,&quot;non-dropping-particle&quot;:&quot;&quot;,&quot;parse-names&quot;:false,&quot;suffix&quot;:&quot;&quot;}],&quot;container-title&quot;:&quot;Energy Conversion and Management&quot;,&quot;id&quot;:&quot;530a4c8b-c3db-3eab-b06f-f362736e7c88&quot;,&quot;issued&quot;:{&quot;date-parts&quot;:[[&quot;1999&quot;]]},&quot;title&quot;:&quot;Experimental and theoretical investigation of combined solar heat pump system for residential heating&quot;,&quot;type&quot;:&quot;article-journal&quot;,&quot;container-title-short&quot;:&quot;Energy Convers Manag&quot;},&quot;uris&quot;:[&quot;http://www.mendeley.com/documents/?uuid=1e97890d-865d-451c-a6d5-c5ec48f5dbb2&quot;],&quot;isTemporary&quot;:false,&quot;legacyDesktopId&quot;:&quot;1e97890d-865d-451c-a6d5-c5ec48f5dbb2&quot;}]},{&quot;citationID&quot;:&quot;MENDELEY_CITATION_ce185697-4ebc-4de1-9fba-f2c7091f9319&quot;,&quot;properties&quot;:{&quot;noteIndex&quot;:0},&quot;isEdited&quot;:false,&quot;manualOverride&quot;:{&quot;citeprocText&quot;:&quot;[47]&quot;,&quot;isManuallyOverridden&quot;:false,&quot;manualOverrideText&quot;:&quot;&quot;},&quot;citationTag&quot;:&quot;MENDELEY_CITATION_v3_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&quot;,&quot;citationItems&quot;:[{&quot;id&quot;:&quot;bb9ab588-5b97-328d-ba77-af52552472e4&quot;,&quot;itemData&quot;:{&quot;DOI&quot;:&quot;10.1016/j.enbuild.2019.02.026&quot;,&quot;ISSN&quot;:&quot;03787788&quot;,&quot;abstract&quot;:&quot;Heat pumps have the potential to reduce CO 2 emissions due to building heating when compared to fossil-based heating (e.g. natural gas, oil, wood), specifically when used in regions with low-CO 2 electrical generation. In many regions, emissions from the electric grid tend to peak during peak demand periods due to the dispatching of fossil-based generation. The design of buildings as distributed thermal storage units can act to diminish the peaks in the grid, reduce the overall CO 2 emissions from residential heating, increase the utilization of low-CO 2 technologies (nuclear, hydro, wind, solar, etc.…), while maintaining the thermal comfort of the occupants. This study is concerned with how thermal energy storage can be integrated into heat pump systems to improve demand flexibility, and ultimately allow the heating system to remain off during peak periods. Heat pumps tend to operate under a limited temperature range, which limits the energy storage density of water as a thermal storage medium. Phase change materials (PCM) can be used as thermal storage, and they benefit from the ability to maintain a high energy density under limited temperature conditions. The challenge is that PCMs have a relatively low thermal conductivity which can limit the rate of charging and discharging of the stored thermal energy. In the current state-of-the-art literature, there is no standard methodology to size PCM thermal energy storage units for heat pump systems. This study presents novel results that compare numerical and analytical predictions of a hybrid PCM-water thermal storage tank, and proposes a reduced analytical methodology for sizing PCM thermal storage tanks for heat pumps used for demand side management. System-level numerical simulations, considering the transient complexities of the melting and solidification process in a system environment, are compared against a simplified analytical predictions of thermal storage performance. Storage tanks containing 75% PCM modules of 2 cm thickness were able to reduce storage volume by over three-fold of water-only storage operating under a ΔT=10 °C. Peak periods ranging between 2 and 6 h in a residential household were sustained when the appropriate storage volume is used. Analytical methods for estimating the required volume are presented that ease the storage sizing and discuss the expected benefits and their limitation.&quot;,&quot;author&quot;:[{&quot;dropping-particle&quot;:&quot;&quot;,&quot;family&quot;:&quot;Hirmiz&quot;,&quot;given&quot;:&quot;R.&quot;,&quot;non-dropping-particle&quot;:&quot;&quot;,&quot;parse-names&quot;:false,&quot;suffix&quot;:&quot;&quot;},{&quot;dropping-particle&quot;:&quot;&quot;,&quot;family&quot;:&quot;Teamah&quot;,&quot;given&quot;:&quot;H. M.&quot;,&quot;non-dropping-particle&quot;:&quot;&quot;,&quot;parse-names&quot;:false,&quot;suffix&quot;:&quot;&quot;},{&quot;dropping-particle&quot;:&quot;&quot;,&quot;family&quot;:&quot;Lightstone&quot;,&quot;given&quot;:&quot;M. F.&quot;,&quot;non-dropping-particle&quot;:&quot;&quot;,&quot;parse-names&quot;:false,&quot;suffix&quot;:&quot;&quot;},{&quot;dropping-particle&quot;:&quot;&quot;,&quot;family&quot;:&quot;Cotton&quot;,&quot;given&quot;:&quot;J. S.&quot;,&quot;non-dropping-particle&quot;:&quot;&quot;,&quot;parse-names&quot;:false,&quot;suffix&quot;:&quot;&quot;}],&quot;container-title&quot;:&quot;Energy and Buildings&quot;,&quot;id&quot;:&quot;bb9ab588-5b97-328d-ba77-af52552472e4&quot;,&quot;issued&quot;:{&quot;date-parts&quot;:[[&quot;2019&quot;,&quot;5&quot;,&quot;1&quot;]]},&quot;page&quot;:&quot;103-118&quot;,&quot;publisher&quot;:&quot;Elsevier Ltd&quot;,&quot;title&quot;:&quot;Performance of heat pump integrated phase change material thermal storage for electric load shifting in building demand side management&quot;,&quot;type&quot;:&quot;article-journal&quot;,&quot;volume&quot;:&quot;190&quot;,&quot;container-title-short&quot;:&quot;Energy Build&quot;},&quot;uris&quot;:[&quot;http://www.mendeley.com/documents/?uuid=bb9ab588-5b97-328d-ba77-af52552472e4&quot;],&quot;isTemporary&quot;:false,&quot;legacyDesktopId&quot;:&quot;bb9ab588-5b97-328d-ba77-af52552472e4&quot;}]},{&quot;citationID&quot;:&quot;MENDELEY_CITATION_507edca3-c7fa-49df-b3e0-f5120541b62e&quot;,&quot;properties&quot;:{&quot;noteIndex&quot;:0},&quot;isEdited&quot;:false,&quot;manualOverride&quot;:{&quot;citeprocText&quot;:&quot;[48]&quot;,&quot;isManuallyOverridden&quot;:false,&quot;manualOverrideText&quot;:&quot;&quot;},&quot;citationTag&quot;:&quot;MENDELEY_CITATION_v3_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&quot;,&quot;citationItems&quot;:[{&quot;id&quot;:&quot;2726706e-0c84-30a7-bd68-47fd032fe559&quot;,&quot;itemData&quot;:{&quot;DOI&quot;:&quot;10.1016/j.enconman.2021.114042&quot;,&quot;ISSN&quot;:&quot;01968904&quot;,&quot;abstract&quot;:&quot;Integrating latent heat thermal energy storage (LHTES) units into building heating systems has been increasingly investigated as a heat load management technology. A conventional LHTES integration method for heat pump based heating systems is to connect the heat pump's condenser for charging the LHTES unit. This integrating layout however usually leads to increased electricity input to the heating system. To underline this issue and provide solutions, this paper presents three new LHTES integrating layouts where the LHTES unit is connected with the de-superheater of the main heat pump (Case 2), the condenser of a cascaded booster heat pump cycle (Case 3), or a combination of using both the de-superheater and the booster cycle (Case 4). In the context of a multi-family house in Stockholm, a quasi-steady state heating system model was developed to evaluate the new integrating layouts, which were benchmarked against the baseline heating system without storage (Case 0) and the conventional integrating layout using the main heat pump condenser (Case 1). Hourly electric power input to the heating system was modelled for calculating the performance indicators including the heating performance factor, the operational expense and justifiable capital expense, and the indirect CO2 emissions. Two load shifting strategies were simulated for an evaluation period of Week 1, 2019: 1) charge during off-peak hours (8 pm to 6 am) and 2) charge during daytime hours (10 am to 7 pm). The simulation results of the off-peak charging strategy show that, in Cases 2–4, the heating performance factor is 22%-26% higher than Case 1 and the operational expense can be reduced by 2%-5% as compared with Case 0. The savings in the operational expense can justify the capital expense of 11 k-25 k Swedish Krona (SEK) for the LHTES systems in Cases 2–4 assuming a 15-year operation. Furthermore, the advantage of using the daytime charging strategy is principally the mitigation of CO2 emissions, which is up to 14% lower than the off-peak charging strategy. In summary, higher energy efficiency for heating is validated in the three new proposed integration layouts (Cases 2–4) against the condenser charging layout.&quot;,&quot;author&quot;:[{&quot;dropping-particle&quot;:&quot;&quot;,&quot;family&quot;:&quot;Xu&quot;,&quot;given&quot;:&quot;Tianhao&quot;,&quot;non-dropping-particle&quot;:&quot;&quot;,&quot;parse-names&quot;:false,&quot;suffix&quot;:&quot;&quot;},{&quot;dropping-particle&quot;:&quot;&quot;,&quot;family&quot;:&quot;Humire&quot;,&quot;given&quot;:&quot;Emma Nyholm&quot;,&quot;non-dropping-particle&quot;:&quot;&quot;,&quot;parse-names&quot;:false,&quot;suffix&quot;:&quot;&quot;},{&quot;dropping-particle&quot;:&quot;&quot;,&quot;family&quot;:&quot;Chiu&quot;,&quot;given&quot;:&quot;Justin Ningwei&quot;,&quot;non-dropping-particle&quot;:&quot;&quot;,&quot;parse-names&quot;:false,&quot;suffix&quot;:&quot;&quot;},{&quot;dropping-particle&quot;:&quot;&quot;,&quot;family&quot;:&quot;Sawalha&quot;,&quot;given&quot;:&quot;Samer&quot;,&quot;non-dropping-particle&quot;:&quot;&quot;,&quot;parse-names&quot;:false,&quot;suffix&quot;:&quot;&quot;}],&quot;container-title&quot;:&quot;Energy Conversion and Management&quot;,&quot;id&quot;:&quot;2726706e-0c84-30a7-bd68-47fd032fe559&quot;,&quot;issued&quot;:{&quot;date-parts&quot;:[[&quot;2021&quot;,&quot;5&quot;,&quot;15&quot;]]},&quot;page&quot;:&quot;114042&quot;,&quot;publisher&quot;:&quot;Pergamon&quot;,&quot;title&quot;:&quot;Latent heat storage integration into heat pump based heating systems for energy-efficient load shifting&quot;,&quot;type&quot;:&quot;article-journal&quot;,&quot;volume&quot;:&quot;236&quot;,&quot;container-title-short&quot;:&quot;Energy Convers Manag&quot;},&quot;uris&quot;:[&quot;http://www.mendeley.com/documents/?uuid=2726706e-0c84-30a7-bd68-47fd032fe559&quot;],&quot;isTemporary&quot;:false,&quot;legacyDesktopId&quot;:&quot;2726706e-0c84-30a7-bd68-47fd032fe559&quot;}]},{&quot;citationID&quot;:&quot;MENDELEY_CITATION_50bf9017-563f-43ad-8876-c8ac469255da&quot;,&quot;properties&quot;:{&quot;noteIndex&quot;:0},&quot;isEdited&quot;:false,&quot;manualOverride&quot;:{&quot;citeprocText&quot;:&quot;[156]&quot;,&quot;isManuallyOverridden&quot;:false,&quot;manualOverrideText&quot;:&quot;&quot;},&quot;citationTag&quot;:&quot;MENDELEY_CITATION_v3_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&quot;,&quot;citationItems&quot;:[{&quot;id&quot;:&quot;f01f8033-5096-3418-bdd4-b32c41dcd5ff&quot;,&quot;itemData&quot;:{&quot;DOI&quot;:&quot;10.1016/j.enbuild.2021.111651&quot;,&quot;ISSN&quot;:&quot;03787788&quot;,&quot;abstract&quot;:&quot;This paper presents both experimental and numerical studies of PCM storage integrated with an HVAC system. The experiments focus on PCM storage in 3 different sizes, and study the temperature change in the PCM storage during the charge and discharge period, the impact of the PCM quantity on the charge and discharge rates of the PCM storage and the impact of the discharge air temperature and airflow rate on the discharge rate. The main conclusions are that the temperature effectiveness of the PCM storage depends more on the PCM quantity than the discharge inlet air temperature and airflow rate. The air path in the PCM storage should not be too long to achieve the longer PCM activation in time. The storage with 36 pieces of PCM plates and latent storage capacity of 5.23 MJ can be charged/discharged fast, with high and stable outlet air temperature (above 28 °C for 3 hours), especially during the discharge period. The most promising configuration of the experimental study was chosen for a numerical study the energy flexibility of the HVAC system without PCM and with PCM. A model of the PCM storage integrated with an HVAC system is built with EnergyPlus and validated by experimental data. The study concluded that the HVAC heating setpoint control based on the electricity price without PCM storage has limited cost-saving potential due to the high electricity transmission and tax cost. The PCM storage integrated with an HVAC system can reduce the energy cost by 7 % while obtaining a similar indoor thermal comfort level compared to the HVAC heating setpoint control without PCM storage. The payback time of HVAC with PCM is seven years compared to HVAC system without PCM. The cost reduction of energy flexibility of the system is relatively limited because the electricity transmission cost and electricity tax account for 80% of the total electricity cost in Denmark.&quot;,&quot;author&quot;:[{&quot;dropping-particle&quot;:&quot;&quot;,&quot;family&quot;:&quot;Hu&quot;,&quot;given&quot;:&quot;Yue&quot;,&quot;non-dropping-particle&quot;:&quot;&quot;,&quot;parse-names&quot;:false,&quot;suffix&quot;:&quot;&quot;},{&quot;dropping-particle&quot;:&quot;&quot;,&quot;family&quot;:&quot;Heiselberg&quot;,&quot;given&quot;:&quot;Per Kvols&quot;,&quot;non-dropping-particle&quot;:&quot;&quot;,&quot;parse-names&quot;:false,&quot;suffix&quot;:&quot;&quot;},{&quot;dropping-particle&quot;:&quot;&quot;,&quot;family&quot;:&quot;Drivsholm&quot;,&quot;given&quot;:&quot;Christian&quot;,&quot;non-dropping-particle&quot;:&quot;&quot;,&quot;parse-names&quot;:false,&quot;suffix&quot;:&quot;&quot;},{&quot;dropping-particle&quot;:&quot;&quot;,&quot;family&quot;:&quot;Søvsø&quot;,&quot;given&quot;:&quot;Asger Skød&quot;,&quot;non-dropping-particle&quot;:&quot;&quot;,&quot;parse-names&quot;:false,&quot;suffix&quot;:&quot;&quot;},{&quot;dropping-particle&quot;:&quot;&quot;,&quot;family&quot;:&quot;Vogler-Finck&quot;,&quot;given&quot;:&quot;Pierre J.C.&quot;,&quot;non-dropping-particle&quot;:&quot;&quot;,&quot;parse-names&quot;:false,&quot;suffix&quot;:&quot;&quot;},{&quot;dropping-particle&quot;:&quot;&quot;,&quot;family&quot;:&quot;Kronby&quot;,&quot;given&quot;:&quot;Kim&quot;,&quot;non-dropping-particle&quot;:&quot;&quot;,&quot;parse-names&quot;:false,&quot;suffix&quot;:&quot;&quot;}],&quot;container-title&quot;:&quot;Energy and Buildings&quot;,&quot;id&quot;:&quot;f01f8033-5096-3418-bdd4-b32c41dcd5ff&quot;,&quot;issued&quot;:{&quot;date-parts&quot;:[[&quot;2021&quot;,&quot;11&quot;,&quot;6&quot;]]},&quot;page&quot;:&quot;111651&quot;,&quot;publisher&quot;:&quot;Elsevier&quot;,&quot;title&quot;:&quot;Experimental and numerical study of PCM storage integrated with HVAC system for energy flexibility&quot;,&quot;type&quot;:&quot;article-journal&quot;,&quot;container-title-short&quot;:&quot;Energy Build&quot;},&quot;uris&quot;:[&quot;http://www.mendeley.com/documents/?uuid=f01f8033-5096-3418-bdd4-b32c41dcd5ff&quot;],&quot;isTemporary&quot;:false,&quot;legacyDesktopId&quot;:&quot;f01f8033-5096-3418-bdd4-b32c41dcd5ff&quot;}]},{&quot;citationID&quot;:&quot;MENDELEY_CITATION_62161374-ff69-4b71-bb34-aa57c83d2048&quot;,&quot;properties&quot;:{&quot;noteIndex&quot;:0},&quot;isEdited&quot;:false,&quot;manualOverride&quot;:{&quot;citeprocText&quot;:&quot;[143]&quot;,&quot;isManuallyOverridden&quot;:false,&quot;manualOverrideText&quot;:&quot;&quot;},&quot;citationTag&quot;:&quot;MENDELEY_CITATION_v3_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&quot;,&quot;citationItems&quot;:[{&quot;id&quot;:&quot;d5b3b78b-3ac5-53af-bfe5-296cd315ed5e&quot;,&quot;itemData&quot;:{&quot;DOI&quot;:&quot;10.1016/j.enbuild.2014.04.029&quot;,&quot;ISSN&quot;:&quot;03787788&quot;,&quot;abstract&quot;:&quot;This paper exposes a HVAC system installed and tested during the Solar Decathlon Europe 2012 competition at the SMLsystem prototype. This system is focussed to improve the performance of a heat pump based HVAC system with two thermal storage tanks using phase change materials (PCM). A cold tank is used to take advantage of the low outside temperatures at night to cool the PCM with a high COP and it is used later to cool the building when the outside temperature rises. The second tank is operated as an alternative hot reservoir which provides the system the flexibility to dissipate the heat to the tank at a constant temperature granting never to reduce the COP from a minimum value. Different functioning strategies to evaluate the efficient use of the HVAC system for cold accumulation and heat dissipation are shown and implemented.&quot;,&quot;author&quot;:[{&quot;dropping-particle&quot;:&quot;&quot;,&quot;family&quot;:&quot;Real&quot;,&quot;given&quot;:&quot;A.&quot;,&quot;non-dropping-particle&quot;:&quot;&quot;,&quot;parse-names&quot;:false,&quot;suffix&quot;:&quot;&quot;},{&quot;dropping-particle&quot;:&quot;&quot;,&quot;family&quot;:&quot;García&quot;,&quot;given&quot;:&quot;V.&quot;,&quot;non-dropping-particle&quot;:&quot;&quot;,&quot;parse-names&quot;:false,&quot;suffix&quot;:&quot;&quot;},{&quot;dropping-particle&quot;:&quot;&quot;,&quot;family&quot;:&quot;Domenech&quot;,&quot;given&quot;:&quot;L.&quot;,&quot;non-dropping-particle&quot;:&quot;&quot;,&quot;parse-names&quot;:false,&quot;suffix&quot;:&quot;&quot;},{&quot;dropping-particle&quot;:&quot;&quot;,&quot;family&quot;:&quot;Renau&quot;,&quot;given&quot;:&quot;J.&quot;,&quot;non-dropping-particle&quot;:&quot;&quot;,&quot;parse-names&quot;:false,&quot;suffix&quot;:&quot;&quot;},{&quot;dropping-particle&quot;:&quot;&quot;,&quot;family&quot;:&quot;Montés&quot;,&quot;given&quot;:&quot;N.&quot;,&quot;non-dropping-particle&quot;:&quot;&quot;,&quot;parse-names&quot;:false,&quot;suffix&quot;:&quot;&quot;},{&quot;dropping-particle&quot;:&quot;&quot;,&quot;family&quot;:&quot;Sánchez&quot;,&quot;given&quot;:&quot;F.&quot;,&quot;non-dropping-particle&quot;:&quot;&quot;,&quot;parse-names&quot;:false,&quot;suffix&quot;:&quot;&quot;}],&quot;container-title&quot;:&quot;Energy and Buildings&quot;,&quot;id&quot;:&quot;d5b3b78b-3ac5-53af-bfe5-296cd315ed5e&quot;,&quot;issued&quot;:{&quot;date-parts&quot;:[[&quot;2014&quot;]]},&quot;page&quot;:&quot;108-116&quot;,&quot;publisher&quot;:&quot;Elsevier B.V.&quot;,&quot;title&quot;:&quot;Improvement of a heat pump based HVAC system with PCM thermal storage for cold accumulation and heat dissipation&quot;,&quot;type&quot;:&quot;article-journal&quot;,&quot;volume&quot;:&quot;83&quot;,&quot;container-title-short&quot;:&quot;Energy Build&quot;},&quot;uris&quot;:[&quot;http://www.mendeley.com/documents/?uuid=3e977037-1f91-4752-b507-f6eaa87108ec&quot;],&quot;isTemporary&quot;:false,&quot;legacyDesktopId&quot;:&quot;3e977037-1f91-4752-b507-f6eaa87108ec&quot;}]},{&quot;citationID&quot;:&quot;MENDELEY_CITATION_e5ff2efa-16e3-470c-b6c2-8f8f1582b797&quot;,&quot;properties&quot;:{&quot;noteIndex&quot;:0},&quot;isEdited&quot;:false,&quot;manualOverride&quot;:{&quot;citeprocText&quot;:&quot;[45]&quot;,&quot;isManuallyOverridden&quot;:false,&quot;manualOverrideText&quot;:&quot;&quot;},&quot;citationTag&quot;:&quot;MENDELEY_CITATION_v3_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&quot;,&quot;citationItems&quot;:[{&quot;id&quot;:&quot;a385f523-aac2-3ef1-8f0c-1fdc0d8078ae&quot;,&quot;itemData&quot;:{&quot;DOI&quot;:&quot;10.1016/j.scs.2018.06.016&quot;,&quot;ISSN&quot;:&quot;22106707&quot;,&quot;abstract&quot;:&quot;This article presents a simulation-based study that estimates the primary energy use of a novel HVAC system for different configurations of a thermal plant. The main characteristic of the system is its ability to provide simultaneous heating and cooling to buildings by using a single hydronic circuit with water temperatures of about 22 °C all year round. Four different configurations of the thermal plant were analyzed. A district heating-cooling network was considered as baseline. Other configurations included the use of a reversible air-to-water heat pump coupled with free cooling devices. In particular, a model of a PCM-based heat exchanger was developed in this work by using the programming language Modelica. This device was designed to store cold energy during night-time and release it during daytime through the water circuit. Results for a typical office building model showed that the integration of free cooling devices can significantly reduce the primary energy use of the novel HVAC system. In particular, the thermal plant configuration including the PCM-based heat exchanger made it possible to almost completely avoid the use of mechanical cooling, leading to annual primary energy savings of about 67% when compared with the baseline thermal plant configuration.&quot;,&quot;author&quot;:[{&quot;dropping-particle&quot;:&quot;&quot;,&quot;family&quot;:&quot;Maccarini&quot;,&quot;given&quot;:&quot;Alessandro&quot;,&quot;non-dropping-particle&quot;:&quot;&quot;,&quot;parse-names&quot;:false,&quot;suffix&quot;:&quot;&quot;},{&quot;dropping-particle&quot;:&quot;&quot;,&quot;family&quot;:&quot;Hultmark&quot;,&quot;given&quot;:&quot;Göran&quot;,&quot;non-dropping-particle&quot;:&quot;&quot;,&quot;parse-names&quot;:false,&quot;suffix&quot;:&quot;&quot;},{&quot;dropping-particle&quot;:&quot;&quot;,&quot;family&quot;:&quot;Bergsøe&quot;,&quot;given&quot;:&quot;Niels C.&quot;,&quot;non-dropping-particle&quot;:&quot;&quot;,&quot;parse-names&quot;:false,&quot;suffix&quot;:&quot;&quot;},{&quot;dropping-particle&quot;:&quot;&quot;,&quot;family&quot;:&quot;Afshari&quot;,&quot;given&quot;:&quot;Alireza&quot;,&quot;non-dropping-particle&quot;:&quot;&quot;,&quot;parse-names&quot;:false,&quot;suffix&quot;:&quot;&quot;}],&quot;container-title&quot;:&quot;Sustainable Cities and Society&quot;,&quot;id&quot;:&quot;a385f523-aac2-3ef1-8f0c-1fdc0d8078ae&quot;,&quot;issued&quot;:{&quot;date-parts&quot;:[[&quot;2018&quot;,&quot;10&quot;,&quot;1&quot;]]},&quot;page&quot;:&quot;384-395&quot;,&quot;publisher&quot;:&quot;Elsevier&quot;,&quot;title&quot;:&quot;Free cooling potential of a PCM-based heat exchanger coupled with a novel HVAC system for simultaneous heating and cooling of buildings&quot;,&quot;type&quot;:&quot;article-journal&quot;,&quot;volume&quot;:&quot;42&quot;,&quot;container-title-short&quot;:&quot;Sustain Cities Soc&quot;},&quot;uris&quot;:[&quot;http://www.mendeley.com/documents/?uuid=a385f523-aac2-3ef1-8f0c-1fdc0d8078ae&quot;],&quot;isTemporary&quot;:false,&quot;legacyDesktopId&quot;:&quot;a385f523-aac2-3ef1-8f0c-1fdc0d8078ae&quot;}]},{&quot;citationID&quot;:&quot;MENDELEY_CITATION_d80520c6-b97c-4258-8309-59097b5ad158&quot;,&quot;properties&quot;:{&quot;noteIndex&quot;:0},&quot;isEdited&quot;:false,&quot;manualOverride&quot;:{&quot;citeprocText&quot;:&quot;[157]&quot;,&quot;isManuallyOverridden&quot;:false,&quot;manualOverrideText&quot;:&quot;&quot;},&quot;citationTag&quot;:&quot;MENDELEY_CITATION_v3_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&quot;,&quot;citationItems&quot;:[{&quot;id&quot;:&quot;28ce6625-62f0-3235-a9ca-0336c5956d1c&quot;,&quot;itemData&quot;:{&quot;DOI&quot;:&quot;10.1016/j.energy.2020.118572&quot;,&quot;ISSN&quot;:&quot;03605442&quot;,&quot;abstract&quot;:&quot;Incorporation of phase change materials (PCMs) into buildings has recently attracted widespread attention as they can bridge the mismatch between energy supply and demand through their large energy storage capacity. This paper presents the use of an active PCM storage system in buildings and evaluates its energy performance over the different seasons. To this end, two experimental huts, each equipped with solar and electric heaters in winter or an air conditioning unit in summer, were used to investigate the concept. Also, one of the huts was provided with PCM storage units, and the results obtained were compared with those collected from the reference hut. A CompactRIO, data acquisition system, powered by LabVIEW real-time software, was used to transfer data for analysis, processing, and communicating with the host computer. In this research, the active PCM storage units could store solar energy in cold seasons or free night cooling in warm seasons for later use and hence reduce the heating/cooling load requirements. An accumulative heating energy savings of 40% in May and 10.3% in June/July 2019, were achieved. The use of PCM for space cooling also led to an accumulative energy-saving of 30% in March/April and 10% in January.&quot;,&quot;author&quot;:[{&quot;dropping-particle&quot;:&quot;&quot;,&quot;family&quot;:&quot;Gholamibozanjani&quot;,&quot;given&quot;:&quot;Gohar&quot;,&quot;non-dropping-particle&quot;:&quot;&quot;,&quot;parse-names&quot;:false,&quot;suffix&quot;:&quot;&quot;},{&quot;dropping-particle&quot;:&quot;&quot;,&quot;family&quot;:&quot;Farid&quot;,&quot;given&quot;:&quot;Mohammed&quot;,&quot;non-dropping-particle&quot;:&quot;&quot;,&quot;parse-names&quot;:false,&quot;suffix&quot;:&quot;&quot;}],&quot;container-title&quot;:&quot;Energy&quot;,&quot;id&quot;:&quot;28ce6625-62f0-3235-a9ca-0336c5956d1c&quot;,&quot;issued&quot;:{&quot;date-parts&quot;:[[&quot;2020&quot;,&quot;11&quot;,&quot;1&quot;]]},&quot;page&quot;:&quot;118572&quot;,&quot;publisher&quot;:&quot;Pergamon&quot;,&quot;title&quot;:&quot;Application of an active PCM storage system into a building for heating/cooling load reduction&quot;,&quot;type&quot;:&quot;article-journal&quot;,&quot;volume&quot;:&quot;210&quot;,&quot;container-title-short&quot;:&quot;&quot;},&quot;uris&quot;:[&quot;http://www.mendeley.com/documents/?uuid=28ce6625-62f0-3235-a9ca-0336c5956d1c&quot;],&quot;isTemporary&quot;:false,&quot;legacyDesktopId&quot;:&quot;28ce6625-62f0-3235-a9ca-0336c5956d1c&quot;}]},{&quot;citationID&quot;:&quot;MENDELEY_CITATION_3678020e-92fd-47dd-8e78-f488b92279c1&quot;,&quot;properties&quot;:{&quot;noteIndex&quot;:0},&quot;isEdited&quot;:false,&quot;manualOverride&quot;:{&quot;citeprocText&quot;:&quot;[37]&quot;,&quot;isManuallyOverridden&quot;:false,&quot;manualOverrideText&quot;:&quot;&quot;},&quot;citationTag&quot;:&quot;MENDELEY_CITATION_v3_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&quot;,&quot;citationItems&quot;:[{&quot;id&quot;:&quot;153c228c-f0ec-3d4e-bc8b-5dabf057df2f&quot;,&quot;itemData&quot;:{&quot;DOI&quot;:&quot;10.1016/j.solener.2020.09.016&quot;,&quot;ISSN&quot;:&quot;0038092X&quot;,&quot;abstract&quot;:&quot;Peak load shifting, a load management policy, has attracted widespread attention as it can minimize the impact of load variation on a system's operation and reduce the electricity costs. Phase change materials (PCMs) can contribute to peak load shifting by storing the daytime solar energy in winter/free night cooling in summer or the low-rate energy provided at off-peak hours for use during the high electricity peak period. This study aimed to experimentally investigate the effect of an active PCM storage in combination with a price-based control on peak load shifting. The experiments were conducted using two identical test huts, which were equipped with an electric and solar air heater during cold seasons or an air conditioning unit during warm seasons. But in addition, one of the huts was equipped with an active PCM storage unit charged by the solar heater. A CompactRio data acquisition system, powered by LabView interface, was used to transfer data and communicate with a host computer. Results showed that the proposed system was successful in shifting both heating and cooling demands to the off-peak periods. Up to 47% of daily energy-saving (∼0.83 kWh) with a corresponding 65% of electricity cost-saving, in winter, and up to 23% daily energy saving (∼0.27 kWh) with a relevant 42% of cost-saving, in summer, were achieved.&quot;,&quot;author&quot;:[{&quot;dropping-particle&quot;:&quot;&quot;,&quot;family&quot;:&quot;Gholamibozanjani&quot;,&quot;given&quot;:&quot;Gohar&quot;,&quot;non-dropping-particle&quot;:&quot;&quot;,&quot;parse-names&quot;:false,&quot;suffix&quot;:&quot;&quot;},{&quot;dropping-particle&quot;:&quot;&quot;,&quot;family&quot;:&quot;Farid&quot;,&quot;given&quot;:&quot;Mohammed&quot;,&quot;non-dropping-particle&quot;:&quot;&quot;,&quot;parse-names&quot;:false,&quot;suffix&quot;:&quot;&quot;}],&quot;container-title&quot;:&quot;Solar Energy&quot;,&quot;id&quot;:&quot;153c228c-f0ec-3d4e-bc8b-5dabf057df2f&quot;,&quot;issued&quot;:{&quot;date-parts&quot;:[[&quot;2020&quot;,&quot;11&quot;,&quot;15&quot;]]},&quot;page&quot;:&quot;661-673&quot;,&quot;publisher&quot;:&quot;Pergamon&quot;,&quot;title&quot;:&quot;Peak load shifting using a price-based control in PCM-enhanced buildings&quot;,&quot;type&quot;:&quot;article-journal&quot;,&quot;volume&quot;:&quot;211&quot;,&quot;container-title-short&quot;:&quot;&quot;},&quot;uris&quot;:[&quot;http://www.mendeley.com/documents/?uuid=153c228c-f0ec-3d4e-bc8b-5dabf057df2f&quot;],&quot;isTemporary&quot;:false,&quot;legacyDesktopId&quot;:&quot;153c228c-f0ec-3d4e-bc8b-5dabf057df2f&quot;}]},{&quot;citationID&quot;:&quot;MENDELEY_CITATION_6a463bd6-1d59-4f13-ac5a-6102a7ff55ab&quot;,&quot;properties&quot;:{&quot;noteIndex&quot;:0},&quot;isEdited&quot;:false,&quot;manualOverride&quot;:{&quot;isManuallyOverridden&quot;:false,&quot;citeprocText&quot;:&quot;[136]&quot;,&quot;manualOverrideText&quot;:&quot;&quot;},&quot;citationTag&quot;:&quot;MENDELEY_CITATION_v3_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&quot;,&quot;citationItems&quot;:[{&quot;id&quot;:&quot;17a415ea-52e6-3bab-94c5-f16dc6a535fc&quot;,&quot;itemData&quot;:{&quot;type&quot;:&quot;paper-conference&quot;,&quot;id&quot;:&quot;17a415ea-52e6-3bab-94c5-f16dc6a535fc&quot;,&quot;title&quot;:&quot;Research on thermal storage using rock wool phase-change material ceiling board&quot;,&quot;author&quot;:[{&quot;family&quot;:&quot;Kondo&quot;,&quot;given&quot;:&quot;Takeshi&quot;,&quot;parse-names&quot;:false,&quot;dropping-particle&quot;:&quot;&quot;,&quot;non-dropping-particle&quot;:&quot;&quot;},{&quot;family&quot;:&quot;Ibamoto&quot;,&quot;given&quot;:&quot;Tadahiko&quot;,&quot;parse-names&quot;:false,&quot;dropping-particle&quot;:&quot;&quot;,&quot;non-dropping-particle&quot;:&quot;&quot;}],&quot;container-title&quot;:&quot;ASHRAE Transactions&quot;,&quot;accessed&quot;:{&quot;date-parts&quot;:[[2020,5,2]]},&quot;ISSN&quot;:&quot;00012505&quot;,&quot;issued&quot;:{&quot;date-parts&quot;:[[2006]]},&quot;page&quot;:&quot;526-531&quot;,&quot;abstract&quot;:&quot;In this study, the effects of peak shaving control of air-conditioning systems using phase-change material (PCM) for ceiling board in an office building were examined. Rock wool PCM ceiling board (PCM ceiling board) was enhanced by adding microcapsulate PCM, whose melting point, at about 25°C, is close to room temperature. The load on the air-handling unit (AHU) can be reduced by using the thermal storage of the PCM ceiling board during the peak shaving control period. At the same time, the radiation field in the room can also be improved due to stabilization of the ceiling board temperature at the PCM melting point. During overnight thermal storage, cool air from the AHU flows into the ceiling chamber space and chills the PCM ceiling board, storing the cooling thermal energy. During the peak shaving period, when the thermal load is at maximum, the air from the room returns to the AHU via the ceiling chamber space. As a result of passing through the cooled-down PCM ceiling board, the warm air from the room cools down before returning to the AHU. The maximum thermal load and the capacity of heat source can thus be reduced. The results of this research were obtained by examining measurements of the thermal capacity of the PCM ceiling board and a numerical simulation. The maximum thermal load was cut by 9.4% compared to conventional rock wool ceiling board. From this result, it can be concluded that the PCM ceiling system acts effectively to enable peak shaving control. © 2006 ASHRAE.&quot;,&quot;volume&quot;:&quot;112 PART 1&quot;,&quot;container-title-short&quot;:&quot;ASHRAE Trans&quot;},&quot;isTemporary&quot;:false}]},{&quot;citationID&quot;:&quot;MENDELEY_CITATION_11364ef7-81d7-4661-aa34-93ae898924d8&quot;,&quot;properties&quot;:{&quot;noteIndex&quot;:0},&quot;isEdited&quot;:false,&quot;manualOverride&quot;:{&quot;isManuallyOverridden&quot;:false,&quot;citeprocText&quot;:&quot;[42]&quot;,&quot;manualOverrideText&quot;:&quot;&quot;},&quot;citationTag&quot;:&quot;MENDELEY_CITATION_v3_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&quot;,&quot;citationItems&quot;:[{&quot;id&quot;:&quot;f8f7c02b-3562-32d0-9556-6d1d09dc0da1&quot;,&quot;itemData&quot;:{&quot;type&quot;:&quot;article-journal&quot;,&quot;id&quot;:&quot;f8f7c02b-3562-32d0-9556-6d1d09dc0da1&quot;,&quot;title&quot;:&quot;Minimising energy usage for domestic cooling with off-peak PCM storage&quot;,&quot;author&quot;:[{&quot;family&quot;:&quot;Bruno&quot;,&quot;given&quot;:&quot;F.&quot;,&quot;parse-names&quot;:false,&quot;dropping-particle&quot;:&quot;&quot;,&quot;non-dropping-particle&quot;:&quot;&quot;},{&quot;family&quot;:&quot;Tay&quot;,&quot;given&quot;:&quot;N. H S&quot;,&quot;parse-names&quot;:false,&quot;dropping-particle&quot;:&quot;&quot;,&quot;non-dropping-particle&quot;:&quot;&quot;},{&quot;family&quot;:&quot;Belusko&quot;,&quot;given&quot;:&quot;M.&quot;,&quot;parse-names&quot;:false,&quot;dropping-particle&quot;:&quot;&quot;,&quot;non-dropping-particle&quot;:&quot;&quot;}],&quot;container-title&quot;:&quot;Energy and Buildings&quot;,&quot;container-title-short&quot;:&quot;Energy Build&quot;,&quot;accessed&quot;:{&quot;date-parts&quot;:[[2019,7,19]]},&quot;DOI&quot;:&quot;10.1016/j.enbuild.2014.02.069&quot;,&quot;ISSN&quot;:&quot;03787788&quot;,&quot;URL&quot;:&quot;https://www-sciencedirect-com.proxy.lib.utk.edu/science/article/pii/S0378778814002059&quot;,&quot;issued&quot;:{&quot;date-parts&quot;:[[2014,6,1]]},&quot;page&quot;:&quot;347-353&quot;,&quot;abstract&quot;:&quot;Achieving energy savings with domestic off peak air conditioning using phase change materials (PCMs) has always proved a challenge. Although the energy efficiency ratio of an air conditioner is higher during the night, this improvement often does not offset the exergy loss experienced when using thermal storage. Simulations have been conducted using the effectiveness-number of transfer units (-NTU) representation of a PCM system to determine the instantaneous heat transfer when coupled to an inverter chiller cooling system. Results show that although 85% of the energy consumption for cooling could be shifted to the off-peak period with an ice based system, the energy demand increased by 7.6%. The investigation demonstrated that by using a PCM with a melting point of 4 °C, it is possible to achieve an energy saving for cooling. A savings of around 13.5% can be achieved using a PCM with a melting point of 10 °C. Energy usage was increased with a more efficient PCM storage system. This unexpected result was due to which period the storage system was charged. A more efficient storage system charged quicker during the warmer part of the evening. Therefore energy minimisation requires optimal charging during the coldest part of the night. © 2014 Elsevier B.V.&quot;,&quot;publisher&quot;:&quot;Elsevier&quot;,&quot;volume&quot;:&quot;76&quot;},&quot;isTemporary&quot;:false}]},{&quot;citationID&quot;:&quot;MENDELEY_CITATION_fe140d53-674b-4187-92a6-042b79f0199f&quot;,&quot;properties&quot;:{&quot;noteIndex&quot;:0},&quot;isEdited&quot;:false,&quot;manualOverride&quot;:{&quot;isManuallyOverridden&quot;:false,&quot;citeprocText&quot;:&quot;[158]&quot;,&quot;manualOverrideText&quot;:&quot;&quot;},&quot;citationTag&quot;:&quot;MENDELEY_CITATION_v3_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&quot;,&quot;citationItems&quot;:[{&quot;id&quot;:&quot;cd208a8e-8b9f-3a00-a032-8000703465cb&quot;,&quot;itemData&quot;:{&quot;type&quot;:&quot;article-journal&quot;,&quot;id&quot;:&quot;cd208a8e-8b9f-3a00-a032-8000703465cb&quot;,&quot;title&quot;:&quot;Improvement of a heat pump based HVAC system with PCM thermal storage for cold accumulation and heat dissipation&quot;,&quot;author&quot;:[{&quot;family&quot;:&quot;Real&quot;,&quot;given&quot;:&quot;A.&quot;,&quot;parse-names&quot;:false,&quot;dropping-particle&quot;:&quot;&quot;,&quot;non-dropping-particle&quot;:&quot;&quot;},{&quot;family&quot;:&quot;García&quot;,&quot;given&quot;:&quot;V.&quot;,&quot;parse-names&quot;:false,&quot;dropping-particle&quot;:&quot;&quot;,&quot;non-dropping-particle&quot;:&quot;&quot;},{&quot;family&quot;:&quot;Domenech&quot;,&quot;given&quot;:&quot;L.&quot;,&quot;parse-names&quot;:false,&quot;dropping-particle&quot;:&quot;&quot;,&quot;non-dropping-particle&quot;:&quot;&quot;},{&quot;family&quot;:&quot;Renau&quot;,&quot;given&quot;:&quot;J.&quot;,&quot;parse-names&quot;:false,&quot;dropping-particle&quot;:&quot;&quot;,&quot;non-dropping-particle&quot;:&quot;&quot;},{&quot;family&quot;:&quot;Montés&quot;,&quot;given&quot;:&quot;N.&quot;,&quot;parse-names&quot;:false,&quot;dropping-particle&quot;:&quot;&quot;,&quot;non-dropping-particle&quot;:&quot;&quot;},{&quot;family&quot;:&quot;Sánchez&quot;,&quot;given&quot;:&quot;F.&quot;,&quot;parse-names&quot;:false,&quot;dropping-particle&quot;:&quot;&quot;,&quot;non-dropping-particle&quot;:&quot;&quot;}],&quot;container-title&quot;:&quot;Energy and Buildings&quot;,&quot;container-title-short&quot;:&quot;Energy Build&quot;,&quot;DOI&quot;:&quot;10.1016/j.enbuild.2014.04.029&quot;,&quot;ISSN&quot;:&quot;03787788&quot;,&quot;URL&quot;:&quot;http://dx.doi.org/10.1016/j.enbuild.2014.04.029&quot;,&quot;issued&quot;:{&quot;date-parts&quot;:[[2014]]},&quot;page&quot;:&quot;108-116&quot;,&quot;abstract&quot;:&quot;This paper exposes a HVAC system installed and tested during the Solar Decathlon Europe 2012 competition at the SMLsystem prototype. This system is focussed to improve the performance of a heat pump based HVAC system with two thermal storage tanks using phase change materials (PCM). A cold tank is used to take advantage of the low outside temperatures at night to cool the PCM with a high COP and it is used later to cool the building when the outside temperature rises. The second tank is operated as an alternative hot reservoir which provides the system the flexibility to dissipate the heat to the tank at a constant temperature granting never to reduce the COP from a minimum value. Different functioning strategies to evaluate the efficient use of the HVAC system for cold accumulation and heat dissipation are shown and implemented.&quot;,&quot;publisher&quot;:&quot;Elsevier B.V.&quot;,&quot;volume&quot;:&quot;83&quot;},&quot;isTemporary&quot;:false}]},{&quot;citationID&quot;:&quot;MENDELEY_CITATION_962a44ea-2649-466e-8643-e95e5c5d3e53&quot;,&quot;properties&quot;:{&quot;noteIndex&quot;:0},&quot;isEdited&quot;:false,&quot;manualOverride&quot;:{&quot;isManuallyOverridden&quot;:false,&quot;citeprocText&quot;:&quot;[141]&quot;,&quot;manualOverrideText&quot;:&quot;&quot;},&quot;citationTag&quot;:&quot;MENDELEY_CITATION_v3_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&quot;,&quot;citationItems&quot;:[{&quot;id&quot;:&quot;ac8b49eb-a59c-3fae-b662-de887265d037&quot;,&quot;itemData&quot;:{&quot;type&quot;:&quot;article-journal&quot;,&quot;id&quot;:&quot;ac8b49eb-a59c-3fae-b662-de887265d037&quot;,&quot;title&quot;:&quot;Energy reduction of building air-conditioner with phase change material in Thailand&quot;,&quot;author&quot;:[{&quot;family&quot;:&quot;Chaiyat&quot;,&quot;given&quot;:&quot;Nattaporn&quot;,&quot;parse-names&quot;:false,&quot;dropping-particle&quot;:&quot;&quot;,&quot;non-dropping-particle&quot;:&quot;&quot;},{&quot;family&quot;:&quot;Kiatsiriroat&quot;,&quot;given&quot;:&quot;Tanongkiat&quot;,&quot;parse-names&quot;:false,&quot;dropping-particle&quot;:&quot;&quot;,&quot;non-dropping-particle&quot;:&quot;&quot;}],&quot;container-title&quot;:&quot;Case Studies in Thermal Engineering&quot;,&quot;DOI&quot;:&quot;10.1016/j.csite.2014.09.006&quot;,&quot;ISSN&quot;:&quot;2214157X&quot;,&quot;URL&quot;:&quot;http://dx.doi.org/10.1016/j.csite.2014.09.006&quot;,&quot;issued&quot;:{&quot;date-parts&quot;:[[2014]]},&quot;page&quot;:&quot;175-186&quot;,&quot;abstract&quot;:&quot;In this study, a concept of using phase change material (PCM) for improving cooling efficiency of an air-conditioner had been presented under Thai climate. Paraffin waxes melting point at around 20°C was selected to evaluate the thermal performance by reducing the air temperature entering the evaporating coil. The model of PCM celluloid balls had been performed with the air-conditioner. Moreover, the mathematical model of the air-conditioner with the PCM storage was developed and verified with the testing results. From the study results, it could be seen that the simulated data agreed quite well with the experimental result at the discrepant around 2-4%. Finally, the model was used to analyze the economic result which was found that the electrical consumption of the modified air-conditioner could be decreased 3.09 kWh/d. The electrical power consumption of the modified unit was 36.27 kWh/d at the operating time 15 h/d compared with 39.36 kW h/d of the normal unit at the operating time 12 h/d. The saving cost of the PCM bed could be 9.10% or 170.03 USD and the payback period was 4.15 y.&quot;,&quot;publisher&quot;:&quot;Elsevier&quot;,&quot;volume&quot;:&quot;4&quot;,&quot;container-title-short&quot;:&quot;&quot;},&quot;isTemporary&quot;:false}]},{&quot;citationID&quot;:&quot;MENDELEY_CITATION_1c4165ae-a265-408a-8baa-597cf8b5179f&quot;,&quot;properties&quot;:{&quot;noteIndex&quot;:0},&quot;isEdited&quot;:false,&quot;manualOverride&quot;:{&quot;isManuallyOverridden&quot;:false,&quot;citeprocText&quot;:&quot;[38]&quot;,&quot;manualOverrideText&quot;:&quot;&quot;},&quot;citationTag&quot;:&quot;MENDELEY_CITATION_v3_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&quot;,&quot;citationItems&quot;:[{&quot;id&quot;:&quot;dc31db93-ba26-3d21-b18d-4a77673e89df&quot;,&quot;itemData&quot;:{&quot;type&quot;:&quot;article-journal&quot;,&quot;id&quot;:&quot;dc31db93-ba26-3d21-b18d-4a77673e89df&quot;,&quot;title&quot;:&quot;Integration of Phase Change Material-Based Storage in Air Distribution Systems to Increase Building Power Flexibility&quot;,&quot;author&quot;:[{&quot;family&quot;:&quot;Hlanze&quot;,&quot;given&quot;:&quot;P&quot;,&quot;parse-names&quot;:false,&quot;dropping-particle&quot;:&quot;&quot;,&quot;non-dropping-particle&quot;:&quot;&quot;},{&quot;family&quot;:&quot;Elhefny&quot;,&quot;given&quot;:&quot;A&quot;,&quot;parse-names&quot;:false,&quot;dropping-particle&quot;:&quot;&quot;,&quot;non-dropping-particle&quot;:&quot;&quot;},{&quot;family&quot;:&quot;Jiang&quot;,&quot;given&quot;:&quot;Z&quot;,&quot;parse-names&quot;:false,&quot;dropping-particle&quot;:&quot;&quot;,&quot;non-dropping-particle&quot;:&quot;&quot;},{&quot;family&quot;:&quot;Cai&quot;,&quot;given&quot;:&quot;J&quot;,&quot;parse-names&quot;:false,&quot;dropping-particle&quot;:&quot;&quot;,&quot;non-dropping-particle&quot;:&quot;&quot;},{&quot;family&quot;:&quot;Shabgard&quot;,&quot;given&quot;:&quot;H&quot;,&quot;parse-names&quot;:false,&quot;dropping-particle&quot;:&quot;&quot;,&quot;non-dropping-particle&quot;:&quot;&quot;}],&quot;accessed&quot;:{&quot;date-parts&quot;:[[2021,8,31]]},&quot;URL&quot;:&quot;https://docs.lib.purdue.edu/cgi/viewcontent.cgi?article=1365&amp;context=ihpbc&quot;,&quot;issued&quot;:{&quot;date-parts&quot;:[[2021]]},&quot;abstract&quot;:&quot;This paper presents a novel energy storage solution by incorporating phase change material (PCM) in the building supply-air duct to increase a building's thermal storage capacity. This solution has various advantages compared to PCM-integrated walls including more effective heat transfer (forced convection and greater temperature differentials). During off-peak hours, the system runs at a supply-air temperature below the material's solidification point to charge the PCM with cooling energy. During on-peak hours, a higher supply-air temperature is utilized so that the stored energy can be discharged into the supply-air. This shifts a portion of the building's cooling load from the on-peak hours to the off-peak hours. A numerical model for the melting and solidification of PCM in the duct was developed and modified using experimental data. Whole building energy simulations were conducted by coupling the PCM model with EnergyPlus DOE prototypical building model in a Simulink co-simulation platform. Simulations were performed for three cities in different climate zones over a three-month cooling season (June to August), and the PCM storage reduced the on-peak energy consumption by 20-25%. The electricity cost and payback period were determined using current time-of-use electricity rates.&quot;,&quot;container-title-short&quot;:&quot;&quot;},&quot;isTemporary&quot;:false}]},{&quot;citationID&quot;:&quot;MENDELEY_CITATION_6b82c3bb-8f52-4669-a121-550dc843e3a3&quot;,&quot;properties&quot;:{&quot;noteIndex&quot;:0},&quot;isEdited&quot;:false,&quot;manualOverride&quot;:{&quot;isManuallyOverridden&quot;:false,&quot;citeprocText&quot;:&quot;[20]&quot;,&quot;manualOverrideText&quot;:&quot;&quot;},&quot;citationTag&quot;:&quot;MENDELEY_CITATION_v3_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&quot;,&quot;citationItems&quot;:[{&quot;id&quot;:&quot;a4f1ad57-419a-3b28-8f88-b4a4e83a691d&quot;,&quot;itemData&quot;:{&quot;type&quot;:&quot;article-journal&quot;,&quot;id&quot;:&quot;a4f1ad57-419a-3b28-8f88-b4a4e83a691d&quot;,&quot;title&quot;:&quot;PCM Material Selection For Heat Pump Integrated With Thermal Energy Storage For Demand Response in Residential Buildings&quot;,&quot;author&quot;:[{&quot;family&quot;:&quot;Sultan&quot;,&quot;given&quot;:&quot;Sara&quot;,&quot;parse-names&quot;:false,&quot;dropping-particle&quot;:&quot;&quot;,&quot;non-dropping-particle&quot;:&quot;&quot;},{&quot;family&quot;:&quot;Turnaoglu&quot;,&quot;given&quot;:&quot;Tugba&quot;,&quot;parse-names&quot;:false,&quot;dropping-particle&quot;:&quot;&quot;,&quot;non-dropping-particle&quot;:&quot;&quot;},{&quot;family&quot;:&quot;Akamo&quot;,&quot;given&quot;:&quot;Damilola&quot;,&quot;parse-names&quot;:false,&quot;dropping-particle&quot;:&quot;&quot;,&quot;non-dropping-particle&quot;:&quot;&quot;},{&quot;family&quot;:&quot;Hirschey&quot;,&quot;given&quot;:&quot;Jason&quot;,&quot;parse-names&quot;:false,&quot;dropping-particle&quot;:&quot;&quot;,&quot;non-dropping-particle&quot;:&quot;&quot;},{&quot;family&quot;:&quot;Laclair&quot;,&quot;given&quot;:&quot;Tim&quot;,&quot;parse-names&quot;:false,&quot;dropping-particle&quot;:&quot;&quot;,&quot;non-dropping-particle&quot;:&quot;&quot;},{&quot;family&quot;:&quot;Liu&quot;,&quot;given&quot;:&quot;Xiaobing&quot;,&quot;parse-names&quot;:false,&quot;dropping-particle&quot;:&quot;&quot;,&quot;non-dropping-particle&quot;:&quot;&quot;},{&quot;family&quot;:&quot;Gluesenkamp&quot;,&quot;given&quot;:&quot;Kyle R.&quot;,&quot;parse-names&quot;:false,&quot;dropping-particle&quot;:&quot;&quot;,&quot;non-dropping-particle&quot;:&quot;&quot;}],&quot;container-title&quot;:&quot;International High Performance Buildings Conference&quot;,&quot;accessed&quot;:{&quot;date-parts&quot;:[[2023,1,19]]},&quot;URL&quot;:&quot;https://docs.lib.purdue.edu/ihpbc/427&quot;,&quot;issued&quot;:{&quot;date-parts&quot;:[[2022,7,14]]},&quot;container-title-short&quot;:&quot;&quot;},&quot;isTemporary&quot;:false}]},{&quot;citationID&quot;:&quot;MENDELEY_CITATION_3e83be9f-b96a-49cd-9ee7-b55fede0ad97&quot;,&quot;properties&quot;:{&quot;noteIndex&quot;:0},&quot;isEdited&quot;:false,&quot;manualOverride&quot;:{&quot;isManuallyOverridden&quot;:false,&quot;citeprocText&quot;:&quot;[37], [38], [141], [156], [157]&quot;,&quot;manualOverrideText&quot;:&quot;&quot;},&quot;citationTag&quot;:&quot;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&quot;,&quot;citationItems&quot;:[{&quot;id&quot;:&quot;f01f8033-5096-3418-bdd4-b32c41dcd5ff&quot;,&quot;itemData&quot;:{&quot;type&quot;:&quot;article-journal&quot;,&quot;id&quot;:&quot;f01f8033-5096-3418-bdd4-b32c41dcd5ff&quot;,&quot;title&quot;:&quot;Experimental and numerical study of PCM storage integrated with HVAC system for energy flexibility&quot;,&quot;author&quot;:[{&quot;family&quot;:&quot;Hu&quot;,&quot;given&quot;:&quot;Yue&quot;,&quot;parse-names&quot;:false,&quot;dropping-particle&quot;:&quot;&quot;,&quot;non-dropping-particle&quot;:&quot;&quot;},{&quot;family&quot;:&quot;Heiselberg&quot;,&quot;given&quot;:&quot;Per Kvols&quot;,&quot;parse-names&quot;:false,&quot;dropping-particle&quot;:&quot;&quot;,&quot;non-dropping-particle&quot;:&quot;&quot;},{&quot;family&quot;:&quot;Drivsholm&quot;,&quot;given&quot;:&quot;Christian&quot;,&quot;parse-names&quot;:false,&quot;dropping-particle&quot;:&quot;&quot;,&quot;non-dropping-particle&quot;:&quot;&quot;},{&quot;family&quot;:&quot;Søvsø&quot;,&quot;given&quot;:&quot;Asger Skød&quot;,&quot;parse-names&quot;:false,&quot;dropping-particle&quot;:&quot;&quot;,&quot;non-dropping-particle&quot;:&quot;&quot;},{&quot;family&quot;:&quot;Vogler-Finck&quot;,&quot;given&quot;:&quot;Pierre J.C.&quot;,&quot;parse-names&quot;:false,&quot;dropping-particle&quot;:&quot;&quot;,&quot;non-dropping-particle&quot;:&quot;&quot;},{&quot;family&quot;:&quot;Kronby&quot;,&quot;given&quot;:&quot;Kim&quot;,&quot;parse-names&quot;:false,&quot;dropping-particle&quot;:&quot;&quot;,&quot;non-dropping-particle&quot;:&quot;&quot;}],&quot;container-title&quot;:&quot;Energy and Buildings&quot;,&quot;container-title-short&quot;:&quot;Energy Build&quot;,&quot;accessed&quot;:{&quot;date-parts&quot;:[[2021,12,5]]},&quot;DOI&quot;:&quot;10.1016/j.enbuild.2021.111651&quot;,&quot;ISSN&quot;:&quot;03787788&quot;,&quot;URL&quot;:&quot;https://linkinghub.elsevier.com/retrieve/pii/S037877882100935X&quot;,&quot;issued&quot;:{&quot;date-parts&quot;:[[2021,11,6]]},&quot;page&quot;:&quot;111651&quot;,&quot;abstract&quot;:&quot;This paper presents both experimental and numerical studies of PCM storage integrated with an HVAC system. The experiments focus on PCM storage in 3 different sizes, and study the temperature change in the PCM storage during the charge and discharge period, the impact of the PCM quantity on the charge and discharge rates of the PCM storage and the impact of the discharge air temperature and airflow rate on the discharge rate. The main conclusions are that the temperature effectiveness of the PCM storage depends more on the PCM quantity than the discharge inlet air temperature and airflow rate. The air path in the PCM storage should not be too long to achieve the longer PCM activation in time. The storage with 36 pieces of PCM plates and latent storage capacity of 5.23 MJ can be charged/discharged fast, with high and stable outlet air temperature (above 28 °C for 3 hours), especially during the discharge period. The most promising configuration of the experimental study was chosen for a numerical study the energy flexibility of the HVAC system without PCM and with PCM. A model of the PCM storage integrated with an HVAC system is built with EnergyPlus and validated by experimental data. The study concluded that the HVAC heating setpoint control based on the electricity price without PCM storage has limited cost-saving potential due to the high electricity transmission and tax cost. The PCM storage integrated with an HVAC system can reduce the energy cost by 7 % while obtaining a similar indoor thermal comfort level compared to the HVAC heating setpoint control without PCM storage. The payback time of HVAC with PCM is seven years compared to HVAC system without PCM. The cost reduction of energy flexibility of the system is relatively limited because the electricity transmission cost and electricity tax account for 80% of the total electricity cost in Denmark.&quot;,&quot;publisher&quot;:&quot;Elsevier&quot;},&quot;isTemporary&quot;:false},{&quot;id&quot;:&quot;dc31db93-ba26-3d21-b18d-4a77673e89df&quot;,&quot;itemData&quot;:{&quot;type&quot;:&quot;article-journal&quot;,&quot;id&quot;:&quot;dc31db93-ba26-3d21-b18d-4a77673e89df&quot;,&quot;title&quot;:&quot;Integration of Phase Change Material-Based Storage in Air Distribution Systems to Increase Building Power Flexibility&quot;,&quot;author&quot;:[{&quot;family&quot;:&quot;Hlanze&quot;,&quot;given&quot;:&quot;P&quot;,&quot;parse-names&quot;:false,&quot;dropping-particle&quot;:&quot;&quot;,&quot;non-dropping-particle&quot;:&quot;&quot;},{&quot;family&quot;:&quot;Elhefny&quot;,&quot;given&quot;:&quot;A&quot;,&quot;parse-names&quot;:false,&quot;dropping-particle&quot;:&quot;&quot;,&quot;non-dropping-particle&quot;:&quot;&quot;},{&quot;family&quot;:&quot;Jiang&quot;,&quot;given&quot;:&quot;Z&quot;,&quot;parse-names&quot;:false,&quot;dropping-particle&quot;:&quot;&quot;,&quot;non-dropping-particle&quot;:&quot;&quot;},{&quot;family&quot;:&quot;Cai&quot;,&quot;given&quot;:&quot;J&quot;,&quot;parse-names&quot;:false,&quot;dropping-particle&quot;:&quot;&quot;,&quot;non-dropping-particle&quot;:&quot;&quot;},{&quot;family&quot;:&quot;Shabgard&quot;,&quot;given&quot;:&quot;H&quot;,&quot;parse-names&quot;:false,&quot;dropping-particle&quot;:&quot;&quot;,&quot;non-dropping-particle&quot;:&quot;&quot;}],&quot;accessed&quot;:{&quot;date-parts&quot;:[[2021,8,31]]},&quot;URL&quot;:&quot;https://docs.lib.purdue.edu/cgi/viewcontent.cgi?article=1365&amp;context=ihpbc&quot;,&quot;issued&quot;:{&quot;date-parts&quot;:[[2021]]},&quot;abstract&quot;:&quot;This paper presents a novel energy storage solution by incorporating phase change material (PCM) in the building supply-air duct to increase a building's thermal storage capacity. This solution has various advantages compared to PCM-integrated walls including more effective heat transfer (forced convection and greater temperature differentials). During off-peak hours, the system runs at a supply-air temperature below the material's solidification point to charge the PCM with cooling energy. During on-peak hours, a higher supply-air temperature is utilized so that the stored energy can be discharged into the supply-air. This shifts a portion of the building's cooling load from the on-peak hours to the off-peak hours. A numerical model for the melting and solidification of PCM in the duct was developed and modified using experimental data. Whole building energy simulations were conducted by coupling the PCM model with EnergyPlus DOE prototypical building model in a Simulink co-simulation platform. Simulations were performed for three cities in different climate zones over a three-month cooling season (June to August), and the PCM storage reduced the on-peak energy consumption by 20-25%. The electricity cost and payback period were determined using current time-of-use electricity rates.&quot;,&quot;container-title-short&quot;:&quot;&quot;},&quot;isTemporary&quot;:false},{&quot;id&quot;:&quot;28ce6625-62f0-3235-a9ca-0336c5956d1c&quot;,&quot;itemData&quot;:{&quot;type&quot;:&quot;article-journal&quot;,&quot;id&quot;:&quot;28ce6625-62f0-3235-a9ca-0336c5956d1c&quot;,&quot;title&quot;:&quot;Application of an active PCM storage system into a building for heating/cooling load reduction&quot;,&quot;author&quot;:[{&quot;family&quot;:&quot;Gholamibozanjani&quot;,&quot;given&quot;:&quot;Gohar&quot;,&quot;parse-names&quot;:false,&quot;dropping-particle&quot;:&quot;&quot;,&quot;non-dropping-particle&quot;:&quot;&quot;},{&quot;family&quot;:&quot;Farid&quot;,&quot;given&quot;:&quot;Mohammed&quot;,&quot;parse-names&quot;:false,&quot;dropping-particle&quot;:&quot;&quot;,&quot;non-dropping-particle&quot;:&quot;&quot;}],&quot;container-title&quot;:&quot;Energy&quot;,&quot;accessed&quot;:{&quot;date-parts&quot;:[[2021,12,5]]},&quot;DOI&quot;:&quot;10.1016/j.energy.2020.118572&quot;,&quot;ISSN&quot;:&quot;03605442&quot;,&quot;issued&quot;:{&quot;date-parts&quot;:[[2020,11,1]]},&quot;page&quot;:&quot;118572&quot;,&quot;abstract&quot;:&quot;Incorporation of phase change materials (PCMs) into buildings has recently attracted widespread attention as they can bridge the mismatch between energy supply and demand through their large energy storage capacity. This paper presents the use of an active PCM storage system in buildings and evaluates its energy performance over the different seasons. To this end, two experimental huts, each equipped with solar and electric heaters in winter or an air conditioning unit in summer, were used to investigate the concept. Also, one of the huts was provided with PCM storage units, and the results obtained were compared with those collected from the reference hut. A CompactRIO, data acquisition system, powered by LabVIEW real-time software, was used to transfer data for analysis, processing, and communicating with the host computer. In this research, the active PCM storage units could store solar energy in cold seasons or free night cooling in warm seasons for later use and hence reduce the heating/cooling load requirements. An accumulative heating energy savings of 40% in May and 10.3% in June/July 2019, were achieved. The use of PCM for space cooling also led to an accumulative energy-saving of 30% in March/April and 10% in January.&quot;,&quot;publisher&quot;:&quot;Pergamon&quot;,&quot;volume&quot;:&quot;210&quot;,&quot;container-title-short&quot;:&quot;&quot;},&quot;isTemporary&quot;:false},{&quot;id&quot;:&quot;153c228c-f0ec-3d4e-bc8b-5dabf057df2f&quot;,&quot;itemData&quot;:{&quot;type&quot;:&quot;article-journal&quot;,&quot;id&quot;:&quot;153c228c-f0ec-3d4e-bc8b-5dabf057df2f&quot;,&quot;title&quot;:&quot;Peak load shifting using a price-based control in PCM-enhanced buildings&quot;,&quot;author&quot;:[{&quot;family&quot;:&quot;Gholamibozanjani&quot;,&quot;given&quot;:&quot;Gohar&quot;,&quot;parse-names&quot;:false,&quot;dropping-particle&quot;:&quot;&quot;,&quot;non-dropping-particle&quot;:&quot;&quot;},{&quot;family&quot;:&quot;Farid&quot;,&quot;given&quot;:&quot;Mohammed&quot;,&quot;parse-names&quot;:false,&quot;dropping-particle&quot;:&quot;&quot;,&quot;non-dropping-particle&quot;:&quot;&quot;}],&quot;container-title&quot;:&quot;Solar Energy&quot;,&quot;accessed&quot;:{&quot;date-parts&quot;:[[2021,12,5]]},&quot;DOI&quot;:&quot;10.1016/j.solener.2020.09.016&quot;,&quot;ISSN&quot;:&quot;0038092X&quot;,&quot;issued&quot;:{&quot;date-parts&quot;:[[2020,11,15]]},&quot;page&quot;:&quot;661-673&quot;,&quot;abstract&quot;:&quot;Peak load shifting, a load management policy, has attracted widespread attention as it can minimize the impact of load variation on a system's operation and reduce the electricity costs. Phase change materials (PCMs) can contribute to peak load shifting by storing the daytime solar energy in winter/free night cooling in summer or the low-rate energy provided at off-peak hours for use during the high electricity peak period. This study aimed to experimentally investigate the effect of an active PCM storage in combination with a price-based control on peak load shifting. The experiments were conducted using two identical test huts, which were equipped with an electric and solar air heater during cold seasons or an air conditioning unit during warm seasons. But in addition, one of the huts was equipped with an active PCM storage unit charged by the solar heater. A CompactRio data acquisition system, powered by LabView interface, was used to transfer data and communicate with a host computer. Results showed that the proposed system was successful in shifting both heating and cooling demands to the off-peak periods. Up to 47% of daily energy-saving (∼0.83 kWh) with a corresponding 65% of electricity cost-saving, in winter, and up to 23% daily energy saving (∼0.27 kWh) with a relevant 42% of cost-saving, in summer, were achieved.&quot;,&quot;publisher&quot;:&quot;Pergamon&quot;,&quot;volume&quot;:&quot;211&quot;,&quot;container-title-short&quot;:&quot;&quot;},&quot;isTemporary&quot;:false},{&quot;id&quot;:&quot;ac8b49eb-a59c-3fae-b662-de887265d037&quot;,&quot;itemData&quot;:{&quot;type&quot;:&quot;article-journal&quot;,&quot;id&quot;:&quot;ac8b49eb-a59c-3fae-b662-de887265d037&quot;,&quot;title&quot;:&quot;Energy reduction of building air-conditioner with phase change material in Thailand&quot;,&quot;author&quot;:[{&quot;family&quot;:&quot;Chaiyat&quot;,&quot;given&quot;:&quot;Nattaporn&quot;,&quot;parse-names&quot;:false,&quot;dropping-particle&quot;:&quot;&quot;,&quot;non-dropping-particle&quot;:&quot;&quot;},{&quot;family&quot;:&quot;Kiatsiriroat&quot;,&quot;given&quot;:&quot;Tanongkiat&quot;,&quot;parse-names&quot;:false,&quot;dropping-particle&quot;:&quot;&quot;,&quot;non-dropping-particle&quot;:&quot;&quot;}],&quot;container-title&quot;:&quot;Case Studies in Thermal Engineering&quot;,&quot;DOI&quot;:&quot;10.1016/j.csite.2014.09.006&quot;,&quot;ISSN&quot;:&quot;2214157X&quot;,&quot;URL&quot;:&quot;http://dx.doi.org/10.1016/j.csite.2014.09.006&quot;,&quot;issued&quot;:{&quot;date-parts&quot;:[[2014]]},&quot;page&quot;:&quot;175-186&quot;,&quot;abstract&quot;:&quot;In this study, a concept of using phase change material (PCM) for improving cooling efficiency of an air-conditioner had been presented under Thai climate. Paraffin waxes melting point at around 20°C was selected to evaluate the thermal performance by reducing the air temperature entering the evaporating coil. The model of PCM celluloid balls had been performed with the air-conditioner. Moreover, the mathematical model of the air-conditioner with the PCM storage was developed and verified with the testing results. From the study results, it could be seen that the simulated data agreed quite well with the experimental result at the discrepant around 2-4%. Finally, the model was used to analyze the economic result which was found that the electrical consumption of the modified air-conditioner could be decreased 3.09 kWh/d. The electrical power consumption of the modified unit was 36.27 kWh/d at the operating time 15 h/d compared with 39.36 kW h/d of the normal unit at the operating time 12 h/d. The saving cost of the PCM bed could be 9.10% or 170.03 USD and the payback period was 4.15 y.&quot;,&quot;publisher&quot;:&quot;Elsevier&quot;,&quot;volume&quot;:&quot;4&quot;,&quot;container-title-short&quot;:&quot;&quot;},&quot;isTemporary&quot;:false}]},{&quot;citationID&quot;:&quot;MENDELEY_CITATION_95eb9d41-8a86-4b44-9d50-7990b570fe9c&quot;,&quot;properties&quot;:{&quot;noteIndex&quot;:0},&quot;isEdited&quot;:false,&quot;manualOverride&quot;:{&quot;isManuallyOverridden&quot;:false,&quot;citeprocText&quot;:&quot;[126], [127], [131], [134]&quot;,&quot;manualOverrideText&quot;:&quot;&quot;},&quot;citationTag&quot;:&quot;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&quot;,&quot;citationItems&quot;:[{&quot;id&quot;:&quot;b08dd425-f667-35c5-87af-16df70043eae&quot;,&quot;itemData&quot;:{&quot;type&quot;:&quot;article-journal&quot;,&quot;id&quot;:&quot;b08dd425-f667-35c5-87af-16df70043eae&quot;,&quot;title&quot;:&quot;Peak load shifting with energy storage and price-based control system&quot;,&quot;author&quot;:[{&quot;family&quot;:&quot;Barzin&quot;,&quot;given&quot;:&quot;Reza&quot;,&quot;parse-names&quot;:false,&quot;dropping-particle&quot;:&quot;&quot;,&quot;non-dropping-particle&quot;:&quot;&quot;},{&quot;family&quot;:&quot;Chen&quot;,&quot;given&quot;:&quot;John J.J.&quot;,&quot;parse-names&quot;:false,&quot;dropping-particle&quot;:&quot;&quot;,&quot;non-dropping-particle&quot;:&quot;&quot;},{&quot;family&quot;:&quot;Young&quot;,&quot;given&quot;:&quot;Brent R.&quot;,&quot;parse-names&quot;:false,&quot;dropping-particle&quot;:&quot;&quot;,&quot;non-dropping-particle&quot;:&quot;&quot;},{&quot;family&quot;:&quot;Farid&quot;,&quot;given&quot;:&quot;Mohammed M.&quot;,&quot;parse-names&quot;:false,&quot;dropping-particle&quot;:&quot;&quot;,&quot;non-dropping-particle&quot;:&quot;&quot;}],&quot;container-title&quot;:&quot;Energy&quot;,&quot;accessed&quot;:{&quot;date-parts&quot;:[[2020,5,1]]},&quot;DOI&quot;:&quot;10.1016/j.energy.2015.05.144&quot;,&quot;ISSN&quot;:&quot;03605442&quot;,&quot;URL&quot;:&quot;http://dx.doi.org/10.1016/j.energy.2015.05.144&quot;,&quot;issued&quot;:{&quot;date-parts&quot;:[[2015,12,1]]},&quot;page&quot;:&quot;505-514&quot;,&quot;abstract&quot;:&quot;This paper presents an analysis of a price-based control system in conjunction with energy storage using phase change materials for two applications: space heating in buildings and domestic freezers. The freezer used for this experimental study was provided with energy storage trays containing a eutectic solution of ammonium chloride (melting point of -15°C). In the building application, DuPont wallboards were used to provide thermal storage. Experimental results showed that using thermal storage material in conjunction with the proposed price-based control method can improve performance of these systems and lead to a successful peak load shifting. Depending on electricity price trends, cost savings using the proposed strategy can vary. Savings of up to 16.5% and 62.64% per day were achieved for the freezer and building applications respectively, based on New Zealand electricity rates.&quot;,&quot;publisher&quot;:&quot;Elsevier Ltd&quot;,&quot;volume&quot;:&quot;92&quot;,&quot;container-title-short&quot;:&quot;&quot;},&quot;isTemporary&quot;:false},{&quot;id&quot;:&quot;a808e834-b695-3b10-a5dc-5c4edc6a3d80&quot;,&quot;itemData&quot;:{&quot;type&quot;:&quot;article-journal&quot;,&quot;id&quot;:&quot;a808e834-b695-3b10-a5dc-5c4edc6a3d80&quot;,&quot;title&quot;:&quot;Application of PCM underfloor heating in combination with PCM wallboards for space heating using price based control system&quot;,&quot;author&quot;:[{&quot;family&quot;:&quot;Barzin&quot;,&quot;given&quot;:&quot;Reza&quot;,&quot;parse-names&quot;:false,&quot;dropping-particle&quot;:&quot;&quot;,&quot;non-dropping-particle&quot;:&quot;&quot;},{&quot;family&quot;:&quot;Chen&quot;,&quot;given&quot;:&quot;John J.J.&quot;,&quot;parse-names&quot;:false,&quot;dropping-particle&quot;:&quot;&quot;,&quot;non-dropping-particle&quot;:&quot;&quot;},{&quot;family&quot;:&quot;Young&quot;,&quot;given&quot;:&quot;Brent R.&quot;,&quot;parse-names&quot;:false,&quot;dropping-particle&quot;:&quot;&quot;,&quot;non-dropping-particle&quot;:&quot;&quot;},{&quot;family&quot;:&quot;Farid&quot;,&quot;given&quot;:&quot;Mohammed M.&quot;,&quot;parse-names&quot;:false,&quot;dropping-particle&quot;:&quot;&quot;,&quot;non-dropping-particle&quot;:&quot;&quot;}],&quot;container-title&quot;:&quot;Applied Energy&quot;,&quot;container-title-short&quot;:&quot;Appl Energy&quot;,&quot;accessed&quot;:{&quot;date-parts&quot;:[[2020,5,1]]},&quot;DOI&quot;:&quot;10.1016/j.apenergy.2015.03.027&quot;,&quot;ISSN&quot;:&quot;03062619&quot;,&quot;issued&quot;:{&quot;date-parts&quot;:[[2015,6,5]]},&quot;page&quot;:&quot;39-48&quot;,&quot;abstract&quot;:&quot;Phase change materials are used with various building materials in order to increase their thermal mass. This research is on the application of phase change material in the form of DuPont Energain® wallboards in combination with an underfloor heating system incorporating phase change materials. An experimental study was carried out using two identical test huts at the Tamaki Campus, University of Auckland. Results using a price-based method showed electricity savings in both consumption and cost of up to 35% and 44.4% respectively.&quot;,&quot;publisher&quot;:&quot;Elsevier Ltd&quot;,&quot;volume&quot;:&quot;148&quot;},&quot;isTemporary&quot;:false},{&quot;id&quot;:&quot;c9784494-e70c-3422-83bf-db545fc29c6e&quot;,&quot;itemData&quot;:{&quot;type&quot;:&quot;article-journal&quot;,&quot;id&quot;:&quot;c9784494-e70c-3422-83bf-db545fc29c6e&quot;,&quot;title&quot;:&quot;Benefits of PCM underfloor heating with PCM wallboards for space heating in winter&quot;,&quot;author&quot;:[{&quot;family&quot;:&quot;Devaux&quot;,&quot;given&quot;:&quot;Paul&quot;,&quot;parse-names&quot;:false,&quot;dropping-particle&quot;:&quot;&quot;,&quot;non-dropping-particle&quot;:&quot;&quot;},{&quot;family&quot;:&quot;Farid&quot;,&quot;given&quot;:&quot;Mohammed Mehdi&quot;,&quot;parse-names&quot;:false,&quot;dropping-particle&quot;:&quot;&quot;,&quot;non-dropping-particle&quot;:&quot;&quot;}],&quot;container-title&quot;:&quot;Applied Energy&quot;,&quot;container-title-short&quot;:&quot;Appl Energy&quot;,&quot;DOI&quot;:&quot;10.1016/j.apenergy.2017.01.060&quot;,&quot;ISSN&quot;:&quot;03062619&quot;,&quot;URL&quot;:&quot;http://dx.doi.org/10.1016/j.apenergy.2017.01.060&quot;,&quot;issued&quot;:{&quot;date-parts&quot;:[[2017]]},&quot;page&quot;:&quot;593-602&quot;,&quot;abstract&quot;:&quot;Phase Change Materials (PCM) can be incorporated into various building components to increase their thermal mass to reduce energy consumption and to perform peak load shifting. This work shows the benefits of PCM when incorporated in walls, ceiling, and in combination with PCM underfloor heating system using two different types of PCMs. The use of higher melting point PCM with the underfloor heating system allowed significant peak load shifting, while using lower melting point PCM in the walls and ceiling provided the comfort needed in the building. Two identical huts built at Tamaki Campus of University of Auckland (New Zealand) are modelled using the software EnergyPlus. The simulations results are validated against experimental data obtained from two office size constructions. Ten days period is analysed, showing for the first time successful morning and evening peak load shifting with energy and cost saving of 32% and 42%, respectively.&quot;,&quot;publisher&quot;:&quot;Elsevier Ltd&quot;,&quot;volume&quot;:&quot;191&quot;},&quot;isTemporary&quot;:false},{&quot;id&quot;:&quot;7ee605b2-235e-32ed-9a67-9e1cbd40621d&quot;,&quot;itemData&quot;:{&quot;type&quot;:&quot;article-journal&quot;,&quot;id&quot;:&quot;7ee605b2-235e-32ed-9a67-9e1cbd40621d&quot;,&quot;title&quot;:&quot;Energetic investigation of solar assisted heat pump underfloor heating systems with and without phase change materials&quot;,&quot;author&quot;:[{&quot;family&quot;:&quot;Plytaria&quot;,&quot;given&quot;:&quot;Maria T.&quot;,&quot;parse-names&quot;:false,&quot;dropping-particle&quot;:&quot;&quot;,&quot;non-dropping-particle&quot;:&quot;&quot;},{&quot;family&quot;:&quot;Tzivanidis&quot;,&quot;given&quot;:&quot;Christos&quot;,&quot;parse-names&quot;:false,&quot;dropping-particle&quot;:&quot;&quot;,&quot;non-dropping-particle&quot;:&quot;&quot;},{&quot;family&quot;:&quot;Bellos&quot;,&quot;given&quot;:&quot;Evangelos&quot;,&quot;parse-names&quot;:false,&quot;dropping-particle&quot;:&quot;&quot;,&quot;non-dropping-particle&quot;:&quot;&quot;},{&quot;family&quot;:&quot;Antonopoulos&quot;,&quot;given&quot;:&quot;Kimon A.&quot;,&quot;parse-names&quot;:false,&quot;dropping-particle&quot;:&quot;&quot;,&quot;non-dropping-particle&quot;:&quot;&quot;}],&quot;container-title&quot;:&quot;Energy Conversion and Management&quot;,&quot;container-title-short&quot;:&quot;Energy Convers Manag&quot;,&quot;accessed&quot;:{&quot;date-parts&quot;:[[2020,8,26]]},&quot;DOI&quot;:&quot;10.1016/j.enconman.2018.08.010&quot;,&quot;ISSN&quot;:&quot;01968904&quot;,&quot;issued&quot;:{&quot;date-parts&quot;:[[2018,10,1]]},&quot;page&quot;:&quot;626-639&quot;,&quot;abstract&quot;:&quot;The application of phase change materials (PCMs) in the building envelope can improve the thermal performance and the indoor thermal comfort conditions because they allow the proper storage or release of energy. In this work, three different solar assisted heat pump underfloor heating systems with and without the use of phase change material are designed, simulated and evaluated energetically for a building of 100 m2 floor area. Different kinds of solar collectors (flat plate, photovoltaic, thermal photovoltaic) are coupled to a storage tank which feeds a heat pump for space heating purposes. The PCM is used on the underfloor heating system in order to increase the storage capacity and to avoid the operation of the heat pump during the peak electricity demand period. Furthermore, this work presents and compares the coefficient of performance, the electricity consumption, the solar coverage and the indoor temperature distribution of a building in Athens (Greece), with and without a PCM layer on the floor. More specifically, the PCM is placed on the underfloor heating system and different cases are examined by changing the collecting area, the collector type and the thickness of the insulation layer in the floor. The results prove that the use of the PCM layer on the underfloor heating system reduces the heating load by about 40%. The electricity consumption can be reduced between 42% and 67% using the solar-driven systems. It is also found that the system with the thermal PV consumes the lowest grid electricity. Moreover, the lowest simple payback period is found to be 9.61 years for the system with flat plate collectors without PCM. The simulation is conducted with TRNSYS for all the winter period.&quot;,&quot;publisher&quot;:&quot;Elsevier Ltd&quot;,&quot;volume&quot;:&quot;173&quot;},&quot;isTemporary&quot;:false}]},{&quot;citationID&quot;:&quot;MENDELEY_CITATION_de2d098a-de3a-4990-bb47-72c78c1d03ea&quot;,&quot;properties&quot;:{&quot;noteIndex&quot;:0},&quot;isEdited&quot;:false,&quot;manualOverride&quot;:{&quot;isManuallyOverridden&quot;:false,&quot;citeprocText&quot;:&quot;[41], [45], [137], [149], [150], [156]&quot;,&quot;manualOverrideText&quot;:&quot;&quot;},&quot;citationTag&quot;:&quot;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&quot;,&quot;citationItems&quot;:[{&quot;id&quot;:&quot;47c87de1-4562-392a-befb-5282d6512c37&quot;,&quot;itemData&quot;:{&quot;type&quot;:&quot;article-journal&quot;,&quot;id&quot;:&quot;47c87de1-4562-392a-befb-5282d6512c37&quot;,&quot;title&quot;:&quot;Development of a ventilation system utilizing thermal energy storage for granules containing phase change material&quot;,&quot;author&quot;:[{&quot;family&quot;:&quot;Takeda&quot;,&quot;given&quot;:&quot;S.&quot;,&quot;parse-names&quot;:false,&quot;dropping-particle&quot;:&quot;&quot;,&quot;non-dropping-particle&quot;:&quot;&quot;},{&quot;family&quot;:&quot;Nagano&quot;,&quot;given&quot;:&quot;K.&quot;,&quot;parse-names&quot;:false,&quot;dropping-particle&quot;:&quot;&quot;,&quot;non-dropping-particle&quot;:&quot;&quot;},{&quot;family&quot;:&quot;Mochida&quot;,&quot;given&quot;:&quot;T.&quot;,&quot;parse-names&quot;:false,&quot;dropping-particle&quot;:&quot;&quot;,&quot;non-dropping-particle&quot;:&quot;&quot;},{&quot;family&quot;:&quot;Shimakura&quot;,&quot;given&quot;:&quot;K.&quot;,&quot;parse-names&quot;:false,&quot;dropping-particle&quot;:&quot;&quot;,&quot;non-dropping-particle&quot;:&quot;&quot;}],&quot;container-title&quot;:&quot;Solar Energy&quot;,&quot;accessed&quot;:{&quot;date-parts&quot;:[[2020,5,1]]},&quot;DOI&quot;:&quot;10.1016/j.solener.2004.04.014&quot;,&quot;ISSN&quot;:&quot;0038092X&quot;,&quot;issued&quot;:{&quot;date-parts&quot;:[[2004,9,1]]},&quot;page&quot;:&quot;329-338&quot;,&quot;abstract&quot;:&quot;We have developed an experimental ventilation system that features direct heat exchange between ventilation air and granules containing a phase change material (PCM). Measurement of outlet air temperature when the inlet air temperature was periodically varied to simulate changes of outdoor ambient air temperature showed that the outlet air temperature was stabilized and remained within the phase change temperature range. This effect is expected to be useful in practical ventilation systems. The potential of such systems for reducing ventilation load was examined through computer simulation for eight representative cities of Japan. This revealed how different temperature conditions would affect required heat storage capacity. © 2004 Elsevier Ltd. All rights reserved.&quot;,&quot;publisher&quot;:&quot;Pergamon&quot;,&quot;issue&quot;:&quot;3&quot;,&quot;volume&quot;:&quot;77&quot;,&quot;container-title-short&quot;:&quot;&quot;},&quot;isTemporary&quot;:false},{&quot;id&quot;:&quot;b31a28ce-f91a-31ed-bee7-c4840dcdec6a&quot;,&quot;itemData&quot;:{&quot;type&quot;:&quot;article-journal&quot;,&quot;id&quot;:&quot;b31a28ce-f91a-31ed-bee7-c4840dcdec6a&quot;,&quot;title&quot;:&quot;Study of a floor supply air conditioning system using granular phase change material to augment building mass thermal storage - Heat response in small scale experiments&quot;,&quot;author&quot;:[{&quot;family&quot;:&quot;Nagano&quot;,&quot;given&quot;:&quot;K.&quot;,&quot;parse-names&quot;:false,&quot;dropping-particle&quot;:&quot;&quot;,&quot;non-dropping-particle&quot;:&quot;&quot;},{&quot;family&quot;:&quot;Takeda&quot;,&quot;given&quot;:&quot;S.&quot;,&quot;parse-names&quot;:false,&quot;dropping-particle&quot;:&quot;&quot;,&quot;non-dropping-particle&quot;:&quot;&quot;},{&quot;family&quot;:&quot;Mochida&quot;,&quot;given&quot;:&quot;T.&quot;,&quot;parse-names&quot;:false,&quot;dropping-particle&quot;:&quot;&quot;,&quot;non-dropping-particle&quot;:&quot;&quot;},{&quot;family&quot;:&quot;Shimakura&quot;,&quot;given&quot;:&quot;K.&quot;,&quot;parse-names&quot;:false,&quot;dropping-particle&quot;:&quot;&quot;,&quot;non-dropping-particle&quot;:&quot;&quot;},{&quot;family&quot;:&quot;Nakamura&quot;,&quot;given&quot;:&quot;T.&quot;,&quot;parse-names&quot;:false,&quot;dropping-particle&quot;:&quot;&quot;,&quot;non-dropping-particle&quot;:&quot;&quot;}],&quot;container-title&quot;:&quot;Energy and Buildings&quot;,&quot;container-title-short&quot;:&quot;Energy Build&quot;,&quot;accessed&quot;:{&quot;date-parts&quot;:[[2020,5,1]]},&quot;DOI&quot;:&quot;10.1016/j.enbuild.2005.07.010&quot;,&quot;ISSN&quot;:&quot;03787788&quot;,&quot;issued&quot;:{&quot;date-parts&quot;:[[2006,5,1]]},&quot;page&quot;:&quot;436-446&quot;,&quot;abstract&quot;:&quot;We have proposed a new floor supply air conditioning system, using phase change material to augment building mass thermal storage. A scale model was constructed for such a system. Granules containing phase change material (PCM), with a phase change temperature of about 20 °C, were made from foamed glass beads and paraffin waxes. Results from measurements simulating an air conditioning schedule in office buildings indicate that 89% of daily cooling load could be stored each night in a system that used a 30 mm thick packed bed of the granular PCM. © 2005 Elsevier B.V. All rights reserved.&quot;,&quot;publisher&quot;:&quot;Elsevier&quot;,&quot;issue&quot;:&quot;5&quot;,&quot;volume&quot;:&quot;38&quot;},&quot;isTemporary&quot;:false},{&quot;id&quot;:&quot;5fe76538-f179-3a02-8ba5-d6061256b0c7&quot;,&quot;itemData&quot;:{&quot;type&quot;:&quot;article-journal&quot;,&quot;id&quot;:&quot;5fe76538-f179-3a02-8ba5-d6061256b0c7&quot;,&quot;title&quot;:&quot;Energy performance and optimal control of air-conditioned buildings with envelopes enhanced by phase change materials&quot;,&quot;author&quot;:[{&quot;family&quot;:&quot;Zhu&quot;,&quot;given&quot;:&quot;Na&quot;,&quot;parse-names&quot;:false,&quot;dropping-particle&quot;:&quot;&quot;,&quot;non-dropping-particle&quot;:&quot;&quot;},{&quot;family&quot;:&quot;Wang&quot;,&quot;given&quot;:&quot;Shengwei&quot;,&quot;parse-names&quot;:false,&quot;dropping-particle&quot;:&quot;&quot;,&quot;non-dropping-particle&quot;:&quot;&quot;},{&quot;family&quot;:&quot;Ma&quot;,&quot;given&quot;:&quot;Zhenjun&quot;,&quot;parse-names&quot;:false,&quot;dropping-particle&quot;:&quot;&quot;,&quot;non-dropping-particle&quot;:&quot;&quot;},{&quot;family&quot;:&quot;Sun&quot;,&quot;given&quot;:&quot;Yongjun&quot;,&quot;parse-names&quot;:false,&quot;dropping-particle&quot;:&quot;&quot;,&quot;non-dropping-particle&quot;:&quot;&quot;}],&quot;container-title&quot;:&quot;Energy Conversion and Management&quot;,&quot;container-title-short&quot;:&quot;Energy Convers Manag&quot;,&quot;accessed&quot;:{&quot;date-parts&quot;:[[2020,4,29]]},&quot;DOI&quot;:&quot;10.1016/j.enconman.2011.05.011&quot;,&quot;ISSN&quot;:&quot;01968904&quot;,&quot;issued&quot;:{&quot;date-parts&quot;:[[2011,9,1]]},&quot;page&quot;:&quot;3197-3205&quot;,&quot;abstract&quot;:&quot;Studies are conducted to investigate the impacts of shape-stabilized phase change material (SSPCM) and different control strategies on the energy consumption and peak load demand as well as electricity cost of building air-conditioning systems at typical summer conditions in two climates (subtropical and dry continental climates). An office building using a typical variable air volume (VAV) air-conditioning system was selected and simulated as the reference building in this study. Its envelopes were enhanced by integrating the SSPCM layers into its walls while the air-conditioning system and other configurations of the building remained unchanged. The building system was tested under two typical weather conditions and two typical electricity pricing policies (i.e., time-based pricing and energy-plus-demand-based pricing). Test results show that the use of SSPCM in the building could reduce the building electricity cost significantly (over 11% in electricity cost reduction and over 20% in peak load reduction), under two pricing policies by using load shifting control and demand limiting control respectively. This paper presents the test results and the evaluation on the energy performance and the optimal control strategies of air-conditioned commercial buildings with envelopes enhanced by SSPCM. © 2011 Elsevier Ltd. All rights reserved.&quot;,&quot;publisher&quot;:&quot;Elsevier Ltd&quot;,&quot;issue&quot;:&quot;10&quot;,&quot;volume&quot;:&quot;52&quot;},&quot;isTemporary&quot;:false},{&quot;id&quot;:&quot;bc9267be-fa3f-3c74-887e-177feba4acc7&quot;,&quot;itemData&quot;:{&quot;type&quot;:&quot;article-journal&quot;,&quot;id&quot;:&quot;bc9267be-fa3f-3c74-887e-177feba4acc7&quot;,&quot;title&quot;:&quot;Performance of a cold storage air-cooled heat pump system with phase change materials for space cooling&quot;,&quot;author&quot;:[{&quot;family&quot;:&quot;Chen&quot;,&quot;given&quot;:&quot;Xiaoming&quot;,&quot;parse-names&quot;:false,&quot;dropping-particle&quot;:&quot;&quot;,&quot;non-dropping-particle&quot;:&quot;&quot;},{&quot;family&quot;:&quot;Zhang&quot;,&quot;given&quot;:&quot;Quan&quot;,&quot;parse-names&quot;:false,&quot;dropping-particle&quot;:&quot;&quot;,&quot;non-dropping-particle&quot;:&quot;&quot;},{&quot;family&quot;:&quot;Zhai&quot;,&quot;given&quot;:&quot;Zhiqiang (John)&quot;,&quot;parse-names&quot;:false,&quot;dropping-particle&quot;:&quot;&quot;,&quot;non-dropping-particle&quot;:&quot;&quot;},{&quot;family&quot;:&quot;Qiu&quot;,&quot;given&quot;:&quot;Jinyou&quot;,&quot;parse-names&quot;:false,&quot;dropping-particle&quot;:&quot;&quot;,&quot;non-dropping-particle&quot;:&quot;&quot;}],&quot;container-title&quot;:&quot;Energy and Buildings&quot;,&quot;container-title-short&quot;:&quot;Energy Build&quot;,&quot;accessed&quot;:{&quot;date-parts&quot;:[[2021,7,6]]},&quot;DOI&quot;:&quot;10.1016/j.enbuild.2020.110405&quot;,&quot;ISSN&quot;:&quot;03787788&quot;,&quot;issued&quot;:{&quot;date-parts&quot;:[[2020,12,1]]},&quot;page&quot;:&quot;110405&quot;,&quot;abstract&quot;:&quot;This paper studies the performance of a cold storage heat pump system integrated with phase change materials (PCMs) for space cooling. An air-cooled heat pump unit comprising of two constant rotation speed compressors is selected. The PCM is an organic material that is commercially available, and has a phase change temperature of 10–12 °C. A coupled computational heat transfer model of the heat pump unit, fan coil units, and a cold storage tank filled with PCM slabs is developed. The simulations are performed under the climatic condition of Fuzhou, China. The operational behaviors of the cold charging and discharging processes of the system are analyzed. Furthermore, the overall electrical energy and electricity charge consumptions at various indoor temperature set points are compared. The results indicate that, the electrical energy consumption of the cold storage heat pump system increases as the indoor temperature increases. However, there is very little difference in the electrical energy consumption of the conventional heat pump system and the cold storage system. While under the demand tariff, the electricity charge saving ratio of the cold storage system over the conventional system is 9.07%-11.28%. In general, as the indoor temperature set point reduces, the electricity charge saving ratio increases. Moreover, the effect of cold charging temperature is also discussed. It is found that higher cold charging temperature consumes less electrical energy, however, takes longer to store the same amount of cold, and the differences relies on the required amount of cold.&quot;,&quot;publisher&quot;:&quot;Elsevier&quot;,&quot;volume&quot;:&quot;228&quot;},&quot;isTemporary&quot;:false},{&quot;id&quot;:&quot;f01f8033-5096-3418-bdd4-b32c41dcd5ff&quot;,&quot;itemData&quot;:{&quot;type&quot;:&quot;article-journal&quot;,&quot;id&quot;:&quot;f01f8033-5096-3418-bdd4-b32c41dcd5ff&quot;,&quot;title&quot;:&quot;Experimental and numerical study of PCM storage integrated with HVAC system for energy flexibility&quot;,&quot;author&quot;:[{&quot;family&quot;:&quot;Hu&quot;,&quot;given&quot;:&quot;Yue&quot;,&quot;parse-names&quot;:false,&quot;dropping-particle&quot;:&quot;&quot;,&quot;non-dropping-particle&quot;:&quot;&quot;},{&quot;family&quot;:&quot;Heiselberg&quot;,&quot;given&quot;:&quot;Per Kvols&quot;,&quot;parse-names&quot;:false,&quot;dropping-particle&quot;:&quot;&quot;,&quot;non-dropping-particle&quot;:&quot;&quot;},{&quot;family&quot;:&quot;Drivsholm&quot;,&quot;given&quot;:&quot;Christian&quot;,&quot;parse-names&quot;:false,&quot;dropping-particle&quot;:&quot;&quot;,&quot;non-dropping-particle&quot;:&quot;&quot;},{&quot;family&quot;:&quot;Søvsø&quot;,&quot;given&quot;:&quot;Asger Skød&quot;,&quot;parse-names&quot;:false,&quot;dropping-particle&quot;:&quot;&quot;,&quot;non-dropping-particle&quot;:&quot;&quot;},{&quot;family&quot;:&quot;Vogler-Finck&quot;,&quot;given&quot;:&quot;Pierre J.C.&quot;,&quot;parse-names&quot;:false,&quot;dropping-particle&quot;:&quot;&quot;,&quot;non-dropping-particle&quot;:&quot;&quot;},{&quot;family&quot;:&quot;Kronby&quot;,&quot;given&quot;:&quot;Kim&quot;,&quot;parse-names&quot;:false,&quot;dropping-particle&quot;:&quot;&quot;,&quot;non-dropping-particle&quot;:&quot;&quot;}],&quot;container-title&quot;:&quot;Energy and Buildings&quot;,&quot;container-title-short&quot;:&quot;Energy Build&quot;,&quot;accessed&quot;:{&quot;date-parts&quot;:[[2021,12,5]]},&quot;DOI&quot;:&quot;10.1016/j.enbuild.2021.111651&quot;,&quot;ISSN&quot;:&quot;03787788&quot;,&quot;URL&quot;:&quot;https://linkinghub.elsevier.com/retrieve/pii/S037877882100935X&quot;,&quot;issued&quot;:{&quot;date-parts&quot;:[[2021,11,6]]},&quot;page&quot;:&quot;111651&quot;,&quot;abstract&quot;:&quot;This paper presents both experimental and numerical studies of PCM storage integrated with an HVAC system. The experiments focus on PCM storage in 3 different sizes, and study the temperature change in the PCM storage during the charge and discharge period, the impact of the PCM quantity on the charge and discharge rates of the PCM storage and the impact of the discharge air temperature and airflow rate on the discharge rate. The main conclusions are that the temperature effectiveness of the PCM storage depends more on the PCM quantity than the discharge inlet air temperature and airflow rate. The air path in the PCM storage should not be too long to achieve the longer PCM activation in time. The storage with 36 pieces of PCM plates and latent storage capacity of 5.23 MJ can be charged/discharged fast, with high and stable outlet air temperature (above 28 °C for 3 hours), especially during the discharge period. The most promising configuration of the experimental study was chosen for a numerical study the energy flexibility of the HVAC system without PCM and with PCM. A model of the PCM storage integrated with an HVAC system is built with EnergyPlus and validated by experimental data. The study concluded that the HVAC heating setpoint control based on the electricity price without PCM storage has limited cost-saving potential due to the high electricity transmission and tax cost. The PCM storage integrated with an HVAC system can reduce the energy cost by 7 % while obtaining a similar indoor thermal comfort level compared to the HVAC heating setpoint control without PCM storage. The payback time of HVAC with PCM is seven years compared to HVAC system without PCM. The cost reduction of energy flexibility of the system is relatively limited because the electricity transmission cost and electricity tax account for 80% of the total electricity cost in Denmark.&quot;,&quot;publisher&quot;:&quot;Elsevier&quot;},&quot;isTemporary&quot;:false},{&quot;id&quot;:&quot;a385f523-aac2-3ef1-8f0c-1fdc0d8078ae&quot;,&quot;itemData&quot;:{&quot;type&quot;:&quot;article-journal&quot;,&quot;id&quot;:&quot;a385f523-aac2-3ef1-8f0c-1fdc0d8078ae&quot;,&quot;title&quot;:&quot;Free cooling potential of a PCM-based heat exchanger coupled with a novel HVAC system for simultaneous heating and cooling of buildings&quot;,&quot;author&quot;:[{&quot;family&quot;:&quot;Maccarini&quot;,&quot;given&quot;:&quot;Alessandro&quot;,&quot;parse-names&quot;:false,&quot;dropping-particle&quot;:&quot;&quot;,&quot;non-dropping-particle&quot;:&quot;&quot;},{&quot;family&quot;:&quot;Hultmark&quot;,&quot;given&quot;:&quot;Göran&quot;,&quot;parse-names&quot;:false,&quot;dropping-particle&quot;:&quot;&quot;,&quot;non-dropping-particle&quot;:&quot;&quot;},{&quot;family&quot;:&quot;Bergsøe&quot;,&quot;given&quot;:&quot;Niels C.&quot;,&quot;parse-names&quot;:false,&quot;dropping-particle&quot;:&quot;&quot;,&quot;non-dropping-particle&quot;:&quot;&quot;},{&quot;family&quot;:&quot;Afshari&quot;,&quot;given&quot;:&quot;Alireza&quot;,&quot;parse-names&quot;:false,&quot;dropping-particle&quot;:&quot;&quot;,&quot;non-dropping-particle&quot;:&quot;&quot;}],&quot;container-title&quot;:&quot;Sustainable Cities and Society&quot;,&quot;container-title-short&quot;:&quot;Sustain Cities Soc&quot;,&quot;accessed&quot;:{&quot;date-parts&quot;:[[2021,7,6]]},&quot;DOI&quot;:&quot;10.1016/j.scs.2018.06.016&quot;,&quot;ISSN&quot;:&quot;22106707&quot;,&quot;issued&quot;:{&quot;date-parts&quot;:[[2018,10,1]]},&quot;page&quot;:&quot;384-395&quot;,&quot;abstract&quot;:&quot;This article presents a simulation-based study that estimates the primary energy use of a novel HVAC system for different configurations of a thermal plant. The main characteristic of the system is its ability to provide simultaneous heating and cooling to buildings by using a single hydronic circuit with water temperatures of about 22 °C all year round. Four different configurations of the thermal plant were analyzed. A district heating-cooling network was considered as baseline. Other configurations included the use of a reversible air-to-water heat pump coupled with free cooling devices. In particular, a model of a PCM-based heat exchanger was developed in this work by using the programming language Modelica. This device was designed to store cold energy during night-time and release it during daytime through the water circuit. Results for a typical office building model showed that the integration of free cooling devices can significantly reduce the primary energy use of the novel HVAC system. In particular, the thermal plant configuration including the PCM-based heat exchanger made it possible to almost completely avoid the use of mechanical cooling, leading to annual primary energy savings of about 67% when compared with the baseline thermal plant configuration.&quot;,&quot;publisher&quot;:&quot;Elsevier&quot;,&quot;volume&quot;:&quot;42&quot;},&quot;isTemporary&quot;:false}]},{&quot;citationID&quot;:&quot;MENDELEY_CITATION_c73f9750-7a66-4496-94e3-2085989e554f&quot;,&quot;properties&quot;:{&quot;noteIndex&quot;:0},&quot;isEdited&quot;:false,&quot;manualOverride&quot;:{&quot;isManuallyOverridden&quot;:false,&quot;citeprocText&quot;:&quot;[154]&quot;,&quot;manualOverrideText&quot;:&quot;&quot;},&quot;citationTag&quot;:&quot;MENDELEY_CITATION_v3_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&quot;,&quot;citationItems&quot;:[{&quot;id&quot;:&quot;aad07b45-f5e8-3a1b-9f6e-4305e44d0e90&quot;,&quot;itemData&quot;:{&quot;type&quot;:&quot;paper-conference&quot;,&quot;id&quot;:&quot;aad07b45-f5e8-3a1b-9f6e-4305e44d0e90&quot;,&quot;title&quot;:&quot;Analysis of Residential Time-of-Use Utility Rate Structures and Economic Implications for Thermal Energy Storage&quot;,&quot;author&quot;:[{&quot;family&quot;:&quot;Sultan&quot;,&quot;given&quot;:&quot;S&quot;,&quot;parse-names&quot;:false,&quot;dropping-particle&quot;:&quot;&quot;,&quot;non-dropping-particle&quot;:&quot;&quot;},{&quot;family&quot;:&quot;Hirschey&quot;,&quot;given&quot;:&quot;J&quot;,&quot;parse-names&quot;:false,&quot;dropping-particle&quot;:&quot;&quot;,&quot;non-dropping-particle&quot;:&quot;&quot;},{&quot;family&quot;:&quot;Gluesenkamp&quot;,&quot;given&quot;:&quot;KR&quot;,&quot;parse-names&quot;:false,&quot;dropping-particle&quot;:&quot;&quot;,&quot;non-dropping-particle&quot;:&quot;&quot;},{&quot;family&quot;:&quot;Graham&quot;,&quot;given&quot;:&quot;S&quot;,&quot;parse-names&quot;:false,&quot;dropping-particle&quot;:&quot;&quot;,&quot;non-dropping-particle&quot;:&quot;&quot;}],&quot;accessed&quot;:{&quot;date-parts&quot;:[[2021,8,31]]},&quot;URL&quot;:&quot;https://docs.lib.purdue.edu/cgi/viewcontent.cgi?article=1369&amp;context=ihpbc&quot;,&quot;issued&quot;:{&quot;date-parts&quot;:[[2021]]},&quot;page&quot;:&quot;1-10&quot;,&quot;abstract&quot;:&quot;Thermal energy storage (TES) is an increasingly popular tool to level out the daily electrical demand and add stability to the electrical grid as more intermittent renewable energy sources are installed. TES systems can locally decouple high thermal loads from the operation of a heat pump or reduce the electrical energy demand of the heat pump by providing a more favorable temperature gradient. In addition, many policy makers and utility providers have introduced time-of-use (TOU) rate schedules for residential customers to better reflect the price of electricity generation and demand for specific times. TOU rate schedules price grid-provided electricity differently throughout the day depending on the region's climate, time of year, and electrical production portfolio. Large differences between on-peak and off-peak electrical prices may create an economic advantage for a residential customer to install a TES system. In this work, the economic and energy savings are calculated for a modeled 223 square foot residential building with water/ice-based TES using a TOU rate structure. The weather data is from Fresno County, CA, ASHRAE climate zone 3B, and a representative residential TOU utility rate structure from a utility provider in California was used. The simulation was carried out for cooling only during a week of extreme hot summer daytime temperature and the results showed that total energy consumption could be reduced by 14.5% with an 87.5% reduction in on-peak energy usage when the TES is installed. The cost of operating this system for space cooling was reduced by nearly 20% using the sample utility rate plan.&quot;,&quot;container-title-short&quot;:&quot;&quot;},&quot;isTemporary&quot;:false}]},{&quot;citationID&quot;:&quot;MENDELEY_CITATION_a09a5fb8-3539-4269-97ae-cf883ce64242&quot;,&quot;properties&quot;:{&quot;noteIndex&quot;:0},&quot;isEdited&quot;:false,&quot;manualOverride&quot;:{&quot;isManuallyOverridden&quot;:false,&quot;citeprocText&quot;:&quot;[151]&quot;,&quot;manualOverrideText&quot;:&quot;&quot;},&quot;citationTag&quot;:&quot;MENDELEY_CITATION_v3_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&quot;,&quot;citationItems&quot;:[{&quot;id&quot;:&quot;808067bd-535f-39eb-a9ef-78b829ffbc85&quot;,&quot;itemData&quot;:{&quot;type&quot;:&quot;article-journal&quot;,&quot;id&quot;:&quot;808067bd-535f-39eb-a9ef-78b829ffbc85&quot;,&quot;title&quot;:&quot;Impacts of ice storage on electrical energy consumptions in office buildings&quot;,&quot;author&quot;:[{&quot;family&quot;:&quot;Sehar&quot;,&quot;given&quot;:&quot;Fakeha&quot;,&quot;parse-names&quot;:false,&quot;dropping-particle&quot;:&quot;&quot;,&quot;non-dropping-particle&quot;:&quot;&quot;},{&quot;family&quot;:&quot;Rahman&quot;,&quot;given&quot;:&quot;Saifur&quot;,&quot;parse-names&quot;:false,&quot;dropping-particle&quot;:&quot;&quot;,&quot;non-dropping-particle&quot;:&quot;&quot;},{&quot;family&quot;:&quot;Pipattanasomporn&quot;,&quot;given&quot;:&quot;Manisa&quot;,&quot;parse-names&quot;:false,&quot;dropping-particle&quot;:&quot;&quot;,&quot;non-dropping-particle&quot;:&quot;&quot;}],&quot;container-title&quot;:&quot;Energy and Buildings&quot;,&quot;container-title-short&quot;:&quot;Energy Build&quot;,&quot;DOI&quot;:&quot;10.1016/j.enbuild.2012.05.002&quot;,&quot;ISSN&quot;:&quot;03787788&quot;,&quot;URL&quot;:&quot;https://linkinghub.elsevier.com/retrieve/pii/S0378778812002575&quot;,&quot;issued&quot;:{&quot;date-parts&quot;:[[2012,8]]},&quot;page&quot;:&quot;255-262&quot;,&quot;abstract&quot;:&quot;Cooling demand constitutes a large portion of total electrical demand for office buildings during peak hours. Ice storage technology can help shift this peak cooling demand to off-peak periods. This research analyzes the chiller energy consumption of conventional non-storage and ice storage cooling systems for large and medium-sized office buildings in diverse climate zones. Demand Response Quick Assessment Tool (DRQAT) has been used to model and simulate large and medium-sized office buildings. The construction and weather files in DRQAT have been modified to incorporate construction standard and weather data for the cities representing the diverse climate zones. Results indicate that the chiller energy consumption for non-storage and ice storage systems depends highly on climatic conditions. Climate zones with hot summers as well as small day and night temperature variations show higher chiller energy consumptions. The marine climate zone has the lowest chiller energy consumption. The cold/humid climate zone has higher chiller energy consumption than the cold/dry and very cold climate zones. The cold/dry and very cold climate zones have comparable chiller energy consumption. Research findings as presented in this paper will help utilities and building owners to quantify the benefits of installing ice storage systems in office buildings located in different climatic conditions. © 2012 Elsevier B.V.&quot;,&quot;volume&quot;:&quot;51&quot;},&quot;isTemporary&quot;:false}]},{&quot;citationID&quot;:&quot;MENDELEY_CITATION_baf2d40e-2515-4e28-9062-5cc1632e8a5a&quot;,&quot;properties&quot;:{&quot;noteIndex&quot;:0},&quot;isEdited&quot;:false,&quot;manualOverride&quot;:{&quot;isManuallyOverridden&quot;:false,&quot;citeprocText&quot;:&quot;[38]&quot;,&quot;manualOverrideText&quot;:&quot;&quot;},&quot;citationTag&quot;:&quot;MENDELEY_CITATION_v3_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&quot;,&quot;citationItems&quot;:[{&quot;id&quot;:&quot;dc31db93-ba26-3d21-b18d-4a77673e89df&quot;,&quot;itemData&quot;:{&quot;type&quot;:&quot;article-journal&quot;,&quot;id&quot;:&quot;dc31db93-ba26-3d21-b18d-4a77673e89df&quot;,&quot;title&quot;:&quot;Integration of Phase Change Material-Based Storage in Air Distribution Systems to Increase Building Power Flexibility&quot;,&quot;author&quot;:[{&quot;family&quot;:&quot;Hlanze&quot;,&quot;given&quot;:&quot;P&quot;,&quot;parse-names&quot;:false,&quot;dropping-particle&quot;:&quot;&quot;,&quot;non-dropping-particle&quot;:&quot;&quot;},{&quot;family&quot;:&quot;Elhefny&quot;,&quot;given&quot;:&quot;A&quot;,&quot;parse-names&quot;:false,&quot;dropping-particle&quot;:&quot;&quot;,&quot;non-dropping-particle&quot;:&quot;&quot;},{&quot;family&quot;:&quot;Jiang&quot;,&quot;given&quot;:&quot;Z&quot;,&quot;parse-names&quot;:false,&quot;dropping-particle&quot;:&quot;&quot;,&quot;non-dropping-particle&quot;:&quot;&quot;},{&quot;family&quot;:&quot;Cai&quot;,&quot;given&quot;:&quot;J&quot;,&quot;parse-names&quot;:false,&quot;dropping-particle&quot;:&quot;&quot;,&quot;non-dropping-particle&quot;:&quot;&quot;},{&quot;family&quot;:&quot;Shabgard&quot;,&quot;given&quot;:&quot;H&quot;,&quot;parse-names&quot;:false,&quot;dropping-particle&quot;:&quot;&quot;,&quot;non-dropping-particle&quot;:&quot;&quot;}],&quot;accessed&quot;:{&quot;date-parts&quot;:[[2021,8,31]]},&quot;URL&quot;:&quot;https://docs.lib.purdue.edu/cgi/viewcontent.cgi?article=1365&amp;context=ihpbc&quot;,&quot;issued&quot;:{&quot;date-parts&quot;:[[2021]]},&quot;abstract&quot;:&quot;This paper presents a novel energy storage solution by incorporating phase change material (PCM) in the building supply-air duct to increase a building's thermal storage capacity. This solution has various advantages compared to PCM-integrated walls including more effective heat transfer (forced convection and greater temperature differentials). During off-peak hours, the system runs at a supply-air temperature below the material's solidification point to charge the PCM with cooling energy. During on-peak hours, a higher supply-air temperature is utilized so that the stored energy can be discharged into the supply-air. This shifts a portion of the building's cooling load from the on-peak hours to the off-peak hours. A numerical model for the melting and solidification of PCM in the duct was developed and modified using experimental data. Whole building energy simulations were conducted by coupling the PCM model with EnergyPlus DOE prototypical building model in a Simulink co-simulation platform. Simulations were performed for three cities in different climate zones over a three-month cooling season (June to August), and the PCM storage reduced the on-peak energy consumption by 20-25%. The electricity cost and payback period were determined using current time-of-use electricity rates.&quot;,&quot;container-title-short&quot;:&quot;&quot;},&quot;isTemporary&quot;:false}]},{&quot;citationID&quot;:&quot;MENDELEY_CITATION_0bf5616e-1079-481e-9b76-ef4cc373f267&quot;,&quot;properties&quot;:{&quot;noteIndex&quot;:0},&quot;isEdited&quot;:false,&quot;manualOverride&quot;:{&quot;isManuallyOverridden&quot;:false,&quot;citeprocText&quot;:&quot;[46]&quot;,&quot;manualOverrideText&quot;:&quot;&quot;},&quot;citationTag&quot;:&quot;MENDELEY_CITATION_v3_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&quot;,&quot;citationItems&quot;:[{&quot;id&quot;:&quot;a959076f-3157-3e46-9329-704c3e29ed17&quot;,&quot;itemData&quot;:{&quot;type&quot;:&quot;article-journal&quot;,&quot;id&quot;:&quot;a959076f-3157-3e46-9329-704c3e29ed17&quot;,&quot;title&quot;:&quot;Modeling a radiant floor system with Phase Change Material (PCM) integrated into a building simulation tool: Analysis of a case study of a floor heating system coupled to a heat pump&quot;,&quot;author&quot;:[{&quot;family&quot;:&quot;Mazo&quot;,&quot;given&quot;:&quot;Javier&quot;,&quot;parse-names&quot;:false,&quot;dropping-particle&quot;:&quot;&quot;,&quot;non-dropping-particle&quot;:&quot;&quot;},{&quot;family&quot;:&quot;Delgado&quot;,&quot;given&quot;:&quot;Monica&quot;,&quot;parse-names&quot;:false,&quot;dropping-particle&quot;:&quot;&quot;,&quot;non-dropping-particle&quot;:&quot;&quot;},{&quot;family&quot;:&quot;Marin&quot;,&quot;given&quot;:&quot;Jose Maria&quot;,&quot;parse-names&quot;:false,&quot;dropping-particle&quot;:&quot;&quot;,&quot;non-dropping-particle&quot;:&quot;&quot;},{&quot;family&quot;:&quot;Zalba&quot;,&quot;given&quot;:&quot;Belen&quot;,&quot;parse-names&quot;:false,&quot;dropping-particle&quot;:&quot;&quot;,&quot;non-dropping-particle&quot;:&quot;&quot;}],&quot;container-title&quot;:&quot;Energy and Buildings&quot;,&quot;container-title-short&quot;:&quot;Energy Build&quot;,&quot;accessed&quot;:{&quot;date-parts&quot;:[[2020,5,2]]},&quot;DOI&quot;:&quot;10.1016/j.enbuild.2011.12.022&quot;,&quot;ISSN&quot;:&quot;03787788&quot;,&quot;URL&quot;:&quot;http://dx.doi.org/10.1016/j.enbuild.2011.12.022&quot;,&quot;issued&quot;:{&quot;date-parts&quot;:[[2012,4,1]]},&quot;page&quot;:&quot;458-466&quot;,&quot;abstract&quot;:&quot;This work describes a model developed to simulate a radiant floor system with PCM in simple building types. The building simulation model has been validated by comparing its behavior with Energy Plus. The PCM radiant floor model is based on a one-dimensional finite difference scheme where the effective capacity method is used for PCM simulation. Some adjustments have been made to this one-dimensional scheme so that the thermal effect of two-dimensional heat transfer within the radiant floor slab is taken into account. The results of an analyzed case study are also presented in this paper. Here, the PCM floor heating system is fed by a heat pump which mainly operates during night time, thus reducing the costs of electric energy consumption. © 2012 Elsevier B.V. All rights reserved.&quot;,&quot;publisher&quot;:&quot;Elsevier&quot;,&quot;volume&quot;:&quot;47&quot;},&quot;isTemporary&quot;:false}]},{&quot;citationID&quot;:&quot;MENDELEY_CITATION_52658b8e-9242-46e4-8fdc-ea272e230f7b&quot;,&quot;properties&quot;:{&quot;noteIndex&quot;:0},&quot;isEdited&quot;:false,&quot;manualOverride&quot;:{&quot;isManuallyOverridden&quot;:false,&quot;citeprocText&quot;:&quot;[156]&quot;,&quot;manualOverrideText&quot;:&quot;&quot;},&quot;citationTag&quot;:&quot;MENDELEY_CITATION_v3_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&quot;,&quot;citationItems&quot;:[{&quot;id&quot;:&quot;f01f8033-5096-3418-bdd4-b32c41dcd5ff&quot;,&quot;itemData&quot;:{&quot;type&quot;:&quot;article-journal&quot;,&quot;id&quot;:&quot;f01f8033-5096-3418-bdd4-b32c41dcd5ff&quot;,&quot;title&quot;:&quot;Experimental and numerical study of PCM storage integrated with HVAC system for energy flexibility&quot;,&quot;author&quot;:[{&quot;family&quot;:&quot;Hu&quot;,&quot;given&quot;:&quot;Yue&quot;,&quot;parse-names&quot;:false,&quot;dropping-particle&quot;:&quot;&quot;,&quot;non-dropping-particle&quot;:&quot;&quot;},{&quot;family&quot;:&quot;Heiselberg&quot;,&quot;given&quot;:&quot;Per Kvols&quot;,&quot;parse-names&quot;:false,&quot;dropping-particle&quot;:&quot;&quot;,&quot;non-dropping-particle&quot;:&quot;&quot;},{&quot;family&quot;:&quot;Drivsholm&quot;,&quot;given&quot;:&quot;Christian&quot;,&quot;parse-names&quot;:false,&quot;dropping-particle&quot;:&quot;&quot;,&quot;non-dropping-particle&quot;:&quot;&quot;},{&quot;family&quot;:&quot;Søvsø&quot;,&quot;given&quot;:&quot;Asger Skød&quot;,&quot;parse-names&quot;:false,&quot;dropping-particle&quot;:&quot;&quot;,&quot;non-dropping-particle&quot;:&quot;&quot;},{&quot;family&quot;:&quot;Vogler-Finck&quot;,&quot;given&quot;:&quot;Pierre J.C.&quot;,&quot;parse-names&quot;:false,&quot;dropping-particle&quot;:&quot;&quot;,&quot;non-dropping-particle&quot;:&quot;&quot;},{&quot;family&quot;:&quot;Kronby&quot;,&quot;given&quot;:&quot;Kim&quot;,&quot;parse-names&quot;:false,&quot;dropping-particle&quot;:&quot;&quot;,&quot;non-dropping-particle&quot;:&quot;&quot;}],&quot;container-title&quot;:&quot;Energy and Buildings&quot;,&quot;container-title-short&quot;:&quot;Energy Build&quot;,&quot;accessed&quot;:{&quot;date-parts&quot;:[[2021,12,5]]},&quot;DOI&quot;:&quot;10.1016/j.enbuild.2021.111651&quot;,&quot;ISSN&quot;:&quot;03787788&quot;,&quot;URL&quot;:&quot;https://linkinghub.elsevier.com/retrieve/pii/S037877882100935X&quot;,&quot;issued&quot;:{&quot;date-parts&quot;:[[2021,11,6]]},&quot;page&quot;:&quot;111651&quot;,&quot;abstract&quot;:&quot;This paper presents both experimental and numerical studies of PCM storage integrated with an HVAC system. The experiments focus on PCM storage in 3 different sizes, and study the temperature change in the PCM storage during the charge and discharge period, the impact of the PCM quantity on the charge and discharge rates of the PCM storage and the impact of the discharge air temperature and airflow rate on the discharge rate. The main conclusions are that the temperature effectiveness of the PCM storage depends more on the PCM quantity than the discharge inlet air temperature and airflow rate. The air path in the PCM storage should not be too long to achieve the longer PCM activation in time. The storage with 36 pieces of PCM plates and latent storage capacity of 5.23 MJ can be charged/discharged fast, with high and stable outlet air temperature (above 28 °C for 3 hours), especially during the discharge period. The most promising configuration of the experimental study was chosen for a numerical study the energy flexibility of the HVAC system without PCM and with PCM. A model of the PCM storage integrated with an HVAC system is built with EnergyPlus and validated by experimental data. The study concluded that the HVAC heating setpoint control based on the electricity price without PCM storage has limited cost-saving potential due to the high electricity transmission and tax cost. The PCM storage integrated with an HVAC system can reduce the energy cost by 7 % while obtaining a similar indoor thermal comfort level compared to the HVAC heating setpoint control without PCM storage. The payback time of HVAC with PCM is seven years compared to HVAC system without PCM. The cost reduction of energy flexibility of the system is relatively limited because the electricity transmission cost and electricity tax account for 80% of the total electricity cost in Denmark.&quot;,&quot;publisher&quot;:&quot;Elsevier&quot;},&quot;isTemporary&quot;:false}]},{&quot;citationID&quot;:&quot;MENDELEY_CITATION_80d81307-6f89-43e5-85f1-711c7fc7ffeb&quot;,&quot;properties&quot;:{&quot;noteIndex&quot;:0},&quot;isEdited&quot;:false,&quot;manualOverride&quot;:{&quot;isManuallyOverridden&quot;:false,&quot;citeprocText&quot;:&quot;[37]&quot;,&quot;manualOverrideText&quot;:&quot;&quot;},&quot;citationTag&quot;:&quot;MENDELEY_CITATION_v3_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&quot;,&quot;citationItems&quot;:[{&quot;id&quot;:&quot;153c228c-f0ec-3d4e-bc8b-5dabf057df2f&quot;,&quot;itemData&quot;:{&quot;type&quot;:&quot;article-journal&quot;,&quot;id&quot;:&quot;153c228c-f0ec-3d4e-bc8b-5dabf057df2f&quot;,&quot;title&quot;:&quot;Peak load shifting using a price-based control in PCM-enhanced buildings&quot;,&quot;author&quot;:[{&quot;family&quot;:&quot;Gholamibozanjani&quot;,&quot;given&quot;:&quot;Gohar&quot;,&quot;parse-names&quot;:false,&quot;dropping-particle&quot;:&quot;&quot;,&quot;non-dropping-particle&quot;:&quot;&quot;},{&quot;family&quot;:&quot;Farid&quot;,&quot;given&quot;:&quot;Mohammed&quot;,&quot;parse-names&quot;:false,&quot;dropping-particle&quot;:&quot;&quot;,&quot;non-dropping-particle&quot;:&quot;&quot;}],&quot;container-title&quot;:&quot;Solar Energy&quot;,&quot;accessed&quot;:{&quot;date-parts&quot;:[[2021,12,5]]},&quot;DOI&quot;:&quot;10.1016/j.solener.2020.09.016&quot;,&quot;ISSN&quot;:&quot;0038092X&quot;,&quot;issued&quot;:{&quot;date-parts&quot;:[[2020,11,15]]},&quot;page&quot;:&quot;661-673&quot;,&quot;abstract&quot;:&quot;Peak load shifting, a load management policy, has attracted widespread attention as it can minimize the impact of load variation on a system's operation and reduce the electricity costs. Phase change materials (PCMs) can contribute to peak load shifting by storing the daytime solar energy in winter/free night cooling in summer or the low-rate energy provided at off-peak hours for use during the high electricity peak period. This study aimed to experimentally investigate the effect of an active PCM storage in combination with a price-based control on peak load shifting. The experiments were conducted using two identical test huts, which were equipped with an electric and solar air heater during cold seasons or an air conditioning unit during warm seasons. But in addition, one of the huts was equipped with an active PCM storage unit charged by the solar heater. A CompactRio data acquisition system, powered by LabView interface, was used to transfer data and communicate with a host computer. Results showed that the proposed system was successful in shifting both heating and cooling demands to the off-peak periods. Up to 47% of daily energy-saving (∼0.83 kWh) with a corresponding 65% of electricity cost-saving, in winter, and up to 23% daily energy saving (∼0.27 kWh) with a relevant 42% of cost-saving, in summer, were achieved.&quot;,&quot;publisher&quot;:&quot;Pergamon&quot;,&quot;volume&quot;:&quot;211&quot;,&quot;container-title-short&quot;:&quot;&quot;},&quot;isTemporary&quot;:false}]},{&quot;citationID&quot;:&quot;MENDELEY_CITATION_7b06387a-0248-4249-8834-8d346365013b&quot;,&quot;properties&quot;:{&quot;noteIndex&quot;:0},&quot;isEdited&quot;:false,&quot;manualOverride&quot;:{&quot;isManuallyOverridden&quot;:false,&quot;citeprocText&quot;:&quot;[45]&quot;,&quot;manualOverrideText&quot;:&quot;&quot;},&quot;citationTag&quot;:&quot;MENDELEY_CITATION_v3_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&quot;,&quot;citationItems&quot;:[{&quot;id&quot;:&quot;a385f523-aac2-3ef1-8f0c-1fdc0d8078ae&quot;,&quot;itemData&quot;:{&quot;type&quot;:&quot;article-journal&quot;,&quot;id&quot;:&quot;a385f523-aac2-3ef1-8f0c-1fdc0d8078ae&quot;,&quot;title&quot;:&quot;Free cooling potential of a PCM-based heat exchanger coupled with a novel HVAC system for simultaneous heating and cooling of buildings&quot;,&quot;author&quot;:[{&quot;family&quot;:&quot;Maccarini&quot;,&quot;given&quot;:&quot;Alessandro&quot;,&quot;parse-names&quot;:false,&quot;dropping-particle&quot;:&quot;&quot;,&quot;non-dropping-particle&quot;:&quot;&quot;},{&quot;family&quot;:&quot;Hultmark&quot;,&quot;given&quot;:&quot;Göran&quot;,&quot;parse-names&quot;:false,&quot;dropping-particle&quot;:&quot;&quot;,&quot;non-dropping-particle&quot;:&quot;&quot;},{&quot;family&quot;:&quot;Bergsøe&quot;,&quot;given&quot;:&quot;Niels C.&quot;,&quot;parse-names&quot;:false,&quot;dropping-particle&quot;:&quot;&quot;,&quot;non-dropping-particle&quot;:&quot;&quot;},{&quot;family&quot;:&quot;Afshari&quot;,&quot;given&quot;:&quot;Alireza&quot;,&quot;parse-names&quot;:false,&quot;dropping-particle&quot;:&quot;&quot;,&quot;non-dropping-particle&quot;:&quot;&quot;}],&quot;container-title&quot;:&quot;Sustainable Cities and Society&quot;,&quot;container-title-short&quot;:&quot;Sustain Cities Soc&quot;,&quot;accessed&quot;:{&quot;date-parts&quot;:[[2021,7,6]]},&quot;DOI&quot;:&quot;10.1016/j.scs.2018.06.016&quot;,&quot;ISSN&quot;:&quot;22106707&quot;,&quot;issued&quot;:{&quot;date-parts&quot;:[[2018,10,1]]},&quot;page&quot;:&quot;384-395&quot;,&quot;abstract&quot;:&quot;This article presents a simulation-based study that estimates the primary energy use of a novel HVAC system for different configurations of a thermal plant. The main characteristic of the system is its ability to provide simultaneous heating and cooling to buildings by using a single hydronic circuit with water temperatures of about 22 °C all year round. Four different configurations of the thermal plant were analyzed. A district heating-cooling network was considered as baseline. Other configurations included the use of a reversible air-to-water heat pump coupled with free cooling devices. In particular, a model of a PCM-based heat exchanger was developed in this work by using the programming language Modelica. This device was designed to store cold energy during night-time and release it during daytime through the water circuit. Results for a typical office building model showed that the integration of free cooling devices can significantly reduce the primary energy use of the novel HVAC system. In particular, the thermal plant configuration including the PCM-based heat exchanger made it possible to almost completely avoid the use of mechanical cooling, leading to annual primary energy savings of about 67% when compared with the baseline thermal plant configuration.&quot;,&quot;publisher&quot;:&quot;Elsevier&quot;,&quot;volume&quot;:&quot;42&quot;},&quot;isTemporary&quot;:false}]},{&quot;citationID&quot;:&quot;MENDELEY_CITATION_7568f06d-368c-4034-9a9c-3ffa0499331e&quot;,&quot;properties&quot;:{&quot;noteIndex&quot;:0},&quot;isEdited&quot;:false,&quot;manualOverride&quot;:{&quot;isManuallyOverridden&quot;:false,&quot;citeprocText&quot;:&quot;[157]&quot;,&quot;manualOverrideText&quot;:&quot;&quot;},&quot;citationTag&quot;:&quot;MENDELEY_CITATION_v3_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&quot;,&quot;citationItems&quot;:[{&quot;id&quot;:&quot;28ce6625-62f0-3235-a9ca-0336c5956d1c&quot;,&quot;itemData&quot;:{&quot;type&quot;:&quot;article-journal&quot;,&quot;id&quot;:&quot;28ce6625-62f0-3235-a9ca-0336c5956d1c&quot;,&quot;title&quot;:&quot;Application of an active PCM storage system into a building for heating/cooling load reduction&quot;,&quot;author&quot;:[{&quot;family&quot;:&quot;Gholamibozanjani&quot;,&quot;given&quot;:&quot;Gohar&quot;,&quot;parse-names&quot;:false,&quot;dropping-particle&quot;:&quot;&quot;,&quot;non-dropping-particle&quot;:&quot;&quot;},{&quot;family&quot;:&quot;Farid&quot;,&quot;given&quot;:&quot;Mohammed&quot;,&quot;parse-names&quot;:false,&quot;dropping-particle&quot;:&quot;&quot;,&quot;non-dropping-particle&quot;:&quot;&quot;}],&quot;container-title&quot;:&quot;Energy&quot;,&quot;accessed&quot;:{&quot;date-parts&quot;:[[2021,12,5]]},&quot;DOI&quot;:&quot;10.1016/j.energy.2020.118572&quot;,&quot;ISSN&quot;:&quot;03605442&quot;,&quot;issued&quot;:{&quot;date-parts&quot;:[[2020,11,1]]},&quot;page&quot;:&quot;118572&quot;,&quot;abstract&quot;:&quot;Incorporation of phase change materials (PCMs) into buildings has recently attracted widespread attention as they can bridge the mismatch between energy supply and demand through their large energy storage capacity. This paper presents the use of an active PCM storage system in buildings and evaluates its energy performance over the different seasons. To this end, two experimental huts, each equipped with solar and electric heaters in winter or an air conditioning unit in summer, were used to investigate the concept. Also, one of the huts was provided with PCM storage units, and the results obtained were compared with those collected from the reference hut. A CompactRIO, data acquisition system, powered by LabVIEW real-time software, was used to transfer data for analysis, processing, and communicating with the host computer. In this research, the active PCM storage units could store solar energy in cold seasons or free night cooling in warm seasons for later use and hence reduce the heating/cooling load requirements. An accumulative heating energy savings of 40% in May and 10.3% in June/July 2019, were achieved. The use of PCM for space cooling also led to an accumulative energy-saving of 30% in March/April and 10% in January.&quot;,&quot;publisher&quot;:&quot;Pergamon&quot;,&quot;volume&quot;:&quot;210&quot;,&quot;container-title-short&quot;:&quot;&quot;},&quot;isTemporary&quot;:false}]},{&quot;citationID&quot;:&quot;MENDELEY_CITATION_498c3ef2-3741-4072-944e-22c8dd010048&quot;,&quot;properties&quot;:{&quot;noteIndex&quot;:0},&quot;isEdited&quot;:false,&quot;manualOverride&quot;:{&quot;isManuallyOverridden&quot;:false,&quot;citeprocText&quot;:&quot;[37]&quot;,&quot;manualOverrideText&quot;:&quot;&quot;},&quot;citationTag&quot;:&quot;MENDELEY_CITATION_v3_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&quot;,&quot;citationItems&quot;:[{&quot;id&quot;:&quot;153c228c-f0ec-3d4e-bc8b-5dabf057df2f&quot;,&quot;itemData&quot;:{&quot;type&quot;:&quot;article-journal&quot;,&quot;id&quot;:&quot;153c228c-f0ec-3d4e-bc8b-5dabf057df2f&quot;,&quot;title&quot;:&quot;Peak load shifting using a price-based control in PCM-enhanced buildings&quot;,&quot;author&quot;:[{&quot;family&quot;:&quot;Gholamibozanjani&quot;,&quot;given&quot;:&quot;Gohar&quot;,&quot;parse-names&quot;:false,&quot;dropping-particle&quot;:&quot;&quot;,&quot;non-dropping-particle&quot;:&quot;&quot;},{&quot;family&quot;:&quot;Farid&quot;,&quot;given&quot;:&quot;Mohammed&quot;,&quot;parse-names&quot;:false,&quot;dropping-particle&quot;:&quot;&quot;,&quot;non-dropping-particle&quot;:&quot;&quot;}],&quot;container-title&quot;:&quot;Solar Energy&quot;,&quot;accessed&quot;:{&quot;date-parts&quot;:[[2021,12,5]]},&quot;DOI&quot;:&quot;10.1016/j.solener.2020.09.016&quot;,&quot;ISSN&quot;:&quot;0038092X&quot;,&quot;issued&quot;:{&quot;date-parts&quot;:[[2020,11,15]]},&quot;page&quot;:&quot;661-673&quot;,&quot;abstract&quot;:&quot;Peak load shifting, a load management policy, has attracted widespread attention as it can minimize the impact of load variation on a system's operation and reduce the electricity costs. Phase change materials (PCMs) can contribute to peak load shifting by storing the daytime solar energy in winter/free night cooling in summer or the low-rate energy provided at off-peak hours for use during the high electricity peak period. This study aimed to experimentally investigate the effect of an active PCM storage in combination with a price-based control on peak load shifting. The experiments were conducted using two identical test huts, which were equipped with an electric and solar air heater during cold seasons or an air conditioning unit during warm seasons. But in addition, one of the huts was equipped with an active PCM storage unit charged by the solar heater. A CompactRio data acquisition system, powered by LabView interface, was used to transfer data and communicate with a host computer. Results showed that the proposed system was successful in shifting both heating and cooling demands to the off-peak periods. Up to 47% of daily energy-saving (∼0.83 kWh) with a corresponding 65% of electricity cost-saving, in winter, and up to 23% daily energy saving (∼0.27 kWh) with a relevant 42% of cost-saving, in summer, were achieved.&quot;,&quot;publisher&quot;:&quot;Pergamon&quot;,&quot;volume&quot;:&quot;211&quot;,&quot;container-title-short&quot;:&quot;&quot;},&quot;isTemporary&quot;:false}]},{&quot;citationID&quot;:&quot;MENDELEY_CITATION_7b9a1352-a151-4727-8676-91079a958974&quot;,&quot;properties&quot;:{&quot;noteIndex&quot;:0},&quot;isEdited&quot;:false,&quot;manualOverride&quot;:{&quot;isManuallyOverridden&quot;:false,&quot;citeprocText&quot;:&quot;[46]&quot;,&quot;manualOverrideText&quot;:&quot;&quot;},&quot;citationTag&quot;:&quot;MENDELEY_CITATION_v3_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&quot;,&quot;citationItems&quot;:[{&quot;id&quot;:&quot;a959076f-3157-3e46-9329-704c3e29ed17&quot;,&quot;itemData&quot;:{&quot;type&quot;:&quot;article-journal&quot;,&quot;id&quot;:&quot;a959076f-3157-3e46-9329-704c3e29ed17&quot;,&quot;title&quot;:&quot;Modeling a radiant floor system with Phase Change Material (PCM) integrated into a building simulation tool: Analysis of a case study of a floor heating system coupled to a heat pump&quot;,&quot;author&quot;:[{&quot;family&quot;:&quot;Mazo&quot;,&quot;given&quot;:&quot;Javier&quot;,&quot;parse-names&quot;:false,&quot;dropping-particle&quot;:&quot;&quot;,&quot;non-dropping-particle&quot;:&quot;&quot;},{&quot;family&quot;:&quot;Delgado&quot;,&quot;given&quot;:&quot;Monica&quot;,&quot;parse-names&quot;:false,&quot;dropping-particle&quot;:&quot;&quot;,&quot;non-dropping-particle&quot;:&quot;&quot;},{&quot;family&quot;:&quot;Marin&quot;,&quot;given&quot;:&quot;Jose Maria&quot;,&quot;parse-names&quot;:false,&quot;dropping-particle&quot;:&quot;&quot;,&quot;non-dropping-particle&quot;:&quot;&quot;},{&quot;family&quot;:&quot;Zalba&quot;,&quot;given&quot;:&quot;Belen&quot;,&quot;parse-names&quot;:false,&quot;dropping-particle&quot;:&quot;&quot;,&quot;non-dropping-particle&quot;:&quot;&quot;}],&quot;container-title&quot;:&quot;Energy and Buildings&quot;,&quot;container-title-short&quot;:&quot;Energy Build&quot;,&quot;accessed&quot;:{&quot;date-parts&quot;:[[2020,5,2]]},&quot;DOI&quot;:&quot;10.1016/j.enbuild.2011.12.022&quot;,&quot;ISSN&quot;:&quot;03787788&quot;,&quot;URL&quot;:&quot;http://dx.doi.org/10.1016/j.enbuild.2011.12.022&quot;,&quot;issued&quot;:{&quot;date-parts&quot;:[[2012,4,1]]},&quot;page&quot;:&quot;458-466&quot;,&quot;abstract&quot;:&quot;This work describes a model developed to simulate a radiant floor system with PCM in simple building types. The building simulation model has been validated by comparing its behavior with Energy Plus. The PCM radiant floor model is based on a one-dimensional finite difference scheme where the effective capacity method is used for PCM simulation. Some adjustments have been made to this one-dimensional scheme so that the thermal effect of two-dimensional heat transfer within the radiant floor slab is taken into account. The results of an analyzed case study are also presented in this paper. Here, the PCM floor heating system is fed by a heat pump which mainly operates during night time, thus reducing the costs of electric energy consumption. © 2012 Elsevier B.V. All rights reserved.&quot;,&quot;publisher&quot;:&quot;Elsevier&quot;,&quot;volume&quot;:&quot;47&quot;},&quot;isTemporary&quot;:false}]},{&quot;citationID&quot;:&quot;MENDELEY_CITATION_c9344bf2-1a69-45b0-b751-33fe8830724f&quot;,&quot;properties&quot;:{&quot;noteIndex&quot;:0},&quot;isEdited&quot;:false,&quot;manualOverride&quot;:{&quot;isManuallyOverridden&quot;:false,&quot;citeprocText&quot;:&quot;[39], [154]&quot;,&quot;manualOverrideText&quot;:&quot;&quot;},&quot;citationTag&quot;:&quot;MENDELEY_CITATION_v3_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&quot;,&quot;citationItems&quot;:[{&quot;id&quot;:&quot;bacf03ef-2012-3b45-9f62-cf041aa46e90&quot;,&quot;itemData&quot;:{&quot;type&quot;:&quot;article-journal&quot;,&quot;id&quot;:&quot;bacf03ef-2012-3b45-9f62-cf041aa46e90&quot;,&quot;title&quot;:&quot;Energy savings and thermal comfort evaluation of a novel personal conditioning device&quot;,&quot;author&quot;:[{&quot;family&quot;:&quot;Ling&quot;,&quot;given&quot;:&quot;Jiazhen&quot;,&quot;parse-names&quot;:false,&quot;dropping-particle&quot;:&quot;&quot;,&quot;non-dropping-particle&quot;:&quot;&quot;},{&quot;family&quot;:&quot;Dalgo&quot;,&quot;given&quot;:&quot;Daniel A.&quot;,&quot;parse-names&quot;:false,&quot;dropping-particle&quot;:&quot;&quot;,&quot;non-dropping-particle&quot;:&quot;&quot;},{&quot;family&quot;:&quot;Zhu&quot;,&quot;given&quot;:&quot;Shengwei&quot;,&quot;parse-names&quot;:false,&quot;dropping-particle&quot;:&quot;&quot;,&quot;non-dropping-particle&quot;:&quot;&quot;},{&quot;family&quot;:&quot;Qiao&quot;,&quot;given&quot;:&quot;Yiyuan&quot;,&quot;parse-names&quot;:false,&quot;dropping-particle&quot;:&quot;&quot;,&quot;non-dropping-particle&quot;:&quot;&quot;},{&quot;family&quot;:&quot;Wang&quot;,&quot;given&quot;:&quot;Lingzhe&quot;,&quot;parse-names&quot;:false,&quot;dropping-particle&quot;:&quot;&quot;,&quot;non-dropping-particle&quot;:&quot;&quot;},{&quot;family&quot;:&quot;Aute&quot;,&quot;given&quot;:&quot;Vikrant&quot;,&quot;parse-names&quot;:false,&quot;dropping-particle&quot;:&quot;&quot;,&quot;non-dropping-particle&quot;:&quot;&quot;},{&quot;family&quot;:&quot;Srebric&quot;,&quot;given&quot;:&quot;Jelena&quot;,&quot;parse-names&quot;:false,&quot;dropping-particle&quot;:&quot;&quot;,&quot;non-dropping-particle&quot;:&quot;&quot;},{&quot;family&quot;:&quot;Muehlbauer&quot;,&quot;given&quot;:&quot;Jan&quot;,&quot;parse-names&quot;:false,&quot;dropping-particle&quot;:&quot;&quot;,&quot;non-dropping-particle&quot;:&quot;&quot;},{&quot;family&quot;:&quot;Hwang&quot;,&quot;given&quot;:&quot;Yunho&quot;,&quot;parse-names&quot;:false,&quot;dropping-particle&quot;:&quot;&quot;,&quot;non-dropping-particle&quot;:&quot;&quot;},{&quot;family&quot;:&quot;Radermacher&quot;,&quot;given&quot;:&quot;Reinhard&quot;,&quot;parse-names&quot;:false,&quot;dropping-particle&quot;:&quot;&quot;,&quot;non-dropping-particle&quot;:&quot;&quot;}],&quot;container-title&quot;:&quot;Energy and Buildings&quot;,&quot;container-title-short&quot;:&quot;Energy Build&quot;,&quot;accessed&quot;:{&quot;date-parts&quot;:[[2021,7,6]]},&quot;DOI&quot;:&quot;10.1016/j.enbuild.2021.110917&quot;,&quot;ISSN&quot;:&quot;03787788&quot;,&quot;issued&quot;:{&quot;date-parts&quot;:[[2021,6,15]]},&quot;page&quot;:&quot;110917&quot;,&quot;abstract&quot;:&quot;Personal Conditioning Devices (PCD) create a microenvironment around their users and therefore, better satisfy an individual's thermal comfort than central HVAC systems can. Existing PCDs are categorized into stationary devices and wearable devices. Both types of devices have respective advantages and disadvantages. This paper introduces a novel personal conditioning device called Roving Comforter (RoCo) which is ductless, portable, and capable of providing up to 8 h of conditioned air without rejecting waste heat while in use. The conditioned air, typically 5 K cooler than the ambient air, is produced by a 150 W-mini heat pump system that rejects its condenser heat to an onboard phase change material (PCM) container. The PCM is solidified by the heat pump's reverse cycle after the cooling operation or by a thermo-syphon mode. Cyclic tests conducted in the lab confirmed the concept of RoCo design and its technical specifications. We further conducted EnergyPlus simulation to evaluate the power saving potential of RoCo in centrally air-conditioned buildings in seven US cities. The results show that increasing the central HVAC's temperature setpoint by 2.6 K during the peak hours of the day in the summer season could lead to energy savings between 10% and 70% among the seven cities. Finally, a survey investigation with 14 valid datasets from 40 human subjects demonstrated that RoCo could improve the thermal comfort for the users.&quot;,&quot;publisher&quot;:&quot;Elsevier&quot;,&quot;volume&quot;:&quot;241&quot;},&quot;isTemporary&quot;:false},{&quot;id&quot;:&quot;aad07b45-f5e8-3a1b-9f6e-4305e44d0e90&quot;,&quot;itemData&quot;:{&quot;type&quot;:&quot;paper-conference&quot;,&quot;id&quot;:&quot;aad07b45-f5e8-3a1b-9f6e-4305e44d0e90&quot;,&quot;title&quot;:&quot;Analysis of Residential Time-of-Use Utility Rate Structures and Economic Implications for Thermal Energy Storage&quot;,&quot;author&quot;:[{&quot;family&quot;:&quot;Sultan&quot;,&quot;given&quot;:&quot;S&quot;,&quot;parse-names&quot;:false,&quot;dropping-particle&quot;:&quot;&quot;,&quot;non-dropping-particle&quot;:&quot;&quot;},{&quot;family&quot;:&quot;Hirschey&quot;,&quot;given&quot;:&quot;J&quot;,&quot;parse-names&quot;:false,&quot;dropping-particle&quot;:&quot;&quot;,&quot;non-dropping-particle&quot;:&quot;&quot;},{&quot;family&quot;:&quot;Gluesenkamp&quot;,&quot;given&quot;:&quot;KR&quot;,&quot;parse-names&quot;:false,&quot;dropping-particle&quot;:&quot;&quot;,&quot;non-dropping-particle&quot;:&quot;&quot;},{&quot;family&quot;:&quot;Graham&quot;,&quot;given&quot;:&quot;S&quot;,&quot;parse-names&quot;:false,&quot;dropping-particle&quot;:&quot;&quot;,&quot;non-dropping-particle&quot;:&quot;&quot;}],&quot;accessed&quot;:{&quot;date-parts&quot;:[[2021,8,31]]},&quot;URL&quot;:&quot;https://docs.lib.purdue.edu/cgi/viewcontent.cgi?article=1369&amp;context=ihpbc&quot;,&quot;issued&quot;:{&quot;date-parts&quot;:[[2021]]},&quot;page&quot;:&quot;1-10&quot;,&quot;abstract&quot;:&quot;Thermal energy storage (TES) is an increasingly popular tool to level out the daily electrical demand and add stability to the electrical grid as more intermittent renewable energy sources are installed. TES systems can locally decouple high thermal loads from the operation of a heat pump or reduce the electrical energy demand of the heat pump by providing a more favorable temperature gradient. In addition, many policy makers and utility providers have introduced time-of-use (TOU) rate schedules for residential customers to better reflect the price of electricity generation and demand for specific times. TOU rate schedules price grid-provided electricity differently throughout the day depending on the region's climate, time of year, and electrical production portfolio. Large differences between on-peak and off-peak electrical prices may create an economic advantage for a residential customer to install a TES system. In this work, the economic and energy savings are calculated for a modeled 223 square foot residential building with water/ice-based TES using a TOU rate structure. The weather data is from Fresno County, CA, ASHRAE climate zone 3B, and a representative residential TOU utility rate structure from a utility provider in California was used. The simulation was carried out for cooling only during a week of extreme hot summer daytime temperature and the results showed that total energy consumption could be reduced by 14.5% with an 87.5% reduction in on-peak energy usage when the TES is installed. The cost of operating this system for space cooling was reduced by nearly 20% using the sample utility rate plan.&quot;,&quot;container-title-short&quot;:&quot;&quot;},&quot;isTemporary&quot;:false}]},{&quot;citationID&quot;:&quot;MENDELEY_CITATION_0d242499-2a6f-47cc-a3b4-80dd286dc2e4&quot;,&quot;properties&quot;:{&quot;noteIndex&quot;:0},&quot;isEdited&quot;:false,&quot;manualOverride&quot;:{&quot;isManuallyOverridden&quot;:false,&quot;citeprocText&quot;:&quot;[39]&quot;,&quot;manualOverrideText&quot;:&quot;&quot;},&quot;citationTag&quot;:&quot;MENDELEY_CITATION_v3_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&quot;,&quot;citationItems&quot;:[{&quot;id&quot;:&quot;bacf03ef-2012-3b45-9f62-cf041aa46e90&quot;,&quot;itemData&quot;:{&quot;type&quot;:&quot;article-journal&quot;,&quot;id&quot;:&quot;bacf03ef-2012-3b45-9f62-cf041aa46e90&quot;,&quot;title&quot;:&quot;Energy savings and thermal comfort evaluation of a novel personal conditioning device&quot;,&quot;author&quot;:[{&quot;family&quot;:&quot;Ling&quot;,&quot;given&quot;:&quot;Jiazhen&quot;,&quot;parse-names&quot;:false,&quot;dropping-particle&quot;:&quot;&quot;,&quot;non-dropping-particle&quot;:&quot;&quot;},{&quot;family&quot;:&quot;Dalgo&quot;,&quot;given&quot;:&quot;Daniel A.&quot;,&quot;parse-names&quot;:false,&quot;dropping-particle&quot;:&quot;&quot;,&quot;non-dropping-particle&quot;:&quot;&quot;},{&quot;family&quot;:&quot;Zhu&quot;,&quot;given&quot;:&quot;Shengwei&quot;,&quot;parse-names&quot;:false,&quot;dropping-particle&quot;:&quot;&quot;,&quot;non-dropping-particle&quot;:&quot;&quot;},{&quot;family&quot;:&quot;Qiao&quot;,&quot;given&quot;:&quot;Yiyuan&quot;,&quot;parse-names&quot;:false,&quot;dropping-particle&quot;:&quot;&quot;,&quot;non-dropping-particle&quot;:&quot;&quot;},{&quot;family&quot;:&quot;Wang&quot;,&quot;given&quot;:&quot;Lingzhe&quot;,&quot;parse-names&quot;:false,&quot;dropping-particle&quot;:&quot;&quot;,&quot;non-dropping-particle&quot;:&quot;&quot;},{&quot;family&quot;:&quot;Aute&quot;,&quot;given&quot;:&quot;Vikrant&quot;,&quot;parse-names&quot;:false,&quot;dropping-particle&quot;:&quot;&quot;,&quot;non-dropping-particle&quot;:&quot;&quot;},{&quot;family&quot;:&quot;Srebric&quot;,&quot;given&quot;:&quot;Jelena&quot;,&quot;parse-names&quot;:false,&quot;dropping-particle&quot;:&quot;&quot;,&quot;non-dropping-particle&quot;:&quot;&quot;},{&quot;family&quot;:&quot;Muehlbauer&quot;,&quot;given&quot;:&quot;Jan&quot;,&quot;parse-names&quot;:false,&quot;dropping-particle&quot;:&quot;&quot;,&quot;non-dropping-particle&quot;:&quot;&quot;},{&quot;family&quot;:&quot;Hwang&quot;,&quot;given&quot;:&quot;Yunho&quot;,&quot;parse-names&quot;:false,&quot;dropping-particle&quot;:&quot;&quot;,&quot;non-dropping-particle&quot;:&quot;&quot;},{&quot;family&quot;:&quot;Radermacher&quot;,&quot;given&quot;:&quot;Reinhard&quot;,&quot;parse-names&quot;:false,&quot;dropping-particle&quot;:&quot;&quot;,&quot;non-dropping-particle&quot;:&quot;&quot;}],&quot;container-title&quot;:&quot;Energy and Buildings&quot;,&quot;container-title-short&quot;:&quot;Energy Build&quot;,&quot;accessed&quot;:{&quot;date-parts&quot;:[[2021,7,6]]},&quot;DOI&quot;:&quot;10.1016/j.enbuild.2021.110917&quot;,&quot;ISSN&quot;:&quot;03787788&quot;,&quot;issued&quot;:{&quot;date-parts&quot;:[[2021,6,15]]},&quot;page&quot;:&quot;110917&quot;,&quot;abstract&quot;:&quot;Personal Conditioning Devices (PCD) create a microenvironment around their users and therefore, better satisfy an individual's thermal comfort than central HVAC systems can. Existing PCDs are categorized into stationary devices and wearable devices. Both types of devices have respective advantages and disadvantages. This paper introduces a novel personal conditioning device called Roving Comforter (RoCo) which is ductless, portable, and capable of providing up to 8 h of conditioned air without rejecting waste heat while in use. The conditioned air, typically 5 K cooler than the ambient air, is produced by a 150 W-mini heat pump system that rejects its condenser heat to an onboard phase change material (PCM) container. The PCM is solidified by the heat pump's reverse cycle after the cooling operation or by a thermo-syphon mode. Cyclic tests conducted in the lab confirmed the concept of RoCo design and its technical specifications. We further conducted EnergyPlus simulation to evaluate the power saving potential of RoCo in centrally air-conditioned buildings in seven US cities. The results show that increasing the central HVAC's temperature setpoint by 2.6 K during the peak hours of the day in the summer season could lead to energy savings between 10% and 70% among the seven cities. Finally, a survey investigation with 14 valid datasets from 40 human subjects demonstrated that RoCo could improve the thermal comfort for the users.&quot;,&quot;publisher&quot;:&quot;Elsevier&quot;,&quot;volume&quot;:&quot;241&quot;},&quot;isTemporary&quot;:false}]},{&quot;citationID&quot;:&quot;MENDELEY_CITATION_98a57907-7470-4cde-aea4-0d71ec0e5fe4&quot;,&quot;properties&quot;:{&quot;noteIndex&quot;:0},&quot;isEdited&quot;:false,&quot;manualOverride&quot;:{&quot;isManuallyOverridden&quot;:false,&quot;citeprocText&quot;:&quot;[154]&quot;,&quot;manualOverrideText&quot;:&quot;&quot;},&quot;citationTag&quot;:&quot;MENDELEY_CITATION_v3_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&quot;,&quot;citationItems&quot;:[{&quot;id&quot;:&quot;aad07b45-f5e8-3a1b-9f6e-4305e44d0e90&quot;,&quot;itemData&quot;:{&quot;type&quot;:&quot;paper-conference&quot;,&quot;id&quot;:&quot;aad07b45-f5e8-3a1b-9f6e-4305e44d0e90&quot;,&quot;title&quot;:&quot;Analysis of Residential Time-of-Use Utility Rate Structures and Economic Implications for Thermal Energy Storage&quot;,&quot;author&quot;:[{&quot;family&quot;:&quot;Sultan&quot;,&quot;given&quot;:&quot;S&quot;,&quot;parse-names&quot;:false,&quot;dropping-particle&quot;:&quot;&quot;,&quot;non-dropping-particle&quot;:&quot;&quot;},{&quot;family&quot;:&quot;Hirschey&quot;,&quot;given&quot;:&quot;J&quot;,&quot;parse-names&quot;:false,&quot;dropping-particle&quot;:&quot;&quot;,&quot;non-dropping-particle&quot;:&quot;&quot;},{&quot;family&quot;:&quot;Gluesenkamp&quot;,&quot;given&quot;:&quot;KR&quot;,&quot;parse-names&quot;:false,&quot;dropping-particle&quot;:&quot;&quot;,&quot;non-dropping-particle&quot;:&quot;&quot;},{&quot;family&quot;:&quot;Graham&quot;,&quot;given&quot;:&quot;S&quot;,&quot;parse-names&quot;:false,&quot;dropping-particle&quot;:&quot;&quot;,&quot;non-dropping-particle&quot;:&quot;&quot;}],&quot;accessed&quot;:{&quot;date-parts&quot;:[[2021,8,31]]},&quot;URL&quot;:&quot;https://docs.lib.purdue.edu/cgi/viewcontent.cgi?article=1369&amp;context=ihpbc&quot;,&quot;issued&quot;:{&quot;date-parts&quot;:[[2021]]},&quot;page&quot;:&quot;1-10&quot;,&quot;abstract&quot;:&quot;Thermal energy storage (TES) is an increasingly popular tool to level out the daily electrical demand and add stability to the electrical grid as more intermittent renewable energy sources are installed. TES systems can locally decouple high thermal loads from the operation of a heat pump or reduce the electrical energy demand of the heat pump by providing a more favorable temperature gradient. In addition, many policy makers and utility providers have introduced time-of-use (TOU) rate schedules for residential customers to better reflect the price of electricity generation and demand for specific times. TOU rate schedules price grid-provided electricity differently throughout the day depending on the region's climate, time of year, and electrical production portfolio. Large differences between on-peak and off-peak electrical prices may create an economic advantage for a residential customer to install a TES system. In this work, the economic and energy savings are calculated for a modeled 223 square foot residential building with water/ice-based TES using a TOU rate structure. The weather data is from Fresno County, CA, ASHRAE climate zone 3B, and a representative residential TOU utility rate structure from a utility provider in California was used. The simulation was carried out for cooling only during a week of extreme hot summer daytime temperature and the results showed that total energy consumption could be reduced by 14.5% with an 87.5% reduction in on-peak energy usage when the TES is installed. The cost of operating this system for space cooling was reduced by nearly 20% using the sample utility rate plan.&quot;,&quot;container-title-short&quot;:&quot;&quot;},&quot;isTemporary&quot;:false}]},{&quot;citationID&quot;:&quot;MENDELEY_CITATION_b0400033-f9fe-4af4-bf93-921b953fee9e&quot;,&quot;properties&quot;:{&quot;noteIndex&quot;:0},&quot;isEdited&quot;:false,&quot;manualOverride&quot;:{&quot;isManuallyOverridden&quot;:false,&quot;citeprocText&quot;:&quot;[151]&quot;,&quot;manualOverrideText&quot;:&quot;&quot;},&quot;citationTag&quot;:&quot;MENDELEY_CITATION_v3_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&quot;,&quot;citationItems&quot;:[{&quot;id&quot;:&quot;808067bd-535f-39eb-a9ef-78b829ffbc85&quot;,&quot;itemData&quot;:{&quot;type&quot;:&quot;article-journal&quot;,&quot;id&quot;:&quot;808067bd-535f-39eb-a9ef-78b829ffbc85&quot;,&quot;title&quot;:&quot;Impacts of ice storage on electrical energy consumptions in office buildings&quot;,&quot;author&quot;:[{&quot;family&quot;:&quot;Sehar&quot;,&quot;given&quot;:&quot;Fakeha&quot;,&quot;parse-names&quot;:false,&quot;dropping-particle&quot;:&quot;&quot;,&quot;non-dropping-particle&quot;:&quot;&quot;},{&quot;family&quot;:&quot;Rahman&quot;,&quot;given&quot;:&quot;Saifur&quot;,&quot;parse-names&quot;:false,&quot;dropping-particle&quot;:&quot;&quot;,&quot;non-dropping-particle&quot;:&quot;&quot;},{&quot;family&quot;:&quot;Pipattanasomporn&quot;,&quot;given&quot;:&quot;Manisa&quot;,&quot;parse-names&quot;:false,&quot;dropping-particle&quot;:&quot;&quot;,&quot;non-dropping-particle&quot;:&quot;&quot;}],&quot;container-title&quot;:&quot;Energy and Buildings&quot;,&quot;container-title-short&quot;:&quot;Energy Build&quot;,&quot;DOI&quot;:&quot;10.1016/j.enbuild.2012.05.002&quot;,&quot;ISSN&quot;:&quot;03787788&quot;,&quot;URL&quot;:&quot;https://linkinghub.elsevier.com/retrieve/pii/S0378778812002575&quot;,&quot;issued&quot;:{&quot;date-parts&quot;:[[2012,8]]},&quot;page&quot;:&quot;255-262&quot;,&quot;abstract&quot;:&quot;Cooling demand constitutes a large portion of total electrical demand for office buildings during peak hours. Ice storage technology can help shift this peak cooling demand to off-peak periods. This research analyzes the chiller energy consumption of conventional non-storage and ice storage cooling systems for large and medium-sized office buildings in diverse climate zones. Demand Response Quick Assessment Tool (DRQAT) has been used to model and simulate large and medium-sized office buildings. The construction and weather files in DRQAT have been modified to incorporate construction standard and weather data for the cities representing the diverse climate zones. Results indicate that the chiller energy consumption for non-storage and ice storage systems depends highly on climatic conditions. Climate zones with hot summers as well as small day and night temperature variations show higher chiller energy consumptions. The marine climate zone has the lowest chiller energy consumption. The cold/humid climate zone has higher chiller energy consumption than the cold/dry and very cold climate zones. The cold/dry and very cold climate zones have comparable chiller energy consumption. Research findings as presented in this paper will help utilities and building owners to quantify the benefits of installing ice storage systems in office buildings located in different climatic conditions. © 2012 Elsevier B.V.&quot;,&quot;volume&quot;:&quot;51&quot;},&quot;isTemporary&quot;:false}]},{&quot;citationID&quot;:&quot;MENDELEY_CITATION_8b2dee76-52a9-4163-9717-0eba4fad56b1&quot;,&quot;properties&quot;:{&quot;noteIndex&quot;:0},&quot;isEdited&quot;:false,&quot;manualOverride&quot;:{&quot;isManuallyOverridden&quot;:false,&quot;citeprocText&quot;:&quot;[39]&quot;,&quot;manualOverrideText&quot;:&quot;&quot;},&quot;citationTag&quot;:&quot;MENDELEY_CITATION_v3_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&quot;,&quot;citationItems&quot;:[{&quot;id&quot;:&quot;bacf03ef-2012-3b45-9f62-cf041aa46e90&quot;,&quot;itemData&quot;:{&quot;type&quot;:&quot;article-journal&quot;,&quot;id&quot;:&quot;bacf03ef-2012-3b45-9f62-cf041aa46e90&quot;,&quot;title&quot;:&quot;Energy savings and thermal comfort evaluation of a novel personal conditioning device&quot;,&quot;author&quot;:[{&quot;family&quot;:&quot;Ling&quot;,&quot;given&quot;:&quot;Jiazhen&quot;,&quot;parse-names&quot;:false,&quot;dropping-particle&quot;:&quot;&quot;,&quot;non-dropping-particle&quot;:&quot;&quot;},{&quot;family&quot;:&quot;Dalgo&quot;,&quot;given&quot;:&quot;Daniel A.&quot;,&quot;parse-names&quot;:false,&quot;dropping-particle&quot;:&quot;&quot;,&quot;non-dropping-particle&quot;:&quot;&quot;},{&quot;family&quot;:&quot;Zhu&quot;,&quot;given&quot;:&quot;Shengwei&quot;,&quot;parse-names&quot;:false,&quot;dropping-particle&quot;:&quot;&quot;,&quot;non-dropping-particle&quot;:&quot;&quot;},{&quot;family&quot;:&quot;Qiao&quot;,&quot;given&quot;:&quot;Yiyuan&quot;,&quot;parse-names&quot;:false,&quot;dropping-particle&quot;:&quot;&quot;,&quot;non-dropping-particle&quot;:&quot;&quot;},{&quot;family&quot;:&quot;Wang&quot;,&quot;given&quot;:&quot;Lingzhe&quot;,&quot;parse-names&quot;:false,&quot;dropping-particle&quot;:&quot;&quot;,&quot;non-dropping-particle&quot;:&quot;&quot;},{&quot;family&quot;:&quot;Aute&quot;,&quot;given&quot;:&quot;Vikrant&quot;,&quot;parse-names&quot;:false,&quot;dropping-particle&quot;:&quot;&quot;,&quot;non-dropping-particle&quot;:&quot;&quot;},{&quot;family&quot;:&quot;Srebric&quot;,&quot;given&quot;:&quot;Jelena&quot;,&quot;parse-names&quot;:false,&quot;dropping-particle&quot;:&quot;&quot;,&quot;non-dropping-particle&quot;:&quot;&quot;},{&quot;family&quot;:&quot;Muehlbauer&quot;,&quot;given&quot;:&quot;Jan&quot;,&quot;parse-names&quot;:false,&quot;dropping-particle&quot;:&quot;&quot;,&quot;non-dropping-particle&quot;:&quot;&quot;},{&quot;family&quot;:&quot;Hwang&quot;,&quot;given&quot;:&quot;Yunho&quot;,&quot;parse-names&quot;:false,&quot;dropping-particle&quot;:&quot;&quot;,&quot;non-dropping-particle&quot;:&quot;&quot;},{&quot;family&quot;:&quot;Radermacher&quot;,&quot;given&quot;:&quot;Reinhard&quot;,&quot;parse-names&quot;:false,&quot;dropping-particle&quot;:&quot;&quot;,&quot;non-dropping-particle&quot;:&quot;&quot;}],&quot;container-title&quot;:&quot;Energy and Buildings&quot;,&quot;container-title-short&quot;:&quot;Energy Build&quot;,&quot;accessed&quot;:{&quot;date-parts&quot;:[[2021,7,6]]},&quot;DOI&quot;:&quot;10.1016/j.enbuild.2021.110917&quot;,&quot;ISSN&quot;:&quot;03787788&quot;,&quot;issued&quot;:{&quot;date-parts&quot;:[[2021,6,15]]},&quot;page&quot;:&quot;110917&quot;,&quot;abstract&quot;:&quot;Personal Conditioning Devices (PCD) create a microenvironment around their users and therefore, better satisfy an individual's thermal comfort than central HVAC systems can. Existing PCDs are categorized into stationary devices and wearable devices. Both types of devices have respective advantages and disadvantages. This paper introduces a novel personal conditioning device called Roving Comforter (RoCo) which is ductless, portable, and capable of providing up to 8 h of conditioned air without rejecting waste heat while in use. The conditioned air, typically 5 K cooler than the ambient air, is produced by a 150 W-mini heat pump system that rejects its condenser heat to an onboard phase change material (PCM) container. The PCM is solidified by the heat pump's reverse cycle after the cooling operation or by a thermo-syphon mode. Cyclic tests conducted in the lab confirmed the concept of RoCo design and its technical specifications. We further conducted EnergyPlus simulation to evaluate the power saving potential of RoCo in centrally air-conditioned buildings in seven US cities. The results show that increasing the central HVAC's temperature setpoint by 2.6 K during the peak hours of the day in the summer season could lead to energy savings between 10% and 70% among the seven cities. Finally, a survey investigation with 14 valid datasets from 40 human subjects demonstrated that RoCo could improve the thermal comfort for the users.&quot;,&quot;publisher&quot;:&quot;Elsevier&quot;,&quot;volume&quot;:&quot;241&quot;},&quot;isTemporary&quot;:false}]},{&quot;citationID&quot;:&quot;MENDELEY_CITATION_a978f80d-310f-48e1-84d2-5b60839494bc&quot;,&quot;properties&quot;:{&quot;noteIndex&quot;:0},&quot;isEdited&quot;:false,&quot;manualOverride&quot;:{&quot;isManuallyOverridden&quot;:false,&quot;citeprocText&quot;:&quot;[154]&quot;,&quot;manualOverrideText&quot;:&quot;&quot;},&quot;citationTag&quot;:&quot;MENDELEY_CITATION_v3_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&quot;,&quot;citationItems&quot;:[{&quot;id&quot;:&quot;aad07b45-f5e8-3a1b-9f6e-4305e44d0e90&quot;,&quot;itemData&quot;:{&quot;type&quot;:&quot;paper-conference&quot;,&quot;id&quot;:&quot;aad07b45-f5e8-3a1b-9f6e-4305e44d0e90&quot;,&quot;title&quot;:&quot;Analysis of Residential Time-of-Use Utility Rate Structures and Economic Implications for Thermal Energy Storage&quot;,&quot;author&quot;:[{&quot;family&quot;:&quot;Sultan&quot;,&quot;given&quot;:&quot;S&quot;,&quot;parse-names&quot;:false,&quot;dropping-particle&quot;:&quot;&quot;,&quot;non-dropping-particle&quot;:&quot;&quot;},{&quot;family&quot;:&quot;Hirschey&quot;,&quot;given&quot;:&quot;J&quot;,&quot;parse-names&quot;:false,&quot;dropping-particle&quot;:&quot;&quot;,&quot;non-dropping-particle&quot;:&quot;&quot;},{&quot;family&quot;:&quot;Gluesenkamp&quot;,&quot;given&quot;:&quot;KR&quot;,&quot;parse-names&quot;:false,&quot;dropping-particle&quot;:&quot;&quot;,&quot;non-dropping-particle&quot;:&quot;&quot;},{&quot;family&quot;:&quot;Graham&quot;,&quot;given&quot;:&quot;S&quot;,&quot;parse-names&quot;:false,&quot;dropping-particle&quot;:&quot;&quot;,&quot;non-dropping-particle&quot;:&quot;&quot;}],&quot;accessed&quot;:{&quot;date-parts&quot;:[[2021,8,31]]},&quot;URL&quot;:&quot;https://docs.lib.purdue.edu/cgi/viewcontent.cgi?article=1369&amp;context=ihpbc&quot;,&quot;issued&quot;:{&quot;date-parts&quot;:[[2021]]},&quot;page&quot;:&quot;1-10&quot;,&quot;abstract&quot;:&quot;Thermal energy storage (TES) is an increasingly popular tool to level out the daily electrical demand and add stability to the electrical grid as more intermittent renewable energy sources are installed. TES systems can locally decouple high thermal loads from the operation of a heat pump or reduce the electrical energy demand of the heat pump by providing a more favorable temperature gradient. In addition, many policy makers and utility providers have introduced time-of-use (TOU) rate schedules for residential customers to better reflect the price of electricity generation and demand for specific times. TOU rate schedules price grid-provided electricity differently throughout the day depending on the region's climate, time of year, and electrical production portfolio. Large differences between on-peak and off-peak electrical prices may create an economic advantage for a residential customer to install a TES system. In this work, the economic and energy savings are calculated for a modeled 223 square foot residential building with water/ice-based TES using a TOU rate structure. The weather data is from Fresno County, CA, ASHRAE climate zone 3B, and a representative residential TOU utility rate structure from a utility provider in California was used. The simulation was carried out for cooling only during a week of extreme hot summer daytime temperature and the results showed that total energy consumption could be reduced by 14.5% with an 87.5% reduction in on-peak energy usage when the TES is installed. The cost of operating this system for space cooling was reduced by nearly 20% using the sample utility rate plan.&quot;,&quot;container-title-short&quot;:&quot;&quot;},&quot;isTemporary&quot;:false}]},{&quot;citationID&quot;:&quot;MENDELEY_CITATION_64f9aa37-51a7-4700-a5d9-c90a9956ff49&quot;,&quot;properties&quot;:{&quot;noteIndex&quot;:0},&quot;isEdited&quot;:false,&quot;manualOverride&quot;:{&quot;isManuallyOverridden&quot;:false,&quot;citeprocText&quot;:&quot;[38]&quot;,&quot;manualOverrideText&quot;:&quot;&quot;},&quot;citationTag&quot;:&quot;MENDELEY_CITATION_v3_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&quot;,&quot;citationItems&quot;:[{&quot;id&quot;:&quot;dc31db93-ba26-3d21-b18d-4a77673e89df&quot;,&quot;itemData&quot;:{&quot;type&quot;:&quot;article-journal&quot;,&quot;id&quot;:&quot;dc31db93-ba26-3d21-b18d-4a77673e89df&quot;,&quot;title&quot;:&quot;Integration of Phase Change Material-Based Storage in Air Distribution Systems to Increase Building Power Flexibility&quot;,&quot;author&quot;:[{&quot;family&quot;:&quot;Hlanze&quot;,&quot;given&quot;:&quot;P&quot;,&quot;parse-names&quot;:false,&quot;dropping-particle&quot;:&quot;&quot;,&quot;non-dropping-particle&quot;:&quot;&quot;},{&quot;family&quot;:&quot;Elhefny&quot;,&quot;given&quot;:&quot;A&quot;,&quot;parse-names&quot;:false,&quot;dropping-particle&quot;:&quot;&quot;,&quot;non-dropping-particle&quot;:&quot;&quot;},{&quot;family&quot;:&quot;Jiang&quot;,&quot;given&quot;:&quot;Z&quot;,&quot;parse-names&quot;:false,&quot;dropping-particle&quot;:&quot;&quot;,&quot;non-dropping-particle&quot;:&quot;&quot;},{&quot;family&quot;:&quot;Cai&quot;,&quot;given&quot;:&quot;J&quot;,&quot;parse-names&quot;:false,&quot;dropping-particle&quot;:&quot;&quot;,&quot;non-dropping-particle&quot;:&quot;&quot;},{&quot;family&quot;:&quot;Shabgard&quot;,&quot;given&quot;:&quot;H&quot;,&quot;parse-names&quot;:false,&quot;dropping-particle&quot;:&quot;&quot;,&quot;non-dropping-particle&quot;:&quot;&quot;}],&quot;accessed&quot;:{&quot;date-parts&quot;:[[2021,8,31]]},&quot;URL&quot;:&quot;https://docs.lib.purdue.edu/cgi/viewcontent.cgi?article=1365&amp;context=ihpbc&quot;,&quot;issued&quot;:{&quot;date-parts&quot;:[[2021]]},&quot;abstract&quot;:&quot;This paper presents a novel energy storage solution by incorporating phase change material (PCM) in the building supply-air duct to increase a building's thermal storage capacity. This solution has various advantages compared to PCM-integrated walls including more effective heat transfer (forced convection and greater temperature differentials). During off-peak hours, the system runs at a supply-air temperature below the material's solidification point to charge the PCM with cooling energy. During on-peak hours, a higher supply-air temperature is utilized so that the stored energy can be discharged into the supply-air. This shifts a portion of the building's cooling load from the on-peak hours to the off-peak hours. A numerical model for the melting and solidification of PCM in the duct was developed and modified using experimental data. Whole building energy simulations were conducted by coupling the PCM model with EnergyPlus DOE prototypical building model in a Simulink co-simulation platform. Simulations were performed for three cities in different climate zones over a three-month cooling season (June to August), and the PCM storage reduced the on-peak energy consumption by 20-25%. The electricity cost and payback period were determined using current time-of-use electricity rates.&quot;,&quot;container-title-short&quot;:&quot;&quot;},&quot;isTemporary&quot;:false}]},{&quot;citationID&quot;:&quot;MENDELEY_CITATION_e640120b-d090-497c-886f-8a6b08c058ee&quot;,&quot;properties&quot;:{&quot;noteIndex&quot;:0},&quot;isEdited&quot;:false,&quot;manualOverride&quot;:{&quot;isManuallyOverridden&quot;:false,&quot;citeprocText&quot;:&quot;[42]&quot;,&quot;manualOverrideText&quot;:&quot;&quot;},&quot;citationTag&quot;:&quot;MENDELEY_CITATION_v3_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&quot;,&quot;citationItems&quot;:[{&quot;id&quot;:&quot;f8f7c02b-3562-32d0-9556-6d1d09dc0da1&quot;,&quot;itemData&quot;:{&quot;type&quot;:&quot;article-journal&quot;,&quot;id&quot;:&quot;f8f7c02b-3562-32d0-9556-6d1d09dc0da1&quot;,&quot;title&quot;:&quot;Minimising energy usage for domestic cooling with off-peak PCM storage&quot;,&quot;author&quot;:[{&quot;family&quot;:&quot;Bruno&quot;,&quot;given&quot;:&quot;F.&quot;,&quot;parse-names&quot;:false,&quot;dropping-particle&quot;:&quot;&quot;,&quot;non-dropping-particle&quot;:&quot;&quot;},{&quot;family&quot;:&quot;Tay&quot;,&quot;given&quot;:&quot;N. H S&quot;,&quot;parse-names&quot;:false,&quot;dropping-particle&quot;:&quot;&quot;,&quot;non-dropping-particle&quot;:&quot;&quot;},{&quot;family&quot;:&quot;Belusko&quot;,&quot;given&quot;:&quot;M.&quot;,&quot;parse-names&quot;:false,&quot;dropping-particle&quot;:&quot;&quot;,&quot;non-dropping-particle&quot;:&quot;&quot;}],&quot;container-title&quot;:&quot;Energy and Buildings&quot;,&quot;container-title-short&quot;:&quot;Energy Build&quot;,&quot;accessed&quot;:{&quot;date-parts&quot;:[[2019,7,19]]},&quot;DOI&quot;:&quot;10.1016/j.enbuild.2014.02.069&quot;,&quot;ISSN&quot;:&quot;03787788&quot;,&quot;URL&quot;:&quot;https://www-sciencedirect-com.proxy.lib.utk.edu/science/article/pii/S0378778814002059&quot;,&quot;issued&quot;:{&quot;date-parts&quot;:[[2014,6,1]]},&quot;page&quot;:&quot;347-353&quot;,&quot;abstract&quot;:&quot;Achieving energy savings with domestic off peak air conditioning using phase change materials (PCMs) has always proved a challenge. Although the energy efficiency ratio of an air conditioner is higher during the night, this improvement often does not offset the exergy loss experienced when using thermal storage. Simulations have been conducted using the effectiveness-number of transfer units (-NTU) representation of a PCM system to determine the instantaneous heat transfer when coupled to an inverter chiller cooling system. Results show that although 85% of the energy consumption for cooling could be shifted to the off-peak period with an ice based system, the energy demand increased by 7.6%. The investigation demonstrated that by using a PCM with a melting point of 4 °C, it is possible to achieve an energy saving for cooling. A savings of around 13.5% can be achieved using a PCM with a melting point of 10 °C. Energy usage was increased with a more efficient PCM storage system. This unexpected result was due to which period the storage system was charged. A more efficient storage system charged quicker during the warmer part of the evening. Therefore energy minimisation requires optimal charging during the coldest part of the night. © 2014 Elsevier B.V.&quot;,&quot;publisher&quot;:&quot;Elsevier&quot;,&quot;volume&quot;:&quot;76&quot;},&quot;isTemporary&quot;:false}]},{&quot;citationID&quot;:&quot;MENDELEY_CITATION_43cb1990-c107-417d-af63-ffb5a246f1b1&quot;,&quot;properties&quot;:{&quot;noteIndex&quot;:0},&quot;isEdited&quot;:false,&quot;manualOverride&quot;:{&quot;isManuallyOverridden&quot;:false,&quot;citeprocText&quot;:&quot;[150]&quot;,&quot;manualOverrideText&quot;:&quot;&quot;},&quot;citationTag&quot;:&quot;MENDELEY_CITATION_v3_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&quot;,&quot;citationItems&quot;:[{&quot;id&quot;:&quot;b31a28ce-f91a-31ed-bee7-c4840dcdec6a&quot;,&quot;itemData&quot;:{&quot;type&quot;:&quot;article-journal&quot;,&quot;id&quot;:&quot;b31a28ce-f91a-31ed-bee7-c4840dcdec6a&quot;,&quot;title&quot;:&quot;Study of a floor supply air conditioning system using granular phase change material to augment building mass thermal storage - Heat response in small scale experiments&quot;,&quot;author&quot;:[{&quot;family&quot;:&quot;Nagano&quot;,&quot;given&quot;:&quot;K.&quot;,&quot;parse-names&quot;:false,&quot;dropping-particle&quot;:&quot;&quot;,&quot;non-dropping-particle&quot;:&quot;&quot;},{&quot;family&quot;:&quot;Takeda&quot;,&quot;given&quot;:&quot;S.&quot;,&quot;parse-names&quot;:false,&quot;dropping-particle&quot;:&quot;&quot;,&quot;non-dropping-particle&quot;:&quot;&quot;},{&quot;family&quot;:&quot;Mochida&quot;,&quot;given&quot;:&quot;T.&quot;,&quot;parse-names&quot;:false,&quot;dropping-particle&quot;:&quot;&quot;,&quot;non-dropping-particle&quot;:&quot;&quot;},{&quot;family&quot;:&quot;Shimakura&quot;,&quot;given&quot;:&quot;K.&quot;,&quot;parse-names&quot;:false,&quot;dropping-particle&quot;:&quot;&quot;,&quot;non-dropping-particle&quot;:&quot;&quot;},{&quot;family&quot;:&quot;Nakamura&quot;,&quot;given&quot;:&quot;T.&quot;,&quot;parse-names&quot;:false,&quot;dropping-particle&quot;:&quot;&quot;,&quot;non-dropping-particle&quot;:&quot;&quot;}],&quot;container-title&quot;:&quot;Energy and Buildings&quot;,&quot;container-title-short&quot;:&quot;Energy Build&quot;,&quot;accessed&quot;:{&quot;date-parts&quot;:[[2020,5,1]]},&quot;DOI&quot;:&quot;10.1016/j.enbuild.2005.07.010&quot;,&quot;ISSN&quot;:&quot;03787788&quot;,&quot;issued&quot;:{&quot;date-parts&quot;:[[2006,5,1]]},&quot;page&quot;:&quot;436-446&quot;,&quot;abstract&quot;:&quot;We have proposed a new floor supply air conditioning system, using phase change material to augment building mass thermal storage. A scale model was constructed for such a system. Granules containing phase change material (PCM), with a phase change temperature of about 20 °C, were made from foamed glass beads and paraffin waxes. Results from measurements simulating an air conditioning schedule in office buildings indicate that 89% of daily cooling load could be stored each night in a system that used a 30 mm thick packed bed of the granular PCM. © 2005 Elsevier B.V. All rights reserved.&quot;,&quot;publisher&quot;:&quot;Elsevier&quot;,&quot;issue&quot;:&quot;5&quot;,&quot;volume&quot;:&quot;38&quot;},&quot;isTemporary&quot;:false}]},{&quot;citationID&quot;:&quot;MENDELEY_CITATION_36027121-9589-414c-b2cd-f7a14419526b&quot;,&quot;properties&quot;:{&quot;noteIndex&quot;:0},&quot;isEdited&quot;:false,&quot;manualOverride&quot;:{&quot;isManuallyOverridden&quot;:false,&quot;citeprocText&quot;:&quot;[126], [131]&quot;,&quot;manualOverrideText&quot;:&quot;&quot;},&quot;citationTag&quot;:&quot;MENDELEY_CITATION_v3_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&quot;,&quot;citationItems&quot;:[{&quot;id&quot;:&quot;b08dd425-f667-35c5-87af-16df70043eae&quot;,&quot;itemData&quot;:{&quot;type&quot;:&quot;article-journal&quot;,&quot;id&quot;:&quot;b08dd425-f667-35c5-87af-16df70043eae&quot;,&quot;title&quot;:&quot;Peak load shifting with energy storage and price-based control system&quot;,&quot;author&quot;:[{&quot;family&quot;:&quot;Barzin&quot;,&quot;given&quot;:&quot;Reza&quot;,&quot;parse-names&quot;:false,&quot;dropping-particle&quot;:&quot;&quot;,&quot;non-dropping-particle&quot;:&quot;&quot;},{&quot;family&quot;:&quot;Chen&quot;,&quot;given&quot;:&quot;John J.J.&quot;,&quot;parse-names&quot;:false,&quot;dropping-particle&quot;:&quot;&quot;,&quot;non-dropping-particle&quot;:&quot;&quot;},{&quot;family&quot;:&quot;Young&quot;,&quot;given&quot;:&quot;Brent R.&quot;,&quot;parse-names&quot;:false,&quot;dropping-particle&quot;:&quot;&quot;,&quot;non-dropping-particle&quot;:&quot;&quot;},{&quot;family&quot;:&quot;Farid&quot;,&quot;given&quot;:&quot;Mohammed M.&quot;,&quot;parse-names&quot;:false,&quot;dropping-particle&quot;:&quot;&quot;,&quot;non-dropping-particle&quot;:&quot;&quot;}],&quot;container-title&quot;:&quot;Energy&quot;,&quot;accessed&quot;:{&quot;date-parts&quot;:[[2020,5,1]]},&quot;DOI&quot;:&quot;10.1016/j.energy.2015.05.144&quot;,&quot;ISSN&quot;:&quot;03605442&quot;,&quot;URL&quot;:&quot;http://dx.doi.org/10.1016/j.energy.2015.05.144&quot;,&quot;issued&quot;:{&quot;date-parts&quot;:[[2015,12,1]]},&quot;page&quot;:&quot;505-514&quot;,&quot;abstract&quot;:&quot;This paper presents an analysis of a price-based control system in conjunction with energy storage using phase change materials for two applications: space heating in buildings and domestic freezers. The freezer used for this experimental study was provided with energy storage trays containing a eutectic solution of ammonium chloride (melting point of -15°C). In the building application, DuPont wallboards were used to provide thermal storage. Experimental results showed that using thermal storage material in conjunction with the proposed price-based control method can improve performance of these systems and lead to a successful peak load shifting. Depending on electricity price trends, cost savings using the proposed strategy can vary. Savings of up to 16.5% and 62.64% per day were achieved for the freezer and building applications respectively, based on New Zealand electricity rates.&quot;,&quot;publisher&quot;:&quot;Elsevier Ltd&quot;,&quot;volume&quot;:&quot;92&quot;,&quot;container-title-short&quot;:&quot;&quot;},&quot;isTemporary&quot;:false},{&quot;id&quot;:&quot;a808e834-b695-3b10-a5dc-5c4edc6a3d80&quot;,&quot;itemData&quot;:{&quot;type&quot;:&quot;article-journal&quot;,&quot;id&quot;:&quot;a808e834-b695-3b10-a5dc-5c4edc6a3d80&quot;,&quot;title&quot;:&quot;Application of PCM underfloor heating in combination with PCM wallboards for space heating using price based control system&quot;,&quot;author&quot;:[{&quot;family&quot;:&quot;Barzin&quot;,&quot;given&quot;:&quot;Reza&quot;,&quot;parse-names&quot;:false,&quot;dropping-particle&quot;:&quot;&quot;,&quot;non-dropping-particle&quot;:&quot;&quot;},{&quot;family&quot;:&quot;Chen&quot;,&quot;given&quot;:&quot;John J.J.&quot;,&quot;parse-names&quot;:false,&quot;dropping-particle&quot;:&quot;&quot;,&quot;non-dropping-particle&quot;:&quot;&quot;},{&quot;family&quot;:&quot;Young&quot;,&quot;given&quot;:&quot;Brent R.&quot;,&quot;parse-names&quot;:false,&quot;dropping-particle&quot;:&quot;&quot;,&quot;non-dropping-particle&quot;:&quot;&quot;},{&quot;family&quot;:&quot;Farid&quot;,&quot;given&quot;:&quot;Mohammed M.&quot;,&quot;parse-names&quot;:false,&quot;dropping-particle&quot;:&quot;&quot;,&quot;non-dropping-particle&quot;:&quot;&quot;}],&quot;container-title&quot;:&quot;Applied Energy&quot;,&quot;container-title-short&quot;:&quot;Appl Energy&quot;,&quot;accessed&quot;:{&quot;date-parts&quot;:[[2020,5,1]]},&quot;DOI&quot;:&quot;10.1016/j.apenergy.2015.03.027&quot;,&quot;ISSN&quot;:&quot;03062619&quot;,&quot;issued&quot;:{&quot;date-parts&quot;:[[2015,6,5]]},&quot;page&quot;:&quot;39-48&quot;,&quot;abstract&quot;:&quot;Phase change materials are used with various building materials in order to increase their thermal mass. This research is on the application of phase change material in the form of DuPont Energain® wallboards in combination with an underfloor heating system incorporating phase change materials. An experimental study was carried out using two identical test huts at the Tamaki Campus, University of Auckland. Results using a price-based method showed electricity savings in both consumption and cost of up to 35% and 44.4% respectively.&quot;,&quot;publisher&quot;:&quot;Elsevier Ltd&quot;,&quot;volume&quot;:&quot;148&quot;},&quot;isTemporary&quot;:false}]},{&quot;citationID&quot;:&quot;MENDELEY_CITATION_3daa13de-18fd-43df-ac5b-3ea9956d40af&quot;,&quot;properties&quot;:{&quot;noteIndex&quot;:0},&quot;isEdited&quot;:false,&quot;manualOverride&quot;:{&quot;isManuallyOverridden&quot;:false,&quot;citeprocText&quot;:&quot;[128]&quot;,&quot;manualOverrideText&quot;:&quot;&quot;},&quot;citationTag&quot;:&quot;MENDELEY_CITATION_v3_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&quot;,&quot;citationItems&quot;:[{&quot;id&quot;:&quot;4ad9b087-f466-36f5-bbf1-4b361dc57da9&quot;,&quot;itemData&quot;:{&quot;type&quot;:&quot;paper-conference&quot;,&quot;id&quot;:&quot;4ad9b087-f466-36f5-bbf1-4b361dc57da9&quot;,&quot;title&quot;:&quot;Experimental investigation of a bio-based phase-change material to improve building energy performance&quot;,&quot;author&quot;:[{&quot;family&quot;:&quot;Muruganantham&quot;,&quot;given&quot;:&quot;Karthik&quot;,&quot;parse-names&quot;:false,&quot;dropping-particle&quot;:&quot;&quot;,&quot;non-dropping-particle&quot;:&quot;&quot;},{&quot;family&quot;:&quot;Phelan&quot;,&quot;given&quot;:&quot;Patrick&quot;,&quot;parse-names&quot;:false,&quot;dropping-particle&quot;:&quot;&quot;,&quot;non-dropping-particle&quot;:&quot;&quot;},{&quot;family&quot;:&quot;Horwath&quot;,&quot;given&quot;:&quot;Peter&quot;,&quot;parse-names&quot;:false,&quot;dropping-particle&quot;:&quot;&quot;,&quot;non-dropping-particle&quot;:&quot;&quot;},{&quot;family&quot;:&quot;Ludlam&quot;,&quot;given&quot;:&quot;David&quot;,&quot;parse-names&quot;:false,&quot;dropping-particle&quot;:&quot;&quot;,&quot;non-dropping-particle&quot;:&quot;&quot;},{&quot;family&quot;:&quot;McDonald&quot;,&quot;given&quot;:&quot;Timothy&quot;,&quot;parse-names&quot;:false,&quot;dropping-particle&quot;:&quot;&quot;,&quot;non-dropping-particle&quot;:&quot;&quot;}],&quot;container-title&quot;:&quot;ASME 2010 4th International Conference on Energy Sustainability, ES 2010&quot;,&quot;accessed&quot;:{&quot;date-parts&quot;:[[2021,7,6]]},&quot;DOI&quot;:&quot;10.1115/ES2010-90035&quot;,&quot;ISBN&quot;:&quot;9780791843949&quot;,&quot;issued&quot;:{&quot;date-parts&quot;:[[2010,12,22]]},&quot;page&quot;:&quot;979-984&quot;,&quot;abstract&quot;:&quot;Phase Change Material (PCM) plays an important role as a thermal energy storage device by utilizing its high storage density and latent heat property. One of the potential applications of the PCM is in buildings by incorporating them in the envelope for energy conservation. During the summer cooling season, the main benefits are a decrease in overall energy consumption by the air conditioning unit and the time shift in peak load during the day. Experimental work was carried out by Arizona Public Service (APS) in collaboration with Phase Change Energy Solutions (PCES) Inc. with a new class of organic-based PCM. The experimental setup showed maximum energy savings of about 30%, a maximum peak load shift of ∼ 60 min, and maximum cost savings of about 30%. © 2010 by ASME.&quot;,&quot;publisher&quot;:&quot;American Society of Mechanical Engineers Digital Collection&quot;,&quot;volume&quot;:&quot;1&quot;,&quot;container-title-short&quot;:&quot;&quot;},&quot;isTemporary&quot;:false}]},{&quot;citationID&quot;:&quot;MENDELEY_CITATION_4e151f37-ec63-4701-9e85-f0f7cd0aee70&quot;,&quot;properties&quot;:{&quot;noteIndex&quot;:0},&quot;isEdited&quot;:false,&quot;manualOverride&quot;:{&quot;isManuallyOverridden&quot;:false,&quot;citeprocText&quot;:&quot;[46]&quot;,&quot;manualOverrideText&quot;:&quot;&quot;},&quot;citationTag&quot;:&quot;MENDELEY_CITATION_v3_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&quot;,&quot;citationItems&quot;:[{&quot;id&quot;:&quot;a959076f-3157-3e46-9329-704c3e29ed17&quot;,&quot;itemData&quot;:{&quot;type&quot;:&quot;article-journal&quot;,&quot;id&quot;:&quot;a959076f-3157-3e46-9329-704c3e29ed17&quot;,&quot;title&quot;:&quot;Modeling a radiant floor system with Phase Change Material (PCM) integrated into a building simulation tool: Analysis of a case study of a floor heating system coupled to a heat pump&quot;,&quot;author&quot;:[{&quot;family&quot;:&quot;Mazo&quot;,&quot;given&quot;:&quot;Javier&quot;,&quot;parse-names&quot;:false,&quot;dropping-particle&quot;:&quot;&quot;,&quot;non-dropping-particle&quot;:&quot;&quot;},{&quot;family&quot;:&quot;Delgado&quot;,&quot;given&quot;:&quot;Monica&quot;,&quot;parse-names&quot;:false,&quot;dropping-particle&quot;:&quot;&quot;,&quot;non-dropping-particle&quot;:&quot;&quot;},{&quot;family&quot;:&quot;Marin&quot;,&quot;given&quot;:&quot;Jose Maria&quot;,&quot;parse-names&quot;:false,&quot;dropping-particle&quot;:&quot;&quot;,&quot;non-dropping-particle&quot;:&quot;&quot;},{&quot;family&quot;:&quot;Zalba&quot;,&quot;given&quot;:&quot;Belen&quot;,&quot;parse-names&quot;:false,&quot;dropping-particle&quot;:&quot;&quot;,&quot;non-dropping-particle&quot;:&quot;&quot;}],&quot;container-title&quot;:&quot;Energy and Buildings&quot;,&quot;container-title-short&quot;:&quot;Energy Build&quot;,&quot;accessed&quot;:{&quot;date-parts&quot;:[[2020,5,2]]},&quot;DOI&quot;:&quot;10.1016/j.enbuild.2011.12.022&quot;,&quot;ISSN&quot;:&quot;03787788&quot;,&quot;URL&quot;:&quot;http://dx.doi.org/10.1016/j.enbuild.2011.12.022&quot;,&quot;issued&quot;:{&quot;date-parts&quot;:[[2012,4,1]]},&quot;page&quot;:&quot;458-466&quot;,&quot;abstract&quot;:&quot;This work describes a model developed to simulate a radiant floor system with PCM in simple building types. The building simulation model has been validated by comparing its behavior with Energy Plus. The PCM radiant floor model is based on a one-dimensional finite difference scheme where the effective capacity method is used for PCM simulation. Some adjustments have been made to this one-dimensional scheme so that the thermal effect of two-dimensional heat transfer within the radiant floor slab is taken into account. The results of an analyzed case study are also presented in this paper. Here, the PCM floor heating system is fed by a heat pump which mainly operates during night time, thus reducing the costs of electric energy consumption. © 2012 Elsevier B.V. All rights reserved.&quot;,&quot;publisher&quot;:&quot;Elsevier&quot;,&quot;volume&quot;:&quot;47&quot;},&quot;isTemporary&quot;:false}]},{&quot;citationID&quot;:&quot;MENDELEY_CITATION_00060d3e-9e67-440f-9daa-148ad4dea636&quot;,&quot;properties&quot;:{&quot;noteIndex&quot;:0},&quot;isEdited&quot;:false,&quot;manualOverride&quot;:{&quot;isManuallyOverridden&quot;:false,&quot;citeprocText&quot;:&quot;[154]&quot;,&quot;manualOverrideText&quot;:&quot;&quot;},&quot;citationTag&quot;:&quot;MENDELEY_CITATION_v3_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&quot;,&quot;citationItems&quot;:[{&quot;id&quot;:&quot;aad07b45-f5e8-3a1b-9f6e-4305e44d0e90&quot;,&quot;itemData&quot;:{&quot;type&quot;:&quot;paper-conference&quot;,&quot;id&quot;:&quot;aad07b45-f5e8-3a1b-9f6e-4305e44d0e90&quot;,&quot;title&quot;:&quot;Analysis of Residential Time-of-Use Utility Rate Structures and Economic Implications for Thermal Energy Storage&quot;,&quot;author&quot;:[{&quot;family&quot;:&quot;Sultan&quot;,&quot;given&quot;:&quot;S&quot;,&quot;parse-names&quot;:false,&quot;dropping-particle&quot;:&quot;&quot;,&quot;non-dropping-particle&quot;:&quot;&quot;},{&quot;family&quot;:&quot;Hirschey&quot;,&quot;given&quot;:&quot;J&quot;,&quot;parse-names&quot;:false,&quot;dropping-particle&quot;:&quot;&quot;,&quot;non-dropping-particle&quot;:&quot;&quot;},{&quot;family&quot;:&quot;Gluesenkamp&quot;,&quot;given&quot;:&quot;KR&quot;,&quot;parse-names&quot;:false,&quot;dropping-particle&quot;:&quot;&quot;,&quot;non-dropping-particle&quot;:&quot;&quot;},{&quot;family&quot;:&quot;Graham&quot;,&quot;given&quot;:&quot;S&quot;,&quot;parse-names&quot;:false,&quot;dropping-particle&quot;:&quot;&quot;,&quot;non-dropping-particle&quot;:&quot;&quot;}],&quot;accessed&quot;:{&quot;date-parts&quot;:[[2021,8,31]]},&quot;URL&quot;:&quot;https://docs.lib.purdue.edu/cgi/viewcontent.cgi?article=1369&amp;context=ihpbc&quot;,&quot;issued&quot;:{&quot;date-parts&quot;:[[2021]]},&quot;page&quot;:&quot;1-10&quot;,&quot;abstract&quot;:&quot;Thermal energy storage (TES) is an increasingly popular tool to level out the daily electrical demand and add stability to the electrical grid as more intermittent renewable energy sources are installed. TES systems can locally decouple high thermal loads from the operation of a heat pump or reduce the electrical energy demand of the heat pump by providing a more favorable temperature gradient. In addition, many policy makers and utility providers have introduced time-of-use (TOU) rate schedules for residential customers to better reflect the price of electricity generation and demand for specific times. TOU rate schedules price grid-provided electricity differently throughout the day depending on the region's climate, time of year, and electrical production portfolio. Large differences between on-peak and off-peak electrical prices may create an economic advantage for a residential customer to install a TES system. In this work, the economic and energy savings are calculated for a modeled 223 square foot residential building with water/ice-based TES using a TOU rate structure. The weather data is from Fresno County, CA, ASHRAE climate zone 3B, and a representative residential TOU utility rate structure from a utility provider in California was used. The simulation was carried out for cooling only during a week of extreme hot summer daytime temperature and the results showed that total energy consumption could be reduced by 14.5% with an 87.5% reduction in on-peak energy usage when the TES is installed. The cost of operating this system for space cooling was reduced by nearly 20% using the sample utility rate plan.&quot;,&quot;container-title-short&quot;:&quot;&quot;},&quot;isTemporary&quot;:false}]},{&quot;citationID&quot;:&quot;MENDELEY_CITATION_3acde1fd-ab63-41b5-a239-fa7e771f72b7&quot;,&quot;properties&quot;:{&quot;noteIndex&quot;:0},&quot;isEdited&quot;:false,&quot;manualOverride&quot;:{&quot;isManuallyOverridden&quot;:false,&quot;citeprocText&quot;:&quot;[48]&quot;,&quot;manualOverrideText&quot;:&quot;&quot;},&quot;citationTag&quot;:&quot;MENDELEY_CITATION_v3_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&quot;,&quot;citationItems&quot;:[{&quot;id&quot;:&quot;2726706e-0c84-30a7-bd68-47fd032fe559&quot;,&quot;itemData&quot;:{&quot;type&quot;:&quot;article-journal&quot;,&quot;id&quot;:&quot;2726706e-0c84-30a7-bd68-47fd032fe559&quot;,&quot;title&quot;:&quot;Latent heat storage integration into heat pump based heating systems for energy-efficient load shifting&quot;,&quot;author&quot;:[{&quot;family&quot;:&quot;Xu&quot;,&quot;given&quot;:&quot;Tianhao&quot;,&quot;parse-names&quot;:false,&quot;dropping-particle&quot;:&quot;&quot;,&quot;non-dropping-particle&quot;:&quot;&quot;},{&quot;family&quot;:&quot;Humire&quot;,&quot;given&quot;:&quot;Emma Nyholm&quot;,&quot;parse-names&quot;:false,&quot;dropping-particle&quot;:&quot;&quot;,&quot;non-dropping-particle&quot;:&quot;&quot;},{&quot;family&quot;:&quot;Chiu&quot;,&quot;given&quot;:&quot;Justin Ningwei&quot;,&quot;parse-names&quot;:false,&quot;dropping-particle&quot;:&quot;&quot;,&quot;non-dropping-particle&quot;:&quot;&quot;},{&quot;family&quot;:&quot;Sawalha&quot;,&quot;given&quot;:&quot;Samer&quot;,&quot;parse-names&quot;:false,&quot;dropping-particle&quot;:&quot;&quot;,&quot;non-dropping-particle&quot;:&quot;&quot;}],&quot;container-title&quot;:&quot;Energy Conversion and Management&quot;,&quot;container-title-short&quot;:&quot;Energy Convers Manag&quot;,&quot;accessed&quot;:{&quot;date-parts&quot;:[[2021,7,6]]},&quot;DOI&quot;:&quot;10.1016/j.enconman.2021.114042&quot;,&quot;ISSN&quot;:&quot;01968904&quot;,&quot;issued&quot;:{&quot;date-parts&quot;:[[2021,5,15]]},&quot;page&quot;:&quot;114042&quot;,&quot;abstract&quot;:&quot;Integrating latent heat thermal energy storage (LHTES) units into building heating systems has been increasingly investigated as a heat load management technology. A conventional LHTES integration method for heat pump based heating systems is to connect the heat pump's condenser for charging the LHTES unit. This integrating layout however usually leads to increased electricity input to the heating system. To underline this issue and provide solutions, this paper presents three new LHTES integrating layouts where the LHTES unit is connected with the de-superheater of the main heat pump (Case 2), the condenser of a cascaded booster heat pump cycle (Case 3), or a combination of using both the de-superheater and the booster cycle (Case 4). In the context of a multi-family house in Stockholm, a quasi-steady state heating system model was developed to evaluate the new integrating layouts, which were benchmarked against the baseline heating system without storage (Case 0) and the conventional integrating layout using the main heat pump condenser (Case 1). Hourly electric power input to the heating system was modelled for calculating the performance indicators including the heating performance factor, the operational expense and justifiable capital expense, and the indirect CO2 emissions. Two load shifting strategies were simulated for an evaluation period of Week 1, 2019: 1) charge during off-peak hours (8 pm to 6 am) and 2) charge during daytime hours (10 am to 7 pm). The simulation results of the off-peak charging strategy show that, in Cases 2–4, the heating performance factor is 22%-26% higher than Case 1 and the operational expense can be reduced by 2%-5% as compared with Case 0. The savings in the operational expense can justify the capital expense of 11 k-25 k Swedish Krona (SEK) for the LHTES systems in Cases 2–4 assuming a 15-year operation. Furthermore, the advantage of using the daytime charging strategy is principally the mitigation of CO2 emissions, which is up to 14% lower than the off-peak charging strategy. In summary, higher energy efficiency for heating is validated in the three new proposed integration layouts (Cases 2–4) against the condenser charging layout.&quot;,&quot;publisher&quot;:&quot;Pergamon&quot;,&quot;volume&quot;:&quot;236&quot;},&quot;isTemporary&quot;:false}]},{&quot;citationID&quot;:&quot;MENDELEY_CITATION_fa30e44d-315c-4331-bdfe-edcc88785912&quot;,&quot;properties&quot;:{&quot;noteIndex&quot;:0},&quot;isEdited&quot;:false,&quot;manualOverride&quot;:{&quot;isManuallyOverridden&quot;:false,&quot;citeprocText&quot;:&quot;[48]&quot;,&quot;manualOverrideText&quot;:&quot;&quot;},&quot;citationTag&quot;:&quot;MENDELEY_CITATION_v3_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&quot;,&quot;citationItems&quot;:[{&quot;id&quot;:&quot;2726706e-0c84-30a7-bd68-47fd032fe559&quot;,&quot;itemData&quot;:{&quot;type&quot;:&quot;article-journal&quot;,&quot;id&quot;:&quot;2726706e-0c84-30a7-bd68-47fd032fe559&quot;,&quot;title&quot;:&quot;Latent heat storage integration into heat pump based heating systems for energy-efficient load shifting&quot;,&quot;author&quot;:[{&quot;family&quot;:&quot;Xu&quot;,&quot;given&quot;:&quot;Tianhao&quot;,&quot;parse-names&quot;:false,&quot;dropping-particle&quot;:&quot;&quot;,&quot;non-dropping-particle&quot;:&quot;&quot;},{&quot;family&quot;:&quot;Humire&quot;,&quot;given&quot;:&quot;Emma Nyholm&quot;,&quot;parse-names&quot;:false,&quot;dropping-particle&quot;:&quot;&quot;,&quot;non-dropping-particle&quot;:&quot;&quot;},{&quot;family&quot;:&quot;Chiu&quot;,&quot;given&quot;:&quot;Justin Ningwei&quot;,&quot;parse-names&quot;:false,&quot;dropping-particle&quot;:&quot;&quot;,&quot;non-dropping-particle&quot;:&quot;&quot;},{&quot;family&quot;:&quot;Sawalha&quot;,&quot;given&quot;:&quot;Samer&quot;,&quot;parse-names&quot;:false,&quot;dropping-particle&quot;:&quot;&quot;,&quot;non-dropping-particle&quot;:&quot;&quot;}],&quot;container-title&quot;:&quot;Energy Conversion and Management&quot;,&quot;container-title-short&quot;:&quot;Energy Convers Manag&quot;,&quot;accessed&quot;:{&quot;date-parts&quot;:[[2021,7,6]]},&quot;DOI&quot;:&quot;10.1016/j.enconman.2021.114042&quot;,&quot;ISSN&quot;:&quot;01968904&quot;,&quot;issued&quot;:{&quot;date-parts&quot;:[[2021,5,15]]},&quot;page&quot;:&quot;114042&quot;,&quot;abstract&quot;:&quot;Integrating latent heat thermal energy storage (LHTES) units into building heating systems has been increasingly investigated as a heat load management technology. A conventional LHTES integration method for heat pump based heating systems is to connect the heat pump's condenser for charging the LHTES unit. This integrating layout however usually leads to increased electricity input to the heating system. To underline this issue and provide solutions, this paper presents three new LHTES integrating layouts where the LHTES unit is connected with the de-superheater of the main heat pump (Case 2), the condenser of a cascaded booster heat pump cycle (Case 3), or a combination of using both the de-superheater and the booster cycle (Case 4). In the context of a multi-family house in Stockholm, a quasi-steady state heating system model was developed to evaluate the new integrating layouts, which were benchmarked against the baseline heating system without storage (Case 0) and the conventional integrating layout using the main heat pump condenser (Case 1). Hourly electric power input to the heating system was modelled for calculating the performance indicators including the heating performance factor, the operational expense and justifiable capital expense, and the indirect CO2 emissions. Two load shifting strategies were simulated for an evaluation period of Week 1, 2019: 1) charge during off-peak hours (8 pm to 6 am) and 2) charge during daytime hours (10 am to 7 pm). The simulation results of the off-peak charging strategy show that, in Cases 2–4, the heating performance factor is 22%-26% higher than Case 1 and the operational expense can be reduced by 2%-5% as compared with Case 0. The savings in the operational expense can justify the capital expense of 11 k-25 k Swedish Krona (SEK) for the LHTES systems in Cases 2–4 assuming a 15-year operation. Furthermore, the advantage of using the daytime charging strategy is principally the mitigation of CO2 emissions, which is up to 14% lower than the off-peak charging strategy. In summary, higher energy efficiency for heating is validated in the three new proposed integration layouts (Cases 2–4) against the condenser charging layout.&quot;,&quot;publisher&quot;:&quot;Pergamon&quot;,&quot;volume&quot;:&quot;236&quot;},&quot;isTemporary&quot;:false}]},{&quot;citationID&quot;:&quot;MENDELEY_CITATION_b85d01aa-7aac-4482-b178-2d848026a97a&quot;,&quot;properties&quot;:{&quot;noteIndex&quot;:0},&quot;isEdited&quot;:false,&quot;manualOverride&quot;:{&quot;isManuallyOverridden&quot;:false,&quot;citeprocText&quot;:&quot;[129]&quot;,&quot;manualOverrideText&quot;:&quot;&quot;},&quot;citationTag&quot;:&quot;MENDELEY_CITATION_v3_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&quot;,&quot;citationItems&quot;:[{&quot;id&quot;:&quot;d1742f14-ef4f-3b70-8823-6f366766aab1&quot;,&quot;itemData&quot;:{&quot;type&quot;:&quot;article-journal&quot;,&quot;id&quot;:&quot;d1742f14-ef4f-3b70-8823-6f366766aab1&quot;,&quot;title&quot;:&quot;Phase change materials for reducing cooling energy demand and improving indoor comfort: A step-by-step retrofit of a Mediterranean educational building&quot;,&quot;author&quot;:[{&quot;family&quot;:&quot;Ascione&quot;,&quot;given&quot;:&quot;Fabrizio&quot;,&quot;parse-names&quot;:false,&quot;dropping-particle&quot;:&quot;&quot;,&quot;non-dropping-particle&quot;:&quot;&quot;},{&quot;family&quot;:&quot;Bianco&quot;,&quot;given&quot;:&quot;Nicola&quot;,&quot;parse-names&quot;:false,&quot;dropping-particle&quot;:&quot;&quot;,&quot;non-dropping-particle&quot;:&quot;&quot;},{&quot;family&quot;:&quot;Masi&quot;,&quot;given&quot;:&quot;Rosa Francesca&quot;,&quot;parse-names&quot;:false,&quot;dropping-particle&quot;:&quot;&quot;,&quot;non-dropping-particle&quot;:&quot;De&quot;},{&quot;family&quot;:&quot;Mastellone&quot;,&quot;given&quot;:&quot;Margherita&quot;,&quot;parse-names&quot;:false,&quot;dropping-particle&quot;:&quot;&quot;,&quot;non-dropping-particle&quot;:&quot;&quot;},{&quot;family&quot;:&quot;Peter Vanoli&quot;,&quot;given&quot;:&quot;Giuseppe&quot;,&quot;parse-names&quot;:false,&quot;dropping-particle&quot;:&quot;&quot;,&quot;non-dropping-particle&quot;:&quot;&quot;}],&quot;container-title&quot;:&quot;Energies&quot;,&quot;container-title-short&quot;:&quot;Energies (Basel)&quot;,&quot;accessed&quot;:{&quot;date-parts&quot;:[[2021,4,30]]},&quot;DOI&quot;:&quot;10.3390/en12193661&quot;,&quot;ISSN&quot;:&quot;19961073&quot;,&quot;URL&quot;:&quot;https://www.mdpi.com/1996-1073/12/19/3661&quot;,&quot;issued&quot;:{&quot;date-parts&quot;:[[2019,9,25]]},&quot;page&quot;:&quot;3661&quot;,&quot;abstract&quot;:&quot;The present work concerns the energy retrofit of a public educational building at the University of Molise, located in Termoli, South Italy. The study provides a comparison of the results obtained by different dynamic simulations of passive strategies to improve thermal comfort and energy behavior of the building during the summer regime. Firstly, the building model was calibrated against historical consumption data. Then, a subsequent step involves the technical-economic analysis, by means of building performance simulations, of energy upgrading scenarios, specifically, cool roof and green roof technologies for the horizontal opaque envelope and thermal insulation, vented façade, and phase change materials' applications for the vertical opaque envelope. Improving the indoor thermal comfort and reducing the thermal energy demand during summertime through innovative solutions will be the primary objective of the present study. The energy efficiency measures are compared from the energy, emissions, costs, and indoor comfort points of view. Phase Change Materials applied to the inner side of the external walls are analyzed in depth and, by varying their melting temperature, optimization of design is performed too. This innovative material, with a melting temperature of 23 ◦C and a freezing temperature of 21 ◦C, determines the reduction of summer energy consumption of 11.7% and the increase of summer indoor comfort of 215 h. Even if consolidated, other solutions, like the cool roof, green roof, thermal insulation, and vented façade induce improvements in terms of summer energy saving, and the percentage difference compared to the basic building is less than 2%. For this case study, a Mediterranean building, with construction characteristics typical of the 1990s, traditional passive technologies are not very efficient in improving the energy performance, so the investigation focused on the adoption of innovative solutions such as PCMs, for reducing summer energy demand and improving indoor thermal comfort.&quot;,&quot;publisher&quot;:&quot;MDPI AG&quot;,&quot;issue&quot;:&quot;19&quot;,&quot;volume&quot;:&quot;12&quot;},&quot;isTemporary&quot;:false}]},{&quot;citationID&quot;:&quot;MENDELEY_CITATION_27c4cdcc-dff7-4595-9a71-b941433b4416&quot;,&quot;properties&quot;:{&quot;noteIndex&quot;:0},&quot;isEdited&quot;:false,&quot;manualOverride&quot;:{&quot;isManuallyOverridden&quot;:false,&quot;citeprocText&quot;:&quot;[132]&quot;,&quot;manualOverrideText&quot;:&quot;&quot;},&quot;citationTag&quot;:&quot;MENDELEY_CITATION_v3_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&quot;,&quot;citationItems&quot;:[{&quot;id&quot;:&quot;6030ea4a-fd8b-3790-bc33-36ba8503d7e7&quot;,&quot;itemData&quot;:{&quot;type&quot;:&quot;article-journal&quot;,&quot;id&quot;:&quot;6030ea4a-fd8b-3790-bc33-36ba8503d7e7&quot;,&quot;title&quot;:&quot;Efficacy of incorporating PCM into the building envelope on the energy saving and AHU power usage in winter&quot;,&quot;author&quot;:[{&quot;family&quot;:&quot;Abu-Hamdeh&quot;,&quot;given&quot;:&quot;Nidal H.&quot;,&quot;parse-names&quot;:false,&quot;dropping-particle&quot;:&quot;&quot;,&quot;non-dropping-particle&quot;:&quot;&quot;},{&quot;family&quot;:&quot;Melaibari&quot;,&quot;given&quot;:&quot;Ammar A.&quot;,&quot;parse-names&quot;:false,&quot;dropping-particle&quot;:&quot;&quot;,&quot;non-dropping-particle&quot;:&quot;&quot;},{&quot;family&quot;:&quot;Alquthami&quot;,&quot;given&quot;:&quot;Thamer S.&quot;,&quot;parse-names&quot;:false,&quot;dropping-particle&quot;:&quot;&quot;,&quot;non-dropping-particle&quot;:&quot;&quot;},{&quot;family&quot;:&quot;Khoshaim&quot;,&quot;given&quot;:&quot;Ahmed&quot;,&quot;parse-names&quot;:false,&quot;dropping-particle&quot;:&quot;&quot;,&quot;non-dropping-particle&quot;:&quot;&quot;},{&quot;family&quot;:&quot;Oztop&quot;,&quot;given&quot;:&quot;Hakan F.&quot;,&quot;parse-names&quot;:false,&quot;dropping-particle&quot;:&quot;&quot;,&quot;non-dropping-particle&quot;:&quot;&quot;},{&quot;family&quot;:&quot;Karimipour&quot;,&quot;given&quot;:&quot;Aliakbar&quot;,&quot;parse-names&quot;:false,&quot;dropping-particle&quot;:&quot;&quot;,&quot;non-dropping-particle&quot;:&quot;&quot;}],&quot;container-title&quot;:&quot;Sustainable Energy Technologies and Assessments&quot;,&quot;accessed&quot;:{&quot;date-parts&quot;:[[2021,3,3]]},&quot;DOI&quot;:&quot;10.1016/j.seta.2020.100969&quot;,&quot;ISSN&quot;:&quot;22131388&quot;,&quot;issued&quot;:{&quot;date-parts&quot;:[[2021,2,1]]},&quot;page&quot;:&quot;100969&quot;,&quot;abstract&quot;:&quot;Commercial and residential buildings consume 20% of the world's total energy usage and forecasts indicate a growing trend of 1.5% per year by 2040. Share of energy consumption in the heating ventilation and air conditioning (HVAC) reached to 40–70% of the building energy usage. Reduction in the heat exchange between the interior and exterior spaces is an energy-efficient technique for lowering HVAC energy demand. In this study, the thermal performance of a PCM-based wall was numerically examined in the winter. The main purpose of this research was to investigate the efficacy of installing PCM inside the envelope on reducing heat loss from the conditioned space and at the same time its effect on air handling unit (AHU) energy usage. For this, seven different PCM layers at melting temperatures of 276.15–293.15 K with a thickness of 1 cm were loaded into the envelope. Based on the results, among the PCMs thermophysical properties, thermal conductivity has more manifest efficacy. Under the best conditions, owing to installing PCM of A3 inside the envelope, the energy-saving in December, January and February diminished by 11.25%, 11.23% and 10.35%, respectively. Also, thermodynamic calculations affirmed that the maximum reduction in AHU power usage owing to PCM loading was 11.73%. Using payback time technique, the economic analysis was performed and it was found that under the best conditions, the payback time is 18.6 years.&quot;,&quot;publisher&quot;:&quot;Elsevier Ltd&quot;,&quot;volume&quot;:&quot;43&quot;,&quot;container-title-short&quot;:&quot;&quot;},&quot;isTemporary&quot;:false}]},{&quot;citationID&quot;:&quot;MENDELEY_CITATION_63b23ab2-1a13-4408-a819-285ff5f62d2a&quot;,&quot;properties&quot;:{&quot;noteIndex&quot;:0},&quot;isEdited&quot;:false,&quot;manualOverride&quot;:{&quot;isManuallyOverridden&quot;:false,&quot;citeprocText&quot;:&quot;[48]&quot;,&quot;manualOverrideText&quot;:&quot;&quot;},&quot;citationTag&quot;:&quot;MENDELEY_CITATION_v3_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&quot;,&quot;citationItems&quot;:[{&quot;id&quot;:&quot;2726706e-0c84-30a7-bd68-47fd032fe559&quot;,&quot;itemData&quot;:{&quot;type&quot;:&quot;article-journal&quot;,&quot;id&quot;:&quot;2726706e-0c84-30a7-bd68-47fd032fe559&quot;,&quot;title&quot;:&quot;Latent heat storage integration into heat pump based heating systems for energy-efficient load shifting&quot;,&quot;author&quot;:[{&quot;family&quot;:&quot;Xu&quot;,&quot;given&quot;:&quot;Tianhao&quot;,&quot;parse-names&quot;:false,&quot;dropping-particle&quot;:&quot;&quot;,&quot;non-dropping-particle&quot;:&quot;&quot;},{&quot;family&quot;:&quot;Humire&quot;,&quot;given&quot;:&quot;Emma Nyholm&quot;,&quot;parse-names&quot;:false,&quot;dropping-particle&quot;:&quot;&quot;,&quot;non-dropping-particle&quot;:&quot;&quot;},{&quot;family&quot;:&quot;Chiu&quot;,&quot;given&quot;:&quot;Justin Ningwei&quot;,&quot;parse-names&quot;:false,&quot;dropping-particle&quot;:&quot;&quot;,&quot;non-dropping-particle&quot;:&quot;&quot;},{&quot;family&quot;:&quot;Sawalha&quot;,&quot;given&quot;:&quot;Samer&quot;,&quot;parse-names&quot;:false,&quot;dropping-particle&quot;:&quot;&quot;,&quot;non-dropping-particle&quot;:&quot;&quot;}],&quot;container-title&quot;:&quot;Energy Conversion and Management&quot;,&quot;container-title-short&quot;:&quot;Energy Convers Manag&quot;,&quot;accessed&quot;:{&quot;date-parts&quot;:[[2021,7,6]]},&quot;DOI&quot;:&quot;10.1016/j.enconman.2021.114042&quot;,&quot;ISSN&quot;:&quot;01968904&quot;,&quot;issued&quot;:{&quot;date-parts&quot;:[[2021,5,15]]},&quot;page&quot;:&quot;114042&quot;,&quot;abstract&quot;:&quot;Integrating latent heat thermal energy storage (LHTES) units into building heating systems has been increasingly investigated as a heat load management technology. A conventional LHTES integration method for heat pump based heating systems is to connect the heat pump's condenser for charging the LHTES unit. This integrating layout however usually leads to increased electricity input to the heating system. To underline this issue and provide solutions, this paper presents three new LHTES integrating layouts where the LHTES unit is connected with the de-superheater of the main heat pump (Case 2), the condenser of a cascaded booster heat pump cycle (Case 3), or a combination of using both the de-superheater and the booster cycle (Case 4). In the context of a multi-family house in Stockholm, a quasi-steady state heating system model was developed to evaluate the new integrating layouts, which were benchmarked against the baseline heating system without storage (Case 0) and the conventional integrating layout using the main heat pump condenser (Case 1). Hourly electric power input to the heating system was modelled for calculating the performance indicators including the heating performance factor, the operational expense and justifiable capital expense, and the indirect CO2 emissions. Two load shifting strategies were simulated for an evaluation period of Week 1, 2019: 1) charge during off-peak hours (8 pm to 6 am) and 2) charge during daytime hours (10 am to 7 pm). The simulation results of the off-peak charging strategy show that, in Cases 2–4, the heating performance factor is 22%-26% higher than Case 1 and the operational expense can be reduced by 2%-5% as compared with Case 0. The savings in the operational expense can justify the capital expense of 11 k-25 k Swedish Krona (SEK) for the LHTES systems in Cases 2–4 assuming a 15-year operation. Furthermore, the advantage of using the daytime charging strategy is principally the mitigation of CO2 emissions, which is up to 14% lower than the off-peak charging strategy. In summary, higher energy efficiency for heating is validated in the three new proposed integration layouts (Cases 2–4) against the condenser charging layout.&quot;,&quot;publisher&quot;:&quot;Pergamon&quot;,&quot;volume&quot;:&quot;236&quot;},&quot;isTemporary&quot;:false}]},{&quot;citationID&quot;:&quot;MENDELEY_CITATION_02a264da-395b-4857-b4cc-200a605fb277&quot;,&quot;properties&quot;:{&quot;noteIndex&quot;:0},&quot;isEdited&quot;:false,&quot;manualOverride&quot;:{&quot;isManuallyOverridden&quot;:false,&quot;citeprocText&quot;:&quot;[152]&quot;,&quot;manualOverrideText&quot;:&quot;&quot;},&quot;citationTag&quot;:&quot;MENDELEY_CITATION_v3_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&quot;,&quot;citationItems&quot;:[{&quot;id&quot;:&quot;b51ffe0b-6a22-34c4-b326-45b69ffba995&quot;,&quot;itemData&quot;:{&quot;type&quot;:&quot;article-journal&quot;,&quot;id&quot;:&quot;b51ffe0b-6a22-34c4-b326-45b69ffba995&quot;,&quot;title&quot;:&quot;Thermo-economic optimization of an ice thermal energy storage system for air-conditioning applications&quot;,&quot;author&quot;:[{&quot;family&quot;:&quot;Sanaye&quot;,&quot;given&quot;:&quot;Sepehr&quot;,&quot;parse-names&quot;:false,&quot;dropping-particle&quot;:&quot;&quot;,&quot;non-dropping-particle&quot;:&quot;&quot;},{&quot;family&quot;:&quot;Shirazi&quot;,&quot;given&quot;:&quot;Ali&quot;,&quot;parse-names&quot;:false,&quot;dropping-particle&quot;:&quot;&quot;,&quot;non-dropping-particle&quot;:&quot;&quot;}],&quot;container-title&quot;:&quot;Energy and Buildings&quot;,&quot;container-title-short&quot;:&quot;Energy Build&quot;,&quot;accessed&quot;:{&quot;date-parts&quot;:[[2021,7,6]]},&quot;DOI&quot;:&quot;10.1016/j.enbuild.2012.12.040&quot;,&quot;ISSN&quot;:&quot;03787788&quot;,&quot;issued&quot;:{&quot;date-parts&quot;:[[2013,5,1]]},&quot;page&quot;:&quot;100-109&quot;,&quot;abstract&quot;:&quot;A major portion of electricity consumption in buildings in residential, administrative, and commercial sectors is related to air-conditioning (A/C) systems. To reduce and shift the electricity consumption of A/C systems from on-peak hours to off-peak hours, an ice thermal energy storage (ITES) can be utilized. In this paper, thermo-economic optimization of an ITES system was carried out for A/C applications. In order to consider the environmental aspects, a penalty cost was considered for CO2 emission. Applying the genetic algorithm optimization technique, the optimum values of system design parameters were obtained. The objective function included the capital and operational costs as well as the penalty cost due to CO2 emission, without and with costs associated with exergy destruction. The results indicated that, on average, the amount of electricity consumption and CO2 emission of ITES system were lower 9% and 9.8%, respectively, in comparison with those of a conventional system. Furthermore, the ITES extra capital cost could be paid back through savings in electricity cost in 3.43 years. © 2013 Elsevier B.V.&quot;,&quot;publisher&quot;:&quot;Elsevier&quot;,&quot;volume&quot;:&quot;60&quot;},&quot;isTemporary&quot;:false}]},{&quot;citationID&quot;:&quot;MENDELEY_CITATION_ce6e48d1-a316-4a7c-bfd7-75b9851e1564&quot;,&quot;properties&quot;:{&quot;noteIndex&quot;:0},&quot;isEdited&quot;:false,&quot;manualOverride&quot;:{&quot;isManuallyOverridden&quot;:false,&quot;citeprocText&quot;:&quot;[38], [40], [127], [140], [144], [150], [156]&quot;,&quot;manualOverrideText&quot;:&quot;&quot;},&quot;citationTag&quot;:&quot;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&quot;,&quot;citationItems&quot;:[{&quot;id&quot;:&quot;7ee605b2-235e-32ed-9a67-9e1cbd40621d&quot;,&quot;itemData&quot;:{&quot;type&quot;:&quot;article-journal&quot;,&quot;id&quot;:&quot;7ee605b2-235e-32ed-9a67-9e1cbd40621d&quot;,&quot;title&quot;:&quot;Energetic investigation of solar assisted heat pump underfloor heating systems with and without phase change materials&quot;,&quot;author&quot;:[{&quot;family&quot;:&quot;Plytaria&quot;,&quot;given&quot;:&quot;Maria T.&quot;,&quot;parse-names&quot;:false,&quot;dropping-particle&quot;:&quot;&quot;,&quot;non-dropping-particle&quot;:&quot;&quot;},{&quot;family&quot;:&quot;Tzivanidis&quot;,&quot;given&quot;:&quot;Christos&quot;,&quot;parse-names&quot;:false,&quot;dropping-particle&quot;:&quot;&quot;,&quot;non-dropping-particle&quot;:&quot;&quot;},{&quot;family&quot;:&quot;Bellos&quot;,&quot;given&quot;:&quot;Evangelos&quot;,&quot;parse-names&quot;:false,&quot;dropping-particle&quot;:&quot;&quot;,&quot;non-dropping-particle&quot;:&quot;&quot;},{&quot;family&quot;:&quot;Antonopoulos&quot;,&quot;given&quot;:&quot;Kimon A.&quot;,&quot;parse-names&quot;:false,&quot;dropping-particle&quot;:&quot;&quot;,&quot;non-dropping-particle&quot;:&quot;&quot;}],&quot;container-title&quot;:&quot;Energy Conversion and Management&quot;,&quot;container-title-short&quot;:&quot;Energy Convers Manag&quot;,&quot;accessed&quot;:{&quot;date-parts&quot;:[[2020,8,26]]},&quot;DOI&quot;:&quot;10.1016/j.enconman.2018.08.010&quot;,&quot;ISSN&quot;:&quot;01968904&quot;,&quot;issued&quot;:{&quot;date-parts&quot;:[[2018,10,1]]},&quot;page&quot;:&quot;626-639&quot;,&quot;abstract&quot;:&quot;The application of phase change materials (PCMs) in the building envelope can improve the thermal performance and the indoor thermal comfort conditions because they allow the proper storage or release of energy. In this work, three different solar assisted heat pump underfloor heating systems with and without the use of phase change material are designed, simulated and evaluated energetically for a building of 100 m2 floor area. Different kinds of solar collectors (flat plate, photovoltaic, thermal photovoltaic) are coupled to a storage tank which feeds a heat pump for space heating purposes. The PCM is used on the underfloor heating system in order to increase the storage capacity and to avoid the operation of the heat pump during the peak electricity demand period. Furthermore, this work presents and compares the coefficient of performance, the electricity consumption, the solar coverage and the indoor temperature distribution of a building in Athens (Greece), with and without a PCM layer on the floor. More specifically, the PCM is placed on the underfloor heating system and different cases are examined by changing the collecting area, the collector type and the thickness of the insulation layer in the floor. The results prove that the use of the PCM layer on the underfloor heating system reduces the heating load by about 40%. The electricity consumption can be reduced between 42% and 67% using the solar-driven systems. It is also found that the system with the thermal PV consumes the lowest grid electricity. Moreover, the lowest simple payback period is found to be 9.61 years for the system with flat plate collectors without PCM. The simulation is conducted with TRNSYS for all the winter period.&quot;,&quot;publisher&quot;:&quot;Elsevier Ltd&quot;,&quot;volume&quot;:&quot;173&quot;},&quot;isTemporary&quot;:false},{&quot;id&quot;:&quot;b31a28ce-f91a-31ed-bee7-c4840dcdec6a&quot;,&quot;itemData&quot;:{&quot;type&quot;:&quot;article-journal&quot;,&quot;id&quot;:&quot;b31a28ce-f91a-31ed-bee7-c4840dcdec6a&quot;,&quot;title&quot;:&quot;Study of a floor supply air conditioning system using granular phase change material to augment building mass thermal storage - Heat response in small scale experiments&quot;,&quot;author&quot;:[{&quot;family&quot;:&quot;Nagano&quot;,&quot;given&quot;:&quot;K.&quot;,&quot;parse-names&quot;:false,&quot;dropping-particle&quot;:&quot;&quot;,&quot;non-dropping-particle&quot;:&quot;&quot;},{&quot;family&quot;:&quot;Takeda&quot;,&quot;given&quot;:&quot;S.&quot;,&quot;parse-names&quot;:false,&quot;dropping-particle&quot;:&quot;&quot;,&quot;non-dropping-particle&quot;:&quot;&quot;},{&quot;family&quot;:&quot;Mochida&quot;,&quot;given&quot;:&quot;T.&quot;,&quot;parse-names&quot;:false,&quot;dropping-particle&quot;:&quot;&quot;,&quot;non-dropping-particle&quot;:&quot;&quot;},{&quot;family&quot;:&quot;Shimakura&quot;,&quot;given&quot;:&quot;K.&quot;,&quot;parse-names&quot;:false,&quot;dropping-particle&quot;:&quot;&quot;,&quot;non-dropping-particle&quot;:&quot;&quot;},{&quot;family&quot;:&quot;Nakamura&quot;,&quot;given&quot;:&quot;T.&quot;,&quot;parse-names&quot;:false,&quot;dropping-particle&quot;:&quot;&quot;,&quot;non-dropping-particle&quot;:&quot;&quot;}],&quot;container-title&quot;:&quot;Energy and Buildings&quot;,&quot;container-title-short&quot;:&quot;Energy Build&quot;,&quot;accessed&quot;:{&quot;date-parts&quot;:[[2020,5,1]]},&quot;DOI&quot;:&quot;10.1016/j.enbuild.2005.07.010&quot;,&quot;ISSN&quot;:&quot;03787788&quot;,&quot;issued&quot;:{&quot;date-parts&quot;:[[2006,5,1]]},&quot;page&quot;:&quot;436-446&quot;,&quot;abstract&quot;:&quot;We have proposed a new floor supply air conditioning system, using phase change material to augment building mass thermal storage. A scale model was constructed for such a system. Granules containing phase change material (PCM), with a phase change temperature of about 20 °C, were made from foamed glass beads and paraffin waxes. Results from measurements simulating an air conditioning schedule in office buildings indicate that 89% of daily cooling load could be stored each night in a system that used a 30 mm thick packed bed of the granular PCM. © 2005 Elsevier B.V. All rights reserved.&quot;,&quot;publisher&quot;:&quot;Elsevier&quot;,&quot;issue&quot;:&quot;5&quot;,&quot;volume&quot;:&quot;38&quot;},&quot;isTemporary&quot;:false},{&quot;id&quot;:&quot;f207b857-e432-34f3-89de-9424149ae6d4&quot;,&quot;itemData&quot;:{&quot;type&quot;:&quot;article-journal&quot;,&quot;id&quot;:&quot;f207b857-e432-34f3-89de-9424149ae6d4&quot;,&quot;title&quot;:&quot;Novel cooling unit using PCM for residential application&quot;,&quot;author&quot;:[{&quot;family&quot;:&quot;Jaber&quot;,&quot;given&quot;:&quot;Samar&quot;,&quot;parse-names&quot;:false,&quot;dropping-particle&quot;:&quot;&quot;,&quot;non-dropping-particle&quot;:&quot;&quot;},{&quot;family&quot;:&quot;Ajib&quot;,&quot;given&quot;:&quot;Salman&quot;,&quot;parse-names&quot;:false,&quot;dropping-particle&quot;:&quot;&quot;,&quot;non-dropping-particle&quot;:&quot;&quot;}],&quot;container-title&quot;:&quot;International Journal of Refrigeration&quot;,&quot;DOI&quot;:&quot;10.1016/j.ijrefrig.2012.03.023&quot;,&quot;ISSN&quot;:&quot;01407007&quot;,&quot;issued&quot;:{&quot;date-parts&quot;:[[2012]]},&quot;abstract&quot;:&quot;Thermal Energy Storage (TES) technology based on the use of Phase Change Materials (PCM) has recently raised an important practical interest. This is mainly due to the high-energy storage density during phase change within a very narrow temperature range. To give an illustrative example, eighty times more heat is required to melt certain amount of ice at 0 °C than to heat up 1 °C the same amount of water. In this paper, novel cooling unit using PCM called Indirect Evaporative and Storage Unit (IESU) has been designed, modeled and simulated through over the year. Moreover IESU has been optimized from technical and economic point of view for residential application in Mediterranean climate. Cooling systems with heat storage have attracted an increasing attention over the past decades. However, studies of IESU haven't been found in open literature. © 2012 Published by Elsevier Ltd and IIR. All rights reserved.&quot;,&quot;container-title-short&quot;:&quot;&quot;},&quot;isTemporary&quot;:false},{&quot;id&quot;:&quot;5fee9029-1d45-3736-a015-3d7892ec9e18&quot;,&quot;itemData&quot;:{&quot;type&quot;:&quot;article-journal&quot;,&quot;id&quot;:&quot;5fee9029-1d45-3736-a015-3d7892ec9e18&quot;,&quot;title&quot;:&quot;Energy and economic analysis of a building air-conditioner with a phase change material (PCM)&quot;,&quot;author&quot;:[{&quot;family&quot;:&quot;Chaiyat&quot;,&quot;given&quot;:&quot;Nattaporn&quot;,&quot;parse-names&quot;:false,&quot;dropping-particle&quot;:&quot;&quot;,&quot;non-dropping-particle&quot;:&quot;&quot;}],&quot;container-title&quot;:&quot;Energy Conversion and Management&quot;,&quot;container-title-short&quot;:&quot;Energy Convers Manag&quot;,&quot;DOI&quot;:&quot;10.1016/j.enconman.2015.01.068&quot;,&quot;ISSN&quot;:&quot;01968904&quot;,&quot;URL&quot;:&quot;http://dx.doi.org/10.1016/j.enconman.2015.01.068&quot;,&quot;issued&quot;:{&quot;date-parts&quot;:[[2015]]},&quot;page&quot;:&quot;150-158&quot;,&quot;abstract&quot;:&quot;In this study, a concept of using phase change material (PCM) for improving cooling efficiency of an air-conditioner had been presented under Thailand climate. Rubitherm20 (RT-20) was selected to evaluate the thermal performance by reducing the air temperature entering the evaporating coil. The model of PCM celluloid balls had been performed with the air-conditioner. For the experiment, 2 TR of R-134a air-conditioner was chosen to test a pack bed of PCM balls with thickness 40 cm. The pressure drops of the air flowing through the bed were considered with and without a set of by-pass tubes along the height of the storage bed. The mathematical model of the air-conditioner with the PCM storage was developed and verified with the testing results. From the study results, it could be seen that pressure drops of the bed with and without bypass tubes were nearly the same results. Thus, PCM ball pack bed using RT-20 without bypass tubes was used to improve the cooling efficiency of the air-conditioner. The experimental result of the modified unit was compared and verified with the mathematical model, which agreed quite well with the simulation result. Finally, the model was used to analyze the economic result, which found that the electrical consumption of the modified air-conditioner could be decreased around 3.09 kW h/d. The saving cost from the PCM bed could be 9.10% of 170.03 USD/y and the payback period was around 4.15 y.&quot;,&quot;publisher&quot;:&quot;Elsevier Ltd&quot;,&quot;volume&quot;:&quot;94&quot;},&quot;isTemporary&quot;:false},{&quot;id&quot;:&quot;3e5f4972-a383-36ea-be02-e3fa6f7cddea&quot;,&quot;itemData&quot;:{&quot;type&quot;:&quot;article-journal&quot;,&quot;id&quot;:&quot;3e5f4972-a383-36ea-be02-e3fa6f7cddea&quot;,&quot;title&quot;:&quot;Numerical investigation of phase change material thermal storage for space cooling&quot;,&quot;author&quot;:[{&quot;family&quot;:&quot;Farah&quot;,&quot;given&quot;:&quot;Sleiman&quot;,&quot;parse-names&quot;:false,&quot;dropping-particle&quot;:&quot;&quot;,&quot;non-dropping-particle&quot;:&quot;&quot;},{&quot;family&quot;:&quot;Liu&quot;,&quot;given&quot;:&quot;Ming&quot;,&quot;parse-names&quot;:false,&quot;dropping-particle&quot;:&quot;&quot;,&quot;non-dropping-particle&quot;:&quot;&quot;},{&quot;family&quot;:&quot;Saman&quot;,&quot;given&quot;:&quot;Wasim&quot;,&quot;parse-names&quot;:false,&quot;dropping-particle&quot;:&quot;&quot;,&quot;non-dropping-particle&quot;:&quot;&quot;}],&quot;container-title&quot;:&quot;Applied Energy&quot;,&quot;container-title-short&quot;:&quot;Appl Energy&quot;,&quot;accessed&quot;:{&quot;date-parts&quot;:[[2021,7,6]]},&quot;DOI&quot;:&quot;10.1016/j.apenergy.2019.01.197&quot;,&quot;ISSN&quot;:&quot;03062619&quot;,&quot;issued&quot;:{&quot;date-parts&quot;:[[2019,4,1]]},&quot;page&quot;:&quot;526-535&quot;,&quot;abstract&quot;:&quot;Space cooling is the main contributor to high electrical power demand in summer. This research investigates the effect of adding a phase change thermal energy storage unit (PCTSU) to an air source heat pump (HP) cooling system. The HP model improves on an existing model in the simulation software library to simulate the HP performance. The PCTSU performance is simulated using a newly developed two-dimensional transient heat transfer model, which is experimentally validated against available experimental results. The cooling system is operated in three modes to satisfy the space cooling demand of a 7.6 stars house in the City of Adelaide, Australia. The PCTSU is charged by the HP when outdoor temperature is relatively low and discharged either whenever space cooling is required during the day (mode M2) or during the peak period only (mode M3). The simulation is conducted for the whole cooling season, and the cooling energy and electricity usage performances of the system with a PCTSU (modes M2 and M3) are compared with those of the system without a PCTSU (mode M1). A sensitivity analysis reveals that the PCTSU performance is slightly sensitive to the uncertainties of melting temperature of the phase change material and to the inlet temperature of the heat transfer fluid. The PCTSU provides 25% and 13% of the cooling energy and requires 11% and 6% of the electrical energy usage for charging by the HP in modes M2 and M3 respectively. Both electricity usage and demand tariffs are considered, and the cost savings are 14% and 7% in the former and 14% and 13% in the latter, in modes M2 and M3 respectively. The cost analysis indicates that techno-economic benefits of using PCTSUs should be carefully analysed. Appropriate economic incentives are needed to accelerate the uptake of thermal storage for space cooling applications to reduce high electrical power demand and help to avoid the need to further increase the grid capacity.&quot;,&quot;publisher&quot;:&quot;Elsevier&quot;,&quot;volume&quot;:&quot;239&quot;},&quot;isTemporary&quot;:false},{&quot;id&quot;:&quot;dc31db93-ba26-3d21-b18d-4a77673e89df&quot;,&quot;itemData&quot;:{&quot;type&quot;:&quot;article-journal&quot;,&quot;id&quot;:&quot;dc31db93-ba26-3d21-b18d-4a77673e89df&quot;,&quot;title&quot;:&quot;Integration of Phase Change Material-Based Storage in Air Distribution Systems to Increase Building Power Flexibility&quot;,&quot;author&quot;:[{&quot;family&quot;:&quot;Hlanze&quot;,&quot;given&quot;:&quot;P&quot;,&quot;parse-names&quot;:false,&quot;dropping-particle&quot;:&quot;&quot;,&quot;non-dropping-particle&quot;:&quot;&quot;},{&quot;family&quot;:&quot;Elhefny&quot;,&quot;given&quot;:&quot;A&quot;,&quot;parse-names&quot;:false,&quot;dropping-particle&quot;:&quot;&quot;,&quot;non-dropping-particle&quot;:&quot;&quot;},{&quot;family&quot;:&quot;Jiang&quot;,&quot;given&quot;:&quot;Z&quot;,&quot;parse-names&quot;:false,&quot;dropping-particle&quot;:&quot;&quot;,&quot;non-dropping-particle&quot;:&quot;&quot;},{&quot;family&quot;:&quot;Cai&quot;,&quot;given&quot;:&quot;J&quot;,&quot;parse-names&quot;:false,&quot;dropping-particle&quot;:&quot;&quot;,&quot;non-dropping-particle&quot;:&quot;&quot;},{&quot;family&quot;:&quot;Shabgard&quot;,&quot;given&quot;:&quot;H&quot;,&quot;parse-names&quot;:false,&quot;dropping-particle&quot;:&quot;&quot;,&quot;non-dropping-particle&quot;:&quot;&quot;}],&quot;accessed&quot;:{&quot;date-parts&quot;:[[2021,8,31]]},&quot;URL&quot;:&quot;https://docs.lib.purdue.edu/cgi/viewcontent.cgi?article=1365&amp;context=ihpbc&quot;,&quot;issued&quot;:{&quot;date-parts&quot;:[[2021]]},&quot;abstract&quot;:&quot;This paper presents a novel energy storage solution by incorporating phase change material (PCM) in the building supply-air duct to increase a building's thermal storage capacity. This solution has various advantages compared to PCM-integrated walls including more effective heat transfer (forced convection and greater temperature differentials). During off-peak hours, the system runs at a supply-air temperature below the material's solidification point to charge the PCM with cooling energy. During on-peak hours, a higher supply-air temperature is utilized so that the stored energy can be discharged into the supply-air. This shifts a portion of the building's cooling load from the on-peak hours to the off-peak hours. A numerical model for the melting and solidification of PCM in the duct was developed and modified using experimental data. Whole building energy simulations were conducted by coupling the PCM model with EnergyPlus DOE prototypical building model in a Simulink co-simulation platform. Simulations were performed for three cities in different climate zones over a three-month cooling season (June to August), and the PCM storage reduced the on-peak energy consumption by 20-25%. The electricity cost and payback period were determined using current time-of-use electricity rates.&quot;,&quot;container-title-short&quot;:&quot;&quot;},&quot;isTemporary&quot;:false},{&quot;id&quot;:&quot;f01f8033-5096-3418-bdd4-b32c41dcd5ff&quot;,&quot;itemData&quot;:{&quot;type&quot;:&quot;article-journal&quot;,&quot;id&quot;:&quot;f01f8033-5096-3418-bdd4-b32c41dcd5ff&quot;,&quot;title&quot;:&quot;Experimental and numerical study of PCM storage integrated with HVAC system for energy flexibility&quot;,&quot;author&quot;:[{&quot;family&quot;:&quot;Hu&quot;,&quot;given&quot;:&quot;Yue&quot;,&quot;parse-names&quot;:false,&quot;dropping-particle&quot;:&quot;&quot;,&quot;non-dropping-particle&quot;:&quot;&quot;},{&quot;family&quot;:&quot;Heiselberg&quot;,&quot;given&quot;:&quot;Per Kvols&quot;,&quot;parse-names&quot;:false,&quot;dropping-particle&quot;:&quot;&quot;,&quot;non-dropping-particle&quot;:&quot;&quot;},{&quot;family&quot;:&quot;Drivsholm&quot;,&quot;given&quot;:&quot;Christian&quot;,&quot;parse-names&quot;:false,&quot;dropping-particle&quot;:&quot;&quot;,&quot;non-dropping-particle&quot;:&quot;&quot;},{&quot;family&quot;:&quot;Søvsø&quot;,&quot;given&quot;:&quot;Asger Skød&quot;,&quot;parse-names&quot;:false,&quot;dropping-particle&quot;:&quot;&quot;,&quot;non-dropping-particle&quot;:&quot;&quot;},{&quot;family&quot;:&quot;Vogler-Finck&quot;,&quot;given&quot;:&quot;Pierre J.C.&quot;,&quot;parse-names&quot;:false,&quot;dropping-particle&quot;:&quot;&quot;,&quot;non-dropping-particle&quot;:&quot;&quot;},{&quot;family&quot;:&quot;Kronby&quot;,&quot;given&quot;:&quot;Kim&quot;,&quot;parse-names&quot;:false,&quot;dropping-particle&quot;:&quot;&quot;,&quot;non-dropping-particle&quot;:&quot;&quot;}],&quot;container-title&quot;:&quot;Energy and Buildings&quot;,&quot;container-title-short&quot;:&quot;Energy Build&quot;,&quot;accessed&quot;:{&quot;date-parts&quot;:[[2021,12,5]]},&quot;DOI&quot;:&quot;10.1016/j.enbuild.2021.111651&quot;,&quot;ISSN&quot;:&quot;03787788&quot;,&quot;URL&quot;:&quot;https://linkinghub.elsevier.com/retrieve/pii/S037877882100935X&quot;,&quot;issued&quot;:{&quot;date-parts&quot;:[[2021,11,6]]},&quot;page&quot;:&quot;111651&quot;,&quot;abstract&quot;:&quot;This paper presents both experimental and numerical studies of PCM storage integrated with an HVAC system. The experiments focus on PCM storage in 3 different sizes, and study the temperature change in the PCM storage during the charge and discharge period, the impact of the PCM quantity on the charge and discharge rates of the PCM storage and the impact of the discharge air temperature and airflow rate on the discharge rate. The main conclusions are that the temperature effectiveness of the PCM storage depends more on the PCM quantity than the discharge inlet air temperature and airflow rate. The air path in the PCM storage should not be too long to achieve the longer PCM activation in time. The storage with 36 pieces of PCM plates and latent storage capacity of 5.23 MJ can be charged/discharged fast, with high and stable outlet air temperature (above 28 °C for 3 hours), especially during the discharge period. The most promising configuration of the experimental study was chosen for a numerical study the energy flexibility of the HVAC system without PCM and with PCM. A model of the PCM storage integrated with an HVAC system is built with EnergyPlus and validated by experimental data. The study concluded that the HVAC heating setpoint control based on the electricity price without PCM storage has limited cost-saving potential due to the high electricity transmission and tax cost. The PCM storage integrated with an HVAC system can reduce the energy cost by 7 % while obtaining a similar indoor thermal comfort level compared to the HVAC heating setpoint control without PCM storage. The payback time of HVAC with PCM is seven years compared to HVAC system without PCM. The cost reduction of energy flexibility of the system is relatively limited because the electricity transmission cost and electricity tax account for 80% of the total electricity cost in Denmark.&quot;,&quot;publisher&quot;:&quot;Elsevier&quot;},&quot;isTemporary&quot;:false}]},{&quot;citationID&quot;:&quot;MENDELEY_CITATION_47533ebb-e73f-4128-af7e-f1ac9f53736b&quot;,&quot;properties&quot;:{&quot;noteIndex&quot;:0},&quot;isEdited&quot;:false,&quot;manualOverride&quot;:{&quot;isManuallyOverridden&quot;:false,&quot;citeprocText&quot;:&quot;[156]&quot;,&quot;manualOverrideText&quot;:&quot;&quot;},&quot;citationTag&quot;:&quot;MENDELEY_CITATION_v3_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&quot;,&quot;citationItems&quot;:[{&quot;id&quot;:&quot;f01f8033-5096-3418-bdd4-b32c41dcd5ff&quot;,&quot;itemData&quot;:{&quot;type&quot;:&quot;article-journal&quot;,&quot;id&quot;:&quot;f01f8033-5096-3418-bdd4-b32c41dcd5ff&quot;,&quot;title&quot;:&quot;Experimental and numerical study of PCM storage integrated with HVAC system for energy flexibility&quot;,&quot;author&quot;:[{&quot;family&quot;:&quot;Hu&quot;,&quot;given&quot;:&quot;Yue&quot;,&quot;parse-names&quot;:false,&quot;dropping-particle&quot;:&quot;&quot;,&quot;non-dropping-particle&quot;:&quot;&quot;},{&quot;family&quot;:&quot;Heiselberg&quot;,&quot;given&quot;:&quot;Per Kvols&quot;,&quot;parse-names&quot;:false,&quot;dropping-particle&quot;:&quot;&quot;,&quot;non-dropping-particle&quot;:&quot;&quot;},{&quot;family&quot;:&quot;Drivsholm&quot;,&quot;given&quot;:&quot;Christian&quot;,&quot;parse-names&quot;:false,&quot;dropping-particle&quot;:&quot;&quot;,&quot;non-dropping-particle&quot;:&quot;&quot;},{&quot;family&quot;:&quot;Søvsø&quot;,&quot;given&quot;:&quot;Asger Skød&quot;,&quot;parse-names&quot;:false,&quot;dropping-particle&quot;:&quot;&quot;,&quot;non-dropping-particle&quot;:&quot;&quot;},{&quot;family&quot;:&quot;Vogler-Finck&quot;,&quot;given&quot;:&quot;Pierre J.C.&quot;,&quot;parse-names&quot;:false,&quot;dropping-particle&quot;:&quot;&quot;,&quot;non-dropping-particle&quot;:&quot;&quot;},{&quot;family&quot;:&quot;Kronby&quot;,&quot;given&quot;:&quot;Kim&quot;,&quot;parse-names&quot;:false,&quot;dropping-particle&quot;:&quot;&quot;,&quot;non-dropping-particle&quot;:&quot;&quot;}],&quot;container-title&quot;:&quot;Energy and Buildings&quot;,&quot;container-title-short&quot;:&quot;Energy Build&quot;,&quot;accessed&quot;:{&quot;date-parts&quot;:[[2021,12,5]]},&quot;DOI&quot;:&quot;10.1016/j.enbuild.2021.111651&quot;,&quot;ISSN&quot;:&quot;03787788&quot;,&quot;URL&quot;:&quot;https://linkinghub.elsevier.com/retrieve/pii/S037877882100935X&quot;,&quot;issued&quot;:{&quot;date-parts&quot;:[[2021,11,6]]},&quot;page&quot;:&quot;111651&quot;,&quot;abstract&quot;:&quot;This paper presents both experimental and numerical studies of PCM storage integrated with an HVAC system. The experiments focus on PCM storage in 3 different sizes, and study the temperature change in the PCM storage during the charge and discharge period, the impact of the PCM quantity on the charge and discharge rates of the PCM storage and the impact of the discharge air temperature and airflow rate on the discharge rate. The main conclusions are that the temperature effectiveness of the PCM storage depends more on the PCM quantity than the discharge inlet air temperature and airflow rate. The air path in the PCM storage should not be too long to achieve the longer PCM activation in time. The storage with 36 pieces of PCM plates and latent storage capacity of 5.23 MJ can be charged/discharged fast, with high and stable outlet air temperature (above 28 °C for 3 hours), especially during the discharge period. The most promising configuration of the experimental study was chosen for a numerical study the energy flexibility of the HVAC system without PCM and with PCM. A model of the PCM storage integrated with an HVAC system is built with EnergyPlus and validated by experimental data. The study concluded that the HVAC heating setpoint control based on the electricity price without PCM storage has limited cost-saving potential due to the high electricity transmission and tax cost. The PCM storage integrated with an HVAC system can reduce the energy cost by 7 % while obtaining a similar indoor thermal comfort level compared to the HVAC heating setpoint control without PCM storage. The payback time of HVAC with PCM is seven years compared to HVAC system without PCM. The cost reduction of energy flexibility of the system is relatively limited because the electricity transmission cost and electricity tax account for 80% of the total electricity cost in Denmark.&quot;,&quot;publisher&quot;:&quot;Elsevier&quot;},&quot;isTemporary&quot;:false}]},{&quot;citationID&quot;:&quot;MENDELEY_CITATION_741bf048-04e3-414e-970d-ddba22b88ddf&quot;,&quot;properties&quot;:{&quot;noteIndex&quot;:0},&quot;isEdited&quot;:false,&quot;manualOverride&quot;:{&quot;isManuallyOverridden&quot;:false,&quot;citeprocText&quot;:&quot;[45]&quot;,&quot;manualOverrideText&quot;:&quot;&quot;},&quot;citationTag&quot;:&quot;MENDELEY_CITATION_v3_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&quot;,&quot;citationItems&quot;:[{&quot;id&quot;:&quot;a385f523-aac2-3ef1-8f0c-1fdc0d8078ae&quot;,&quot;itemData&quot;:{&quot;type&quot;:&quot;article-journal&quot;,&quot;id&quot;:&quot;a385f523-aac2-3ef1-8f0c-1fdc0d8078ae&quot;,&quot;title&quot;:&quot;Free cooling potential of a PCM-based heat exchanger coupled with a novel HVAC system for simultaneous heating and cooling of buildings&quot;,&quot;author&quot;:[{&quot;family&quot;:&quot;Maccarini&quot;,&quot;given&quot;:&quot;Alessandro&quot;,&quot;parse-names&quot;:false,&quot;dropping-particle&quot;:&quot;&quot;,&quot;non-dropping-particle&quot;:&quot;&quot;},{&quot;family&quot;:&quot;Hultmark&quot;,&quot;given&quot;:&quot;Göran&quot;,&quot;parse-names&quot;:false,&quot;dropping-particle&quot;:&quot;&quot;,&quot;non-dropping-particle&quot;:&quot;&quot;},{&quot;family&quot;:&quot;Bergsøe&quot;,&quot;given&quot;:&quot;Niels C.&quot;,&quot;parse-names&quot;:false,&quot;dropping-particle&quot;:&quot;&quot;,&quot;non-dropping-particle&quot;:&quot;&quot;},{&quot;family&quot;:&quot;Afshari&quot;,&quot;given&quot;:&quot;Alireza&quot;,&quot;parse-names&quot;:false,&quot;dropping-particle&quot;:&quot;&quot;,&quot;non-dropping-particle&quot;:&quot;&quot;}],&quot;container-title&quot;:&quot;Sustainable Cities and Society&quot;,&quot;container-title-short&quot;:&quot;Sustain Cities Soc&quot;,&quot;accessed&quot;:{&quot;date-parts&quot;:[[2021,7,6]]},&quot;DOI&quot;:&quot;10.1016/j.scs.2018.06.016&quot;,&quot;ISSN&quot;:&quot;22106707&quot;,&quot;issued&quot;:{&quot;date-parts&quot;:[[2018,10,1]]},&quot;page&quot;:&quot;384-395&quot;,&quot;abstract&quot;:&quot;This article presents a simulation-based study that estimates the primary energy use of a novel HVAC system for different configurations of a thermal plant. The main characteristic of the system is its ability to provide simultaneous heating and cooling to buildings by using a single hydronic circuit with water temperatures of about 22 °C all year round. Four different configurations of the thermal plant were analyzed. A district heating-cooling network was considered as baseline. Other configurations included the use of a reversible air-to-water heat pump coupled with free cooling devices. In particular, a model of a PCM-based heat exchanger was developed in this work by using the programming language Modelica. This device was designed to store cold energy during night-time and release it during daytime through the water circuit. Results for a typical office building model showed that the integration of free cooling devices can significantly reduce the primary energy use of the novel HVAC system. In particular, the thermal plant configuration including the PCM-based heat exchanger made it possible to almost completely avoid the use of mechanical cooling, leading to annual primary energy savings of about 67% when compared with the baseline thermal plant configuration.&quot;,&quot;publisher&quot;:&quot;Elsevier&quot;,&quot;volume&quot;:&quot;42&quot;},&quot;isTemporary&quot;:false}]},{&quot;citationID&quot;:&quot;MENDELEY_CITATION_e1ec5994-62f4-4e72-a30b-e304c0b0f28e&quot;,&quot;properties&quot;:{&quot;noteIndex&quot;:0},&quot;isEdited&quot;:false,&quot;manualOverride&quot;:{&quot;citeprocText&quot;:&quot;[49], [52]&quot;,&quot;isManuallyOverridden&quot;:false,&quot;manualOverrideText&quot;:&quot;&quot;},&quot;citationTag&quot;:&quot;MENDELEY_CITATION_v3_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&quot;,&quot;citationItems&quot;:[{&quot;id&quot;:&quot;43755a20-cb71-300c-983e-e3b3c930db5c&quot;,&quot;itemData&quot;:{&quot;type&quot;:&quot;webpage&quot;,&quot;id&quot;:&quot;43755a20-cb71-300c-983e-e3b3c930db5c&quot;,&quot;title&quot;:&quot;\&quot;Use of Energy in the United States Explained.\&quot; US Energy Information Administration.&quot;,&quot;author&quot;:[{&quot;family&quot;:&quot;U.S. Energy Information Administration EIA&quot;,&quot;given&quot;:&quot;&quot;,&quot;parse-names&quot;:false,&quot;dropping-particle&quot;:&quot;&quot;,&quot;non-dropping-particle&quot;:&quot;&quot;}],&quot;container-title&quot;:&quot;EIA&quot;,&quot;accessed&quot;:{&quot;date-parts&quot;:[[2019,7,13]]},&quot;URL&quot;:&quot;https://www.eia.gov/energyexplained/index.php?page=us_energy_homes&quot;,&quot;issued&quot;:{&quot;date-parts&quot;:[[2019]]},&quot;container-title-short&quot;:&quot;&quot;},&quot;uris&quot;:[&quot;http://www.mendeley.com/documents/?uuid=43755a20-cb71-300c-983e-e3b3c930db5c&quot;],&quot;isTemporary&quot;:false,&quot;legacyDesktopId&quot;:&quot;43755a20-cb71-300c-983e-e3b3c930db5c&quot;},{&quot;id&quot;:&quot;63d2c176-a92a-3bc9-a0db-2365276e2ebb&quot;,&quot;itemData&quot;:{&quot;type&quot;:&quot;report&quot;,&quot;id&quot;:&quot;63d2c176-a92a-3bc9-a0db-2365276e2ebb&quot;,&quot;title&quot;:&quot;Residential Energy Consumption Survey (RECS) 2015 Consumption and Expenditures Technical Documentation Summary&quot;,&quot;author&quot;:[{&quot;family&quot;:&quot;U.S. Energy Information Administration EIA&quot;,&quot;given&quot;:&quot;&quot;,&quot;parse-names&quot;:false,&quot;dropping-particle&quot;:&quot;&quot;,&quot;non-dropping-particle&quot;:&quot;&quot;}],&quot;accessed&quot;:{&quot;date-parts&quot;:[[2019,7,13]]},&quot;URL&quot;:&quot;https://www.eia.gov/consumption/residential/reports/2015/methodology_c&amp;e/&quot;,&quot;issued&quot;:{&quot;date-parts&quot;:[[2015]]},&quot;publisher-place&quot;:&quot;Washington, DC&quot;,&quot;container-title-short&quot;:&quot;&quot;},&quot;uris&quot;:[&quot;http://www.mendeley.com/documents/?uuid=63d2c176-a92a-3bc9-a0db-2365276e2ebb&quot;],&quot;isTemporary&quot;:false,&quot;legacyDesktopId&quot;:&quot;63d2c176-a92a-3bc9-a0db-2365276e2ebb&quot;}]},{&quot;citationID&quot;:&quot;MENDELEY_CITATION_4e8f7a89-0286-4b8a-aff8-1277034ce5cf&quot;,&quot;properties&quot;:{&quot;noteIndex&quot;:0},&quot;isEdited&quot;:false,&quot;manualOverride&quot;:{&quot;citeprocText&quot;:&quot;[54]–[57]&quot;,&quot;isManuallyOverridden&quot;:false,&quot;manualOverrideText&quot;:&quot;&quot;},&quot;citationTag&quot;:&quot;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&quot;,&quot;citationItems&quot;:[{&quot;id&quot;:&quot;921f7cea-abfd-3024-9bf3-34341891c4b8&quot;,&quot;itemData&quot;:{&quot;type&quot;:&quot;article-journal&quot;,&quot;id&quot;:&quot;921f7cea-abfd-3024-9bf3-34341891c4b8&quot;,&quot;title&quot;:&quot;Energy flexible buildings: A methodology for rating the flexibility performance of buildings with electric heating and cooling systems&quot;,&quot;author&quot;:[{&quot;family&quot;:&quot;Arteconi&quot;,&quot;given&quot;:&quot;Alessia&quot;,&quot;parse-names&quot;:false,&quot;dropping-particle&quot;:&quot;&quot;,&quot;non-dropping-particle&quot;:&quot;&quot;},{&quot;family&quot;:&quot;Mugnini&quot;,&quot;given&quot;:&quot;Alice&quot;,&quot;parse-names&quot;:false,&quot;dropping-particle&quot;:&quot;&quot;,&quot;non-dropping-particle&quot;:&quot;&quot;},{&quot;family&quot;:&quot;Polonara&quot;,&quot;given&quot;:&quot;Fabio&quot;,&quot;parse-names&quot;:false,&quot;dropping-particle&quot;:&quot;&quot;,&quot;non-dropping-particle&quot;:&quot;&quot;}],&quot;container-title&quot;:&quot;Applied Energy&quot;,&quot;DOI&quot;:&quot;10.1016/j.apenergy.2019.113387&quot;,&quot;ISSN&quot;:&quot;03062619&quot;,&quot;URL&quot;:&quot;https://doi.org/10.1016/j.apenergy.2019.113387&quot;,&quot;issued&quot;:{&quot;date-parts&quot;:[[2019]]},&quot;page&quot;:&quot;113387&quot;,&quot;abstract&quot;:&quot;In the present energy scenario, buildings are playing more and more as energy prosumers. They can use and produce energy and also actively manage their energy demand. The energy flexibility quantifies their potential to adjust the energy demand on the basis of external requests. The objective of this paper is to propose a method for buildings energy flexibility labelling at design conditions in the same fashion as the energy performance label. The flexibility quantification is based on the calculation of four flexibility parameters, which contribute to the definition of the Flexibility Performance Indicator. In order to assess the Flexibility Performance Indicator, buildings dynamic simulations are necessary and the boundary conditions (i.e. demand response event, representative day, comfort constraints)to be considered during the evaluation are provided as part of the proposed methodology. The method was applied to different Italian buildings, which differ for geographic location and design specifications and, in particular, the effects of building structure, heating/cooling systems and energy storage systems were compared. Results show that the climatic conditions affect the flexibility performance, while the building feature more relevant is the thermal mass of the building envelope, more than that provided by the distribution system. A sensitivity analysis to evaluate how the results are influenced by the proposed boundary conditions was also performed. Their choice confirms to have a relevant impact on flexibility quantification, then their unique definition has a paramount importance within this methodology.&quot;,&quot;publisher&quot;:&quot;Elsevier&quot;,&quot;issue&quot;:&quot;May&quot;,&quot;volume&quot;:&quot;251&quot;,&quot;container-title-short&quot;:&quot;Appl Energy&quot;},&quot;uris&quot;:[&quot;http://www.mendeley.com/documents/?uuid=6015d6d3-70a5-42c4-b85e-987bd934a7e5&quot;],&quot;isTemporary&quot;:false,&quot;legacyDesktopId&quot;:&quot;6015d6d3-70a5-42c4-b85e-987bd934a7e5&quot;},{&quot;id&quot;:&quot;8dbe7071-64ad-3736-bff4-ec0a75304982&quot;,&quot;itemData&quot;:{&quot;type&quot;:&quot;article-journal&quot;,&quot;id&quot;:&quot;8dbe7071-64ad-3736-bff4-ec0a75304982&quot;,&quot;title&quot;:&quot;Characterizing the energy flexibility of buildings and districts&quot;,&quot;author&quot;:[{&quot;family&quot;:&quot;Junker&quot;,&quot;given&quot;:&quot;Rune Grønborg&quot;,&quot;parse-names&quot;:false,&quot;dropping-particle&quot;:&quot;&quot;,&quot;non-dropping-particle&quot;:&quot;&quot;},{&quot;family&quot;:&quot;Azar&quot;,&quot;given&quot;:&quot;Armin Ghasem&quot;,&quot;parse-names&quot;:false,&quot;dropping-particle&quot;:&quot;&quot;,&quot;non-dropping-particle&quot;:&quot;&quot;},{&quot;family&quot;:&quot;Lopes&quot;,&quot;given&quot;:&quot;Rui Amaral&quot;,&quot;parse-names&quot;:false,&quot;dropping-particle&quot;:&quot;&quot;,&quot;non-dropping-particle&quot;:&quot;&quot;},{&quot;family&quot;:&quot;Lindberg&quot;,&quot;given&quot;:&quot;Karen Byskov&quot;,&quot;parse-names&quot;:false,&quot;dropping-particle&quot;:&quot;&quot;,&quot;non-dropping-particle&quot;:&quot;&quot;},{&quot;family&quot;:&quot;Reynders&quot;,&quot;given&quot;:&quot;Glenn&quot;,&quot;parse-names&quot;:false,&quot;dropping-particle&quot;:&quot;&quot;,&quot;non-dropping-particle&quot;:&quot;&quot;},{&quot;family&quot;:&quot;Relan&quot;,&quot;given&quot;:&quot;Rishi&quot;,&quot;parse-names&quot;:false,&quot;dropping-particle&quot;:&quot;&quot;,&quot;non-dropping-particle&quot;:&quot;&quot;},{&quot;family&quot;:&quot;Madsen&quot;,&quot;given&quot;:&quot;Henrik&quot;,&quot;parse-names&quot;:false,&quot;dropping-particle&quot;:&quot;&quot;,&quot;non-dropping-particle&quot;:&quot;&quot;}],&quot;container-title&quot;:&quot;Applied Energy&quot;,&quot;DOI&quot;:&quot;10.1016/j.apenergy.2018.05.037&quot;,&quot;ISSN&quot;:&quot;03062619&quot;,&quot;URL&quot;:&quot;https://doi.org/10.1016/j.apenergy.2018.05.037&quot;,&quot;issued&quot;:{&quot;date-parts&quot;:[[2018]]},&quot;page&quot;:&quot;175-182&quot;,&quot;abstract&quot;:&quot;The large penetration rate of renewable energy sources leads to challenges in planning and controlling the energy production, transmission, and distribution in power systems. A potential solution is found in a paradigm shift from traditional supply control to demand control. To address such changes, a first step lays in a formal and robust characterization of the energy flexibility on the demand side. The most common way to characterize the energy flexibility is by considering it as a static function at every time instant. The validity of this approach is questionable because energy-based systems are never at steady-state. Therefore, in this paper, a novel methodology to characterize the energy flexibility as a dynamic function is proposed, which is titled as the Flexibility Function. The Flexibility Function brings new possibilities for enabling the grid operators or other operators to control the demand through the use of penalty signals (e.g., price, CO2, etc.). For instance, CO2-based controllers can be used to accelerate the transition to a fossil-free society. Contrary to previous static approaches to quantify Energy Flexibility, the dynamic nature of the Flexibility Function enables a Flexibility Index, which describes to which extent a building is able to respond to the grid's need for flexibility. In order to validate the proposed methodologies, a case study is presented, demonstrating how different Flexibility Functions enable the utilization of the flexibility in different types of buildings, which are integrated with renewable energies.&quot;,&quot;publisher&quot;:&quot;Elsevier&quot;,&quot;issue&quot;:&quot;April&quot;,&quot;volume&quot;:&quot;225&quot;,&quot;container-title-short&quot;:&quot;Appl Energy&quot;},&quot;uris&quot;:[&quot;http://www.mendeley.com/documents/?uuid=a9b8fbaa-2b3c-4070-8cb0-46cc8896e94d&quot;],&quot;isTemporary&quot;:false,&quot;legacyDesktopId&quot;:&quot;a9b8fbaa-2b3c-4070-8cb0-46cc8896e94d&quot;},{&quot;id&quot;:&quot;0ffd8964-bb25-39d7-a882-3c5990107ac7&quot;,&quot;itemData&quot;:{&quot;type&quot;:&quot;article&quot;,&quot;id&quot;:&quot;0ffd8964-bb25-39d7-a882-3c5990107ac7&quot;,&quot;title&quot;:&quot;Measures to improve energy demand flexibility in buildings for demand response (DR): A review&quot;,&quot;author&quot;:[{&quot;family&quot;:&quot;Chen&quot;,&quot;given&quot;:&quot;Yongbao&quot;,&quot;parse-names&quot;:false,&quot;dropping-particle&quot;:&quot;&quot;,&quot;non-dropping-particle&quot;:&quot;&quot;},{&quot;family&quot;:&quot;Xu&quot;,&quot;given&quot;:&quot;Peng&quot;,&quot;parse-names&quot;:false,&quot;dropping-particle&quot;:&quot;&quot;,&quot;non-dropping-particle&quot;:&quot;&quot;},{&quot;family&quot;:&quot;Gu&quot;,&quot;given&quot;:&quot;Jiefan&quot;,&quot;parse-names&quot;:false,&quot;dropping-particle&quot;:&quot;&quot;,&quot;non-dropping-particle&quot;:&quot;&quot;},{&quot;family&quot;:&quot;Schmidt&quot;,&quot;given&quot;:&quot;Ferdinand&quot;,&quot;parse-names&quot;:false,&quot;dropping-particle&quot;:&quot;&quot;,&quot;non-dropping-particle&quot;:&quot;&quot;},{&quot;family&quot;:&quot;Li&quot;,&quot;given&quot;:&quot;Weilin&quot;,&quot;parse-names&quot;:false,&quot;dropping-particle&quot;:&quot;&quot;,&quot;non-dropping-particle&quot;:&quot;&quot;}],&quot;container-title&quot;:&quot;Energy and Buildings&quot;,&quot;accessed&quot;:{&quot;date-parts&quot;:[[2020,4,20]]},&quot;DOI&quot;:&quot;10.1016/j.enbuild.2018.08.003&quot;,&quot;ISSN&quot;:&quot;03787788&quot;,&quot;issued&quot;:{&quot;date-parts&quot;:[[2018,10,15]]},&quot;page&quot;:&quot;125-139&quot;,&quot;abstract&quot;:&quot;This paper classifies and discusses the energy flexibility improvement strategies for demand responsive control in grid-interactive buildings based on a comprehensive study of the literature. Both supply and demand sides are considered. The flexibility measures range from renewable energy such as photovoltaic cells (PV) and wind to heating, ventilation, and air conditioning (HVAC) systems, energy storage, building thermal mass, appliances, and occupant behaviors. Currently, owing to the highly developed smart appliances and sensing communication techniques, DR is considered as an essential measure for improving energy flexibility in buildings without much additional investment. With the help of advanced demand response (DR) control strategies and measures, buildings can become more flexible in terms of power demand from the power grid. In this way, buildings achieve a better ability to balance differences in energy supply and demand. Furthermore, a synergistic approach with various measures is advisable, e.g., the use of energy storage technologies with PV and passive DR methods. This paper summarizes the measures for improving the flexibility of commercial and residential buildings, and develops a systematic methodology framework to evaluate energy demand flexibility in buildings.&quot;,&quot;publisher&quot;:&quot;Elsevier Ltd&quot;,&quot;volume&quot;:&quot;177&quot;,&quot;container-title-short&quot;:&quot;Energy Build&quot;},&quot;uris&quot;:[&quot;http://www.mendeley.com/documents/?uuid=0ffd8964-bb25-39d7-a882-3c5990107ac7&quot;],&quot;isTemporary&quot;:false,&quot;legacyDesktopId&quot;:&quot;0ffd8964-bb25-39d7-a882-3c5990107ac7&quot;},{&quot;id&quot;:&quot;560e10f1-4af0-373e-8a0c-dcc5f8a6a8ea&quot;,&quot;itemData&quot;:{&quot;type&quot;:&quot;article-journal&quot;,&quot;id&quot;:&quot;560e10f1-4af0-373e-8a0c-dcc5f8a6a8ea&quot;,&quot;title&quot;:&quot;IEA EBC Annex 67 Energy Flexible Buildings&quot;,&quot;author&quot;:[{&quot;family&quot;:&quot;Jensen&quot;,&quot;given&quot;:&quot;Søren Østergaard&quot;,&quot;parse-names&quot;:false,&quot;dropping-particle&quot;:&quot;&quot;,&quot;non-dropping-particle&quot;:&quot;&quot;},{&quot;family&quot;:&quot;Marszal-Pomianowska&quot;,&quot;given&quot;:&quot;Anna&quot;,&quot;parse-names&quot;:false,&quot;dropping-particle&quot;:&quot;&quot;,&quot;non-dropping-particle&quot;:&quot;&quot;},{&quot;family&quot;:&quot;Lollini&quot;,&quot;given&quot;:&quot;Roberto&quot;,&quot;parse-names&quot;:false,&quot;dropping-particle&quot;:&quot;&quot;,&quot;non-dropping-particle&quot;:&quot;&quot;},{&quot;family&quot;:&quot;Pasut&quot;,&quot;given&quot;:&quot;Wilmer&quot;,&quot;parse-names&quot;:false,&quot;dropping-particle&quot;:&quot;&quot;,&quot;non-dropping-particle&quot;:&quot;&quot;},{&quot;family&quot;:&quot;Knotzer&quot;,&quot;given&quot;:&quot;Armin&quot;,&quot;parse-names&quot;:false,&quot;dropping-particle&quot;:&quot;&quot;,&quot;non-dropping-particle&quot;:&quot;&quot;},{&quot;family&quot;:&quot;Engelmann&quot;,&quot;given&quot;:&quot;Peter&quot;,&quot;parse-names&quot;:false,&quot;dropping-particle&quot;:&quot;&quot;,&quot;non-dropping-particle&quot;:&quot;&quot;},{&quot;family&quot;:&quot;Stafford&quot;,&quot;given&quot;:&quot;Anne&quot;,&quot;parse-names&quot;:false,&quot;dropping-particle&quot;:&quot;&quot;,&quot;non-dropping-particle&quot;:&quot;&quot;},{&quot;family&quot;:&quot;Reynders&quot;,&quot;given&quot;:&quot;Glenn&quot;,&quot;parse-names&quot;:false,&quot;dropping-particle&quot;:&quot;&quot;,&quot;non-dropping-particle&quot;:&quot;&quot;}],&quot;container-title&quot;:&quot;Energy and Buildings&quot;,&quot;accessed&quot;:{&quot;date-parts&quot;:[[2020,4,20]]},&quot;DOI&quot;:&quot;10.1016/j.enbuild.2017.08.044&quot;,&quot;ISSN&quot;:&quot;03787788&quot;,&quot;issued&quot;:{&quot;date-parts&quot;:[[2017,11,15]]},&quot;page&quot;:&quot;25-34&quot;,&quot;abstract&quot;:&quot;The increasing global energy demand, the foreseen reduction of available fossil fuels and the increasing evidence off global warming during the last decades have generated a high interest in renewable energy sources. However, renewable energy sources, such as wind and solar power, have an intrinsic variability that can seriously affect the stability of the energy system if they account for a high percentage of the total generation. The Energy Flexibility of buildings is commonly suggested as part of the solution to alleviate some of the upcoming challenges in the future demand-respond energy systems (electrical, district heating and gas grids). Buildings can supply flexibility services in different ways, e.g. utilization of thermal mass, adjustability of HVAC system use (e.g. heating/cooling/ventilation), charging of electric vehicles, and shifting of plug-loads. However, there is currently no overview or insight into how much Energy Flexibility different building may be able to offer to the future energy systems in the sense of avoiding excess energy production, increase the stability of the energy networks, minimize congestion problems, enhance the efficiency and cost effectiveness of the future energy networks. Therefore, there is a need for increasing knowledge on and demonstration of the Energy Flexibility buildings can provide to energy networks. At the same time, there is a need for identifying critical aspects and possible solutions to manage this Energy Flexibility, while maintaining the comfort of the occupants and minimizing the use of non-renewable energy. In this context, the IEA (International Energy Agency) EBC (Energy in Buildings and Communities program) Annex 67: “Energy Flexible Buildings” was started in 2015. The article presents the background and the work plan of IEA EBC Annex 67 as well as already obtained results. Annex 67 is a corporation between participants from 16 countries: Austria, Belgium, Canada, China, Denmark, Finland, France, Germany, Ireland, Italy, The Netherlands, Norway, Portugal, Spain, Switzerland and UK.&quot;,&quot;publisher&quot;:&quot;Elsevier Ltd&quot;,&quot;volume&quot;:&quot;155&quot;,&quot;container-title-short&quot;:&quot;Energy Build&quot;},&quot;uris&quot;:[&quot;http://www.mendeley.com/documents/?uuid=560e10f1-4af0-373e-8a0c-dcc5f8a6a8ea&quot;],&quot;isTemporary&quot;:false,&quot;legacyDesktopId&quot;:&quot;560e10f1-4af0-373e-8a0c-dcc5f8a6a8ea&quot;}]},{&quot;citationID&quot;:&quot;MENDELEY_CITATION_7270f49c-4f43-4d7f-9092-be7bfdb9b1f8&quot;,&quot;properties&quot;:{&quot;noteIndex&quot;:0},&quot;isEdited&quot;:false,&quot;manualOverride&quot;:{&quot;citeprocText&quot;:&quot;[53]&quot;,&quot;isManuallyOverridden&quot;:false,&quot;manualOverrideText&quot;:&quot;&quot;},&quot;citationTag&quot;:&quot;MENDELEY_CITATION_v3_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&quot;,&quot;citationItems&quot;:[{&quot;id&quot;:&quot;e4bfb859-da82-3a59-84a3-5de6091299fb&quot;,&quot;itemData&quot;:{&quot;type&quot;:&quot;report&quot;,&quot;id&quot;:&quot;e4bfb859-da82-3a59-84a3-5de6091299fb&quot;,&quot;title&quot;:&quot;Grid-interactive Efficient Buildings Technical Report Series: Heating, Ventilation, and Air Conditioning (HVAC); Water Heating; Appliances; and Refrigeration&quot;,&quot;author&quot;:[{&quot;family&quot;:&quot;Goetzler&quot;,&quot;given&quot;:&quot;Bill&quot;,&quot;parse-names&quot;:false,&quot;dropping-particle&quot;:&quot;&quot;,&quot;non-dropping-particle&quot;:&quot;&quot;},{&quot;family&quot;:&quot;Guernsey&quot;,&quot;given&quot;:&quot;Matt&quot;,&quot;parse-names&quot;:false,&quot;dropping-particle&quot;:&quot;&quot;,&quot;non-dropping-particle&quot;:&quot;&quot;},{&quot;family&quot;:&quot;Kassuga&quot;,&quot;given&quot;:&quot;Theo&quot;,&quot;parse-names&quot;:false,&quot;dropping-particle&quot;:&quot;&quot;,&quot;non-dropping-particle&quot;:&quot;&quot;}],&quot;accessed&quot;:{&quot;date-parts&quot;:[[2020,6,2]]},&quot;issued&quot;:{&quot;date-parts&quot;:[[2019]]},&quot;container-title-short&quot;:&quot;&quot;},&quot;uris&quot;:[&quot;http://www.mendeley.com/documents/?uuid=e4bfb859-da82-3a59-84a3-5de6091299fb&quot;],&quot;isTemporary&quot;:false,&quot;legacyDesktopId&quot;:&quot;e4bfb859-da82-3a59-84a3-5de6091299fb&quot;}]},{&quot;citationID&quot;:&quot;MENDELEY_CITATION_92147590-3eeb-49c5-af32-b05622013846&quot;,&quot;properties&quot;:{&quot;noteIndex&quot;:0},&quot;isEdited&quot;:false,&quot;manualOverride&quot;:{&quot;isManuallyOverridden&quot;:false,&quot;citeprocText&quot;:&quot;[1]&quot;,&quot;manualOverrideText&quot;:&quot;&quot;},&quot;citationTag&quot;:&quot;MENDELEY_CITATION_v3_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&quot;,&quot;citationItems&quot;:[{&quot;id&quot;:&quot;120b1b1d-d017-3375-9e86-adfedb999be9&quot;,&quot;itemData&quot;:{&quot;type&quot;:&quot;report&quot;,&quot;id&quot;:&quot;120b1b1d-d017-3375-9e86-adfedb999be9&quot;,&quot;title&quot;:&quot;Annual Energy Outlook 2020&quot;,&quot;author&quot;:[{&quot;family&quot;:&quot;U.S. EIA&quot;,&quot;given&quot;:&quot;&quot;,&quot;parse-names&quot;:false,&quot;dropping-particle&quot;:&quot;&quot;,&quot;non-dropping-particle&quot;:&quot;&quot;}],&quot;accessed&quot;:{&quot;date-parts&quot;:[[2020,4,19]]},&quot;URL&quot;:&quot;https://www.eia.gov/outlooks/aeo/&quot;,&quot;issued&quot;:{&quot;date-parts&quot;:[[2020]]},&quot;number-of-pages&quot;:&quot;1-161&quot;,&quot;container-title-short&quot;:&quot;&quot;},&quot;isTemporary&quot;:false}]},{&quot;citationID&quot;:&quot;MENDELEY_CITATION_0d10ccbf-1d2d-4940-9725-b3adc7a52db1&quot;,&quot;properties&quot;:{&quot;noteIndex&quot;:0},&quot;isEdited&quot;:false,&quot;manualOverride&quot;:{&quot;isManuallyOverridden&quot;:false,&quot;citeprocText&quot;:&quot;[159]&quot;,&quot;manualOverrideText&quot;:&quot;&quot;},&quot;citationTag&quot;:&quot;MENDELEY_CITATION_v3_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&quot;,&quot;citationItems&quot;:[{&quot;id&quot;:&quot;6f008bd5-f537-3f7d-940f-a3dd01ac236e&quot;,&quot;itemData&quot;:{&quot;type&quot;:&quot;webpage&quot;,&quot;id&quot;:&quot;6f008bd5-f537-3f7d-940f-a3dd01ac236e&quot;,&quot;title&quot;:&quot;U.S. Energy Information Administration - EIA - Independent Statistics and Analysis&quot;,&quot;accessed&quot;:{&quot;date-parts&quot;:[[2022,4,25]]},&quot;URL&quot;:&quot;https://www.eia.gov/todayinenergy/detail.php?id=44556&quot;,&quot;container-title-short&quot;:&quot;&quot;},&quot;isTemporary&quot;:false}]},{&quot;citationID&quot;:&quot;MENDELEY_CITATION_c9d2ccba-6f75-437c-bde1-7da4a9db79e6&quot;,&quot;properties&quot;:{&quot;noteIndex&quot;:0},&quot;isEdited&quot;:false,&quot;manualOverride&quot;:{&quot;citeprocText&quot;:&quot;[92]&quot;,&quot;isManuallyOverridden&quot;:false,&quot;manualOverrideText&quot;:&quot;&quot;},&quot;citationTag&quot;:&quot;MENDELEY_CITATION_v3_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&quot;,&quot;citationItems&quot;:[{&quot;id&quot;:&quot;a3ecfc8f-cc3a-3633-b1ca-9bd928ad0926&quot;,&quot;itemData&quot;:{&quot;type&quot;:&quot;article-journal&quot;,&quot;id&quot;:&quot;a3ecfc8f-cc3a-3633-b1ca-9bd928ad0926&quot;,&quot;title&quot;:&quot;Improving the Use of Commercial Building HVAC Systems for Electric Grid Ancillary Services&quot;,&quot;author&quot;:[{&quot;family&quot;:&quot;Blum&quot;,&quot;given&quot;:&quot;David H&quot;,&quot;parse-names&quot;:false,&quot;dropping-particle&quot;:&quot;&quot;,&quot;non-dropping-particle&quot;:&quot;&quot;}],&quot;issued&quot;:{&quot;date-parts&quot;:[[2016]]},&quot;container-title-short&quot;:&quot;&quot;},&quot;uris&quot;:[&quot;http://www.mendeley.com/documents/?uuid=4e331be0-499d-4c5e-bf6f-a884466fada3&quot;],&quot;isTemporary&quot;:false,&quot;legacyDesktopId&quot;:&quot;4e331be0-499d-4c5e-bf6f-a884466fada3&quot;}]},{&quot;citationID&quot;:&quot;MENDELEY_CITATION_59ea45cb-996b-43c0-bdfd-f6b7b28950a2&quot;,&quot;properties&quot;:{&quot;noteIndex&quot;:0},&quot;isEdited&quot;:false,&quot;manualOverride&quot;:{&quot;isManuallyOverridden&quot;:false,&quot;citeprocText&quot;:&quot;[23]&quot;,&quot;manualOverrideText&quot;:&quot;&quot;},&quot;citationTag&quot;:&quot;MENDELEY_CITATION_v3_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&quot;,&quot;citationItems&quot;:[{&quot;id&quot;:&quot;a99d46fa-950a-3fd3-904d-7caca65d5bdc&quot;,&quot;itemData&quot;:{&quot;type&quot;:&quot;article-magazine&quot;,&quot;id&quot;:&quot;a99d46fa-950a-3fd3-904d-7caca65d5bdc&quot;,&quot;title&quot;:&quot;The State of Art of Heat-Pump integrated Thermal Energy Storage for Demand Response&quot;,&quot;author&quot;:[{&quot;family&quot;:&quot;Sultan&quot;,&quot;given&quot;:&quot;Sara&quot;,&quot;parse-names&quot;:false,&quot;dropping-particle&quot;:&quot;&quot;,&quot;non-dropping-particle&quot;:&quot;&quot;},{&quot;family&quot;:&quot;Gluesenkamp&quot;,&quot;given&quot;:&quot;Kyle R&quot;,&quot;parse-names&quot;:false,&quot;dropping-particle&quot;:&quot;&quot;,&quot;non-dropping-particle&quot;:&quot;&quot;},{&quot;family&quot;:&quot;States&quot;,&quot;given&quot;:&quot;United&quot;,&quot;parse-names&quot;:false,&quot;dropping-particle&quot;:&quot;&quot;,&quot;non-dropping-particle&quot;:&quot;&quot;}],&quot;container-title&quot;:&quot;IEA Heat Pump Technologies Magazine&quot;,&quot;DOI&quot;:&quot;https://doi.org/10.23697/62tr-nt79&quot;,&quot;URL&quot;:&quot;https://heatpumpingtechnologies.org/publications/the-state-of-art-of-heat-pump-integrated-thermal-energy-storage-for-demand-response/&quot;,&quot;issued&quot;:{&quot;date-parts&quot;:[[2021]]},&quot;page&quot;:&quot;27-30&quot;,&quot;issue&quot;:&quot;2&quot;,&quot;volume&quot;:&quot;40&quot;,&quot;container-title-short&quot;:&quot;&quot;},&quot;isTemporary&quot;:false}]},{&quot;citationID&quot;:&quot;MENDELEY_CITATION_3017413a-3396-40f1-9efc-d6413fbf33e9&quot;,&quot;properties&quot;:{&quot;noteIndex&quot;:0},&quot;isEdited&quot;:false,&quot;manualOverride&quot;:{&quot;citeprocText&quot;:&quot;[98]&quot;,&quot;isManuallyOverridden&quot;:false,&quot;manualOverrideText&quot;:&quot;&quot;},&quot;citationTag&quot;:&quot;MENDELEY_CITATION_v3_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&quot;,&quot;citationItems&quot;:[{&quot;id&quot;:&quot;d7b26c7b-1c1d-318b-aa6f-e73df662ff8e&quot;,&quot;itemData&quot;:{&quot;type&quot;:&quot;article-journal&quot;,&quot;id&quot;:&quot;d7b26c7b-1c1d-318b-aa6f-e73df662ff8e&quot;,&quot;title&quot;:&quot;Life-cycle cost benefit analysis and optimal design of small scale active storage system for building demand limiting&quot;,&quot;author&quot;:[{&quot;family&quot;:&quot;Cui&quot;,&quot;given&quot;:&quot;Borui&quot;,&quot;parse-names&quot;:false,&quot;dropping-particle&quot;:&quot;&quot;,&quot;non-dropping-particle&quot;:&quot;&quot;},{&quot;family&quot;:&quot;Wang&quot;,&quot;given&quot;:&quot;Shengwei&quot;,&quot;parse-names&quot;:false,&quot;dropping-particle&quot;:&quot;&quot;,&quot;non-dropping-particle&quot;:&quot;&quot;},{&quot;family&quot;:&quot;Sun&quot;,&quot;given&quot;:&quot;Yongjun&quot;,&quot;parse-names&quot;:false,&quot;dropping-particle&quot;:&quot;&quot;,&quot;non-dropping-particle&quot;:&quot;&quot;}],&quot;container-title&quot;:&quot;Energy&quot;,&quot;accessed&quot;:{&quot;date-parts&quot;:[[2019,7,13]]},&quot;DOI&quot;:&quot;10.1016/j.energy.2014.06.084&quot;,&quot;ISSN&quot;:&quot;03605442&quot;,&quot;URL&quot;:&quot;https://www.sciencedirect.com/science/article/abs/pii/S036054421400783X?via%3Dihub&quot;,&quot;issued&quot;:{&quot;date-parts&quot;:[[2014,8,14]]},&quot;page&quot;:&quot;787-800&quot;,&quot;abstract&quot;:&quot;This paper presents a quantitative analysis on the life-cycle cost saving potentials of active cold storage systems concerning the operational cost, initial investment and the space cost. A simulation-based optimal design method is developed and used to optimize the storage capacity and analyze the impact of the capacity on the life-cycle cost saving potentials. Using the actual load profiles of three real buildings of different sizes, the life-cycle cost saving potentials under demand limiting control are investigated under Hong Kong electricity price structure. The optimal storage capacities, monthly/annual operational cost savings and corresponding peak demand set-points are obtained from using the marginal decision rule. Results show that small scale storages can offer substantial annual net cost saving. In addition, it can help the grid to achieve higher grid power reliability by enhancing the demand response ability of buildings. © 2014 Elsevier Ltd.&quot;,&quot;publisher&quot;:&quot;Pergamon&quot;,&quot;volume&quot;:&quot;73&quot;,&quot;container-title-short&quot;:&quot;&quot;},&quot;uris&quot;:[&quot;http://www.mendeley.com/documents/?uuid=d7b26c7b-1c1d-318b-aa6f-e73df662ff8e&quot;],&quot;isTemporary&quot;:false,&quot;legacyDesktopId&quot;:&quot;d7b26c7b-1c1d-318b-aa6f-e73df662ff8e&quot;}]},{&quot;citationID&quot;:&quot;MENDELEY_CITATION_c4e97ce9-2711-4e76-8a48-963d78f966ee&quot;,&quot;properties&quot;:{&quot;noteIndex&quot;:0},&quot;isEdited&quot;:false,&quot;manualOverride&quot;:{&quot;citeprocText&quot;:&quot;[3]&quot;,&quot;isManuallyOverridden&quot;:false,&quot;manualOverrideText&quot;:&quot;&quot;},&quot;citationTag&quot;:&quot;MENDELEY_CITATION_v3_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&quot;,&quot;citationItems&quot;:[{&quot;id&quot;:&quot;d58303d9-4049-3b21-b4ce-c77cfc399f52&quot;,&quot;itemData&quot;:{&quot;type&quot;:&quot;paper-conference&quot;,&quot;id&quot;:&quot;d58303d9-4049-3b21-b4ce-c77cfc399f52&quot;,&quot;title&quot;:&quot;Novel PCM Integration with Electrical Heat Pump for Demand Response&quot;,&quot;author&quot;:[{&quot;family&quot;:&quot;Dong&quot;,&quot;given&quot;:&quot;Jin&quot;,&quot;parse-names&quot;:false,&quot;dropping-particle&quot;:&quot;&quot;,&quot;non-dropping-particle&quot;:&quot;&quot;},{&quot;family&quot;:&quot;Shen&quot;,&quot;given&quot;:&quot;Bo&quot;,&quot;parse-names&quot;:false,&quot;dropping-particle&quot;:&quot;&quot;,&quot;non-dropping-particle&quot;:&quot;&quot;},{&quot;family&quot;:&quot;Munk&quot;,&quot;given&quot;:&quot;Jeffrey&quot;,&quot;parse-names&quot;:false,&quot;dropping-particle&quot;:&quot;&quot;,&quot;non-dropping-particle&quot;:&quot;&quot;},{&quot;family&quot;:&quot;Gluesenkamp&quot;,&quot;given&quot;:&quot;Kyle R.&quot;,&quot;parse-names&quot;:false,&quot;dropping-particle&quot;:&quot;&quot;,&quot;non-dropping-particle&quot;:&quot;&quot;},{&quot;family&quot;:&quot;Laclair&quot;,&quot;given&quot;:&quot;Tim&quot;,&quot;parse-names&quot;:false,&quot;dropping-particle&quot;:&quot;&quot;,&quot;non-dropping-particle&quot;:&quot;&quot;},{&quot;family&quot;:&quot;Kuruganti&quot;,&quot;given&quot;:&quot;Teja&quot;,&quot;parse-names&quot;:false,&quot;dropping-particle&quot;:&quot;&quot;,&quot;non-dropping-particle&quot;:&quot;&quot;}],&quot;container-title&quot;:&quot;IEEE Power and Energy Society General Meeting&quot;,&quot;DOI&quot;:&quot;10.1109/PESGM40551.2019.8973936&quot;,&quot;ISBN&quot;:&quot;9781728119816&quot;,&quot;ISSN&quot;:&quot;19449933&quot;,&quot;issued&quot;:{&quot;date-parts&quot;:[[2019]]},&quot;abstract&quot;:&quot;In this paper, we examine the potential for using phase change material (PCM) as a thermal storage medium for improving the efficiency as well as enabling grid-responsive control of heat pump (HP) systems. Previous research in PCM integration in buildings has primarily been focused on integration with building envelopes. An objective of our research is to design a novel and practical PCM integration with existing HP systems. High-fidelity models for building, HP and PCM are developed to facilitate the model-based predictive control (MPC) design. To optimize the operation of HP and PCM, we introduce an optimization problem considering various constraints for both comfort and hardware constraints. We include experimental results in which a house fleet are optimized to minimize their power consumption or electricity cost. We numerically demonstrate the designs potential for reducing power consumption or electricity cost by 13% or 19%, respectively.&quot;,&quot;container-title-short&quot;:&quot;&quot;},&quot;uris&quot;:[&quot;http://www.mendeley.com/documents/?uuid=a85cbfa5-0df7-4e10-9431-26967e90678b&quot;],&quot;isTemporary&quot;:false,&quot;legacyDesktopId&quot;:&quot;a85cbfa5-0df7-4e10-9431-26967e90678b&quot;}]},{&quot;citationID&quot;:&quot;MENDELEY_CITATION_8b1d7ce9-e639-4f4f-b716-00e5c91efcc7&quot;,&quot;properties&quot;:{&quot;noteIndex&quot;:0},&quot;isEdited&quot;:false,&quot;manualOverride&quot;:{&quot;citeprocText&quot;:&quot;[102]&quot;,&quot;isManuallyOverridden&quot;:false,&quot;manualOverrideText&quot;:&quot;&quot;},&quot;citationTag&quot;:&quot;MENDELEY_CITATION_v3_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&quot;,&quot;citationItems&quot;:[{&quot;id&quot;:&quot;8fe182e0-75e3-3ef1-8dd5-122be9dad358&quot;,&quot;itemData&quot;:{&quot;type&quot;:&quot;book&quot;,&quot;id&quot;:&quot;8fe182e0-75e3-3ef1-8dd5-122be9dad358&quot;,&quot;title&quot;:&quot;Thermal Energy Storage Using Phase Change Materials&quot;,&quot;author&quot;:[{&quot;family&quot;:&quot;Fleischer&quot;,&quot;given&quot;:&quot;Amy S.&quot;,&quot;parse-names&quot;:false,&quot;dropping-particle&quot;:&quot;&quot;,&quot;non-dropping-particle&quot;:&quot;&quot;}],&quot;collection-title&quot;:&quot;SpringerBriefs in Applied Sciences and Technology&quot;,&quot;accessed&quot;:{&quot;date-parts&quot;:[[2019,7,18]]},&quot;DOI&quot;:&quot;10.1007/978-3-319-20922-7&quot;,&quot;ISBN&quot;:&quot;978-3-319-20921-0&quot;,&quot;URL&quot;:&quot;http://link.springer.com/10.1007/978-3-319-20922-7&quot;,&quot;issued&quot;:{&quot;date-parts&quot;:[[2015]]},&quot;publisher-place&quot;:&quot;Cham&quot;,&quot;publisher&quot;:&quot;Springer International Publishing&quot;,&quot;container-title-short&quot;:&quot;&quot;},&quot;uris&quot;:[&quot;http://www.mendeley.com/documents/?uuid=8fe182e0-75e3-3ef1-8dd5-122be9dad358&quot;],&quot;isTemporary&quot;:false,&quot;legacyDesktopId&quot;:&quot;8fe182e0-75e3-3ef1-8dd5-122be9dad358&quot;}]},{&quot;citationID&quot;:&quot;MENDELEY_CITATION_afa88f5b-2e20-401b-a5b1-a636b01d70fa&quot;,&quot;properties&quot;:{&quot;noteIndex&quot;:0},&quot;isEdited&quot;:false,&quot;manualOverride&quot;:{&quot;citeprocText&quot;:&quot;[103]&quot;,&quot;isManuallyOverridden&quot;:false,&quot;manualOverrideText&quot;:&quot;&quot;},&quot;citationTag&quot;:&quot;MENDELEY_CITATION_v3_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&quot;,&quot;citationItems&quot;:[{&quot;id&quot;:&quot;fbe18e71-147b-396d-8f94-4aeb3d90b28b&quot;,&quot;itemData&quot;:{&quot;type&quot;:&quot;article-journal&quot;,&quot;id&quot;:&quot;fbe18e71-147b-396d-8f94-4aeb3d90b28b&quot;,&quot;title&quot;:&quot;A comprehensive review of thermal energy storage&quot;,&quot;author&quot;:[{&quot;family&quot;:&quot;Sarbu&quot;,&quot;given&quot;:&quot;Ioan&quot;,&quot;parse-names&quot;:false,&quot;dropping-particle&quot;:&quot;&quot;,&quot;non-dropping-particle&quot;:&quot;&quot;},{&quot;family&quot;:&quot;Sebarchievici&quot;,&quot;given&quot;:&quot;Calin&quot;,&quot;parse-names&quot;:false,&quot;dropping-particle&quot;:&quot;&quot;,&quot;non-dropping-particle&quot;:&quot;&quot;}],&quot;container-title&quot;:&quot;Sustainability (Switzerland)&quot;,&quot;DOI&quot;:&quot;10.3390/su10010191&quot;,&quot;ISSN&quot;:&quot;20711050&quot;,&quot;issued&quot;:{&quot;date-parts&quot;:[[2018]]},&quot;abstract&quot;:&quot;© 2018 by the authors. Thermal energy storage (TES) is a technology that stocks thermal energy by heating or cooling a storage medium so that the stored energy can be used at a later time for heating and cooling applications and power generation. TES systems are used particularly in buildings and in industrial processes. This paper is focused on TES technologies that provide a way of valorizing solar heat and reducing the energy demand of buildings. The principles of several energy storage methods and calculation of storage capacities are described. Sensible heat storage technologies, including water tank, underground, and packed-bed storage methods, are briefly reviewed. Additionally, latent-heat storage systems associated with phase-change materials for use in solar heating/cooling of buildings, solar water heating, heat-pump systems, and concentrating sola r power plants as well as thermo-chemical storage are discussed. Finally, cool thermal energy storage is also briefly reviewed and outstanding information on the performance and costs of TES systems are included.&quot;,&quot;issue&quot;:&quot;1&quot;,&quot;volume&quot;:&quot;10&quot;,&quot;container-title-short&quot;:&quot;&quot;},&quot;uris&quot;:[&quot;http://www.mendeley.com/documents/?uuid=43c59663-3f37-4423-849e-edb1b7e9771c&quot;],&quot;isTemporary&quot;:false,&quot;legacyDesktopId&quot;:&quot;43c59663-3f37-4423-849e-edb1b7e9771c&quot;}]},{&quot;citationID&quot;:&quot;MENDELEY_CITATION_47d01762-712e-4608-9ced-178acfd594d4&quot;,&quot;properties&quot;:{&quot;noteIndex&quot;:0},&quot;isEdited&quot;:false,&quot;manualOverride&quot;:{&quot;citeprocText&quot;:&quot;[121]&quot;,&quot;isManuallyOverridden&quot;:false,&quot;manualOverrideText&quot;:&quot;&quot;},&quot;citationTag&quot;:&quot;MENDELEY_CITATION_v3_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&quot;,&quot;citationItems&quot;:[{&quot;id&quot;:&quot;8a4230c8-3490-3a19-a30b-007fa473089e&quot;,&quot;itemData&quot;:{&quot;type&quot;:&quot;article-journal&quot;,&quot;id&quot;:&quot;8a4230c8-3490-3a19-a30b-007fa473089e&quot;,&quot;title&quot;:&quot;Free cooling of a building using PCM heat storage integrated into the ventilation system&quot;,&quot;author&quot;:[{&quot;family&quot;:&quot;Arkar&quot;,&quot;given&quot;:&quot;C.&quot;,&quot;parse-names&quot;:false,&quot;dropping-particle&quot;:&quot;&quot;,&quot;non-dropping-particle&quot;:&quot;&quot;},{&quot;family&quot;:&quot;Medved&quot;,&quot;given&quot;:&quot;S.&quot;,&quot;parse-names&quot;:false,&quot;dropping-particle&quot;:&quot;&quot;,&quot;non-dropping-particle&quot;:&quot;&quot;}],&quot;container-title&quot;:&quot;Solar Energy&quot;,&quot;accessed&quot;:{&quot;date-parts&quot;:[[2020,5,1]]},&quot;DOI&quot;:&quot;10.1016/j.solener.2007.01.010&quot;,&quot;ISSN&quot;:&quot;0038092X&quot;,&quot;issued&quot;:{&quot;date-parts&quot;:[[2007,9]]},&quot;page&quot;:&quot;1078-1087&quot;,&quot;abstract&quot;:&quot;This article presents a study of the free cooling of a low-energy building using a latent-heat thermal energy storage (LHTES) device integrated into a mechanical ventilation system. The cylindrical LHTES device was filled with spheres of encapsulated RT20 paraffin, a phase-change material (PCM). A numerical model of the LHTES was developed to identify the parameters that have an influence on the LHTES's thermal response, to determine the optimum phase-change temperature and to form the LHTES's temperature-response function. The last of these defines the LHTES's outlet-air temperature for a periodic variation of the inlet ambient-air temperature and the defined operating conditions. The temperature-response function was then integrated into the TRNSYS building thermal response model. Numerical simulations showed that a PCM with a melting temperature between 20 and 22 °C is the most suitable for free cooling in the case of a continental climate. The analyses of the temperatures in a low-energy building showed that free cooling with an LHTES is an effective cooling technique. Suitable thermal comfort conditions in the presented case-study building could be achieved using an LHTES with 6.4 kg of PCM per square metre of floor area. © 2007 Elsevier Ltd. All rights reserved.&quot;,&quot;issue&quot;:&quot;9&quot;,&quot;volume&quot;:&quot;81&quot;,&quot;container-title-short&quot;:&quot;&quot;},&quot;uris&quot;:[&quot;http://www.mendeley.com/documents/?uuid=8a4230c8-3490-3a19-a30b-007fa473089e&quot;],&quot;isTemporary&quot;:false,&quot;legacyDesktopId&quot;:&quot;8a4230c8-3490-3a19-a30b-007fa473089e&quot;}]},{&quot;citationID&quot;:&quot;MENDELEY_CITATION_7f51a736-5852-446a-b34f-480475498f9e&quot;,&quot;properties&quot;:{&quot;noteIndex&quot;:0},&quot;isEdited&quot;:false,&quot;manualOverride&quot;:{&quot;citeprocText&quot;:&quot;[160]&quot;,&quot;isManuallyOverridden&quot;:false,&quot;manualOverrideText&quot;:&quot;&quot;},&quot;citationTag&quot;:&quot;MENDELEY_CITATION_v3_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&quot;,&quot;citationItems&quot;:[{&quot;id&quot;:&quot;190dbe38-1ec3-3999-bb17-9c17dc4498bf&quot;,&quot;itemData&quot;:{&quot;type&quot;:&quot;article-journal&quot;,&quot;id&quot;:&quot;190dbe38-1ec3-3999-bb17-9c17dc4498bf&quot;,&quot;title&quot;:&quot;Utilization of latent heat storage unit for comfort ventilation of buildings in hot and dry climates&quot;,&quot;author&quot;:[{&quot;family&quot;:&quot;Waqas&quot;,&quot;given&quot;:&quot;A.&quot;,&quot;parse-names&quot;:false,&quot;dropping-particle&quot;:&quot;&quot;,&quot;non-dropping-particle&quot;:&quot;&quot;},{&quot;family&quot;:&quot;Kumar&quot;,&quot;given&quot;:&quot;S.&quot;,&quot;parse-names&quot;:false,&quot;dropping-particle&quot;:&quot;&quot;,&quot;non-dropping-particle&quot;:&quot;&quot;}],&quot;container-title&quot;:&quot;International Journal of Green Energy&quot;,&quot;DOI&quot;:&quot;10.1080/15435075.2010.529406&quot;,&quot;ISSN&quot;:&quot;15435075&quot;,&quot;issued&quot;:{&quot;date-parts&quot;:[[2011]]},&quot;page&quot;:&quot;1-24&quot;,&quot;abstract&quot;:&quot;In hot and dry climatic conditions of South Asia, summer night temperatures are low, and phase change material (PCM) based heat storage technique could be used as heat sink to reduce ambient air temperature during hot day times, as an alternate of current ventilation techniques for the building sector. This can help in reducing electricity consumption and consequently reducing green house gas emissions. This study presents the analysis of PCM storage unit using cooler night temperatures for charging of storage material and later acting as a heat sink for hot ambient air during day time in hot and dry climatic conditions. The influence of air flow rates and melting point of PCM on the availability of comfort temperatures at storage unit outlet has been studied. The results clearly indicate the feasibility of PCM storage unit as a heat sink to keep ambient air within comfort limits during the hot day time in summer season. When the PCM melting temperature is equal to the comfort temperature of the hottest summer month, the storage unit performance is maximized for all the months during the summer season. Copyright © Taylor  &amp;  Francis Group, LLC.&quot;,&quot;issue&quot;:&quot;1&quot;,&quot;volume&quot;:&quot;8&quot;,&quot;container-title-short&quot;:&quot;Int J Green Energy&quot;},&quot;uris&quot;:[&quot;http://www.mendeley.com/documents/?uuid=03b2f320-6007-4c07-935e-0b76159a9a1a&quot;],&quot;isTemporary&quot;:false,&quot;legacyDesktopId&quot;:&quot;03b2f320-6007-4c07-935e-0b76159a9a1a&quot;}]},{&quot;citationID&quot;:&quot;MENDELEY_CITATION_24d6bdff-56f9-4ec0-b988-91393e1189e7&quot;,&quot;properties&quot;:{&quot;noteIndex&quot;:0},&quot;isEdited&quot;:false,&quot;manualOverride&quot;:{&quot;citeprocText&quot;:&quot;[161]–[170]&quot;,&quot;isManuallyOverridden&quot;:false,&quot;manualOverrideText&quot;:&quot;&quot;},&quot;citationTag&quot;:&quot;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&quot;,&quot;citationItems&quot;:[{&quot;id&quot;:&quot;3526a1ec-6afd-3172-b57c-8eba8709ad48&quot;,&quot;itemData&quot;:{&quot;type&quot;:&quot;article-journal&quot;,&quot;id&quot;:&quot;3526a1ec-6afd-3172-b57c-8eba8709ad48&quot;,&quot;title&quot;:&quot;A methodology for investigating the effectiveness of PCM wallboards for summer thermal comfort in buildings&quot;,&quot;author&quot;:[{&quot;family&quot;:&quot;Evola&quot;,&quot;given&quot;:&quot;G.&quot;,&quot;parse-names&quot;:false,&quot;dropping-particle&quot;:&quot;&quot;,&quot;non-dropping-particle&quot;:&quot;&quot;},{&quot;family&quot;:&quot;Marletta&quot;,&quot;given&quot;:&quot;L.&quot;,&quot;parse-names&quot;:false,&quot;dropping-particle&quot;:&quot;&quot;,&quot;non-dropping-particle&quot;:&quot;&quot;},{&quot;family&quot;:&quot;Sicurella&quot;,&quot;given&quot;:&quot;F.&quot;,&quot;parse-names&quot;:false,&quot;dropping-particle&quot;:&quot;&quot;,&quot;non-dropping-particle&quot;:&quot;&quot;}],&quot;container-title&quot;:&quot;Building and Environment&quot;,&quot;accessed&quot;:{&quot;date-parts&quot;:[[2021,9,2]]},&quot;DOI&quot;:&quot;10.1016/j.buildenv.2012.09.021&quot;,&quot;ISSN&quot;:&quot;03601323&quot;,&quot;issued&quot;:{&quot;date-parts&quot;:[[2013,1,1]]},&quot;page&quot;:&quot;517-527&quot;,&quot;abstract&quot;:&quot;The present paper describes a methodology for the comprehensive evaluation of the effectiveness of Phase Change Materials (PCMs) for the improvement of summer thermal comfort in lightweight buildings. To this aim, a series of indicators is firstly introduced, that allow a precise description of both the PCM behaviour (frequency of melting, storage efficiency) and the intensity and duration of the thermal comfort perceived by the occupants. Then a case study is proposed, based on simulations, that consists in the application of newly developed wallboards, containing organic PCMs, on the partition walls of a lightweight office building. The approach presented in the study can be useful for assisting the detection of the most appropriate PCM and its installation pattern as a function of the climatic operating conditions and of the comfort requirements. © 2012 Elsevier Ltd.&quot;,&quot;publisher&quot;:&quot;Pergamon&quot;,&quot;volume&quot;:&quot;59&quot;,&quot;container-title-short&quot;:&quot;Build Environ&quot;},&quot;uris&quot;:[&quot;http://www.mendeley.com/documents/?uuid=3526a1ec-6afd-3172-b57c-8eba8709ad48&quot;],&quot;isTemporary&quot;:false,&quot;legacyDesktopId&quot;:&quot;3526a1ec-6afd-3172-b57c-8eba8709ad48&quot;},{&quot;id&quot;:&quot;a1654460-9dc6-3427-b9b3-4071c048b03a&quot;,&quot;itemData&quot;:{&quot;type&quot;:&quot;article-journal&quot;,&quot;id&quot;:&quot;a1654460-9dc6-3427-b9b3-4071c048b03a&quot;,&quot;title&quot;:&quot;Energy saving potential of phase change materials in major Australian cities&quot;,&quot;author&quot;:[{&quot;family&quot;:&quot;Alam&quot;,&quot;given&quot;:&quot;Morshed&quot;,&quot;parse-names&quot;:false,&quot;dropping-particle&quot;:&quot;&quot;,&quot;non-dropping-particle&quot;:&quot;&quot;},{&quot;family&quot;:&quot;Jamil&quot;,&quot;given&quot;:&quot;Hasnat&quot;,&quot;parse-names&quot;:false,&quot;dropping-particle&quot;:&quot;&quot;,&quot;non-dropping-particle&quot;:&quot;&quot;},{&quot;family&quot;:&quot;Sanjayan&quot;,&quot;given&quot;:&quot;Jay&quot;,&quot;parse-names&quot;:false,&quot;dropping-particle&quot;:&quot;&quot;,&quot;non-dropping-particle&quot;:&quot;&quot;},{&quot;family&quot;:&quot;Wilson&quot;,&quot;given&quot;:&quot;John&quot;,&quot;parse-names&quot;:false,&quot;dropping-particle&quot;:&quot;&quot;,&quot;non-dropping-particle&quot;:&quot;&quot;}],&quot;container-title&quot;:&quot;Energy and Buildings&quot;,&quot;accessed&quot;:{&quot;date-parts&quot;:[[2021,9,2]]},&quot;DOI&quot;:&quot;10.1016/j.enbuild.2014.04.027&quot;,&quot;ISSN&quot;:&quot;03787788&quot;,&quot;issued&quot;:{&quot;date-parts&quot;:[[2014,8,1]]},&quot;page&quot;:&quot;192-201&quot;,&quot;abstract&quot;:&quot;The potential of phase change materials (PCM) in reducing the heating/cooling energy consumption of residential houses along with several factors influencing the effectiveness of PCM were investigated using EnergyPlus. Simulations were carried out using five different phase change temperature ranges at eight Australian cities which represent six climate zones. It was found that the effectiveness of PCM strongly depends on local weather, thermostat range, PCM layer thickness and surface area. The optimum PCM melting range for lowest energy consumption in each month of the year was found to be far from unique. Different PCM was found to be effective in different times of the year. Depending on local weather, the integration of PCM resulted in 17-23% annual energy savings in the studied house except hot and humid cities like Darwin. For a given amount of PCM, energy saving potential was found to improve further with the increase of applied surface area and decrease of PCM layer thickness up to certain limit beyond which the potential started to decline. The energy saving potential was also found to decrease when the PCM melting point was outside the thermostat range of the corresponding city. The paper also presented the potential effect of climate change on the effectiveness of PCM. © 2014 Elsevier B.V.&quot;,&quot;publisher&quot;:&quot;Elsevier&quot;,&quot;volume&quot;:&quot;78&quot;,&quot;container-title-short&quot;:&quot;Energy Build&quot;},&quot;uris&quot;:[&quot;http://www.mendeley.com/documents/?uuid=a1654460-9dc6-3427-b9b3-4071c048b03a&quot;],&quot;isTemporary&quot;:false,&quot;legacyDesktopId&quot;:&quot;a1654460-9dc6-3427-b9b3-4071c048b03a&quot;},{&quot;id&quot;:&quot;a7e6fcd5-90cd-30a0-90d2-bafda0494ea8&quot;,&quot;itemData&quot;:{&quot;type&quot;:&quot;article-journal&quot;,&quot;id&quot;:&quot;a7e6fcd5-90cd-30a0-90d2-bafda0494ea8&quot;,&quot;title&quot;:&quot;Energy performance of building envelopes integrated with phase change materials for cooling load reduction in tropical Singapore&quot;,&quot;author&quot;:[{&quot;family&quot;:&quot;Lei&quot;,&quot;given&quot;:&quot;Jiawei&quot;,&quot;parse-names&quot;:false,&quot;dropping-particle&quot;:&quot;&quot;,&quot;non-dropping-particle&quot;:&quot;&quot;},{&quot;family&quot;:&quot;Yang&quot;,&quot;given&quot;:&quot;Jinglei&quot;,&quot;parse-names&quot;:false,&quot;dropping-particle&quot;:&quot;&quot;,&quot;non-dropping-particle&quot;:&quot;&quot;},{&quot;family&quot;:&quot;Yang&quot;,&quot;given&quot;:&quot;En Hua&quot;,&quot;parse-names&quot;:false,&quot;dropping-particle&quot;:&quot;&quot;,&quot;non-dropping-particle&quot;:&quot;&quot;}],&quot;container-title&quot;:&quot;Applied Energy&quot;,&quot;accessed&quot;:{&quot;date-parts&quot;:[[2021,9,2]]},&quot;DOI&quot;:&quot;10.1016/j.apenergy.2015.10.031&quot;,&quot;ISSN&quot;:&quot;03062619&quot;,&quot;issued&quot;:{&quot;date-parts&quot;:[[2016,1,15]]},&quot;page&quot;:&quot;207-217&quot;,&quot;abstract&quot;:&quot;Phase change materials (PCMs) are capable to absorb massive heat during a phase transition in a narrow temperature range, which have great potential to be incorporated into building envelopes to prevent heat penetration into buildings and reduce cooling loads. The efficiency and selection of PCMs, however, are highly subject to the climate where they are applied. This study focused on the energy performance of building envelopes integrated with PCMs for cooling load reduction in tropical climate through numerical simulations. Studies were carried out to reveal the efficacy and factors that govern the performance of the PCM addition for cooling load reduction in Singapore. The results showed that PCM can effectively reduce heat gains through building envelopes throughout the whole year, indicating the significant advantage of the use of PCMs in tropics over other regions where PCMs are only effective in certain seasons. The selection of PCM with suitable phase change temperature is critical. PCMs applied to the exterior surfaces of walls showed better performance and the optimum phase change temperature is the lowest temperature allowing the full melting-solidification cycle of the entire PCM layer. A larger phase change temperature range improves the adaptivity of the PCMs to temperature variations, but may compromise the largest energy savings that the PCMs can achieve. While thicker PCM layer reduces heat gains through building envelope, thinner PCM layer shows higher efficiency and cost benefits.&quot;,&quot;publisher&quot;:&quot;Elsevier&quot;,&quot;volume&quot;:&quot;162&quot;,&quot;container-title-short&quot;:&quot;Appl Energy&quot;},&quot;uris&quot;:[&quot;http://www.mendeley.com/documents/?uuid=a7e6fcd5-90cd-30a0-90d2-bafda0494ea8&quot;],&quot;isTemporary&quot;:false,&quot;legacyDesktopId&quot;:&quot;a7e6fcd5-90cd-30a0-90d2-bafda0494ea8&quot;},{&quot;id&quot;:&quot;a78f813f-d9aa-36f3-b6aa-b8f6b2a3bba4&quot;,&quot;itemData&quot;:{&quot;type&quot;:&quot;article-journal&quot;,&quot;id&quot;:&quot;a78f813f-d9aa-36f3-b6aa-b8f6b2a3bba4&quot;,&quot;title&quot;:&quot;Simulation-based optimization of PCM melting temperature to improve the energy performance in buildings&quot;,&quot;author&quot;:[{&quot;family&quot;:&quot;Saffari&quot;,&quot;given&quot;:&quot;Mohammad&quot;,&quot;parse-names&quot;:false,&quot;dropping-particle&quot;:&quot;&quot;,&quot;non-dropping-particle&quot;:&quot;&quot;},{&quot;family&quot;:&quot;Gracia&quot;,&quot;given&quot;:&quot;Alvaro&quot;,&quot;parse-names&quot;:false,&quot;dropping-particle&quot;:&quot;&quot;,&quot;non-dropping-particle&quot;:&quot;de&quot;},{&quot;family&quot;:&quot;Fernández&quot;,&quot;given&quot;:&quot;Cèsar&quot;,&quot;parse-names&quot;:false,&quot;dropping-particle&quot;:&quot;&quot;,&quot;non-dropping-particle&quot;:&quot;&quot;},{&quot;family&quot;:&quot;Cabeza&quot;,&quot;given&quot;:&quot;Luisa F.&quot;,&quot;parse-names&quot;:false,&quot;dropping-particle&quot;:&quot;&quot;,&quot;non-dropping-particle&quot;:&quot;&quot;}],&quot;container-title&quot;:&quot;Applied Energy&quot;,&quot;accessed&quot;:{&quot;date-parts&quot;:[[2021,8,31]]},&quot;DOI&quot;:&quot;10.1016/j.apenergy.2017.05.107&quot;,&quot;ISSN&quot;:&quot;03062619&quot;,&quot;issued&quot;:{&quot;date-parts&quot;:[[2017,9,15]]},&quot;page&quot;:&quot;420-434&quot;,&quot;abstract&quot;:&quot;Globally, a considerable amount of energy is consumed by the building sector. The building envelope can highly influence the energy consumption in buildings. In this regard, innovative technologies such as thermal energy storage (TES) can help to boost the energy efficiency and to reduce the CO2 emissions in this sector. The use of phase change materials (PCM), due to its high heat capacity, has been the centre of attention of many researchers. A considerable number of papers have been published on the application of PCM as passive system in building envelopes. Researches have shown that choosing the PCM melting temperature in different climate conditions is a key factor to improve the energy performance in buildings. In the present paper, a simulation-based optimization methodology will be presented by coupling EnergyPlus and GenOpt with an innovative enthalpy-temperature (h-T) function to define the optimum PCM peak melting temperature to enhance the cooling, heating, and the annual total heating and cooling energy performance of a residential building in various climate conditions based on Köppen-Geiger classification. Results show that in a cooling dominant climate the best PCM melting temperature to reduce the annual energy consumption is close to the maximum of 26 °C (melting range of 24–28 °C), whereas in heating dominant climates PCM with lower melting temperature of 20 °C (melting range of 18–22 °C) yields higher annual energy benefits. Moreover, it was found that the proper selection of PCM melting temperature in each climate zone can lead to notable energy savings for cooling energy consumption, heating energy consumption, and total annual energy consumption.&quot;,&quot;publisher&quot;:&quot;Elsevier&quot;,&quot;volume&quot;:&quot;202&quot;,&quot;container-title-short&quot;:&quot;Appl Energy&quot;},&quot;uris&quot;:[&quot;http://www.mendeley.com/documents/?uuid=a78f813f-d9aa-36f3-b6aa-b8f6b2a3bba4&quot;],&quot;isTemporary&quot;:false,&quot;legacyDesktopId&quot;:&quot;a78f813f-d9aa-36f3-b6aa-b8f6b2a3bba4&quot;},{&quot;id&quot;:&quot;4b6e881a-bf57-3b06-9d4a-581b75054293&quot;,&quot;itemData&quot;:{&quot;type&quot;:&quot;article-journal&quot;,&quot;id&quot;:&quot;4b6e881a-bf57-3b06-9d4a-581b75054293&quot;,&quot;title&quot;:&quot;Multi-objective optimization of energy performance of a building considering different configurations and types of PCM&quot;,&quot;author&quot;:[{&quot;family&quot;:&quot;Markarian&quot;,&quot;given&quot;:&quot;Elin&quot;,&quot;parse-names&quot;:false,&quot;dropping-particle&quot;:&quot;&quot;,&quot;non-dropping-particle&quot;:&quot;&quot;},{&quot;family&quot;:&quot;Fazelpour&quot;,&quot;given&quot;:&quot;Farivar&quot;,&quot;parse-names&quot;:false,&quot;dropping-particle&quot;:&quot;&quot;,&quot;non-dropping-particle&quot;:&quot;&quot;}],&quot;container-title&quot;:&quot;Solar Energy&quot;,&quot;accessed&quot;:{&quot;date-parts&quot;:[[2021,8,31]]},&quot;DOI&quot;:&quot;10.1016/j.solener.2019.09.003&quot;,&quot;ISSN&quot;:&quot;0038092X&quot;,&quot;issued&quot;:{&quot;date-parts&quot;:[[2019,10,1]]},&quot;page&quot;:&quot;481-496&quot;,&quot;abstract&quot;:&quot;Phase change materials (PCM) can be outfitted in building envelopes to not only provide thermal comfort for occupants but also trim heating, ventilation and air conditioning (HVAC) loads. However, the efficacy of PCMs depends highly on its thermo-physical properties and climatic condition. In this regard, a multi-objective optimization technique is adopted to unearth the optimal type and location of PCM that can minimize heating and cooling loads considering five cities of Iran namely Tehran, Tabriz, Bandar Abas, Shiraz and Yazd with distinctive climates. Then, the optimal PCMs are environmentally and economically assessed. The study showed that the PCM with a melting temperature of 25 °C outperforms in terms of cooling load while the PCM with a melting temperature of 21 °C favors the heating performance. Moreover, the utilization of PCM results in electricity saving of 4.5–5.5% for all the climates. On average, the annual carbon footprint is reduced by 1297 kg, 1420 kg, 2040 kg, 1027 kg, and 1248 kg for Tehran, Tabriz, Bandar Abas, Shiraz, and Yazd, respectively. The payback period was found to be more than 70 years for all the cities considering current economic conditions. However, the energy subsidies are projected to fall in the near future that may make PCM integration economically feasible.&quot;,&quot;publisher&quot;:&quot;Pergamon&quot;,&quot;volume&quot;:&quot;191&quot;,&quot;container-title-short&quot;:&quot;&quot;},&quot;uris&quot;:[&quot;http://www.mendeley.com/documents/?uuid=4b6e881a-bf57-3b06-9d4a-581b75054293&quot;],&quot;isTemporary&quot;:false,&quot;legacyDesktopId&quot;:&quot;4b6e881a-bf57-3b06-9d4a-581b75054293&quot;},{&quot;id&quot;:&quot;31725fa6-29a5-3030-95fd-b542c2259054&quot;,&quot;itemData&quot;:{&quot;type&quot;:&quot;article-journal&quot;,&quot;id&quot;:&quot;31725fa6-29a5-3030-95fd-b542c2259054&quot;,&quot;title&quot;:&quot;Experimental investigation of latent heat thermal energy storage using PCMs with different melting temperatures for building retrofit&quot;,&quot;author&quot;:[{&quot;family&quot;:&quot;Berardi&quot;,&quot;given&quot;:&quot;Umberto&quot;,&quot;parse-names&quot;:false,&quot;dropping-particle&quot;:&quot;&quot;,&quot;non-dropping-particle&quot;:&quot;&quot;},{&quot;family&quot;:&quot;Soudian&quot;,&quot;given&quot;:&quot;Shahrzad&quot;,&quot;parse-names&quot;:false,&quot;dropping-particle&quot;:&quot;&quot;,&quot;non-dropping-particle&quot;:&quot;&quot;}],&quot;container-title&quot;:&quot;Energy and Buildings&quot;,&quot;accessed&quot;:{&quot;date-parts&quot;:[[2021,9,2]]},&quot;DOI&quot;:&quot;10.1016/j.enbuild.2018.12.016&quot;,&quot;ISSN&quot;:&quot;03787788&quot;,&quot;issued&quot;:{&quot;date-parts&quot;:[[2019,2,15]]},&quot;page&quot;:&quot;180-195&quot;,&quot;abstract&quot;:&quot;Recent architectural trends in high-rise residential buildings are favoring more transparent facades with fully glazed exteriors. While aesthetically pleasing, high window to wall ratios (WWR) entail significant discomfort due to higher solar heat gains and heat losses. In this architectural context, passive latent heat thermal energy storage (LHTES) is a possible solution to regulate indoor thermal comfort by limiting the room temperature swings. This study investigates the effectiveness of adopting Phase Change Materials (PCMs) in retrofitting high-rise apartments with 80% WWR. A composite PCM system, comprised of two PCM products with melting temperatures of 21.7 °C and 25 °C is introduced to provide thermal energy storage across the year. The phase change cycle of the PCMs and their impact on indoor air and interior building surface temperatures are assessed. For this, two test cells were constructed, one acting as a baseline and another enhanced with the composite PCM system positioned on the walls and the ceiling. The results indicate improved performance of the test cell containing the composite PCM system in lowering peak indoor and surface temperatures up to 6 °C. The melting and solidification patterns of the PCMs showed a close correlation with peak solar heat gain and heat loss periods respectively. The benefits of the PCMs were more pronounced in stabilizing indoor cell temperatures in extreme conditions with sharp temperature variations. Aspects such as the effectiveness of night natural ventilation and shading design optimization were also assessed.&quot;,&quot;publisher&quot;:&quot;Elsevier&quot;,&quot;volume&quot;:&quot;185&quot;,&quot;container-title-short&quot;:&quot;Energy Build&quot;},&quot;uris&quot;:[&quot;http://www.mendeley.com/documents/?uuid=31725fa6-29a5-3030-95fd-b542c2259054&quot;],&quot;isTemporary&quot;:false,&quot;legacyDesktopId&quot;:&quot;31725fa6-29a5-3030-95fd-b542c2259054&quot;},{&quot;id&quot;:&quot;8b53f068-80b1-3fd5-ac2c-ee18ca2b27a0&quot;,&quot;itemData&quot;:{&quot;type&quot;:&quot;article-journal&quot;,&quot;id&quot;:&quot;8b53f068-80b1-3fd5-ac2c-ee18ca2b27a0&quot;,&quot;title&quot;:&quot;Improving the energy efficiency of passive PCM system using controlled natural ventilation&quot;,&quot;author&quot;:[{&quot;family&quot;:&quot;Prabhakar&quot;,&quot;given&quot;:&quot;Mohit&quot;,&quot;parse-names&quot;:false,&quot;dropping-particle&quot;:&quot;&quot;,&quot;non-dropping-particle&quot;:&quot;&quot;},{&quot;family&quot;:&quot;Saffari&quot;,&quot;given&quot;:&quot;Mohammad&quot;,&quot;parse-names&quot;:false,&quot;dropping-particle&quot;:&quot;&quot;,&quot;non-dropping-particle&quot;:&quot;&quot;},{&quot;family&quot;:&quot;Gracia&quot;,&quot;given&quot;:&quot;Alvaro&quot;,&quot;parse-names&quot;:false,&quot;dropping-particle&quot;:&quot;&quot;,&quot;non-dropping-particle&quot;:&quot;de&quot;},{&quot;family&quot;:&quot;Cabeza&quot;,&quot;given&quot;:&quot;Luisa F.&quot;,&quot;parse-names&quot;:false,&quot;dropping-particle&quot;:&quot;&quot;,&quot;non-dropping-particle&quot;:&quot;&quot;}],&quot;container-title&quot;:&quot;Energy and Buildings&quot;,&quot;accessed&quot;:{&quot;date-parts&quot;:[[2021,9,2]]},&quot;DOI&quot;:&quot;10.1016/j.enbuild.2020.110483&quot;,&quot;ISSN&quot;:&quot;03787788&quot;,&quot;issued&quot;:{&quot;date-parts&quot;:[[2020,12,1]]},&quot;page&quot;:&quot;110483&quot;,&quot;abstract&quot;:&quot;In recent years, the building sector has been responsible for continuous increase in energy consumption in the world. Space heating and cooling accounts for 34% of this energy consumption in buildings. In this context, using thermal energy storage (TES) can reduce energy consumption for space air conditioning. The use of phase change materials (PCM) as latent heat thermal energy storage (LHTES) system in the building envelope has been of great interest for passive cooling applications due to the high energy storage capacity of this technology. However, in order to utilize the full potential of a PCM, it needs to be fully charged at each cycle. Ventilation during the night is an effective method which can be used in PCM-enhanced office buildings with the aim of charging the PCM every required cycle. In the present study, PCM melting temperature of office building in various climate conditions was optimized using a simulation-based optimization and coupled with free cooling operation. Ventilation control strategies were used to improve the cooling energy performance of the PCM enhanced building integrated into envelopes. It was found that charging PCM with night ventilation, especially when using some specific control strategies of natural ventilation operated by external windows opening results in considerable cooling energy savings. The study was conducted for 15 different cities around the world. It was found that, in hot arid conditions, PCM passive cooling system was ineffective. Although, the energy savings were improved by coupling PCM and natural ventilation in these climate conditions. But the benefits were more or less similar to using natural ventilation only. On the other hand, in temperate condition, the effectiveness of PCM was increased from 3.32% to 25.62% by coupling a PCM passive system with night ventilation. It was further improved to 40% when using PCM with temperature-controlled ventilation. Moreover, it can be said that smart control of ventilation can lead to considerable energy savings.&quot;,&quot;publisher&quot;:&quot;Elsevier&quot;,&quot;volume&quot;:&quot;228&quot;,&quot;container-title-short&quot;:&quot;Energy Build&quot;},&quot;uris&quot;:[&quot;http://www.mendeley.com/documents/?uuid=8b53f068-80b1-3fd5-ac2c-ee18ca2b27a0&quot;],&quot;isTemporary&quot;:false,&quot;legacyDesktopId&quot;:&quot;8b53f068-80b1-3fd5-ac2c-ee18ca2b27a0&quot;},{&quot;id&quot;:&quot;6052fad5-23c0-32ea-a740-aa6ebad5c9a2&quot;,&quot;itemData&quot;:{&quot;type&quot;:&quot;article-journal&quot;,&quot;id&quot;:&quot;6052fad5-23c0-32ea-a740-aa6ebad5c9a2&quot;,&quot;title&quot;:&quot;Optimal control of natural ventilation as passive cooling strategy for improving the energy performance of building envelope with PCM integration&quot;,&quot;author&quot;:[{&quot;family&quot;:&quot;Piselli&quot;,&quot;given&quot;:&quot;Cristina&quot;,&quot;parse-names&quot;:false,&quot;dropping-particle&quot;:&quot;&quot;,&quot;non-dropping-particle&quot;:&quot;&quot;},{&quot;family&quot;:&quot;Prabhakar&quot;,&quot;given&quot;:&quot;Mohit&quot;,&quot;parse-names&quot;:false,&quot;dropping-particle&quot;:&quot;&quot;,&quot;non-dropping-particle&quot;:&quot;&quot;},{&quot;family&quot;:&quot;Gracia&quot;,&quot;given&quot;:&quot;Alvaro&quot;,&quot;parse-names&quot;:false,&quot;dropping-particle&quot;:&quot;&quot;,&quot;non-dropping-particle&quot;:&quot;de&quot;},{&quot;family&quot;:&quot;Saffari&quot;,&quot;given&quot;:&quot;Mohammad&quot;,&quot;parse-names&quot;:false,&quot;dropping-particle&quot;:&quot;&quot;,&quot;non-dropping-particle&quot;:&quot;&quot;},{&quot;family&quot;:&quot;Pisello&quot;,&quot;given&quot;:&quot;Anna Laura&quot;,&quot;parse-names&quot;:false,&quot;dropping-particle&quot;:&quot;&quot;,&quot;non-dropping-particle&quot;:&quot;&quot;},{&quot;family&quot;:&quot;Cabeza&quot;,&quot;given&quot;:&quot;Luisa F.&quot;,&quot;parse-names&quot;:false,&quot;dropping-particle&quot;:&quot;&quot;,&quot;non-dropping-particle&quot;:&quot;&quot;}],&quot;container-title&quot;:&quot;Renewable Energy&quot;,&quot;accessed&quot;:{&quot;date-parts&quot;:[[2021,9,2]]},&quot;DOI&quot;:&quot;10.1016/j.renene.2020.07.043&quot;,&quot;ISSN&quot;:&quot;18790682&quot;,&quot;issued&quot;:{&quot;date-parts&quot;:[[2020,12,1]]},&quot;page&quot;:&quot;171-181&quot;,&quot;abstract&quot;:&quot;Phase Change Materials have been acknowledged for their potential to be used as passive strategy for improving energy efficiency and occupants’ thermal comfort in buildings. However, their performance still needs to be enhanced to have them effectively used. In this view, this study investigates the potential improvement of PCMs performance for passive cooling application by efficient natural ventilation in residential building stock. Therefore, coupled dynamic simulation and optimization analysis is performed to explore the optimum melting temperature of PCM integrated in the external building envelope to minimize cooling loads in different Italian climate zones. Moreover, various natural ventilation control strategies are implemented to assess their influence on the process of PCM charge-discharge cycle. Results show that PCM inclusion in the building envelope provides significant cooling savings, up to about 300 kWh/year in mild climates. Furthermore, both night and temperature controlled natural ventilation are able to enhance the efficiency of PCMs thermal energy storage charge-discharge cycle. However, the optimum performance is obtained by coupling PCMs with natural ventilation controlled by indoor/outdoor temperature difference in all considered climate contexts. Accordingly, considerable building cooling energy need reduction is achievable through the optimum combination of PCMs and natural ventilation control, especially in milder climates.&quot;,&quot;publisher&quot;:&quot;Pergamon&quot;,&quot;volume&quot;:&quot;162&quot;,&quot;container-title-short&quot;:&quot;Renew Energy&quot;},&quot;uris&quot;:[&quot;http://www.mendeley.com/documents/?uuid=6052fad5-23c0-32ea-a740-aa6ebad5c9a2&quot;],&quot;isTemporary&quot;:false,&quot;legacyDesktopId&quot;:&quot;6052fad5-23c0-32ea-a740-aa6ebad5c9a2&quot;},{&quot;id&quot;:&quot;bf08b171-e77b-345f-ac1c-8d8992a94b75&quot;,&quot;itemData&quot;:{&quot;type&quot;:&quot;article-journal&quot;,&quot;id&quot;:&quot;bf08b171-e77b-345f-ac1c-8d8992a94b75&quot;,&quot;title&quot;:&quot;PCM integrated to external building walls: An optimization study on maximum activation of latent heat&quot;,&quot;author&quot;:[{&quot;family&quot;:&quot;Arıcı&quot;,&quot;given&quot;:&quot;Müslüm&quot;,&quot;parse-names&quot;:false,&quot;dropping-particle&quot;:&quot;&quot;,&quot;non-dropping-particle&quot;:&quot;&quot;},{&quot;family&quot;:&quot;Bilgin&quot;,&quot;given&quot;:&quot;Feyza&quot;,&quot;parse-names&quot;:false,&quot;dropping-particle&quot;:&quot;&quot;,&quot;non-dropping-particle&quot;:&quot;&quot;},{&quot;family&quot;:&quot;Nižetić&quot;,&quot;given&quot;:&quot;Sandro&quot;,&quot;parse-names&quot;:false,&quot;dropping-particle&quot;:&quot;&quot;,&quot;non-dropping-particle&quot;:&quot;&quot;},{&quot;family&quot;:&quot;Karabay&quot;,&quot;given&quot;:&quot;Hasan&quot;,&quot;parse-names&quot;:false,&quot;dropping-particle&quot;:&quot;&quot;,&quot;non-dropping-particle&quot;:&quot;&quot;}],&quot;container-title&quot;:&quot;Applied Thermal Engineering&quot;,&quot;accessed&quot;:{&quot;date-parts&quot;:[[2021,9,2]]},&quot;DOI&quot;:&quot;10.1016/j.applthermaleng.2019.114560&quot;,&quot;ISSN&quot;:&quot;13594311&quot;,&quot;issued&quot;:{&quot;date-parts&quot;:[[2020,1,25]]},&quot;page&quot;:&quot;114560&quot;,&quot;abstract&quot;:&quot;Integration of the phase change materials (PCM) into the external building walls is an efficient method for reduction of energy consumption and regulation of energy demands due to increasing thermal inertia of the walls. This study aims to reveal the contribution of latent heat to the thermal performance of the wall and to determine the location, thickness and melting temperature of PCM for the maximum exploitation of latent heat for different climatic conditions. A comparative study is carried out for the wall coupled with PCM and the wall with Phase Stabilized PCM (PSM) to reveal the improvement provided by the latent heat. The influence of location, fusion temperature and layer thickness of PCM on energy saving, decrement factor and time lag was examined. The annually optimized PCM fusion temperature and layer thickness which utilizes the latent heat at maximum level considering both heating and cooling loads are determined for three cities of Turkey. The computed results show that the monthly optimized PCM melting temperature and PCM layer thickness vary from 6 to 34 °C, from 1 to 20 mm depending on climatic conditions. It was concluded that an optimization study should be conducted in order to prevent PCM behaves like PSM.&quot;,&quot;publisher&quot;:&quot;Pergamon&quot;,&quot;volume&quot;:&quot;165&quot;,&quot;container-title-short&quot;:&quot;Appl Therm Eng&quot;},&quot;uris&quot;:[&quot;http://www.mendeley.com/documents/?uuid=bf08b171-e77b-345f-ac1c-8d8992a94b75&quot;],&quot;isTemporary&quot;:false,&quot;legacyDesktopId&quot;:&quot;bf08b171-e77b-345f-ac1c-8d8992a94b75&quot;},{&quot;id&quot;:&quot;c95ed18c-f458-3283-834e-f59e1e3ae5b5&quot;,&quot;itemData&quot;:{&quot;type&quot;:&quot;article-journal&quot;,&quot;id&quot;:&quot;c95ed18c-f458-3283-834e-f59e1e3ae5b5&quot;,&quot;title&quot;:&quot;Coupling optimization study of key influencing factors on PCM trombe wall for year thermal management&quot;,&quot;author&quot;:[{&quot;family&quot;:&quot;Zhu&quot;,&quot;given&quot;:&quot;Na&quot;,&quot;parse-names&quot;:false,&quot;dropping-particle&quot;:&quot;&quot;,&quot;non-dropping-particle&quot;:&quot;&quot;},{&quot;family&quot;:&quot;Deng&quot;,&quot;given&quot;:&quot;Renjie&quot;,&quot;parse-names&quot;:false,&quot;dropping-particle&quot;:&quot;&quot;,&quot;non-dropping-particle&quot;:&quot;&quot;},{&quot;family&quot;:&quot;Hu&quot;,&quot;given&quot;:&quot;Pingfang&quot;,&quot;parse-names&quot;:false,&quot;dropping-particle&quot;:&quot;&quot;,&quot;non-dropping-particle&quot;:&quot;&quot;},{&quot;family&quot;:&quot;Lei&quot;,&quot;given&quot;:&quot;Fei&quot;,&quot;parse-names&quot;:false,&quot;dropping-particle&quot;:&quot;&quot;,&quot;non-dropping-particle&quot;:&quot;&quot;},{&quot;family&quot;:&quot;Xu&quot;,&quot;given&quot;:&quot;Linghong&quot;,&quot;parse-names&quot;:false,&quot;dropping-particle&quot;:&quot;&quot;,&quot;non-dropping-particle&quot;:&quot;&quot;},{&quot;family&quot;:&quot;Jiang&quot;,&quot;given&quot;:&quot;Zhangning&quot;,&quot;parse-names&quot;:false,&quot;dropping-particle&quot;:&quot;&quot;,&quot;non-dropping-particle&quot;:&quot;&quot;}],&quot;container-title&quot;:&quot;Energy&quot;,&quot;accessed&quot;:{&quot;date-parts&quot;:[[2021,9,2]]},&quot;DOI&quot;:&quot;10.1016/j.energy.2021.121470&quot;,&quot;ISSN&quot;:&quot;03605442&quot;,&quot;issued&quot;:{&quot;date-parts&quot;:[[2021,12,1]]},&quot;page&quot;:&quot;121470&quot;,&quot;abstract&quot;:&quot;The proposed environment-interactive novel Trombe wall system was a passive building envelope integrated with phase change material (PCM) based on traditional Trombe wall. Compared with traditional Trombe wall system, this system can make full use of solar energy and nature ventilation, improving indoor thermal comfort. The dynamic heat transfer model of PCM Trombe room was established, and six key factors influencing thermal performance of PCM Trombe wall system were analyzed. Through the coupled operation of TRNSYS heat transfer model and GenOpt optimization software, the energy consumption characteristics of the system and the optimal value of the key influencing factors were analyzed and obtained. The optimal air gap thickness was 0.05 m, the optimal external sun-shading length was 0.78 m, the optimal thermal storage wall thickness was 0.68 m, the optimal vents area was 0.6 m2, the optimal melting temperature of lower temperature PCM layer was 16.5 °C, and the optimal melting temperature of higher temperature PCM layer was 27.75 °C. The annual total building load was reduced by 7.56% in optimized reference Trombe room compared with traditional Trombe wall, and the annual total building load was reduced by 13.52% in optimized PCM Trombe compared with reference Trombe wall.&quot;,&quot;publisher&quot;:&quot;Pergamon&quot;,&quot;volume&quot;:&quot;236&quot;,&quot;container-title-short&quot;:&quot;&quot;},&quot;uris&quot;:[&quot;http://www.mendeley.com/documents/?uuid=0a51906c-318c-4f01-bd01-26f5d30ac8ac&quot;],&quot;isTemporary&quot;:false,&quot;legacyDesktopId&quot;:&quot;0a51906c-318c-4f01-bd01-26f5d30ac8ac&quot;}]},{&quot;citationID&quot;:&quot;MENDELEY_CITATION_a8908c65-de7f-4235-816f-0f0dff795755&quot;,&quot;properties&quot;:{&quot;noteIndex&quot;:0},&quot;isEdited&quot;:false,&quot;manualOverride&quot;:{&quot;citeprocText&quot;:&quot;[171]&quot;,&quot;isManuallyOverridden&quot;:false,&quot;manualOverrideText&quot;:&quot;&quot;},&quot;citationTag&quot;:&quot;MENDELEY_CITATION_v3_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&quot;,&quot;citationItems&quot;:[{&quot;id&quot;:&quot;aa0f1c0c-bcfc-3e75-bb75-d5aad8f81182&quot;,&quot;itemData&quot;:{&quot;type&quot;:&quot;article-journal&quot;,&quot;id&quot;:&quot;aa0f1c0c-bcfc-3e75-bb75-d5aad8f81182&quot;,&quot;title&quot;:&quot;Parametric modeling and simulation of Low temperature energy storage for cold-climate multi-family residences using a geothermal heat pump system with integrated phase change material storage tank&quot;,&quot;author&quot;:[{&quot;family&quot;:&quot;Alkhwildi&quot;,&quot;given&quot;:&quot;A.&quot;,&quot;parse-names&quot;:false,&quot;dropping-particle&quot;:&quot;&quot;,&quot;non-dropping-particle&quot;:&quot;&quot;},{&quot;family&quot;:&quot;Elhashmi&quot;,&quot;given&quot;:&quot;R.&quot;,&quot;parse-names&quot;:false,&quot;dropping-particle&quot;:&quot;&quot;,&quot;non-dropping-particle&quot;:&quot;&quot;},{&quot;family&quot;:&quot;Chiasson&quot;,&quot;given&quot;:&quot;A.&quot;,&quot;parse-names&quot;:false,&quot;dropping-particle&quot;:&quot;&quot;,&quot;non-dropping-particle&quot;:&quot;&quot;}],&quot;container-title&quot;:&quot;Geothermics&quot;,&quot;accessed&quot;:{&quot;date-parts&quot;:[[2021,7,26]]},&quot;DOI&quot;:&quot;10.1016/j.geothermics.2020.101864&quot;,&quot;ISSN&quot;:&quot;03756505&quot;,&quot;issued&quot;:{&quot;date-parts&quot;:[[2020,7,1]]},&quot;page&quot;:&quot;101864&quot;,&quot;abstract&quot;:&quot;A novel geothermal heat pump (GHP) system with an integrated low- to moderate-temperature salt hydrate phase change material (PCM) storage tank for buildings in cold climates is proposed in this study. The purpose of the PCM storage tank is to dampen peak heating loads and to remove annual ground thermal load imbalances on the ground heat exchanger (GHX) to assist in achieving an optimally-sized GHX. As heat is extracted from the closed-loop system by heat pumps in heating mode, a significant portion of this heat is used to solidify a salt hydrate PCM. This heat of fusion is later released back into the heat transfer fluid, storing it in the PCM tank and GHX for later diurnal and seasonal use. To examine the merits of the proposed concept, electric utility meter data on 15-minute time intervals were mined from an actual apartment building and used to estimate space heating, cooling, and hot water heating loads. Those data were used in an hourly, dynamic 20-year life-cycle simulation model in TRNSYS to design an optimum combination of GHX and PCM storage, where each component was sized to balance the annual ground thermal loads. The system simulation results show significant potential for GHX size reduction with a PCM storage tank, but the system is quite sensitive to the PCM melt temperature due to significant hysteretic nature of the salt hydrate PCM heating and cooling curves. We also find that there is no unique optimum unless other factors are considered such as installation cost and physical constraints; many combinations of GHX size and PCM mass are capable of achieving the design goal with similar annual electric energy consumption. For the cases examined here, a PCM melt temperature of 27 °C yields the most favorable economic results, and a preliminary economic analysis suggests that with typical drilling cost and PCM tank cost values, the GHX size can be reduced by over 50 %.&quot;,&quot;publisher&quot;:&quot;Pergamon&quot;,&quot;volume&quot;:&quot;86&quot;,&quot;container-title-short&quot;:&quot;Geothermics&quot;},&quot;uris&quot;:[&quot;http://www.mendeley.com/documents/?uuid=aa0f1c0c-bcfc-3e75-bb75-d5aad8f81182&quot;],&quot;isTemporary&quot;:false,&quot;legacyDesktopId&quot;:&quot;aa0f1c0c-bcfc-3e75-bb75-d5aad8f81182&quot;}]},{&quot;citationID&quot;:&quot;MENDELEY_CITATION_2d09c326-1194-409a-924e-f5ae51208605&quot;,&quot;properties&quot;:{&quot;noteIndex&quot;:0},&quot;isEdited&quot;:false,&quot;manualOverride&quot;:{&quot;citeprocText&quot;:&quot;[172]&quot;,&quot;isManuallyOverridden&quot;:true,&quot;manualOverrideText&quot;:&quot;(Xin Jin et al., 2021)&quot;},&quot;citationTag&quot;:&quot;MENDELEY_CITATION_v3_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&quot;,&quot;citationItems&quot;:[{&quot;id&quot;:&quot;8051d9b4-5cb3-3199-b505-770e42a8002f&quot;,&quot;itemData&quot;:{&quot;type&quot;:&quot;article-journal&quot;,&quot;id&quot;:&quot;8051d9b4-5cb3-3199-b505-770e42a8002f&quot;,&quot;title&quot;:&quot;Experimental investigation of the novel melting point modified Phase–Change material for heat pump latent heat thermal energy storage application&quot;,&quot;author&quot;:[{&quot;family&quot;:&quot;Jin&quot;,&quot;given&quot;:&quot;Xin&quot;,&quot;parse-names&quot;:false,&quot;dropping-particle&quot;:&quot;&quot;,&quot;non-dropping-particle&quot;:&quot;&quot;},{&quot;family&quot;:&quot;Wu&quot;,&quot;given&quot;:&quot;Fengping&quot;,&quot;parse-names&quot;:false,&quot;dropping-particle&quot;:&quot;&quot;,&quot;non-dropping-particle&quot;:&quot;&quot;},{&quot;family&quot;:&quot;Xu&quot;,&quot;given&quot;:&quot;Tao&quot;,&quot;parse-names&quot;:false,&quot;dropping-particle&quot;:&quot;&quot;,&quot;non-dropping-particle&quot;:&quot;&quot;},{&quot;family&quot;:&quot;Huang&quot;,&quot;given&quot;:&quot;Gongsheng&quot;,&quot;parse-names&quot;:false,&quot;dropping-particle&quot;:&quot;&quot;,&quot;non-dropping-particle&quot;:&quot;&quot;},{&quot;family&quot;:&quot;Wu&quot;,&quot;given&quot;:&quot;Huijun&quot;,&quot;parse-names&quot;:false,&quot;dropping-particle&quot;:&quot;&quot;,&quot;non-dropping-particle&quot;:&quot;&quot;},{&quot;family&quot;:&quot;Zhou&quot;,&quot;given&quot;:&quot;Xiaoqing&quot;,&quot;parse-names&quot;:false,&quot;dropping-particle&quot;:&quot;&quot;,&quot;non-dropping-particle&quot;:&quot;&quot;},{&quot;family&quot;:&quot;Wang&quot;,&quot;given&quot;:&quot;Dengjia&quot;,&quot;parse-names&quot;:false,&quot;dropping-particle&quot;:&quot;&quot;,&quot;non-dropping-particle&quot;:&quot;&quot;},{&quot;family&quot;:&quot;Liu&quot;,&quot;given&quot;:&quot;Yanfeng&quot;,&quot;parse-names&quot;:false,&quot;dropping-particle&quot;:&quot;&quot;,&quot;non-dropping-particle&quot;:&quot;&quot;},{&quot;family&quot;:&quot;Lai&quot;,&quot;given&quot;:&quot;Alvin CK&quot;,&quot;parse-names&quot;:false,&quot;dropping-particle&quot;:&quot;&quot;,&quot;non-dropping-particle&quot;:&quot;&quot;}],&quot;container-title&quot;:&quot;Energy&quot;,&quot;accessed&quot;:{&quot;date-parts&quot;:[[2021,7,25]]},&quot;DOI&quot;:&quot;10.1016/j.energy.2020.119191&quot;,&quot;ISSN&quot;:&quot;03605442&quot;,&quot;issued&quot;:{&quot;date-parts&quot;:[[2021,2,1]]},&quot;page&quot;:&quot;119191&quot;,&quot;abstract&quot;:&quot;The thermal properties of the heat storage medium integrated with the heat pump (HP) should be suitable for the desired application in terms of providing thermal comfort for the end–users and matching the operation condition of the HP. In this study, a novel melting point modified composite phase–change material (CPCM) was developed for air–source HP. We concluded that sodium acetate trihydrate (SAT) modified with 10 wt% acetamide, 4 wt% nucleator, and 4 wt% thickener, which yielded the desired melting point (47.8 °C) and high latent heat (219.8 kJ/kg) presented better thermal reliability than the other component groups. The coefficient of performance of HP with novel CPCM was significantly enhanced compared to that of SAT CPCM, in which the maximum difference was 13.2%. Moreover, the average temperature of the discharging water drained from the novel CPCM unit was 4 °C higher than that of the control group. The overall efficiency of the heating system containing novel CPCM shows an increasing trend with a higher flow rate within a certain range. The system exhibits a payback period of about 5 years and a high bill saving of HK$6627.62 (US$861.59) over a 10-year analysis compared with conventional heaters.&quot;,&quot;publisher&quot;:&quot;Pergamon&quot;,&quot;volume&quot;:&quot;216&quot;,&quot;container-title-short&quot;:&quot;&quot;},&quot;uris&quot;:[&quot;http://www.mendeley.com/documents/?uuid=8051d9b4-5cb3-3199-b505-770e42a8002f&quot;],&quot;isTemporary&quot;:false,&quot;legacyDesktopId&quot;:&quot;8051d9b4-5cb3-3199-b505-770e42a8002f&quot;}]},{&quot;citationID&quot;:&quot;MENDELEY_CITATION_b4c85098-7be5-4f4b-b587-945fedd8b265&quot;,&quot;properties&quot;:{&quot;noteIndex&quot;:0},&quot;isEdited&quot;:false,&quot;manualOverride&quot;:{&quot;citeprocText&quot;:&quot;[173]&quot;,&quot;isManuallyOverridden&quot;:false,&quot;manualOverrideText&quot;:&quot;&quot;},&quot;citationTag&quot;:&quot;MENDELEY_CITATION_v3_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&quot;,&quot;citationItems&quot;:[{&quot;id&quot;:&quot;c97a069b-5081-377f-a52c-b20a1bdabcce&quot;,&quot;itemData&quot;:{&quot;type&quot;:&quot;article-journal&quot;,&quot;id&quot;:&quot;c97a069b-5081-377f-a52c-b20a1bdabcce&quot;,&quot;title&quot;:&quot;Numerical simulation of solar assisted ground-source heat pump heating system with latent heat energy storage in severely cold area&quot;,&quot;author&quot;:[{&quot;family&quot;:&quot;Han&quot;,&quot;given&quot;:&quot;Zongwei&quot;,&quot;parse-names&quot;:false,&quot;dropping-particle&quot;:&quot;&quot;,&quot;non-dropping-particle&quot;:&quot;&quot;},{&quot;family&quot;:&quot;Zheng&quot;,&quot;given&quot;:&quot;Maoyu&quot;,&quot;parse-names&quot;:false,&quot;dropping-particle&quot;:&quot;&quot;,&quot;non-dropping-particle&quot;:&quot;&quot;},{&quot;family&quot;:&quot;Kong&quot;,&quot;given&quot;:&quot;Fanhong&quot;,&quot;parse-names&quot;:false,&quot;dropping-particle&quot;:&quot;&quot;,&quot;non-dropping-particle&quot;:&quot;&quot;},{&quot;family&quot;:&quot;Wang&quot;,&quot;given&quot;:&quot;Fang&quot;,&quot;parse-names&quot;:false,&quot;dropping-particle&quot;:&quot;&quot;,&quot;non-dropping-particle&quot;:&quot;&quot;},{&quot;family&quot;:&quot;Li&quot;,&quot;given&quot;:&quot;Zhongjian&quot;,&quot;parse-names&quot;:false,&quot;dropping-particle&quot;:&quot;&quot;,&quot;non-dropping-particle&quot;:&quot;&quot;},{&quot;family&quot;:&quot;Bai&quot;,&quot;given&quot;:&quot;Tian&quot;,&quot;parse-names&quot;:false,&quot;dropping-particle&quot;:&quot;&quot;,&quot;non-dropping-particle&quot;:&quot;&quot;}],&quot;container-title&quot;:&quot;Applied Thermal Engineering&quot;,&quot;accessed&quot;:{&quot;date-parts&quot;:[[2021,7,25]]},&quot;DOI&quot;:&quot;10.1016/j.applthermaleng.2007.09.013&quot;,&quot;ISSN&quot;:&quot;13594311&quot;,&quot;issued&quot;:{&quot;date-parts&quot;:[[2008,8,1]]},&quot;page&quot;:&quot;1427-1436&quot;,&quot;abstract&quot;:&quot;Solar assisted ground-source heat pump (SAGSHP) heating system with latent heat energy storage tank (LHEST) is investigated. The mathematical model of the system is developed, and the transient numerical simulation is carried out in terms of this model. The operation characteristic of the heating system is analyzed during the heating period in Harbin (N45.75°, E126.77°). From the results of the simulation, the average coefficient of performance (COP) of the heating system is 3.28 in heating period. In the initial and latter heating period, the COP of the heating system is higher, and the highest value is 5.95, because the system can be operated without heat pump. During the middle heating period the COP of the heating system and the operation stability of the system are improved due to solar energy and soil alternately or together as the heat source of heat pump. LHEST is a very important role in operation of the system. The system can be operated more flexibly, effectively, and stably by the charge and discharge heat of LHEST, and the effect becomes especially obvious in the initial and latter heating period. © 2007 Elsevier Ltd. All rights reserved.&quot;,&quot;publisher&quot;:&quot;Pergamon&quot;,&quot;issue&quot;:&quot;11-12&quot;,&quot;volume&quot;:&quot;28&quot;,&quot;container-title-short&quot;:&quot;Appl Therm Eng&quot;},&quot;uris&quot;:[&quot;http://www.mendeley.com/documents/?uuid=c97a069b-5081-377f-a52c-b20a1bdabcce&quot;],&quot;isTemporary&quot;:false,&quot;legacyDesktopId&quot;:&quot;c97a069b-5081-377f-a52c-b20a1bdabcce&quot;}]},{&quot;citationID&quot;:&quot;MENDELEY_CITATION_1a3db516-e204-4d5f-b2a4-af999e6637b2&quot;,&quot;properties&quot;:{&quot;noteIndex&quot;:0},&quot;isEdited&quot;:false,&quot;manualOverride&quot;:{&quot;citeprocText&quot;:&quot;[174]&quot;,&quot;isManuallyOverridden&quot;:false,&quot;manualOverrideText&quot;:&quot;&quot;},&quot;citationTag&quot;:&quot;MENDELEY_CITATION_v3_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&quot;,&quot;citationItems&quot;:[{&quot;id&quot;:&quot;713fafc2-4b12-3c40-9d5a-0105993851ad&quot;,&quot;itemData&quot;:{&quot;type&quot;:&quot;article-journal&quot;,&quot;id&quot;:&quot;713fafc2-4b12-3c40-9d5a-0105993851ad&quot;,&quot;title&quot;:&quot;Heat Storage-Type Floor Heating System with Heat Pump Driven by Discount Electricity Supplied at Night&quot;,&quot;author&quot;:[{&quot;family&quot;:&quot;Yamaguchi&quot;,&quot;given&quot;:&quot;Munehiro&quot;,&quot;parse-names&quot;:false,&quot;dropping-particle&quot;:&quot;&quot;,&quot;non-dropping-particle&quot;:&quot;&quot;},{&quot;family&quot;:&quot;Sayama&quot;,&quot;given&quot;:&quot;Sogo&quot;,&quot;parse-names&quot;:false,&quot;dropping-particle&quot;:&quot;&quot;,&quot;non-dropping-particle&quot;:&quot;&quot;},{&quot;family&quot;:&quot;Yoneda&quot;,&quot;given&quot;:&quot;Hirokazu&quot;,&quot;parse-names&quot;:false,&quot;dropping-particle&quot;:&quot;&quot;,&quot;non-dropping-particle&quot;:&quot;&quot;},{&quot;family&quot;:&quot;Iwamoto&quot;,&quot;given&quot;:&quot;Kin ya&quot;,&quot;parse-names&quot;:false,&quot;dropping-particle&quot;:&quot;&quot;,&quot;non-dropping-particle&quot;:&quot;&quot;},{&quot;family&quot;:&quot;Harada&quot;,&quot;given&quot;:&quot;Mitsuhiro&quot;,&quot;parse-names&quot;:false,&quot;dropping-particle&quot;:&quot;&quot;,&quot;non-dropping-particle&quot;:&quot;&quot;},{&quot;family&quot;:&quot;Watanabe&quot;,&quot;given&quot;:&quot;Satoru&quot;,&quot;parse-names&quot;:false,&quot;dropping-particle&quot;:&quot;&quot;,&quot;non-dropping-particle&quot;:&quot;&quot;},{&quot;family&quot;:&quot;Fukai&quot;,&quot;given&quot;:&quot;Kazuo&quot;,&quot;parse-names&quot;:false,&quot;dropping-particle&quot;:&quot;&quot;,&quot;non-dropping-particle&quot;:&quot;&quot;}],&quot;container-title&quot;:&quot;KAGAKU KOGAKU RONBUNSHU&quot;,&quot;accessed&quot;:{&quot;date-parts&quot;:[[2021,7,25]]},&quot;DOI&quot;:&quot;10.1252/kakoronbunshu.21.853&quot;,&quot;ISSN&quot;:&quot;13499203&quot;,&quot;issued&quot;:{&quot;date-parts&quot;:[[1995]]},&quot;page&quot;:&quot;853-858&quot;,&quot;abstract&quot;:&quot;Heat storage-type floor heating by hot water from a heat pump driven 8 hrs by night electricity was studied. The phase change material (PCM) used for heat storage was Na2SO4·10H2O package. Properties of the PCM are; melting point 32°C, solidification point 30°C, heat storage 43.0 W ·h/kg (ΔT=10°C). The floor heating room was a 40 m2, and without window, Na2SO4· 10H2O package was used as a phase change material for heat storage. Hot water panels laid under PCM packages (26 m2) were placed on a stage 1.2 m above the floor. The total heat storage was 28.5 kW. The heat pump was operated in an 8 hrs ON-16 hrs OFF cycle so that three times the heat extraction was needed as compared with continuous operation. For this reason, a wet film type vertical tube with a CFC flashing pump at the bottom was developed. From experimental results, the thermal balance of the system was calculated and the applicability for practical use was discussed. © 1995, The Society of Chemical Engineers, Japan. All rights reserved.&quot;,&quot;issue&quot;:&quot;5&quot;,&quot;volume&quot;:&quot;21&quot;,&quot;container-title-short&quot;:&quot;&quot;},&quot;uris&quot;:[&quot;http://www.mendeley.com/documents/?uuid=713fafc2-4b12-3c40-9d5a-0105993851ad&quot;],&quot;isTemporary&quot;:false,&quot;legacyDesktopId&quot;:&quot;713fafc2-4b12-3c40-9d5a-0105993851ad&quot;}]},{&quot;citationID&quot;:&quot;MENDELEY_CITATION_1c2f9091-94fb-41da-ae24-41a1a069aabb&quot;,&quot;properties&quot;:{&quot;noteIndex&quot;:0},&quot;isEdited&quot;:false,&quot;manualOverride&quot;:{&quot;citeprocText&quot;:&quot;[155]&quot;,&quot;isManuallyOverridden&quot;:false,&quot;manualOverrideText&quot;:&quot;&quot;},&quot;citationTag&quot;:&quot;MENDELEY_CITATION_v3_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&quot;,&quot;citationItems&quot;:[{&quot;id&quot;:&quot;530a4c8b-c3db-3eab-b06f-f362736e7c88&quot;,&quot;itemData&quot;:{&quot;type&quot;:&quot;article-journal&quot;,&quot;id&quot;:&quot;530a4c8b-c3db-3eab-b06f-f362736e7c88&quot;,&quot;title&quot;:&quot;Experimental and theoretical investigation of combined solar heat pump system for residential heating&quot;,&quot;author&quot;:[{&quot;family&quot;:&quot;Kaygusuz&quot;,&quot;given&quot;:&quot;K.&quot;,&quot;parse-names&quot;:false,&quot;dropping-particle&quot;:&quot;&quot;,&quot;non-dropping-particle&quot;:&quot;&quot;},{&quot;family&quot;:&quot;Ayhan&quot;,&quot;given&quot;:&quot;T.&quot;,&quot;parse-names&quot;:false,&quot;dropping-particle&quot;:&quot;&quot;,&quot;non-dropping-particle&quot;:&quot;&quot;}],&quot;container-title&quot;:&quot;Energy Conversion and Management&quot;,&quot;DOI&quot;:&quot;10.1016/S0196-8904(99)00026-6&quot;,&quot;ISSN&quot;:&quot;01968904&quot;,&quot;issued&quot;:{&quot;date-parts&quot;:[[1999]]},&quot;abstract&quot;:&quot;In order to investigate the performance of the combined solar-heat pump system with energy storage in encapsulated phase change material (PCM) packings for residential heating in Trabzon, Turkey, an experimental set-up was constructed. Also, a comparative study of the performance of this system has been undertaken theoretically. Simulations have been made with BASIC computer program of three basic combined configurations, as well as conventional solar and conventional heat pump systems in Trabzon by using meteorological data. The experimental results were obtained from December to May during the heating season for four heating systems. These systems are a conventional solar system, a series heat pump system, a parallel heat pump system and a dual source heat pump system. The experimentally obtained results are used to calculate the collector efficiency, heat pump coefficient of performance (COP), seasonal heating performance, the fraction of annual load met by free energy, storage and collector efficiencies and total energy consumption of the systems during the heating season.&quot;,&quot;container-title-short&quot;:&quot;Energy Convers Manag&quot;},&quot;uris&quot;:[&quot;http://www.mendeley.com/documents/?uuid=1e97890d-865d-451c-a6d5-c5ec48f5dbb2&quot;],&quot;isTemporary&quot;:false,&quot;legacyDesktopId&quot;:&quot;1e97890d-865d-451c-a6d5-c5ec48f5dbb2&quot;}]},{&quot;citationID&quot;:&quot;MENDELEY_CITATION_8484b8d4-8fe5-476e-b088-5dc63d67b446&quot;,&quot;properties&quot;:{&quot;noteIndex&quot;:0},&quot;isEdited&quot;:false,&quot;manualOverride&quot;:{&quot;citeprocText&quot;:&quot;[175]&quot;,&quot;isManuallyOverridden&quot;:false,&quot;manualOverrideText&quot;:&quot;&quot;},&quot;citationTag&quot;:&quot;MENDELEY_CITATION_v3_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&quot;,&quot;citationItems&quot;:[{&quot;id&quot;:&quot;7c80ba0d-156c-395e-89a5-7850d3799e95&quot;,&quot;itemData&quot;:{&quot;type&quot;:&quot;paper-conference&quot;,&quot;id&quot;:&quot;7c80ba0d-156c-395e-89a5-7850d3799e95&quot;,&quot;title&quot;:&quot;Energetic performance analysis of a ground-source heat pump system with latent heat storage for a greenhouse heating&quot;,&quot;author&quot;:[{&quot;family&quot;:&quot;Benli&quot;,&quot;given&quot;:&quot;Hüseyin&quot;,&quot;parse-names&quot;:false,&quot;dropping-particle&quot;:&quot;&quot;,&quot;non-dropping-particle&quot;:&quot;&quot;}],&quot;container-title&quot;:&quot;Energy Conversion and Management&quot;,&quot;accessed&quot;:{&quot;date-parts&quot;:[[2021,7,26]]},&quot;DOI&quot;:&quot;10.1016/j.enconman.2010.07.033&quot;,&quot;ISSN&quot;:&quot;01968904&quot;,&quot;issued&quot;:{&quot;date-parts&quot;:[[2011,1,1]]},&quot;page&quot;:&quot;581-589&quot;,&quot;abstract&quot;:&quot;In this study, a ground-source heat pump heating system with a latent heat thermal storage tank was designed while its thermal energy storage performance was investigated. The heating system mainly consists of a ground heat exchanger, a heat pump, a cylindrical latent heat thermal storage tank, measuring units and a heating space of model-sized glass greenhouses with 30 m2, located in the greenhouse district of Firat University, Elaziǧ, in Turkey. In the experiments, the performance characteristics of a groundsource heat pump greenhouse heating system with a 246 m horizontal 12.7 mm nominal diameter horizontal closed-loop ground heat exchanger and the use of phase change materials (PCM) for energy saving and management in greenhouses were investigated. The heating coefficient of performances of the ground-source heat pump (COPHP) and the overall system (COPsys) are obtained, to be in the range of 2.3-3.8 and 2-3.5 respectively. Although significant savings are possible with this heating system, a substantial investment in equipment and facilities may be required. The experiments results were obtained from October to May in heating seasons of 2005-2006. The results showed that the utilization of ground-source heat pump-PCM is suitable for greenhouse heating in this district. © 2010 Elsevier Ltd. All rights reserved.&quot;,&quot;publisher&quot;:&quot;Pergamon&quot;,&quot;issue&quot;:&quot;1&quot;,&quot;volume&quot;:&quot;52&quot;,&quot;container-title-short&quot;:&quot;Energy Convers Manag&quot;},&quot;uris&quot;:[&quot;http://www.mendeley.com/documents/?uuid=7c80ba0d-156c-395e-89a5-7850d3799e95&quot;],&quot;isTemporary&quot;:false,&quot;legacyDesktopId&quot;:&quot;7c80ba0d-156c-395e-89a5-7850d3799e95&quot;}]},{&quot;citationID&quot;:&quot;MENDELEY_CITATION_a9c7b0f2-31f5-4802-9e3b-e2d67c019c69&quot;,&quot;properties&quot;:{&quot;noteIndex&quot;:0},&quot;isEdited&quot;:false,&quot;manualOverride&quot;:{&quot;citeprocText&quot;:&quot;[176]&quot;,&quot;isManuallyOverridden&quot;:false,&quot;manualOverrideText&quot;:&quot;&quot;},&quot;citationTag&quot;:&quot;MENDELEY_CITATION_v3_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&quot;,&quot;citationItems&quot;:[{&quot;id&quot;:&quot;f85e851c-a131-54e4-84ec-e32ba861d6e4&quot;,&quot;itemData&quot;:{&quot;DOI&quot;:&quot;10.1016/j.applthermaleng.2013.12.019&quot;,&quot;ISSN&quot;:&quot;13594311&quot;,&quot;abstract&quot;:&quot;Using a detailed building simulation model, the amount of thermal buffering, with and without phase change material (PCM), needed to time-shift an air source heat pump's operation to off-peak periods, as defined by the UK 'Economy 10' tariff, was investigated for a typical UK detached dwelling. The performance of the buffered system was compared to the case with no load shifting and with no thermal buffering. Additionally, the load shifting of a population of buffered heat pumps to off-peak periods was simulated and the resulting change in the peak demand on the electricity network was assessed. The results from this study indicate that 1000 L of hot water buffering or 500 L of PCM-enhanced hot water buffering was required to move the operation of the heat pump fully to off-peak periods, without adversely affecting the provision of space heating and hot water for the end user. The work also highlights that buffering and load shifting increased the heat pump's electrical demand by over 60% leading to increased cost to the end user and increased CO2 emissions (depending on the electricity tariff applied and time varying CO2 intensity of the electricity generation mix, respectively). The study also highlights that the load-shifting of populations of buffered heat pumps wholly to off-peak periods using crude instruments such as tariffs increased the peak loading on the electrical network by over 50% rather than reducing it and that careful consideration is needed as to how the load shifting of a group of heat pumps is orchestrated.&quot;,&quot;author&quot;:[{&quot;dropping-particle&quot;:&quot;&quot;,&quot;family&quot;:&quot;Kelly&quot;,&quot;given&quot;:&quot;Nicolas J.&quot;,&quot;non-dropping-particle&quot;:&quot;&quot;,&quot;parse-names&quot;:false,&quot;suffix&quot;:&quot;&quot;},{&quot;dropping-particle&quot;:&quot;&quot;,&quot;family&quot;:&quot;Tuohy&quot;,&quot;given&quot;:&quot;Paul G.&quot;,&quot;non-dropping-particle&quot;:&quot;&quot;,&quot;parse-names&quot;:false,&quot;suffix&quot;:&quot;&quot;},{&quot;dropping-particle&quot;:&quot;&quot;,&quot;family&quot;:&quot;Hawkes&quot;,&quot;given&quot;:&quot;Adam D.&quot;,&quot;non-dropping-particle&quot;:&quot;&quot;,&quot;parse-names&quot;:false,&quot;suffix&quot;:&quot;&quot;}],&quot;container-title&quot;:&quot;Applied Thermal Engineering&quot;,&quot;id&quot;:&quot;f85e851c-a131-54e4-84ec-e32ba861d6e4&quot;,&quot;issue&quot;:&quot;2&quot;,&quot;issued&quot;:{&quot;date-parts&quot;:[[&quot;2014&quot;,&quot;10&quot;,&quot;22&quot;]]},&quot;page&quot;:&quot;809-820&quot;,&quot;publisher&quot;:&quot;Pergamon&quot;,&quot;title&quot;:&quot;Performance assessment of tariff-based air source heat pump load shifting in a UK detached dwelling featuring phase change-enhanced buffering&quot;,&quot;type&quot;:&quot;article-journal&quot;,&quot;volume&quot;:&quot;71&quot;,&quot;container-title-short&quot;:&quot;Appl Therm Eng&quot;},&quot;uris&quot;:[&quot;http://www.mendeley.com/documents/?uuid=0a58e77b-dc2f-30fa-8123-585e1549c219&quot;],&quot;isTemporary&quot;:false,&quot;legacyDesktopId&quot;:&quot;0a58e77b-dc2f-30fa-8123-585e1549c219&quot;}]},{&quot;citationID&quot;:&quot;MENDELEY_CITATION_a62489b9-37d9-4ff5-95cb-35d86097ebdb&quot;,&quot;properties&quot;:{&quot;noteIndex&quot;:0},&quot;isEdited&quot;:false,&quot;manualOverride&quot;:{&quot;citeprocText&quot;:&quot;[48]&quot;,&quot;isManuallyOverridden&quot;:false,&quot;manualOverrideText&quot;:&quot;&quot;},&quot;citationTag&quot;:&quot;MENDELEY_CITATION_v3_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&quot;,&quot;citationItems&quot;:[{&quot;id&quot;:&quot;2726706e-0c84-30a7-bd68-47fd032fe559&quot;,&quot;itemData&quot;:{&quot;type&quot;:&quot;article-journal&quot;,&quot;id&quot;:&quot;2726706e-0c84-30a7-bd68-47fd032fe559&quot;,&quot;title&quot;:&quot;Latent heat storage integration into heat pump based heating systems for energy-efficient load shifting&quot;,&quot;author&quot;:[{&quot;family&quot;:&quot;Xu&quot;,&quot;given&quot;:&quot;Tianhao&quot;,&quot;parse-names&quot;:false,&quot;dropping-particle&quot;:&quot;&quot;,&quot;non-dropping-particle&quot;:&quot;&quot;},{&quot;family&quot;:&quot;Humire&quot;,&quot;given&quot;:&quot;Emma Nyholm&quot;,&quot;parse-names&quot;:false,&quot;dropping-particle&quot;:&quot;&quot;,&quot;non-dropping-particle&quot;:&quot;&quot;},{&quot;family&quot;:&quot;Chiu&quot;,&quot;given&quot;:&quot;Justin Ningwei&quot;,&quot;parse-names&quot;:false,&quot;dropping-particle&quot;:&quot;&quot;,&quot;non-dropping-particle&quot;:&quot;&quot;},{&quot;family&quot;:&quot;Sawalha&quot;,&quot;given&quot;:&quot;Samer&quot;,&quot;parse-names&quot;:false,&quot;dropping-particle&quot;:&quot;&quot;,&quot;non-dropping-particle&quot;:&quot;&quot;}],&quot;container-title&quot;:&quot;Energy Conversion and Management&quot;,&quot;accessed&quot;:{&quot;date-parts&quot;:[[2021,7,6]]},&quot;DOI&quot;:&quot;10.1016/j.enconman.2021.114042&quot;,&quot;ISSN&quot;:&quot;01968904&quot;,&quot;issued&quot;:{&quot;date-parts&quot;:[[2021,5,15]]},&quot;page&quot;:&quot;114042&quot;,&quot;abstract&quot;:&quot;Integrating latent heat thermal energy storage (LHTES) units into building heating systems has been increasingly investigated as a heat load management technology. A conventional LHTES integration method for heat pump based heating systems is to connect the heat pump's condenser for charging the LHTES unit. This integrating layout however usually leads to increased electricity input to the heating system. To underline this issue and provide solutions, this paper presents three new LHTES integrating layouts where the LHTES unit is connected with the de-superheater of the main heat pump (Case 2), the condenser of a cascaded booster heat pump cycle (Case 3), or a combination of using both the de-superheater and the booster cycle (Case 4). In the context of a multi-family house in Stockholm, a quasi-steady state heating system model was developed to evaluate the new integrating layouts, which were benchmarked against the baseline heating system without storage (Case 0) and the conventional integrating layout using the main heat pump condenser (Case 1). Hourly electric power input to the heating system was modelled for calculating the performance indicators including the heating performance factor, the operational expense and justifiable capital expense, and the indirect CO2 emissions. Two load shifting strategies were simulated for an evaluation period of Week 1, 2019: 1) charge during off-peak hours (8 pm to 6 am) and 2) charge during daytime hours (10 am to 7 pm). The simulation results of the off-peak charging strategy show that, in Cases 2–4, the heating performance factor is 22%-26% higher than Case 1 and the operational expense can be reduced by 2%-5% as compared with Case 0. The savings in the operational expense can justify the capital expense of 11 k-25 k Swedish Krona (SEK) for the LHTES systems in Cases 2–4 assuming a 15-year operation. Furthermore, the advantage of using the daytime charging strategy is principally the mitigation of CO2 emissions, which is up to 14% lower than the off-peak charging strategy. In summary, higher energy efficiency for heating is validated in the three new proposed integration layouts (Cases 2–4) against the condenser charging layout.&quot;,&quot;publisher&quot;:&quot;Pergamon&quot;,&quot;volume&quot;:&quot;236&quot;,&quot;container-title-short&quot;:&quot;Energy Convers Manag&quot;},&quot;uris&quot;:[&quot;http://www.mendeley.com/documents/?uuid=2726706e-0c84-30a7-bd68-47fd032fe559&quot;],&quot;isTemporary&quot;:false,&quot;legacyDesktopId&quot;:&quot;2726706e-0c84-30a7-bd68-47fd032fe559&quot;}]},{&quot;citationID&quot;:&quot;MENDELEY_CITATION_eb42fb6b-f3b8-4f6e-9ec7-6d1bdbffdfe4&quot;,&quot;properties&quot;:{&quot;noteIndex&quot;:0},&quot;isEdited&quot;:false,&quot;manualOverride&quot;:{&quot;citeprocText&quot;:&quot;[177]&quot;,&quot;isManuallyOverridden&quot;:false,&quot;manualOverrideText&quot;:&quot;&quot;},&quot;citationTag&quot;:&quot;MENDELEY_CITATION_v3_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&quot;,&quot;citationItems&quot;:[{&quot;id&quot;:&quot;ed436046-bbb9-36f4-98c7-776d8c35cc35&quot;,&quot;itemData&quot;:{&quot;type&quot;:&quot;article-journal&quot;,&quot;id&quot;:&quot;ed436046-bbb9-36f4-98c7-776d8c35cc35&quot;,&quot;title&quot;:&quot;Experimental analysis for thermal storage performance of three types of plate encapsulated phase change materials in air heat exchangers for ventilation applications&quot;,&quot;author&quot;:[{&quot;family&quot;:&quot;Kumirai&quot;,&quot;given&quot;:&quot;T.&quot;,&quot;parse-names&quot;:false,&quot;dropping-particle&quot;:&quot;&quot;,&quot;non-dropping-particle&quot;:&quot;&quot;},{&quot;family&quot;:&quot;Dirker&quot;,&quot;given&quot;:&quot;J.&quot;,&quot;parse-names&quot;:false,&quot;dropping-particle&quot;:&quot;&quot;,&quot;non-dropping-particle&quot;:&quot;&quot;},{&quot;family&quot;:&quot;Meyer&quot;,&quot;given&quot;:&quot;J.&quot;,&quot;parse-names&quot;:false,&quot;dropping-particle&quot;:&quot;&quot;,&quot;non-dropping-particle&quot;:&quot;&quot;}],&quot;container-title&quot;:&quot;Journal of Building Engineering&quot;,&quot;accessed&quot;:{&quot;date-parts&quot;:[[2021,7,26]]},&quot;DOI&quot;:&quot;10.1016/J.JOBE.2018.11.016&quot;,&quot;ISSN&quot;:&quot;2352-7102&quot;,&quot;issued&quot;:{&quot;date-parts&quot;:[[2019,3,1]]},&quot;page&quot;:&quot;75-89&quot;,&quot;abstract&quot;:&quot;Due to climate change and rising global temperatures, energy demand associated with commercial and office building cooling, is projected to increase. Passive-cooling, based on phase change materials, can assist to moderate this increase, however relatively few modelling equations to describe its operating behaviour exists. In this experimental investigation the melting performance of three commercially available encapsulated phase change materials were evaluated for passive cooling applications in air ducts systems. Two paraffin type phase change materials and one salt hydrate phase change material with melting temperatures in the range of 22 °C and 28 °C were considered. Vertical orientated plate type encapsulations with a thickness of 10 mm and a pitch of 15 mm were tested for air inlet temperatures ranging from 30 °C to 35 °C and upstream air velocities ranging from 0.4 m/s and 0.9 m/s. The average effectiveness, cooling power, energy absorption, and phase transformation durations were determined. It was found that the average thermal effectiveness decreased with increased velocities and that the cooling power, which was inversely proportional to the phase transformation duration, increased with air flow rate and inlet air temperature. Based on the data a new empirical correlation model was developed which describes the cooling capacity of the in-duct phase change material plates.&quot;,&quot;publisher&quot;:&quot;Elsevier&quot;,&quot;volume&quot;:&quot;22&quot;,&quot;container-title-short&quot;:&quot;&quot;},&quot;uris&quot;:[&quot;http://www.mendeley.com/documents/?uuid=ed436046-bbb9-36f4-98c7-776d8c35cc35&quot;],&quot;isTemporary&quot;:false,&quot;legacyDesktopId&quot;:&quot;ed436046-bbb9-36f4-98c7-776d8c35cc35&quot;}]},{&quot;citationID&quot;:&quot;MENDELEY_CITATION_6475ce1e-170b-41b9-91e9-e1c79005179a&quot;,&quot;properties&quot;:{&quot;noteIndex&quot;:0},&quot;isEdited&quot;:false,&quot;manualOverride&quot;:{&quot;citeprocText&quot;:&quot;[178]&quot;,&quot;isManuallyOverridden&quot;:false,&quot;manualOverrideText&quot;:&quot;&quot;},&quot;citationTag&quot;:&quot;MENDELEY_CITATION_v3_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&quot;,&quot;citationItems&quot;:[{&quot;id&quot;:&quot;3dce386c-541f-338c-a470-a5932c2ea28e&quot;,&quot;itemData&quot;:{&quot;type&quot;:&quot;article-journal&quot;,&quot;id&quot;:&quot;3dce386c-541f-338c-a470-a5932c2ea28e&quot;,&quot;title&quot;:&quot;Energy saving performance assessment and lessons learned from the operation of an active phase change materials system in a multi-storey building in Melbourne&quot;,&quot;author&quot;:[{&quot;family&quot;:&quot;Alam&quot;,&quot;given&quot;:&quot;Morshed&quot;,&quot;parse-names&quot;:false,&quot;dropping-particle&quot;:&quot;&quot;,&quot;non-dropping-particle&quot;:&quot;&quot;},{&quot;family&quot;:&quot;Zou&quot;,&quot;given&quot;:&quot;Patrick X.W.&quot;,&quot;parse-names&quot;:false,&quot;dropping-particle&quot;:&quot;&quot;,&quot;non-dropping-particle&quot;:&quot;&quot;},{&quot;family&quot;:&quot;Sanjayan&quot;,&quot;given&quot;:&quot;Jay&quot;,&quot;parse-names&quot;:false,&quot;dropping-particle&quot;:&quot;&quot;,&quot;non-dropping-particle&quot;:&quot;&quot;},{&quot;family&quot;:&quot;Ramakrishnan&quot;,&quot;given&quot;:&quot;Sayanthan&quot;,&quot;parse-names&quot;:false,&quot;dropping-particle&quot;:&quot;&quot;,&quot;non-dropping-particle&quot;:&quot;&quot;}],&quot;container-title&quot;:&quot;Applied Energy&quot;,&quot;accessed&quot;:{&quot;date-parts&quot;:[[2021,7,26]]},&quot;DOI&quot;:&quot;10.1016/j.apenergy.2019.01.116&quot;,&quot;ISSN&quot;:&quot;03062619&quot;,&quot;issued&quot;:{&quot;date-parts&quot;:[[2019,3,15]]},&quot;page&quot;:&quot;1582-1595&quot;,&quot;abstract&quot;:&quot;While the energy saving performance of an active phase change materials (PCMs) system in buildings has been widely investigated using prototype-scale experiments and numerical assessments, their performance during the operational phase of a real building has been less understood. This study assessed the energy-saving performance of an active PCM system installed in an eleven storey building in Melbourne. Macro-encapsulated PCM with the phase transition temperature of 15 °C was installed in a large PCM tank. Water was used as the heat transfer fluid (HTF) to extract and store cooling energy from the PCM tank. The performance of the active PCM system was monitored for 25 consecutive months, and the results were analyzed on a seasonal basis. Building design documents and the maintenance manuals were studied to understand the difference between design intent and actual operation. The analyzed results revealed that the active PCM system reduced cooling load on the chiller by 12–37% only during colder months, but, remained dormant during the summer. Even in the case of maximum effectiveness, the PCM tank only utilized 15% of its available heat storage capacity to reduce the cooling load. The factors that contributed to the underperformance of active PCM system include mismatch between designed and actual operation of the PCM system, inefficient operation logic of the system, poor material quality, and limited knowledge of maintenance staffs during the operation stage. The lessons learned from the operation of this active PCM system in this multi-storey building were reported and discussed.&quot;,&quot;publisher&quot;:&quot;Elsevier&quot;,&quot;volume&quot;:&quot;238&quot;,&quot;container-title-short&quot;:&quot;Appl Energy&quot;},&quot;uris&quot;:[&quot;http://www.mendeley.com/documents/?uuid=3dce386c-541f-338c-a470-a5932c2ea28e&quot;],&quot;isTemporary&quot;:false,&quot;legacyDesktopId&quot;:&quot;3dce386c-541f-338c-a470-a5932c2ea28e&quot;}]},{&quot;citationID&quot;:&quot;MENDELEY_CITATION_bf379a23-e3c6-489b-a305-376662fb08b3&quot;,&quot;properties&quot;:{&quot;noteIndex&quot;:0},&quot;isEdited&quot;:false,&quot;manualOverride&quot;:{&quot;isManuallyOverridden&quot;:false,&quot;citeprocText&quot;:&quot;[136]&quot;,&quot;manualOverrideText&quot;:&quot;&quot;},&quot;citationTag&quot;:&quot;MENDELEY_CITATION_v3_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&quot;,&quot;citationItems&quot;:[{&quot;id&quot;:&quot;17a415ea-52e6-3bab-94c5-f16dc6a535fc&quot;,&quot;itemData&quot;:{&quot;type&quot;:&quot;paper-conference&quot;,&quot;id&quot;:&quot;17a415ea-52e6-3bab-94c5-f16dc6a535fc&quot;,&quot;title&quot;:&quot;Research on thermal storage using rock wool phase-change material ceiling board&quot;,&quot;author&quot;:[{&quot;family&quot;:&quot;Kondo&quot;,&quot;given&quot;:&quot;Takeshi&quot;,&quot;parse-names&quot;:false,&quot;dropping-particle&quot;:&quot;&quot;,&quot;non-dropping-particle&quot;:&quot;&quot;},{&quot;family&quot;:&quot;Ibamoto&quot;,&quot;given&quot;:&quot;Tadahiko&quot;,&quot;parse-names&quot;:false,&quot;dropping-particle&quot;:&quot;&quot;,&quot;non-dropping-particle&quot;:&quot;&quot;}],&quot;container-title&quot;:&quot;ASHRAE Transactions&quot;,&quot;accessed&quot;:{&quot;date-parts&quot;:[[2020,5,2]]},&quot;ISSN&quot;:&quot;00012505&quot;,&quot;issued&quot;:{&quot;date-parts&quot;:[[2006]]},&quot;page&quot;:&quot;526-531&quot;,&quot;abstract&quot;:&quot;In this study, the effects of peak shaving control of air-conditioning systems using phase-change material (PCM) for ceiling board in an office building were examined. Rock wool PCM ceiling board (PCM ceiling board) was enhanced by adding microcapsulate PCM, whose melting point, at about 25°C, is close to room temperature. The load on the air-handling unit (AHU) can be reduced by using the thermal storage of the PCM ceiling board during the peak shaving control period. At the same time, the radiation field in the room can also be improved due to stabilization of the ceiling board temperature at the PCM melting point. During overnight thermal storage, cool air from the AHU flows into the ceiling chamber space and chills the PCM ceiling board, storing the cooling thermal energy. During the peak shaving period, when the thermal load is at maximum, the air from the room returns to the AHU via the ceiling chamber space. As a result of passing through the cooled-down PCM ceiling board, the warm air from the room cools down before returning to the AHU. The maximum thermal load and the capacity of heat source can thus be reduced. The results of this research were obtained by examining measurements of the thermal capacity of the PCM ceiling board and a numerical simulation. The maximum thermal load was cut by 9.4% compared to conventional rock wool ceiling board. From this result, it can be concluded that the PCM ceiling system acts effectively to enable peak shaving control. © 2006 ASHRAE.&quot;,&quot;volume&quot;:&quot;112 PART 1&quot;,&quot;container-title-short&quot;:&quot;ASHRAE Trans&quot;},&quot;isTemporary&quot;:false}]},{&quot;citationID&quot;:&quot;MENDELEY_CITATION_a7bf3604-33cd-45c3-8066-a16a7ae4add7&quot;,&quot;properties&quot;:{&quot;noteIndex&quot;:0},&quot;isEdited&quot;:false,&quot;manualOverride&quot;:{&quot;isManuallyOverridden&quot;:true,&quot;citeprocText&quot;:&quot;[42], [158]&quot;,&quot;manualOverrideText&quot;:&quot;(Bruno et al., 2014; Real et al., 2014)&quot;},&quot;citationTag&quot;:&quot;MENDELEY_CITATION_v3_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&quot;,&quot;citationItems&quot;:[{&quot;id&quot;:&quot;cd208a8e-8b9f-3a00-a032-8000703465cb&quot;,&quot;itemData&quot;:{&quot;type&quot;:&quot;article-journal&quot;,&quot;id&quot;:&quot;cd208a8e-8b9f-3a00-a032-8000703465cb&quot;,&quot;title&quot;:&quot;Improvement of a heat pump based HVAC system with PCM thermal storage for cold accumulation and heat dissipation&quot;,&quot;author&quot;:[{&quot;family&quot;:&quot;Real&quot;,&quot;given&quot;:&quot;A.&quot;,&quot;parse-names&quot;:false,&quot;dropping-particle&quot;:&quot;&quot;,&quot;non-dropping-particle&quot;:&quot;&quot;},{&quot;family&quot;:&quot;García&quot;,&quot;given&quot;:&quot;V.&quot;,&quot;parse-names&quot;:false,&quot;dropping-particle&quot;:&quot;&quot;,&quot;non-dropping-particle&quot;:&quot;&quot;},{&quot;family&quot;:&quot;Domenech&quot;,&quot;given&quot;:&quot;L.&quot;,&quot;parse-names&quot;:false,&quot;dropping-particle&quot;:&quot;&quot;,&quot;non-dropping-particle&quot;:&quot;&quot;},{&quot;family&quot;:&quot;Renau&quot;,&quot;given&quot;:&quot;J.&quot;,&quot;parse-names&quot;:false,&quot;dropping-particle&quot;:&quot;&quot;,&quot;non-dropping-particle&quot;:&quot;&quot;},{&quot;family&quot;:&quot;Montés&quot;,&quot;given&quot;:&quot;N.&quot;,&quot;parse-names&quot;:false,&quot;dropping-particle&quot;:&quot;&quot;,&quot;non-dropping-particle&quot;:&quot;&quot;},{&quot;family&quot;:&quot;Sánchez&quot;,&quot;given&quot;:&quot;F.&quot;,&quot;parse-names&quot;:false,&quot;dropping-particle&quot;:&quot;&quot;,&quot;non-dropping-particle&quot;:&quot;&quot;}],&quot;container-title&quot;:&quot;Energy and Buildings&quot;,&quot;DOI&quot;:&quot;10.1016/j.enbuild.2014.04.029&quot;,&quot;ISSN&quot;:&quot;03787788&quot;,&quot;URL&quot;:&quot;http://dx.doi.org/10.1016/j.enbuild.2014.04.029&quot;,&quot;issued&quot;:{&quot;date-parts&quot;:[[2014]]},&quot;page&quot;:&quot;108-116&quot;,&quot;abstract&quot;:&quot;This paper exposes a HVAC system installed and tested during the Solar Decathlon Europe 2012 competition at the SMLsystem prototype. This system is focussed to improve the performance of a heat pump based HVAC system with two thermal storage tanks using phase change materials (PCM). A cold tank is used to take advantage of the low outside temperatures at night to cool the PCM with a high COP and it is used later to cool the building when the outside temperature rises. The second tank is operated as an alternative hot reservoir which provides the system the flexibility to dissipate the heat to the tank at a constant temperature granting never to reduce the COP from a minimum value. Different functioning strategies to evaluate the efficient use of the HVAC system for cold accumulation and heat dissipation are shown and implemented.&quot;,&quot;publisher&quot;:&quot;Elsevier B.V.&quot;,&quot;volume&quot;:&quot;83&quot;,&quot;container-title-short&quot;:&quot;Energy Build&quot;},&quot;isTemporary&quot;:false},{&quot;id&quot;:&quot;f8f7c02b-3562-32d0-9556-6d1d09dc0da1&quot;,&quot;itemData&quot;:{&quot;type&quot;:&quot;article-journal&quot;,&quot;id&quot;:&quot;f8f7c02b-3562-32d0-9556-6d1d09dc0da1&quot;,&quot;title&quot;:&quot;Minimising energy usage for domestic cooling with off-peak PCM storage&quot;,&quot;author&quot;:[{&quot;family&quot;:&quot;Bruno&quot;,&quot;given&quot;:&quot;F.&quot;,&quot;parse-names&quot;:false,&quot;dropping-particle&quot;:&quot;&quot;,&quot;non-dropping-particle&quot;:&quot;&quot;},{&quot;family&quot;:&quot;Tay&quot;,&quot;given&quot;:&quot;N. H S&quot;,&quot;parse-names&quot;:false,&quot;dropping-particle&quot;:&quot;&quot;,&quot;non-dropping-particle&quot;:&quot;&quot;},{&quot;family&quot;:&quot;Belusko&quot;,&quot;given&quot;:&quot;M.&quot;,&quot;parse-names&quot;:false,&quot;dropping-particle&quot;:&quot;&quot;,&quot;non-dropping-particle&quot;:&quot;&quot;}],&quot;container-title&quot;:&quot;Energy and Buildings&quot;,&quot;accessed&quot;:{&quot;date-parts&quot;:[[2019,7,19]]},&quot;DOI&quot;:&quot;10.1016/j.enbuild.2014.02.069&quot;,&quot;ISSN&quot;:&quot;03787788&quot;,&quot;URL&quot;:&quot;https://www-sciencedirect-com.proxy.lib.utk.edu/science/article/pii/S0378778814002059&quot;,&quot;issued&quot;:{&quot;date-parts&quot;:[[2014,6,1]]},&quot;page&quot;:&quot;347-353&quot;,&quot;abstract&quot;:&quot;Achieving energy savings with domestic off peak air conditioning using phase change materials (PCMs) has always proved a challenge. Although the energy efficiency ratio of an air conditioner is higher during the night, this improvement often does not offset the exergy loss experienced when using thermal storage. Simulations have been conducted using the effectiveness-number of transfer units (-NTU) representation of a PCM system to determine the instantaneous heat transfer when coupled to an inverter chiller cooling system. Results show that although 85% of the energy consumption for cooling could be shifted to the off-peak period with an ice based system, the energy demand increased by 7.6%. The investigation demonstrated that by using a PCM with a melting point of 4 °C, it is possible to achieve an energy saving for cooling. A savings of around 13.5% can be achieved using a PCM with a melting point of 10 °C. Energy usage was increased with a more efficient PCM storage system. This unexpected result was due to which period the storage system was charged. A more efficient storage system charged quicker during the warmer part of the evening. Therefore energy minimisation requires optimal charging during the coldest part of the night. © 2014 Elsevier B.V.&quot;,&quot;publisher&quot;:&quot;Elsevier&quot;,&quot;volume&quot;:&quot;76&quot;,&quot;container-title-short&quot;:&quot;Energy Build&quot;},&quot;isTemporary&quot;:false}]},{&quot;citationID&quot;:&quot;MENDELEY_CITATION_67254840-dd07-4919-9569-139ae3afe049&quot;,&quot;properties&quot;:{&quot;noteIndex&quot;:0},&quot;isEdited&quot;:false,&quot;manualOverride&quot;:{&quot;isManuallyOverridden&quot;:true,&quot;citeprocText&quot;:&quot;[38], [140]&quot;,&quot;manualOverrideText&quot;:&quot;(Chaiyat, 2015; Hlanze et al., 2021)&quot;},&quot;citationTag&quot;:&quot;MENDELEY_CITATION_v3_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&quot;,&quot;citationItems&quot;:[{&quot;id&quot;:&quot;5fee9029-1d45-3736-a015-3d7892ec9e18&quot;,&quot;itemData&quot;:{&quot;type&quot;:&quot;article-journal&quot;,&quot;id&quot;:&quot;5fee9029-1d45-3736-a015-3d7892ec9e18&quot;,&quot;title&quot;:&quot;Energy and economic analysis of a building air-conditioner with a phase change material (PCM)&quot;,&quot;author&quot;:[{&quot;family&quot;:&quot;Chaiyat&quot;,&quot;given&quot;:&quot;Nattaporn&quot;,&quot;parse-names&quot;:false,&quot;dropping-particle&quot;:&quot;&quot;,&quot;non-dropping-particle&quot;:&quot;&quot;}],&quot;container-title&quot;:&quot;Energy Conversion and Management&quot;,&quot;DOI&quot;:&quot;10.1016/j.enconman.2015.01.068&quot;,&quot;ISSN&quot;:&quot;01968904&quot;,&quot;URL&quot;:&quot;http://dx.doi.org/10.1016/j.enconman.2015.01.068&quot;,&quot;issued&quot;:{&quot;date-parts&quot;:[[2015]]},&quot;page&quot;:&quot;150-158&quot;,&quot;abstract&quot;:&quot;In this study, a concept of using phase change material (PCM) for improving cooling efficiency of an air-conditioner had been presented under Thailand climate. Rubitherm20 (RT-20) was selected to evaluate the thermal performance by reducing the air temperature entering the evaporating coil. The model of PCM celluloid balls had been performed with the air-conditioner. For the experiment, 2 TR of R-134a air-conditioner was chosen to test a pack bed of PCM balls with thickness 40 cm. The pressure drops of the air flowing through the bed were considered with and without a set of by-pass tubes along the height of the storage bed. The mathematical model of the air-conditioner with the PCM storage was developed and verified with the testing results. From the study results, it could be seen that pressure drops of the bed with and without bypass tubes were nearly the same results. Thus, PCM ball pack bed using RT-20 without bypass tubes was used to improve the cooling efficiency of the air-conditioner. The experimental result of the modified unit was compared and verified with the mathematical model, which agreed quite well with the simulation result. Finally, the model was used to analyze the economic result, which found that the electrical consumption of the modified air-conditioner could be decreased around 3.09 kW h/d. The saving cost from the PCM bed could be 9.10% of 170.03 USD/y and the payback period was around 4.15 y.&quot;,&quot;publisher&quot;:&quot;Elsevier Ltd&quot;,&quot;volume&quot;:&quot;94&quot;,&quot;container-title-short&quot;:&quot;Energy Convers Manag&quot;},&quot;isTemporary&quot;:false},{&quot;id&quot;:&quot;dc31db93-ba26-3d21-b18d-4a77673e89df&quot;,&quot;itemData&quot;:{&quot;type&quot;:&quot;article-journal&quot;,&quot;id&quot;:&quot;dc31db93-ba26-3d21-b18d-4a77673e89df&quot;,&quot;title&quot;:&quot;Integration of Phase Change Material-Based Storage in Air Distribution Systems to Increase Building Power Flexibility&quot;,&quot;author&quot;:[{&quot;family&quot;:&quot;Hlanze&quot;,&quot;given&quot;:&quot;P&quot;,&quot;parse-names&quot;:false,&quot;dropping-particle&quot;:&quot;&quot;,&quot;non-dropping-particle&quot;:&quot;&quot;},{&quot;family&quot;:&quot;Elhefny&quot;,&quot;given&quot;:&quot;A&quot;,&quot;parse-names&quot;:false,&quot;dropping-particle&quot;:&quot;&quot;,&quot;non-dropping-particle&quot;:&quot;&quot;},{&quot;family&quot;:&quot;Jiang&quot;,&quot;given&quot;:&quot;Z&quot;,&quot;parse-names&quot;:false,&quot;dropping-particle&quot;:&quot;&quot;,&quot;non-dropping-particle&quot;:&quot;&quot;},{&quot;family&quot;:&quot;Cai&quot;,&quot;given&quot;:&quot;J&quot;,&quot;parse-names&quot;:false,&quot;dropping-particle&quot;:&quot;&quot;,&quot;non-dropping-particle&quot;:&quot;&quot;},{&quot;family&quot;:&quot;Shabgard&quot;,&quot;given&quot;:&quot;H&quot;,&quot;parse-names&quot;:false,&quot;dropping-particle&quot;:&quot;&quot;,&quot;non-dropping-particle&quot;:&quot;&quot;}],&quot;accessed&quot;:{&quot;date-parts&quot;:[[2021,8,31]]},&quot;URL&quot;:&quot;https://docs.lib.purdue.edu/cgi/viewcontent.cgi?article=1365&amp;context=ihpbc&quot;,&quot;issued&quot;:{&quot;date-parts&quot;:[[2021]]},&quot;abstract&quot;:&quot;This paper presents a novel energy storage solution by incorporating phase change material (PCM) in the building supply-air duct to increase a building's thermal storage capacity. This solution has various advantages compared to PCM-integrated walls including more effective heat transfer (forced convection and greater temperature differentials). During off-peak hours, the system runs at a supply-air temperature below the material's solidification point to charge the PCM with cooling energy. During on-peak hours, a higher supply-air temperature is utilized so that the stored energy can be discharged into the supply-air. This shifts a portion of the building's cooling load from the on-peak hours to the off-peak hours. A numerical model for the melting and solidification of PCM in the duct was developed and modified using experimental data. Whole building energy simulations were conducted by coupling the PCM model with EnergyPlus DOE prototypical building model in a Simulink co-simulation platform. Simulations were performed for three cities in different climate zones over a three-month cooling season (June to August), and the PCM storage reduced the on-peak energy consumption by 20-25%. The electricity cost and payback period were determined using current time-of-use electricity rates.&quot;,&quot;container-title-short&quot;:&quot;&quot;},&quot;isTemporary&quot;:false}]},{&quot;citationID&quot;:&quot;MENDELEY_CITATION_483b5932-36f0-4a65-b6d8-40b0542caa9f&quot;,&quot;properties&quot;:{&quot;noteIndex&quot;:0},&quot;isEdited&quot;:false,&quot;manualOverride&quot;:{&quot;citeprocText&quot;:&quot;[140]&quot;,&quot;isManuallyOverridden&quot;:true,&quot;manualOverrideText&quot;:&quot;(Chaiyat, 2015)&quot;},&quot;citationTag&quot;:&quot;MENDELEY_CITATION_v3_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&quot;,&quot;citationItems&quot;:[{&quot;id&quot;:&quot;5fee9029-1d45-3736-a015-3d7892ec9e18&quot;,&quot;itemData&quot;:{&quot;type&quot;:&quot;article-journal&quot;,&quot;id&quot;:&quot;5fee9029-1d45-3736-a015-3d7892ec9e18&quot;,&quot;title&quot;:&quot;Energy and economic analysis of a building air-conditioner with a phase change material (PCM)&quot;,&quot;author&quot;:[{&quot;family&quot;:&quot;Chaiyat&quot;,&quot;given&quot;:&quot;Nattaporn&quot;,&quot;parse-names&quot;:false,&quot;dropping-particle&quot;:&quot;&quot;,&quot;non-dropping-particle&quot;:&quot;&quot;}],&quot;container-title&quot;:&quot;Energy Conversion and Management&quot;,&quot;DOI&quot;:&quot;10.1016/j.enconman.2015.01.068&quot;,&quot;ISSN&quot;:&quot;01968904&quot;,&quot;URL&quot;:&quot;http://dx.doi.org/10.1016/j.enconman.2015.01.068&quot;,&quot;issued&quot;:{&quot;date-parts&quot;:[[2015]]},&quot;page&quot;:&quot;150-158&quot;,&quot;abstract&quot;:&quot;In this study, a concept of using phase change material (PCM) for improving cooling efficiency of an air-conditioner had been presented under Thailand climate. Rubitherm20 (RT-20) was selected to evaluate the thermal performance by reducing the air temperature entering the evaporating coil. The model of PCM celluloid balls had been performed with the air-conditioner. For the experiment, 2 TR of R-134a air-conditioner was chosen to test a pack bed of PCM balls with thickness 40 cm. The pressure drops of the air flowing through the bed were considered with and without a set of by-pass tubes along the height of the storage bed. The mathematical model of the air-conditioner with the PCM storage was developed and verified with the testing results. From the study results, it could be seen that pressure drops of the bed with and without bypass tubes were nearly the same results. Thus, PCM ball pack bed using RT-20 without bypass tubes was used to improve the cooling efficiency of the air-conditioner. The experimental result of the modified unit was compared and verified with the mathematical model, which agreed quite well with the simulation result. Finally, the model was used to analyze the economic result, which found that the electrical consumption of the modified air-conditioner could be decreased around 3.09 kW h/d. The saving cost from the PCM bed could be 9.10% of 170.03 USD/y and the payback period was around 4.15 y.&quot;,&quot;publisher&quot;:&quot;Elsevier Ltd&quot;,&quot;volume&quot;:&quot;94&quot;,&quot;container-title-short&quot;:&quot;Energy Convers Manag&quot;},&quot;uris&quot;:[&quot;http://www.mendeley.com/documents/?uuid=47801b1a-5f49-4d92-a555-d2447e3663b4&quot;],&quot;isTemporary&quot;:false,&quot;legacyDesktopId&quot;:&quot;47801b1a-5f49-4d92-a555-d2447e3663b4&quot;}]},{&quot;citationID&quot;:&quot;MENDELEY_CITATION_d017c338-5eb2-4d47-bfc3-9b07db7b1c6e&quot;,&quot;properties&quot;:{&quot;noteIndex&quot;:0},&quot;isEdited&quot;:false,&quot;manualOverride&quot;:{&quot;citeprocText&quot;:&quot;[142]&quot;,&quot;isManuallyOverridden&quot;:true,&quot;manualOverrideText&quot;:&quot;(Bruno et al., 2014)&quot;},&quot;citationTag&quot;:&quot;MENDELEY_CITATION_v3_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&quot;,&quot;citationItems&quot;:[{&quot;id&quot;:&quot;deaab15d-be80-555a-8eff-7898a2ce9674&quot;,&quot;itemData&quot;:{&quot;DOI&quot;:&quot;10.1016/j.enbuild.2014.02.069&quot;,&quot;ISSN&quot;:&quot;03787788&quot;,&quot;abstract&quot;:&quot;Achieving energy savings with domestic off peak air conditioning using phase change materials (PCMs) has always proved a challenge. Although the energy efficiency ratio of an air conditioner is higher during the night, this improvement often does not offset the exergy loss experienced when using thermal storage. Simulations have been conducted using the effectiveness-number of transfer units (-NTU) representation of a PCM system to determine the instantaneous heat transfer when coupled to an inverter chiller cooling system. Results show that although 85% of the energy consumption for cooling could be shifted to the off-peak period with an ice based system, the energy demand increased by 7.6%. The investigation demonstrated that by using a PCM with a melting point of 4 °C, it is possible to achieve an energy saving for cooling. A savings of around 13.5% can be achieved using a PCM with a melting point of 10 °C. Energy usage was increased with a more efficient PCM storage system. This unexpected result was due to which period the storage system was charged. A more efficient storage system charged quicker during the warmer part of the evening. Therefore energy minimisation requires optimal charging during the coldest part of the night. © 2014 Elsevier B.V.&quot;,&quot;author&quot;:[{&quot;dropping-particle&quot;:&quot;&quot;,&quot;family&quot;:&quot;Bruno&quot;,&quot;given&quot;:&quot;F.&quot;,&quot;non-dropping-particle&quot;:&quot;&quot;,&quot;parse-names&quot;:false,&quot;suffix&quot;:&quot;&quot;},{&quot;dropping-particle&quot;:&quot;&quot;,&quot;family&quot;:&quot;Tay&quot;,&quot;given&quot;:&quot;N. H S&quot;,&quot;non-dropping-particle&quot;:&quot;&quot;,&quot;parse-names&quot;:false,&quot;suffix&quot;:&quot;&quot;},{&quot;dropping-particle&quot;:&quot;&quot;,&quot;family&quot;:&quot;Belusko&quot;,&quot;given&quot;:&quot;M.&quot;,&quot;non-dropping-particle&quot;:&quot;&quot;,&quot;parse-names&quot;:false,&quot;suffix&quot;:&quot;&quot;}],&quot;container-title&quot;:&quot;Energy and Buildings&quot;,&quot;id&quot;:&quot;deaab15d-be80-555a-8eff-7898a2ce9674&quot;,&quot;issued&quot;:{&quot;date-parts&quot;:[[&quot;2014&quot;,&quot;6&quot;,&quot;1&quot;]]},&quot;page&quot;:&quot;347-353&quot;,&quot;publisher&quot;:&quot;Elsevier&quot;,&quot;title&quot;:&quot;Minimising energy usage for domestic cooling with off-peak PCM storage&quot;,&quot;type&quot;:&quot;article-journal&quot;,&quot;volume&quot;:&quot;76&quot;,&quot;container-title-short&quot;:&quot;Energy Build&quot;},&quot;uris&quot;:[&quot;http://www.mendeley.com/documents/?uuid=ce9ddac8-9d77-4022-96d8-2b13a12d39f8&quot;],&quot;isTemporary&quot;:false,&quot;legacyDesktopId&quot;:&quot;ce9ddac8-9d77-4022-96d8-2b13a12d39f8&quot;}]},{&quot;citationID&quot;:&quot;MENDELEY_CITATION_fe102a84-0f0b-4a97-b1eb-3e613d948c41&quot;,&quot;properties&quot;:{&quot;noteIndex&quot;:0},&quot;isEdited&quot;:false,&quot;manualOverride&quot;:{&quot;citeprocText&quot;:&quot;[143]&quot;,&quot;isManuallyOverridden&quot;:true,&quot;manualOverrideText&quot;:&quot;(Real et al., 2014)&quot;},&quot;citationTag&quot;:&quot;MENDELEY_CITATION_v3_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&quot;,&quot;citationItems&quot;:[{&quot;id&quot;:&quot;d5b3b78b-3ac5-53af-bfe5-296cd315ed5e&quot;,&quot;itemData&quot;:{&quot;DOI&quot;:&quot;10.1016/j.enbuild.2014.04.029&quot;,&quot;ISSN&quot;:&quot;03787788&quot;,&quot;abstract&quot;:&quot;This paper exposes a HVAC system installed and tested during the Solar Decathlon Europe 2012 competition at the SMLsystem prototype. This system is focussed to improve the performance of a heat pump based HVAC system with two thermal storage tanks using phase change materials (PCM). A cold tank is used to take advantage of the low outside temperatures at night to cool the PCM with a high COP and it is used later to cool the building when the outside temperature rises. The second tank is operated as an alternative hot reservoir which provides the system the flexibility to dissipate the heat to the tank at a constant temperature granting never to reduce the COP from a minimum value. Different functioning strategies to evaluate the efficient use of the HVAC system for cold accumulation and heat dissipation are shown and implemented.&quot;,&quot;author&quot;:[{&quot;dropping-particle&quot;:&quot;&quot;,&quot;family&quot;:&quot;Real&quot;,&quot;given&quot;:&quot;A.&quot;,&quot;non-dropping-particle&quot;:&quot;&quot;,&quot;parse-names&quot;:false,&quot;suffix&quot;:&quot;&quot;},{&quot;dropping-particle&quot;:&quot;&quot;,&quot;family&quot;:&quot;García&quot;,&quot;given&quot;:&quot;V.&quot;,&quot;non-dropping-particle&quot;:&quot;&quot;,&quot;parse-names&quot;:false,&quot;suffix&quot;:&quot;&quot;},{&quot;dropping-particle&quot;:&quot;&quot;,&quot;family&quot;:&quot;Domenech&quot;,&quot;given&quot;:&quot;L.&quot;,&quot;non-dropping-particle&quot;:&quot;&quot;,&quot;parse-names&quot;:false,&quot;suffix&quot;:&quot;&quot;},{&quot;dropping-particle&quot;:&quot;&quot;,&quot;family&quot;:&quot;Renau&quot;,&quot;given&quot;:&quot;J.&quot;,&quot;non-dropping-particle&quot;:&quot;&quot;,&quot;parse-names&quot;:false,&quot;suffix&quot;:&quot;&quot;},{&quot;dropping-particle&quot;:&quot;&quot;,&quot;family&quot;:&quot;Montés&quot;,&quot;given&quot;:&quot;N.&quot;,&quot;non-dropping-particle&quot;:&quot;&quot;,&quot;parse-names&quot;:false,&quot;suffix&quot;:&quot;&quot;},{&quot;dropping-particle&quot;:&quot;&quot;,&quot;family&quot;:&quot;Sánchez&quot;,&quot;given&quot;:&quot;F.&quot;,&quot;non-dropping-particle&quot;:&quot;&quot;,&quot;parse-names&quot;:false,&quot;suffix&quot;:&quot;&quot;}],&quot;container-title&quot;:&quot;Energy and Buildings&quot;,&quot;id&quot;:&quot;d5b3b78b-3ac5-53af-bfe5-296cd315ed5e&quot;,&quot;issued&quot;:{&quot;date-parts&quot;:[[&quot;2014&quot;]]},&quot;page&quot;:&quot;108-116&quot;,&quot;publisher&quot;:&quot;Elsevier B.V.&quot;,&quot;title&quot;:&quot;Improvement of a heat pump based HVAC system with PCM thermal storage for cold accumulation and heat dissipation&quot;,&quot;type&quot;:&quot;article-journal&quot;,&quot;volume&quot;:&quot;83&quot;,&quot;container-title-short&quot;:&quot;Energy Build&quot;},&quot;uris&quot;:[&quot;http://www.mendeley.com/documents/?uuid=3e977037-1f91-4752-b507-f6eaa87108ec&quot;],&quot;isTemporary&quot;:false,&quot;legacyDesktopId&quot;:&quot;3e977037-1f91-4752-b507-f6eaa87108ec&quot;}]},{&quot;citationID&quot;:&quot;MENDELEY_CITATION_3b58ae75-0bfc-4d22-9dea-5f086bb35dde&quot;,&quot;properties&quot;:{&quot;noteIndex&quot;:0},&quot;isEdited&quot;:false,&quot;manualOverride&quot;:{&quot;citeprocText&quot;:&quot;[48]&quot;,&quot;isManuallyOverridden&quot;:false,&quot;manualOverrideText&quot;:&quot;&quot;},&quot;citationTag&quot;:&quot;MENDELEY_CITATION_v3_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&quot;,&quot;citationItems&quot;:[{&quot;id&quot;:&quot;2726706e-0c84-30a7-bd68-47fd032fe559&quot;,&quot;itemData&quot;:{&quot;type&quot;:&quot;article-journal&quot;,&quot;id&quot;:&quot;2726706e-0c84-30a7-bd68-47fd032fe559&quot;,&quot;title&quot;:&quot;Latent heat storage integration into heat pump based heating systems for energy-efficient load shifting&quot;,&quot;author&quot;:[{&quot;family&quot;:&quot;Xu&quot;,&quot;given&quot;:&quot;Tianhao&quot;,&quot;parse-names&quot;:false,&quot;dropping-particle&quot;:&quot;&quot;,&quot;non-dropping-particle&quot;:&quot;&quot;},{&quot;family&quot;:&quot;Humire&quot;,&quot;given&quot;:&quot;Emma Nyholm&quot;,&quot;parse-names&quot;:false,&quot;dropping-particle&quot;:&quot;&quot;,&quot;non-dropping-particle&quot;:&quot;&quot;},{&quot;family&quot;:&quot;Chiu&quot;,&quot;given&quot;:&quot;Justin Ningwei&quot;,&quot;parse-names&quot;:false,&quot;dropping-particle&quot;:&quot;&quot;,&quot;non-dropping-particle&quot;:&quot;&quot;},{&quot;family&quot;:&quot;Sawalha&quot;,&quot;given&quot;:&quot;Samer&quot;,&quot;parse-names&quot;:false,&quot;dropping-particle&quot;:&quot;&quot;,&quot;non-dropping-particle&quot;:&quot;&quot;}],&quot;container-title&quot;:&quot;Energy Conversion and Management&quot;,&quot;accessed&quot;:{&quot;date-parts&quot;:[[2021,7,6]]},&quot;DOI&quot;:&quot;10.1016/j.enconman.2021.114042&quot;,&quot;ISSN&quot;:&quot;01968904&quot;,&quot;issued&quot;:{&quot;date-parts&quot;:[[2021,5,15]]},&quot;page&quot;:&quot;114042&quot;,&quot;abstract&quot;:&quot;Integrating latent heat thermal energy storage (LHTES) units into building heating systems has been increasingly investigated as a heat load management technology. A conventional LHTES integration method for heat pump based heating systems is to connect the heat pump's condenser for charging the LHTES unit. This integrating layout however usually leads to increased electricity input to the heating system. To underline this issue and provide solutions, this paper presents three new LHTES integrating layouts where the LHTES unit is connected with the de-superheater of the main heat pump (Case 2), the condenser of a cascaded booster heat pump cycle (Case 3), or a combination of using both the de-superheater and the booster cycle (Case 4). In the context of a multi-family house in Stockholm, a quasi-steady state heating system model was developed to evaluate the new integrating layouts, which were benchmarked against the baseline heating system without storage (Case 0) and the conventional integrating layout using the main heat pump condenser (Case 1). Hourly electric power input to the heating system was modelled for calculating the performance indicators including the heating performance factor, the operational expense and justifiable capital expense, and the indirect CO2 emissions. Two load shifting strategies were simulated for an evaluation period of Week 1, 2019: 1) charge during off-peak hours (8 pm to 6 am) and 2) charge during daytime hours (10 am to 7 pm). The simulation results of the off-peak charging strategy show that, in Cases 2–4, the heating performance factor is 22%-26% higher than Case 1 and the operational expense can be reduced by 2%-5% as compared with Case 0. The savings in the operational expense can justify the capital expense of 11 k-25 k Swedish Krona (SEK) for the LHTES systems in Cases 2–4 assuming a 15-year operation. Furthermore, the advantage of using the daytime charging strategy is principally the mitigation of CO2 emissions, which is up to 14% lower than the off-peak charging strategy. In summary, higher energy efficiency for heating is validated in the three new proposed integration layouts (Cases 2–4) against the condenser charging layout.&quot;,&quot;publisher&quot;:&quot;Pergamon&quot;,&quot;volume&quot;:&quot;236&quot;,&quot;container-title-short&quot;:&quot;Energy Convers Manag&quot;},&quot;uris&quot;:[&quot;http://www.mendeley.com/documents/?uuid=2726706e-0c84-30a7-bd68-47fd032fe559&quot;],&quot;isTemporary&quot;:false,&quot;legacyDesktopId&quot;:&quot;2726706e-0c84-30a7-bd68-47fd032fe559&quot;}]},{&quot;citationID&quot;:&quot;MENDELEY_CITATION_d479d8ed-6f0d-4ac9-a844-30596be6467e&quot;,&quot;properties&quot;:{&quot;noteIndex&quot;:0},&quot;isEdited&quot;:false,&quot;manualOverride&quot;:{&quot;citeprocText&quot;:&quot;[40]&quot;,&quot;isManuallyOverridden&quot;:false,&quot;manualOverrideText&quot;:&quot;&quot;},&quot;citationTag&quot;:&quot;MENDELEY_CITATION_v3_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&quot;,&quot;citationItems&quot;:[{&quot;id&quot;:&quot;3e5f4972-a383-36ea-be02-e3fa6f7cddea&quot;,&quot;itemData&quot;:{&quot;type&quot;:&quot;article-journal&quot;,&quot;id&quot;:&quot;3e5f4972-a383-36ea-be02-e3fa6f7cddea&quot;,&quot;title&quot;:&quot;Numerical investigation of phase change material thermal storage for space cooling&quot;,&quot;author&quot;:[{&quot;family&quot;:&quot;Farah&quot;,&quot;given&quot;:&quot;Sleiman&quot;,&quot;parse-names&quot;:false,&quot;dropping-particle&quot;:&quot;&quot;,&quot;non-dropping-particle&quot;:&quot;&quot;},{&quot;family&quot;:&quot;Liu&quot;,&quot;given&quot;:&quot;Ming&quot;,&quot;parse-names&quot;:false,&quot;dropping-particle&quot;:&quot;&quot;,&quot;non-dropping-particle&quot;:&quot;&quot;},{&quot;family&quot;:&quot;Saman&quot;,&quot;given&quot;:&quot;Wasim&quot;,&quot;parse-names&quot;:false,&quot;dropping-particle&quot;:&quot;&quot;,&quot;non-dropping-particle&quot;:&quot;&quot;}],&quot;container-title&quot;:&quot;Applied Energy&quot;,&quot;accessed&quot;:{&quot;date-parts&quot;:[[2021,7,6]]},&quot;DOI&quot;:&quot;10.1016/j.apenergy.2019.01.197&quot;,&quot;ISSN&quot;:&quot;03062619&quot;,&quot;issued&quot;:{&quot;date-parts&quot;:[[2019,4,1]]},&quot;page&quot;:&quot;526-535&quot;,&quot;abstract&quot;:&quot;Space cooling is the main contributor to high electrical power demand in summer. This research investigates the effect of adding a phase change thermal energy storage unit (PCTSU) to an air source heat pump (HP) cooling system. The HP model improves on an existing model in the simulation software library to simulate the HP performance. The PCTSU performance is simulated using a newly developed two-dimensional transient heat transfer model, which is experimentally validated against available experimental results. The cooling system is operated in three modes to satisfy the space cooling demand of a 7.6 stars house in the City of Adelaide, Australia. The PCTSU is charged by the HP when outdoor temperature is relatively low and discharged either whenever space cooling is required during the day (mode M2) or during the peak period only (mode M3). The simulation is conducted for the whole cooling season, and the cooling energy and electricity usage performances of the system with a PCTSU (modes M2 and M3) are compared with those of the system without a PCTSU (mode M1). A sensitivity analysis reveals that the PCTSU performance is slightly sensitive to the uncertainties of melting temperature of the phase change material and to the inlet temperature of the heat transfer fluid. The PCTSU provides 25% and 13% of the cooling energy and requires 11% and 6% of the electrical energy usage for charging by the HP in modes M2 and M3 respectively. Both electricity usage and demand tariffs are considered, and the cost savings are 14% and 7% in the former and 14% and 13% in the latter, in modes M2 and M3 respectively. The cost analysis indicates that techno-economic benefits of using PCTSUs should be carefully analysed. Appropriate economic incentives are needed to accelerate the uptake of thermal storage for space cooling applications to reduce high electrical power demand and help to avoid the need to further increase the grid capacity.&quot;,&quot;publisher&quot;:&quot;Elsevier&quot;,&quot;volume&quot;:&quot;239&quot;,&quot;container-title-short&quot;:&quot;Appl Energy&quot;},&quot;uris&quot;:[&quot;http://www.mendeley.com/documents/?uuid=3e5f4972-a383-36ea-be02-e3fa6f7cddea&quot;],&quot;isTemporary&quot;:false,&quot;legacyDesktopId&quot;:&quot;3e5f4972-a383-36ea-be02-e3fa6f7cddea&quot;}]},{&quot;citationID&quot;:&quot;MENDELEY_CITATION_addb62be-c6f9-4823-8dbb-9f58d8b5a054&quot;,&quot;properties&quot;:{&quot;noteIndex&quot;:0},&quot;isEdited&quot;:false,&quot;manualOverride&quot;:{&quot;citeprocText&quot;:&quot;[44]&quot;,&quot;isManuallyOverridden&quot;:false,&quot;manualOverrideText&quot;:&quot;&quot;},&quot;citationTag&quot;:&quot;MENDELEY_CITATION_v3_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&quot;,&quot;citationItems&quot;:[{&quot;id&quot;:&quot;f72bfbe2-1e11-3f49-a826-233eafec5191&quot;,&quot;itemData&quot;:{&quot;type&quot;:&quot;article-journal&quot;,&quot;id&quot;:&quot;f72bfbe2-1e11-3f49-a826-233eafec5191&quot;,&quot;title&quot;:&quot;Exergoeconomic and environmental analyses of an air conditioning system using thermal energy storage&quot;,&quot;author&quot;:[{&quot;family&quot;:&quot;Mosaffa&quot;,&quot;given&quot;:&quot;A. H.&quot;,&quot;parse-names&quot;:false,&quot;dropping-particle&quot;:&quot;&quot;,&quot;non-dropping-particle&quot;:&quot;&quot;},{&quot;family&quot;:&quot;Garousi Farshi&quot;,&quot;given&quot;:&quot;L.&quot;,&quot;parse-names&quot;:false,&quot;dropping-particle&quot;:&quot;&quot;,&quot;non-dropping-particle&quot;:&quot;&quot;}],&quot;container-title&quot;:&quot;Applied Energy&quot;,&quot;DOI&quot;:&quot;10.1016/j.apenergy.2015.10.122&quot;,&quot;ISSN&quot;:&quot;03062619&quot;,&quot;URL&quot;:&quot;http://dx.doi.org/10.1016/j.apenergy.2015.10.122&quot;,&quot;issued&quot;:{&quot;date-parts&quot;:[[2016]]},&quot;page&quot;:&quot;515-526&quot;,&quot;abstract&quot;:&quot;In this work, a combination of a latent heat thermal storage unit and a refrigeration system is presented as an air conditioning system. Overall system, including charging and discharging processes is analyzed for different phase change materials (PCMs) from exergoeconomic and environmental points of view. Based on comfort condition, three cases are selected with different size of PCM slabs and different PCMs: RT27, S27 and SP25. When the charging process takes place during the whole of off-peak hours the following results are obtained: (1) the system using SP25 has the highest value of the coefficient of performance; (2) the system using RT27 has the highest value of exergy efficiency and (3) the system using S27 has the lowest value of total cost rate. Finally, in order to obtain the best balance between the exergy destruction cost rate and the capital cost rate, the exergoeconomic factor is defined for each component, for different cases when system operates in the best performance conditions.&quot;,&quot;publisher&quot;:&quot;Elsevier Ltd&quot;,&quot;volume&quot;:&quot;162&quot;,&quot;container-title-short&quot;:&quot;Appl Energy&quot;},&quot;uris&quot;:[&quot;http://www.mendeley.com/documents/?uuid=248ace03-226d-4426-ab1a-17a1e2957e68&quot;],&quot;isTemporary&quot;:false,&quot;legacyDesktopId&quot;:&quot;248ace03-226d-4426-ab1a-17a1e2957e68&quot;}]},{&quot;citationID&quot;:&quot;MENDELEY_CITATION_e522f57f-b84a-4f30-9b14-6782d61f57e4&quot;,&quot;properties&quot;:{&quot;noteIndex&quot;:0},&quot;isEdited&quot;:false,&quot;manualOverride&quot;:{&quot;citeprocText&quot;:&quot;[42]&quot;,&quot;isManuallyOverridden&quot;:true,&quot;manualOverrideText&quot;:&quot;(Bruno et al., 2014)&quot;},&quot;citationTag&quot;:&quot;MENDELEY_CITATION_v3_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&quot;,&quot;citationItems&quot;:[{&quot;id&quot;:&quot;f8f7c02b-3562-32d0-9556-6d1d09dc0da1&quot;,&quot;itemData&quot;:{&quot;type&quot;:&quot;article-journal&quot;,&quot;id&quot;:&quot;f8f7c02b-3562-32d0-9556-6d1d09dc0da1&quot;,&quot;title&quot;:&quot;Minimising energy usage for domestic cooling with off-peak PCM storage&quot;,&quot;author&quot;:[{&quot;family&quot;:&quot;Bruno&quot;,&quot;given&quot;:&quot;F.&quot;,&quot;parse-names&quot;:false,&quot;dropping-particle&quot;:&quot;&quot;,&quot;non-dropping-particle&quot;:&quot;&quot;},{&quot;family&quot;:&quot;Tay&quot;,&quot;given&quot;:&quot;N. H S&quot;,&quot;parse-names&quot;:false,&quot;dropping-particle&quot;:&quot;&quot;,&quot;non-dropping-particle&quot;:&quot;&quot;},{&quot;family&quot;:&quot;Belusko&quot;,&quot;given&quot;:&quot;M.&quot;,&quot;parse-names&quot;:false,&quot;dropping-particle&quot;:&quot;&quot;,&quot;non-dropping-particle&quot;:&quot;&quot;}],&quot;container-title&quot;:&quot;Energy and Buildings&quot;,&quot;accessed&quot;:{&quot;date-parts&quot;:[[2019,7,19]]},&quot;DOI&quot;:&quot;10.1016/j.enbuild.2014.02.069&quot;,&quot;ISSN&quot;:&quot;03787788&quot;,&quot;URL&quot;:&quot;https://www-sciencedirect-com.proxy.lib.utk.edu/science/article/pii/S0378778814002059&quot;,&quot;issued&quot;:{&quot;date-parts&quot;:[[2014,6,1]]},&quot;page&quot;:&quot;347-353&quot;,&quot;abstract&quot;:&quot;Achieving energy savings with domestic off peak air conditioning using phase change materials (PCMs) has always proved a challenge. Although the energy efficiency ratio of an air conditioner is higher during the night, this improvement often does not offset the exergy loss experienced when using thermal storage. Simulations have been conducted using the effectiveness-number of transfer units (-NTU) representation of a PCM system to determine the instantaneous heat transfer when coupled to an inverter chiller cooling system. Results show that although 85% of the energy consumption for cooling could be shifted to the off-peak period with an ice based system, the energy demand increased by 7.6%. The investigation demonstrated that by using a PCM with a melting point of 4 °C, it is possible to achieve an energy saving for cooling. A savings of around 13.5% can be achieved using a PCM with a melting point of 10 °C. Energy usage was increased with a more efficient PCM storage system. This unexpected result was due to which period the storage system was charged. A more efficient storage system charged quicker during the warmer part of the evening. Therefore energy minimisation requires optimal charging during the coldest part of the night. © 2014 Elsevier B.V.&quot;,&quot;publisher&quot;:&quot;Elsevier&quot;,&quot;volume&quot;:&quot;76&quot;,&quot;container-title-short&quot;:&quot;Energy Build&quot;},&quot;uris&quot;:[&quot;http://www.mendeley.com/documents/?uuid=f8f7c02b-3562-32d0-9556-6d1d09dc0da1&quot;],&quot;isTemporary&quot;:false,&quot;legacyDesktopId&quot;:&quot;f8f7c02b-3562-32d0-9556-6d1d09dc0da1&quot;}]},{&quot;citationID&quot;:&quot;MENDELEY_CITATION_17c81cf6-4e35-4a6d-906c-f6cb6f409672&quot;,&quot;properties&quot;:{&quot;noteIndex&quot;:0},&quot;isEdited&quot;:false,&quot;manualOverride&quot;:{&quot;citeprocText&quot;:&quot;[179]&quot;,&quot;isManuallyOverridden&quot;:false,&quot;manualOverrideText&quot;:&quot;&quot;},&quot;citationTag&quot;:&quot;MENDELEY_CITATION_v3_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&quot;,&quot;citationItems&quot;:[{&quot;id&quot;:&quot;2d9c090e-9f7a-5ab1-9dcc-c86f7e342350&quot;,&quot;itemData&quot;:{&quot;DOI&quot;:&quot;10.1016/j.solener.2004.04.014&quot;,&quot;ISSN&quot;:&quot;0038092X&quot;,&quot;abstract&quot;:&quot;We have developed an experimental ventilation system that features direct heat exchange between ventilation air and granules containing a phase change material (PCM). Measurement of outlet air temperature when the inlet air temperature was periodically varied to simulate changes of outdoor ambient air temperature showed that the outlet air temperature was stabilized and remained within the phase change temperature range. This effect is expected to be useful in practical ventilation systems. The potential of such systems for reducing ventilation load was examined through computer simulation for eight representative cities of Japan. This revealed how different temperature conditions would affect required heat storage capacity. © 2004 Elsevier Ltd. All rights reserved.&quot;,&quot;author&quot;:[{&quot;dropping-particle&quot;:&quot;&quot;,&quot;family&quot;:&quot;Takeda&quot;,&quot;given&quot;:&quot;S.&quot;,&quot;non-dropping-particle&quot;:&quot;&quot;,&quot;parse-names&quot;:false,&quot;suffix&quot;:&quot;&quot;},{&quot;dropping-particle&quot;:&quot;&quot;,&quot;family&quot;:&quot;Nagano&quot;,&quot;given&quot;:&quot;K.&quot;,&quot;non-dropping-particle&quot;:&quot;&quot;,&quot;parse-names&quot;:false,&quot;suffix&quot;:&quot;&quot;},{&quot;dropping-particle&quot;:&quot;&quot;,&quot;family&quot;:&quot;Mochida&quot;,&quot;given&quot;:&quot;T.&quot;,&quot;non-dropping-particle&quot;:&quot;&quot;,&quot;parse-names&quot;:false,&quot;suffix&quot;:&quot;&quot;},{&quot;dropping-particle&quot;:&quot;&quot;,&quot;family&quot;:&quot;Shimakura&quot;,&quot;given&quot;:&quot;K.&quot;,&quot;non-dropping-particle&quot;:&quot;&quot;,&quot;parse-names&quot;:false,&quot;suffix&quot;:&quot;&quot;}],&quot;container-title&quot;:&quot;Solar Energy&quot;,&quot;id&quot;:&quot;2d9c090e-9f7a-5ab1-9dcc-c86f7e342350&quot;,&quot;issue&quot;:&quot;3&quot;,&quot;issued&quot;:{&quot;date-parts&quot;:[[&quot;2004&quot;,&quot;9&quot;]]},&quot;page&quot;:&quot;329-338&quot;,&quot;title&quot;:&quot;Development of a ventilation system utilizing thermal energy storage for granules containing phase change material&quot;,&quot;type&quot;:&quot;article-journal&quot;,&quot;volume&quot;:&quot;77&quot;,&quot;container-title-short&quot;:&quot;&quot;},&quot;uris&quot;:[&quot;http://www.mendeley.com/documents/?uuid=6296de53-db92-396a-98a5-b6cdfdb123bb&quot;],&quot;isTemporary&quot;:false,&quot;legacyDesktopId&quot;:&quot;6296de53-db92-396a-98a5-b6cdfdb123bb&quot;}]},{&quot;citationID&quot;:&quot;MENDELEY_CITATION_65bfe416-f38c-429f-8e02-fe47cfbcc877&quot;,&quot;properties&quot;:{&quot;noteIndex&quot;:0},&quot;isEdited&quot;:false,&quot;manualOverride&quot;:{&quot;citeprocText&quot;:&quot;[136]&quot;,&quot;isManuallyOverridden&quot;:false,&quot;manualOverrideText&quot;:&quot;&quot;},&quot;citationTag&quot;:&quot;MENDELEY_CITATION_v3_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&quot;,&quot;citationItems&quot;:[{&quot;id&quot;:&quot;17a415ea-52e6-3bab-94c5-f16dc6a535fc&quot;,&quot;itemData&quot;:{&quot;type&quot;:&quot;paper-conference&quot;,&quot;id&quot;:&quot;17a415ea-52e6-3bab-94c5-f16dc6a535fc&quot;,&quot;title&quot;:&quot;Research on thermal storage using rock wool phase-change material ceiling board&quot;,&quot;author&quot;:[{&quot;family&quot;:&quot;Kondo&quot;,&quot;given&quot;:&quot;Takeshi&quot;,&quot;parse-names&quot;:false,&quot;dropping-particle&quot;:&quot;&quot;,&quot;non-dropping-particle&quot;:&quot;&quot;},{&quot;family&quot;:&quot;Ibamoto&quot;,&quot;given&quot;:&quot;Tadahiko&quot;,&quot;parse-names&quot;:false,&quot;dropping-particle&quot;:&quot;&quot;,&quot;non-dropping-particle&quot;:&quot;&quot;}],&quot;container-title&quot;:&quot;ASHRAE Transactions&quot;,&quot;accessed&quot;:{&quot;date-parts&quot;:[[2020,5,2]]},&quot;ISSN&quot;:&quot;00012505&quot;,&quot;issued&quot;:{&quot;date-parts&quot;:[[2006]]},&quot;page&quot;:&quot;526-531&quot;,&quot;abstract&quot;:&quot;In this study, the effects of peak shaving control of air-conditioning systems using phase-change material (PCM) for ceiling board in an office building were examined. Rock wool PCM ceiling board (PCM ceiling board) was enhanced by adding microcapsulate PCM, whose melting point, at about 25°C, is close to room temperature. The load on the air-handling unit (AHU) can be reduced by using the thermal storage of the PCM ceiling board during the peak shaving control period. At the same time, the radiation field in the room can also be improved due to stabilization of the ceiling board temperature at the PCM melting point. During overnight thermal storage, cool air from the AHU flows into the ceiling chamber space and chills the PCM ceiling board, storing the cooling thermal energy. During the peak shaving period, when the thermal load is at maximum, the air from the room returns to the AHU via the ceiling chamber space. As a result of passing through the cooled-down PCM ceiling board, the warm air from the room cools down before returning to the AHU. The maximum thermal load and the capacity of heat source can thus be reduced. The results of this research were obtained by examining measurements of the thermal capacity of the PCM ceiling board and a numerical simulation. The maximum thermal load was cut by 9.4% compared to conventional rock wool ceiling board. From this result, it can be concluded that the PCM ceiling system acts effectively to enable peak shaving control. © 2006 ASHRAE.&quot;,&quot;volume&quot;:&quot;112 PART 1&quot;,&quot;container-title-short&quot;:&quot;ASHRAE Trans&quot;},&quot;uris&quot;:[&quot;http://www.mendeley.com/documents/?uuid=17a415ea-52e6-3bab-94c5-f16dc6a535fc&quot;],&quot;isTemporary&quot;:false,&quot;legacyDesktopId&quot;:&quot;17a415ea-52e6-3bab-94c5-f16dc6a535fc&quot;}]},{&quot;citationID&quot;:&quot;MENDELEY_CITATION_0fc8b369-f21c-492d-af83-321bbb7fce9b&quot;,&quot;properties&quot;:{&quot;noteIndex&quot;:0},&quot;isEdited&quot;:false,&quot;manualOverride&quot;:{&quot;citeprocText&quot;:&quot;[43]&quot;,&quot;isManuallyOverridden&quot;:true,&quot;manualOverrideText&quot;:&quot;(Chaiyat, 2015)&quot;},&quot;citationTag&quot;:&quot;MENDELEY_CITATION_v3_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&quot;,&quot;citationItems&quot;:[{&quot;id&quot;:&quot;bc455013-1101-5226-a18d-d03b3c2b31c0&quot;,&quot;itemData&quot;:{&quot;DOI&quot;:&quot;10.1016/j.enconman.2015.01.068&quot;,&quot;ISSN&quot;:&quot;01968904&quot;,&quot;abstract&quot;:&quot;In this study, a concept of using phase change material (PCM) for improving cooling efficiency of an air-conditioner had been presented under Thailand climate. Rubitherm20 (RT-20) was selected to evaluate the thermal performance by reducing the air temperature entering the evaporating coil. The model of PCM celluloid balls had been performed with the air-conditioner. For the experiment, 2 TR of R-134a air-conditioner was chosen to test a pack bed of PCM balls with thickness 40 cm. The pressure drops of the air flowing through the bed were considered with and without a set of by-pass tubes along the height of the storage bed. The mathematical model of the air-conditioner with the PCM storage was developed and verified with the testing results. From the study results, it could be seen that pressure drops of the bed with and without bypass tubes were nearly the same results. Thus, PCM ball pack bed using RT-20 without bypass tubes was used to improve the cooling efficiency of the air-conditioner. The experimental result of the modified unit was compared and verified with the mathematical model, which agreed quite well with the simulation result. Finally, the model was used to analyze the economic result, which found that the electrical consumption of the modified air-conditioner could be decreased around 3.09 kW h/d. The saving cost from the PCM bed could be 9.10% of 170.03 USD/y and the payback period was around 4.15 y.&quot;,&quot;author&quot;:[{&quot;dropping-particle&quot;:&quot;&quot;,&quot;family&quot;:&quot;Chaiyat&quot;,&quot;given&quot;:&quot;Nattaporn&quot;,&quot;non-dropping-particle&quot;:&quot;&quot;,&quot;parse-names&quot;:false,&quot;suffix&quot;:&quot;&quot;}],&quot;container-title&quot;:&quot;Energy Conversion and Management&quot;,&quot;id&quot;:&quot;bc455013-1101-5226-a18d-d03b3c2b31c0&quot;,&quot;issued&quot;:{&quot;date-parts&quot;:[[&quot;2015&quot;]]},&quot;page&quot;:&quot;150-158&quot;,&quot;publisher&quot;:&quot;Elsevier Ltd&quot;,&quot;title&quot;:&quot;Energy and economic analysis of a building air-conditioner with a phase change material (PCM)&quot;,&quot;type&quot;:&quot;article-journal&quot;,&quot;volume&quot;:&quot;94&quot;,&quot;container-title-short&quot;:&quot;Energy Convers Manag&quot;},&quot;uris&quot;:[&quot;http://www.mendeley.com/documents/?uuid=30d65554-7fbd-4991-bdb4-dcb4080b83d5&quot;],&quot;isTemporary&quot;:false,&quot;legacyDesktopId&quot;:&quot;30d65554-7fbd-4991-bdb4-dcb4080b83d5&quot;}]},{&quot;citationID&quot;:&quot;MENDELEY_CITATION_e01edabb-51d9-42f0-9f68-5fb3bcc5b839&quot;,&quot;properties&quot;:{&quot;noteIndex&quot;:0},&quot;isEdited&quot;:false,&quot;manualOverride&quot;:{&quot;citeprocText&quot;:&quot;[41]&quot;,&quot;isManuallyOverridden&quot;:false,&quot;manualOverrideText&quot;:&quot;&quot;},&quot;citationTag&quot;:&quot;MENDELEY_CITATION_v3_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&quot;,&quot;citationItems&quot;:[{&quot;id&quot;:&quot;bc9267be-fa3f-3c74-887e-177feba4acc7&quot;,&quot;itemData&quot;:{&quot;type&quot;:&quot;article-journal&quot;,&quot;id&quot;:&quot;bc9267be-fa3f-3c74-887e-177feba4acc7&quot;,&quot;title&quot;:&quot;Performance of a cold storage air-cooled heat pump system with phase change materials for space cooling&quot;,&quot;author&quot;:[{&quot;family&quot;:&quot;Chen&quot;,&quot;given&quot;:&quot;Xiaoming&quot;,&quot;parse-names&quot;:false,&quot;dropping-particle&quot;:&quot;&quot;,&quot;non-dropping-particle&quot;:&quot;&quot;},{&quot;family&quot;:&quot;Zhang&quot;,&quot;given&quot;:&quot;Quan&quot;,&quot;parse-names&quot;:false,&quot;dropping-particle&quot;:&quot;&quot;,&quot;non-dropping-particle&quot;:&quot;&quot;},{&quot;family&quot;:&quot;Zhai&quot;,&quot;given&quot;:&quot;Zhiqiang (John)&quot;,&quot;parse-names&quot;:false,&quot;dropping-particle&quot;:&quot;&quot;,&quot;non-dropping-particle&quot;:&quot;&quot;},{&quot;family&quot;:&quot;Qiu&quot;,&quot;given&quot;:&quot;Jinyou&quot;,&quot;parse-names&quot;:false,&quot;dropping-particle&quot;:&quot;&quot;,&quot;non-dropping-particle&quot;:&quot;&quot;}],&quot;container-title&quot;:&quot;Energy and Buildings&quot;,&quot;accessed&quot;:{&quot;date-parts&quot;:[[2021,7,6]]},&quot;DOI&quot;:&quot;10.1016/j.enbuild.2020.110405&quot;,&quot;ISSN&quot;:&quot;03787788&quot;,&quot;issued&quot;:{&quot;date-parts&quot;:[[2020,12,1]]},&quot;page&quot;:&quot;110405&quot;,&quot;abstract&quot;:&quot;This paper studies the performance of a cold storage heat pump system integrated with phase change materials (PCMs) for space cooling. An air-cooled heat pump unit comprising of two constant rotation speed compressors is selected. The PCM is an organic material that is commercially available, and has a phase change temperature of 10–12 °C. A coupled computational heat transfer model of the heat pump unit, fan coil units, and a cold storage tank filled with PCM slabs is developed. The simulations are performed under the climatic condition of Fuzhou, China. The operational behaviors of the cold charging and discharging processes of the system are analyzed. Furthermore, the overall electrical energy and electricity charge consumptions at various indoor temperature set points are compared. The results indicate that, the electrical energy consumption of the cold storage heat pump system increases as the indoor temperature increases. However, there is very little difference in the electrical energy consumption of the conventional heat pump system and the cold storage system. While under the demand tariff, the electricity charge saving ratio of the cold storage system over the conventional system is 9.07%-11.28%. In general, as the indoor temperature set point reduces, the electricity charge saving ratio increases. Moreover, the effect of cold charging temperature is also discussed. It is found that higher cold charging temperature consumes less electrical energy, however, takes longer to store the same amount of cold, and the differences relies on the required amount of cold.&quot;,&quot;publisher&quot;:&quot;Elsevier&quot;,&quot;volume&quot;:&quot;228&quot;,&quot;container-title-short&quot;:&quot;Energy Build&quot;},&quot;uris&quot;:[&quot;http://www.mendeley.com/documents/?uuid=bc9267be-fa3f-3c74-887e-177feba4acc7&quot;],&quot;isTemporary&quot;:false,&quot;legacyDesktopId&quot;:&quot;bc9267be-fa3f-3c74-887e-177feba4acc7&quot;}]},{&quot;citationID&quot;:&quot;MENDELEY_CITATION_d4ed9915-4c8d-496d-a3ab-70459b00035e&quot;,&quot;properties&quot;:{&quot;noteIndex&quot;:0},&quot;isEdited&quot;:false,&quot;manualOverride&quot;:{&quot;citeprocText&quot;:&quot;[38]&quot;,&quot;isManuallyOverridden&quot;:false,&quot;manualOverrideText&quot;:&quot;&quot;},&quot;citationTag&quot;:&quot;MENDELEY_CITATION_v3_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&quot;,&quot;citationItems&quot;:[{&quot;id&quot;:&quot;dc31db93-ba26-3d21-b18d-4a77673e89df&quot;,&quot;itemData&quot;:{&quot;type&quot;:&quot;article-journal&quot;,&quot;id&quot;:&quot;dc31db93-ba26-3d21-b18d-4a77673e89df&quot;,&quot;title&quot;:&quot;Integration of Phase Change Material-Based Storage in Air Distribution Systems to Increase Building Power Flexibility&quot;,&quot;author&quot;:[{&quot;family&quot;:&quot;Hlanze&quot;,&quot;given&quot;:&quot;P&quot;,&quot;parse-names&quot;:false,&quot;dropping-particle&quot;:&quot;&quot;,&quot;non-dropping-particle&quot;:&quot;&quot;},{&quot;family&quot;:&quot;Elhefny&quot;,&quot;given&quot;:&quot;A&quot;,&quot;parse-names&quot;:false,&quot;dropping-particle&quot;:&quot;&quot;,&quot;non-dropping-particle&quot;:&quot;&quot;},{&quot;family&quot;:&quot;Jiang&quot;,&quot;given&quot;:&quot;Z&quot;,&quot;parse-names&quot;:false,&quot;dropping-particle&quot;:&quot;&quot;,&quot;non-dropping-particle&quot;:&quot;&quot;},{&quot;family&quot;:&quot;Cai&quot;,&quot;given&quot;:&quot;J&quot;,&quot;parse-names&quot;:false,&quot;dropping-particle&quot;:&quot;&quot;,&quot;non-dropping-particle&quot;:&quot;&quot;},{&quot;family&quot;:&quot;Shabgard&quot;,&quot;given&quot;:&quot;H&quot;,&quot;parse-names&quot;:false,&quot;dropping-particle&quot;:&quot;&quot;,&quot;non-dropping-particle&quot;:&quot;&quot;}],&quot;accessed&quot;:{&quot;date-parts&quot;:[[2021,8,31]]},&quot;URL&quot;:&quot;https://docs.lib.purdue.edu/cgi/viewcontent.cgi?article=1365&amp;context=ihpbc&quot;,&quot;issued&quot;:{&quot;date-parts&quot;:[[2021]]},&quot;abstract&quot;:&quot;This paper presents a novel energy storage solution by incorporating phase change material (PCM) in the building supply-air duct to increase a building's thermal storage capacity. This solution has various advantages compared to PCM-integrated walls including more effective heat transfer (forced convection and greater temperature differentials). During off-peak hours, the system runs at a supply-air temperature below the material's solidification point to charge the PCM with cooling energy. During on-peak hours, a higher supply-air temperature is utilized so that the stored energy can be discharged into the supply-air. This shifts a portion of the building's cooling load from the on-peak hours to the off-peak hours. A numerical model for the melting and solidification of PCM in the duct was developed and modified using experimental data. Whole building energy simulations were conducted by coupling the PCM model with EnergyPlus DOE prototypical building model in a Simulink co-simulation platform. Simulations were performed for three cities in different climate zones over a three-month cooling season (June to August), and the PCM storage reduced the on-peak energy consumption by 20-25%. The electricity cost and payback period were determined using current time-of-use electricity rates.&quot;,&quot;container-title-short&quot;:&quot;&quot;},&quot;uris&quot;:[&quot;http://www.mendeley.com/documents/?uuid=dc31db93-ba26-3d21-b18d-4a77673e89df&quot;],&quot;isTemporary&quot;:false,&quot;legacyDesktopId&quot;:&quot;dc31db93-ba26-3d21-b18d-4a77673e89df&quot;}]},{&quot;citationID&quot;:&quot;MENDELEY_CITATION_4ce8090b-d0b1-4041-a61d-fdef48fc9392&quot;,&quot;properties&quot;:{&quot;noteIndex&quot;:0},&quot;isEdited&quot;:false,&quot;manualOverride&quot;:{&quot;citeprocText&quot;:&quot;[156]&quot;,&quot;isManuallyOverridden&quot;:false,&quot;manualOverrideText&quot;:&quot;&quot;},&quot;citationTag&quot;:&quot;MENDELEY_CITATION_v3_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&quot;,&quot;citationItems&quot;:[{&quot;id&quot;:&quot;f01f8033-5096-3418-bdd4-b32c41dcd5ff&quot;,&quot;itemData&quot;:{&quot;type&quot;:&quot;article-journal&quot;,&quot;id&quot;:&quot;f01f8033-5096-3418-bdd4-b32c41dcd5ff&quot;,&quot;title&quot;:&quot;Experimental and numerical study of PCM storage integrated with HVAC system for energy flexibility&quot;,&quot;author&quot;:[{&quot;family&quot;:&quot;Hu&quot;,&quot;given&quot;:&quot;Yue&quot;,&quot;parse-names&quot;:false,&quot;dropping-particle&quot;:&quot;&quot;,&quot;non-dropping-particle&quot;:&quot;&quot;},{&quot;family&quot;:&quot;Heiselberg&quot;,&quot;given&quot;:&quot;Per Kvols&quot;,&quot;parse-names&quot;:false,&quot;dropping-particle&quot;:&quot;&quot;,&quot;non-dropping-particle&quot;:&quot;&quot;},{&quot;family&quot;:&quot;Drivsholm&quot;,&quot;given&quot;:&quot;Christian&quot;,&quot;parse-names&quot;:false,&quot;dropping-particle&quot;:&quot;&quot;,&quot;non-dropping-particle&quot;:&quot;&quot;},{&quot;family&quot;:&quot;Søvsø&quot;,&quot;given&quot;:&quot;Asger Skød&quot;,&quot;parse-names&quot;:false,&quot;dropping-particle&quot;:&quot;&quot;,&quot;non-dropping-particle&quot;:&quot;&quot;},{&quot;family&quot;:&quot;Vogler-Finck&quot;,&quot;given&quot;:&quot;Pierre J.C.&quot;,&quot;parse-names&quot;:false,&quot;dropping-particle&quot;:&quot;&quot;,&quot;non-dropping-particle&quot;:&quot;&quot;},{&quot;family&quot;:&quot;Kronby&quot;,&quot;given&quot;:&quot;Kim&quot;,&quot;parse-names&quot;:false,&quot;dropping-particle&quot;:&quot;&quot;,&quot;non-dropping-particle&quot;:&quot;&quot;}],&quot;container-title&quot;:&quot;Energy and Buildings&quot;,&quot;accessed&quot;:{&quot;date-parts&quot;:[[2021,12,5]]},&quot;DOI&quot;:&quot;10.1016/j.enbuild.2021.111651&quot;,&quot;ISSN&quot;:&quot;03787788&quot;,&quot;URL&quot;:&quot;https://linkinghub.elsevier.com/retrieve/pii/S037877882100935X&quot;,&quot;issued&quot;:{&quot;date-parts&quot;:[[2021,11,6]]},&quot;page&quot;:&quot;111651&quot;,&quot;abstract&quot;:&quot;This paper presents both experimental and numerical studies of PCM storage integrated with an HVAC system. The experiments focus on PCM storage in 3 different sizes, and study the temperature change in the PCM storage during the charge and discharge period, the impact of the PCM quantity on the charge and discharge rates of the PCM storage and the impact of the discharge air temperature and airflow rate on the discharge rate. The main conclusions are that the temperature effectiveness of the PCM storage depends more on the PCM quantity than the discharge inlet air temperature and airflow rate. The air path in the PCM storage should not be too long to achieve the longer PCM activation in time. The storage with 36 pieces of PCM plates and latent storage capacity of 5.23 MJ can be charged/discharged fast, with high and stable outlet air temperature (above 28 °C for 3 hours), especially during the discharge period. The most promising configuration of the experimental study was chosen for a numerical study the energy flexibility of the HVAC system without PCM and with PCM. A model of the PCM storage integrated with an HVAC system is built with EnergyPlus and validated by experimental data. The study concluded that the HVAC heating setpoint control based on the electricity price without PCM storage has limited cost-saving potential due to the high electricity transmission and tax cost. The PCM storage integrated with an HVAC system can reduce the energy cost by 7 % while obtaining a similar indoor thermal comfort level compared to the HVAC heating setpoint control without PCM storage. The payback time of HVAC with PCM is seven years compared to HVAC system without PCM. The cost reduction of energy flexibility of the system is relatively limited because the electricity transmission cost and electricity tax account for 80% of the total electricity cost in Denmark.&quot;,&quot;publisher&quot;:&quot;Elsevier&quot;,&quot;container-title-short&quot;:&quot;Energy Build&quot;},&quot;uris&quot;:[&quot;http://www.mendeley.com/documents/?uuid=f01f8033-5096-3418-bdd4-b32c41dcd5ff&quot;],&quot;isTemporary&quot;:false,&quot;legacyDesktopId&quot;:&quot;f01f8033-5096-3418-bdd4-b32c41dcd5ff&quot;}]},{&quot;citationID&quot;:&quot;MENDELEY_CITATION_5c89084e-f384-4456-aa52-cb40dcaf0d6c&quot;,&quot;properties&quot;:{&quot;noteIndex&quot;:0},&quot;isEdited&quot;:false,&quot;manualOverride&quot;:{&quot;citeprocText&quot;:&quot;[1], [50], [180]&quot;,&quot;isManuallyOverridden&quot;:true,&quot;manualOverrideText&quot;:&quot;(U.S. Department of Energy, 2011; US EIA, 2020)&quot;},&quot;citationTag&quot;:&quot;MENDELEY_CITATION_v3_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&quot;,&quot;citationItems&quot;:[{&quot;id&quot;:&quot;120b1b1d-d017-3375-9e86-adfedb999be9&quot;,&quot;itemData&quot;:{&quot;author&quot;:[{&quot;dropping-particle&quot;:&quot;&quot;,&quot;family&quot;:&quot;U.S. EIA&quot;,&quot;given&quot;:&quot;&quot;,&quot;non-dropping-particle&quot;:&quot;&quot;,&quot;parse-names&quot;:false,&quot;suffix&quot;:&quot;&quot;}],&quot;id&quot;:&quot;120b1b1d-d017-3375-9e86-adfedb999be9&quot;,&quot;issued&quot;:{&quot;date-parts&quot;:[[&quot;2020&quot;]]},&quot;number-of-pages&quot;:&quot;1-161&quot;,&quot;title&quot;:&quot;Annual Energy Outlook 2020&quot;,&quot;type&quot;:&quot;report&quot;,&quot;container-title-short&quot;:&quot;&quot;},&quot;uris&quot;:[&quot;http://www.mendeley.com/documents/?uuid=120b1b1d-d017-3375-9e86-adfedb999be9&quot;],&quot;isTemporary&quot;:false,&quot;legacyDesktopId&quot;:&quot;120b1b1d-d017-3375-9e86-adfedb999be9&quot;},{&quot;id&quot;:&quot;04122b05-cf78-3746-a9d7-d7650b30e9e2&quot;,&quot;itemData&quot;:{&quot;DOI&quot;:&quot;DOE/GO-102019-5113&quot;,&quot;author&quot;:[{&quot;dropping-particle&quot;:&quot;&quot;,&quot;family&quot;:&quot;Koebrich&quot;,&quot;given&quot;:&quot;Sam&quot;,&quot;non-dropping-particle&quot;:&quot;&quot;,&quot;parse-names&quot;:false,&quot;suffix&quot;:&quot;&quot;},{&quot;dropping-particle&quot;:&quot;&quot;,&quot;family&quot;:&quot;Chen&quot;,&quot;given&quot;:&quot;Emily&quot;,&quot;non-dropping-particle&quot;:&quot;&quot;,&quot;parse-names&quot;:false,&quot;suffix&quot;:&quot;&quot;},{&quot;dropping-particle&quot;:&quot;&quot;,&quot;family&quot;:&quot;Bowen&quot;,&quot;given&quot;:&quot;Thomas&quot;,&quot;non-dropping-particle&quot;:&quot;&quot;,&quot;parse-names&quot;:false,&quot;suffix&quot;:&quot;&quot;},{&quot;dropping-particle&quot;:&quot;&quot;,&quot;family&quot;:&quot;Forrester&quot;,&quot;given&quot;:&quot;Sydney&quot;,&quot;non-dropping-particle&quot;:&quot;&quot;,&quot;parse-names&quot;:false,&quot;suffix&quot;:&quot;&quot;},{&quot;dropping-particle&quot;:&quot;&quot;,&quot;family&quot;:&quot;Tian&quot;,&quot;given&quot;:&quot;Tian&quot;,&quot;non-dropping-particle&quot;:&quot;&quot;,&quot;parse-names&quot;:false,&quot;suffix&quot;:&quot;&quot;}],&quot;container-title&quot;:&quot;U.S. Department of Energy&quot;,&quot;id&quot;:&quot;04122b05-cf78-3746-a9d7-d7650b30e9e2&quot;,&quot;issued&quot;:{&quot;date-parts&quot;:[[&quot;2017&quot;]]},&quot;number-of-pages&quot;:&quot;142&quot;,&quot;title&quot;:&quot;2017 Renewable Energy Data Book Including Data and Trends for Energy Storage and Electric Vehicles&quot;,&quot;type&quot;:&quot;report&quot;,&quot;container-title-short&quot;:&quot;&quot;},&quot;uris&quot;:[&quot;http://www.mendeley.com/documents/?uuid=04122b05-cf78-3746-a9d7-d7650b30e9e2&quot;],&quot;isTemporary&quot;:false,&quot;legacyDesktopId&quot;:&quot;04122b05-cf78-3746-a9d7-d7650b30e9e2&quot;},{&quot;id&quot;:&quot;95de8722-83a7-3ded-8e09-bb5bc3b2532b&quot;,&quot;itemData&quot;:{&quot;abstract&quot;:&quot;The U.S. Department of Energy's (DOE) Office of Energy Efficiency and Renewable Energy has developed this Buildings Energy Data Book to provide a current and accurate set of comprehensive buildings-related data, and to promote the use of such data for consistency throughout DOE programs. Data is organized into nine chapters; Chapter 1 – Buildings Sector, Chapter 2 – Residential Sector, Chapter 3 – Commercial Sector, Chapter 4 – Federal Sector, Chapter 5 – Envelope and Equipment, Chapter 6– Energy Supply, Chapter 7 – Energy Codes, Standards, and Laws, Chapter 8 – Water Data, and Chapter 9 – Market Transformation. New data tables on commercial building energy benchmarks were added to their relevant sections. New data tables were also developed from an updated report on commercial refrigeration. You will also find updated market transformation data from the ENERGY STAR program and the U.S. Green Building Council. We continue to refine and provide water data. We hope you find the 2011 Buildings Energy Data Book useful. You are encouraged to comment on errors, omissions, emphases, and organization of this report to the person listed below. Requests for additional copies of this report, additional data, or information on an existing table should be referred to D&amp;R International.&quot;,&quot;author&quot;:[{&quot;dropping-particle&quot;:&quot;&quot;,&quot;family&quot;:&quot;U.S. Department of Energy&quot;,&quot;given&quot;:&quot;&quot;,&quot;non-dropping-particle&quot;:&quot;&quot;,&quot;parse-names&quot;:false,&quot;suffix&quot;:&quot;&quot;}],&quot;container-title&quot;:&quot;Office of Energy Efficiency and Renewable Energy&quot;,&quot;id&quot;:&quot;95de8722-83a7-3ded-8e09-bb5bc3b2532b&quot;,&quot;issued&quot;:{&quot;date-parts&quot;:[[&quot;2011&quot;]]},&quot;number-of-pages&quot;:&quot;1-81&quot;,&quot;title&quot;:&quot;2011 Buildings Energy Data Book&quot;,&quot;type&quot;:&quot;report&quot;,&quot;container-title-short&quot;:&quot;&quot;},&quot;uris&quot;:[&quot;http://www.mendeley.com/documents/?uuid=95de8722-83a7-3ded-8e09-bb5bc3b2532b&quot;],&quot;isTemporary&quot;:false,&quot;legacyDesktopId&quot;:&quot;95de8722-83a7-3ded-8e09-bb5bc3b2532b&quot;}]},{&quot;citationID&quot;:&quot;MENDELEY_CITATION_db0206fb-718a-44d6-b661-cfb590a77f14&quot;,&quot;properties&quot;:{&quot;noteIndex&quot;:0},&quot;isEdited&quot;:false,&quot;manualOverride&quot;:{&quot;citeprocText&quot;:&quot;[53]&quot;,&quot;isManuallyOverridden&quot;:false,&quot;manualOverrideText&quot;:&quot;&quot;},&quot;citationTag&quot;:&quot;MENDELEY_CITATION_v3_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&quot;,&quot;citationItems&quot;:[{&quot;id&quot;:&quot;e4bfb859-da82-3a59-84a3-5de6091299fb&quot;,&quot;itemData&quot;:{&quot;author&quot;:[{&quot;dropping-particle&quot;:&quot;&quot;,&quot;family&quot;:&quot;Goetzler&quot;,&quot;given&quot;:&quot;Bill&quot;,&quot;non-dropping-particle&quot;:&quot;&quot;,&quot;parse-names&quot;:false,&quot;suffix&quot;:&quot;&quot;},{&quot;dropping-particle&quot;:&quot;&quot;,&quot;family&quot;:&quot;Guernsey&quot;,&quot;given&quot;:&quot;Matt&quot;,&quot;non-dropping-particle&quot;:&quot;&quot;,&quot;parse-names&quot;:false,&quot;suffix&quot;:&quot;&quot;},{&quot;dropping-particle&quot;:&quot;&quot;,&quot;family&quot;:&quot;Kassuga&quot;,&quot;given&quot;:&quot;Theo&quot;,&quot;non-dropping-particle&quot;:&quot;&quot;,&quot;parse-names&quot;:false,&quot;suffix&quot;:&quot;&quot;}],&quot;id&quot;:&quot;e4bfb859-da82-3a59-84a3-5de6091299fb&quot;,&quot;issued&quot;:{&quot;date-parts&quot;:[[&quot;2019&quot;]]},&quot;title&quot;:&quot;Grid-interactive Efficient Buildings Technical Report Series: Heating, Ventilation, and Air Conditioning (HVAC); Water Heating; Appliances; and Refrigeration&quot;,&quot;type&quot;:&quot;report&quot;,&quot;container-title-short&quot;:&quot;&quot;},&quot;uris&quot;:[&quot;http://www.mendeley.com/documents/?uuid=e4bfb859-da82-3a59-84a3-5de6091299fb&quot;],&quot;isTemporary&quot;:false,&quot;legacyDesktopId&quot;:&quot;e4bfb859-da82-3a59-84a3-5de6091299fb&quot;}]},{&quot;citationID&quot;:&quot;MENDELEY_CITATION_ebd1a2f4-bd94-4cc1-a61d-0d8398e84bf7&quot;,&quot;properties&quot;:{&quot;noteIndex&quot;:0},&quot;isEdited&quot;:false,&quot;manualOverride&quot;:{&quot;citeprocText&quot;:&quot;[4]&quot;,&quot;isManuallyOverridden&quot;:false,&quot;manualOverrideText&quot;:&quot;&quot;},&quot;citationTag&quot;:&quot;MENDELEY_CITATION_v3_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&quot;,&quot;citationItems&quot;:[{&quot;id&quot;:&quot;9b992cb5-311c-3532-a5d3-0f42c93dfc84&quot;,&quot;itemData&quot;:{&quot;abstract&quot;:&quot;A building thermal model is an essential component for achieving optimal control of a building’s heating, ventilation, and air conditioning (HVAC). A self-learning grey-box model has been developed by implementing data-driven techniques and utilizing limited available information about the building. In previous research, detailed foreknown knowledge/information, e.g. physical and thermal properties of building materials, as well as sufficient number of observation points, e.g. indoor temperature sensors in different zones, are available for making the decision of model structure and parameters searching range easier. The availability of measured data and a narrowed searching range of model parameters, e.g. resistance and capacity for each wall, made the adopted algorithms quickly achieve near optimal values, which closely approximate the actual heat transfer of a building. Meanwhile, the details of pre-processing of the key inputs were seldom explained. Compared to the previous research, in this study, the available information is assumed to be limited which can fill the requirement for large scale virtual storage control of real residential community in near future, where it may be impractically or over time-consuming to acquire the detailed information for each single house. The developed model is validated by comparing the results to measured data in a recently-built home typical of the southeastern United States.&quot;,&quot;author&quot;:[{&quot;dropping-particle&quot;:&quot;&quot;,&quot;family&quot;:&quot;Cui&quot;,&quot;given&quot;:&quot;Borui&quot;,&quot;non-dropping-particle&quot;:&quot;&quot;,&quot;parse-names&quot;:false,&quot;suffix&quot;:&quot;&quot;},{&quot;dropping-particle&quot;:&quot;&quot;,&quot;family&quot;:&quot;Munk&quot;,&quot;given&quot;:&quot;Jeffrey&quot;,&quot;non-dropping-particle&quot;:&quot;&quot;,&quot;parse-names&quot;:false,&quot;suffix&quot;:&quot;&quot;},{&quot;dropping-particle&quot;:&quot;&quot;,&quot;family&quot;:&quot;Jackson&quot;,&quot;given&quot;:&quot;Roderick&quot;,&quot;non-dropping-particle&quot;:&quot;&quot;,&quot;parse-names&quot;:false,&quot;suffix&quot;:&quot;&quot;},{&quot;dropping-particle&quot;:&quot;&quot;,&quot;family&quot;:&quot;Fugate&quot;,&quot;given&quot;:&quot;David&quot;,&quot;non-dropping-particle&quot;:&quot;&quot;,&quot;parse-names&quot;:false,&quot;suffix&quot;:&quot;&quot;},{&quot;dropping-particle&quot;:&quot;&quot;,&quot;family&quot;:&quot;Starke&quot;,&quot;given&quot;:&quot;Michael&quot;,&quot;non-dropping-particle&quot;:&quot;&quot;,&quot;parse-names&quot;:false,&quot;suffix&quot;:&quot;&quot;}],&quot;container-title&quot;:&quot;30th International Conference on Efficiency, Cost, Optimization, Simulation and Environmental Impact of Energy Systems, ECOS 2017&quot;,&quot;id&quot;:&quot;9b992cb5-311c-3532-a5d3-0f42c93dfc84&quot;,&quot;issued&quot;:{&quot;date-parts&quot;:[[&quot;2017&quot;]]},&quot;title&quot;:&quot;Building thermal model development of typical house in U.S. for virtual storage control of aggregated building loads based on limited available information&quot;,&quot;type&quot;:&quot;paper-conference&quot;,&quot;container-title-short&quot;:&quot;&quot;},&quot;uris&quot;:[&quot;http://www.mendeley.com/documents/?uuid=a53df107-3569-4eb5-88b2-356ad657358d&quot;],&quot;isTemporary&quot;:false,&quot;legacyDesktopId&quot;:&quot;a53df107-3569-4eb5-88b2-356ad657358d&quot;}]},{&quot;citationID&quot;:&quot;MENDELEY_CITATION_a536bb96-e1a3-4a14-9b1e-217a26f0f498&quot;,&quot;properties&quot;:{&quot;noteIndex&quot;:0},&quot;isEdited&quot;:false,&quot;manualOverride&quot;:{&quot;citeprocText&quot;:&quot;[181]&quot;,&quot;isManuallyOverridden&quot;:false,&quot;manualOverrideText&quot;:&quot;&quot;},&quot;citationTag&quot;:&quot;MENDELEY_CITATION_v3_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&quot;,&quot;citationItems&quot;:[{&quot;id&quot;:&quot;cb9d4f2c-14ce-5754-ba41-1016c3af42d0&quot;,&quot;itemData&quot;:{&quot;DOI&quot;:&quot;10.1016/j.enpol.2010.01.027&quot;,&quot;ISSN&quot;:&quot;03014215&quot;,&quot;abstract&quot;:&quot;Peak demand for electricity in North America is expected to grow, challenging electrical utilities to supply this demand in a cost-effective, reliable manner. Therefore, there is growing interest in strategies to reduce peak demand by eliminating electricity use, or shifting it to non-peak times. This strategy is commonly called \&quot;demand response\&quot;. In households, common strategies are time-varying pricing, which charge more for energy use on peak, or direct load control, which allows utilities to curtail certain loads during high demand periods. We reviewed recent North American studies of these strategies. The data suggest that the most effective strategy is a critical peak price (CPP) program with enabling technology to automatically curtail loads on event days. There is little evidence that this causes substantial hardship for occupants, particularly if they have input into which loads are controlled and how, and have an override option. In such cases, a peak load reduction of at least 30% is a reasonable expectation. It might be possible to attain such load reductions without enabling technology by focusing on household types more likely to respond, and providing them with excellent support. A simple time-of-use (TOU) program can only expect to realise on-peak reductions of 5%. © 2010 .&quot;,&quot;author&quot;:[{&quot;dropping-particle&quot;:&quot;&quot;,&quot;family&quot;:&quot;Newsham&quot;,&quot;given&quot;:&quot;Guy R.&quot;,&quot;non-dropping-particle&quot;:&quot;&quot;,&quot;parse-names&quot;:false,&quot;suffix&quot;:&quot;&quot;},{&quot;dropping-particle&quot;:&quot;&quot;,&quot;family&quot;:&quot;Bowker&quot;,&quot;given&quot;:&quot;Brent G.&quot;,&quot;non-dropping-particle&quot;:&quot;&quot;,&quot;parse-names&quot;:false,&quot;suffix&quot;:&quot;&quot;}],&quot;container-title&quot;:&quot;Energy Policy&quot;,&quot;id&quot;:&quot;cb9d4f2c-14ce-5754-ba41-1016c3af42d0&quot;,&quot;issue&quot;:&quot;7&quot;,&quot;issued&quot;:{&quot;date-parts&quot;:[[&quot;2010&quot;,&quot;7&quot;,&quot;1&quot;]]},&quot;page&quot;:&quot;3289-3296&quot;,&quot;publisher&quot;:&quot;Elsevier&quot;,&quot;title&quot;:&quot;The effect of utility time-varying pricing and load control strategies on residential summer peak electricity use: A review&quot;,&quot;type&quot;:&quot;article-journal&quot;,&quot;volume&quot;:&quot;38&quot;,&quot;container-title-short&quot;:&quot;Energy Policy&quot;},&quot;uris&quot;:[&quot;http://www.mendeley.com/documents/?uuid=410f45f7-5540-388f-b32f-7685f1b3cf32&quot;],&quot;isTemporary&quot;:false,&quot;legacyDesktopId&quot;:&quot;410f45f7-5540-388f-b32f-7685f1b3cf32&quot;}]},{&quot;citationID&quot;:&quot;MENDELEY_CITATION_47703b28-418e-4039-b091-4cdae4d2fa41&quot;,&quot;properties&quot;:{&quot;noteIndex&quot;:0},&quot;isEdited&quot;:false,&quot;manualOverride&quot;:{&quot;citeprocText&quot;:&quot;[111], [112]&quot;,&quot;isManuallyOverridden&quot;:true,&quot;manualOverrideText&quot;:&quot;Yoon et al., (2016)&quot;},&quot;citationTag&quot;:&quot;MENDELEY_CITATION_v3_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&quot;,&quot;citationItems&quot;:[{&quot;id&quot;:&quot;8db83729-ebb3-3e2c-9543-ca106a1a8897&quot;,&quot;itemData&quot;:{&quot;DOI&quot;:&quot;10.1016/j.enbuild.2014.05.002&quot;,&quot;ISSN&quot;:&quot;03787788&quot;,&quot;abstract&quot;:&quot;In the U.S.; heating, ventilating and air conditioning (HVAC) systems are the largest consumers of electrical energy and a major contributor to peak demand. To reduce both peak load and energy cost, the set-point temperature of HVAC can be controlled depending on the electricity price. This paper presents a proposed controller that curtails peak load as well as saves electricity cost while maintaining reasonable thermal comfort. The controller changes set-point temperature when the retail price is higher than customers preset price. To evaluate the performance of the newly developed demand response controller, detailed energy models for two residential buildings are developed to analyze HVAC power consumption for different house sizes and floor plans. The house models are assumed to be located in Austin, Texas, USA and generated with OpenStudio and EnergyPlus. The design of internal load and occupation schedule are based on a residential energy consumption survey and experimental data by the Pecan Street Project, Austin, TX. In addition, historical data from Austin Energy for residential customers, 2012 is used to calibrate two house models. In addition, this paper uses the historical real-time wholesale price data for the Electricity Reliability Council of Texas (ERCOT) wholesale electricity market to model the two types of real-time tariffs that many utilities in the U.S. currently use to generate dynamic pricing for demand response programs. The simulation results show that our demand response controller could provide up to 10.8% of energy cost savings by using the proposed controller with dynamic pricing. While avoiding significant discomfort due to temperature change. Also, the results present potential for saving considering peak load by 24.7% and total electrical energy saving for HVAC in homes by 4.3% annually. © 2014 Elsevier B.V.&quot;,&quot;author&quot;:[{&quot;dropping-particle&quot;:&quot;&quot;,&quot;family&quot;:&quot;Yoon&quot;,&quot;given&quot;:&quot;Ji Hoon&quot;,&quot;non-dropping-particle&quot;:&quot;&quot;,&quot;parse-names&quot;:false,&quot;suffix&quot;:&quot;&quot;},{&quot;dropping-particle&quot;:&quot;&quot;,&quot;family&quot;:&quot;Bladick&quot;,&quot;given&quot;:&quot;Ross&quot;,&quot;non-dropping-particle&quot;:&quot;&quot;,&quot;parse-names&quot;:false,&quot;suffix&quot;:&quot;&quot;},{&quot;dropping-particle&quot;:&quot;&quot;,&quot;family&quot;:&quot;Novoselac&quot;,&quot;given&quot;:&quot;Atila&quot;,&quot;non-dropping-particle&quot;:&quot;&quot;,&quot;parse-names&quot;:false,&quot;suffix&quot;:&quot;&quot;}],&quot;container-title&quot;:&quot;Energy and Buildings&quot;,&quot;id&quot;:&quot;8db83729-ebb3-3e2c-9543-ca106a1a8897&quot;,&quot;issued&quot;:{&quot;date-parts&quot;:[[&quot;2014&quot;,&quot;9&quot;,&quot;1&quot;]]},&quot;page&quot;:&quot;531-541&quot;,&quot;publisher&quot;:&quot;Elsevier Ltd&quot;,&quot;title&quot;:&quot;Demand response for residential buildings based on dynamic price of electricity&quot;,&quot;type&quot;:&quot;article-journal&quot;,&quot;volume&quot;:&quot;80&quot;,&quot;container-title-short&quot;:&quot;Energy Build&quot;},&quot;uris&quot;:[&quot;http://www.mendeley.com/documents/?uuid=8db83729-ebb3-3e2c-9543-ca106a1a8897&quot;],&quot;isTemporary&quot;:false,&quot;legacyDesktopId&quot;:&quot;8db83729-ebb3-3e2c-9543-ca106a1a8897&quot;},{&quot;id&quot;:&quot;f07ba434-759a-370d-b215-f1f8a0d5935a&quot;,&quot;itemData&quot;:{&quot;DOI&quot;:&quot;10.1080/23744731.2016.1195659&quot;,&quot;ISSN&quot;:&quot;2374474X&quot;,&quot;abstract&quot;:&quot;During peak hours, electrical loads of residential HVAC systems can cause imbalance between electricity supply and demand. Demand response control has the potential to facilitate supply–demand balance. The demand side load control can help reduce electricity consumption through demand response programs. Since HVAC loads are the major contributors to peak loads, reducing HVAC load at peak hours is an objective of many demand response technologies. This article analyzes performance of the dynamic thermostat controller of HVAC systems in homes that have dynamic price of electricity. Based on a price signal, the dynamic thermostat controller sets back the thermostat temperature to save electricity consumption and costs. The consumers choose participation in the demand response program based on the real-time price of electricity and set a threshold price that the thermostat uses to set the temperature during peak power price period. The performance of dynamic thermostat controller was analyzed for two cities, Austin TX and Chicago IL, and historical market price data were used to generate hourly based real-time price. In addition to different climate zones, two different types of residential buildings were modeled. Based on detailed energy simulation, the changes in HVAC system operation were analyzed when considering electric energy saving, peak power reduction, cost saving, as well as the potential thermal discomfort. The specific results show that dynamic pricing combined with dynamic thermostat controller results in 12% annual energy cost savings for HVAC operation with the energy saving of up to 6%, but without significantly changing the thermal comfort.&quot;,&quot;author&quot;:[{&quot;dropping-particle&quot;:&quot;&quot;,&quot;family&quot;:&quot;Yoon&quot;,&quot;given&quot;:&quot;Ji Hoon&quot;,&quot;non-dropping-particle&quot;:&quot;&quot;,&quot;parse-names&quot;:false,&quot;suffix&quot;:&quot;&quot;},{&quot;dropping-particle&quot;:&quot;&quot;,&quot;family&quot;:&quot;Baldick&quot;,&quot;given&quot;:&quot;Ross&quot;,&quot;non-dropping-particle&quot;:&quot;&quot;,&quot;parse-names&quot;:false,&quot;suffix&quot;:&quot;&quot;},{&quot;dropping-particle&quot;:&quot;&quot;,&quot;family&quot;:&quot;Novoselac&quot;,&quot;given&quot;:&quot;Atila&quot;,&quot;non-dropping-particle&quot;:&quot;&quot;,&quot;parse-names&quot;:false,&quot;suffix&quot;:&quot;&quot;}],&quot;container-title&quot;:&quot;Science and Technology for the Built Environment&quot;,&quot;id&quot;:&quot;f07ba434-759a-370d-b215-f1f8a0d5935a&quot;,&quot;issue&quot;:&quot;6&quot;,&quot;issued&quot;:{&quot;date-parts&quot;:[[&quot;2016&quot;,&quot;8&quot;,&quot;17&quot;]]},&quot;page&quot;:&quot;705-719&quot;,&quot;publisher&quot;:&quot;Taylor and Francis Inc.&quot;,&quot;title&quot;:&quot;Demand response control of residential HVAC loads based on dynamic electricity prices and economic analysis&quot;,&quot;type&quot;:&quot;article-journal&quot;,&quot;volume&quot;:&quot;22&quot;,&quot;container-title-short&quot;:&quot;Sci Technol Built Environ&quot;},&quot;uris&quot;:[&quot;http://www.mendeley.com/documents/?uuid=f07ba434-759a-370d-b215-f1f8a0d5935a&quot;],&quot;isTemporary&quot;:false,&quot;legacyDesktopId&quot;:&quot;f07ba434-759a-370d-b215-f1f8a0d5935a&quot;}]},{&quot;citationID&quot;:&quot;MENDELEY_CITATION_acf6ce01-dd06-4483-a0c1-85107685a121&quot;,&quot;properties&quot;:{&quot;noteIndex&quot;:0},&quot;isEdited&quot;:false,&quot;manualOverride&quot;:{&quot;citeprocText&quot;:&quot;[113]&quot;,&quot;isManuallyOverridden&quot;:true,&quot;manualOverrideText&quot;:&quot;Schibuola et al., (2015)&quot;},&quot;citationTag&quot;:&quot;MENDELEY_CITATION_v3_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&quot;,&quot;citationItems&quot;:[{&quot;id&quot;:&quot;d94ac077-e8d3-39bd-8db5-a8a41a98e95c&quot;,&quot;itemData&quot;:{&quot;DOI&quot;:&quot;10.1016/j.enbuild.2014.12.047&quot;,&quot;ISSN&quot;:&quot;03787788&quot;,&quot;abstract&quot;:&quot;The increased generation of electricity from renewable energy sources may imply issues in the management of national electric systems, due to the low predictability of electricity generation from renewable energy sources. In this regard, interesting opportunities come from the use of advanced control strategies for the management of electric devices such as heat pumps, able to exploit dynamic electricity prices aimed to induce users to absorb/generate electricity according with the electricity grid imbalance. In this paper, the results of building energy simulations applying tailored heat pump control strategies suitable for the integration within smart grids are presented. In particular, three heat pump control strategies are applied, whose action is based on the cost of electricity (absolute and relative to the following 12 h) and on the level of the local electricity generation from photovoltaics. The analyzed control strategies ensure relevant money savings (up to 30%) and increase the degree of energy self-consumption (up to 12% for exported electricity and 22% for imported electricity). The analysis considers also comfort issues and shows that the best results may be achieved commanding the heat pump basing on the generation of the photovoltaic system as well as on the simultaneous heating/cooling loads and electricity prices.&quot;,&quot;author&quot;:[{&quot;dropping-particle&quot;:&quot;&quot;,&quot;family&quot;:&quot;Schibuola&quot;,&quot;given&quot;:&quot;Luigi&quot;,&quot;non-dropping-particle&quot;:&quot;&quot;,&quot;parse-names&quot;:false,&quot;suffix&quot;:&quot;&quot;},{&quot;dropping-particle&quot;:&quot;&quot;,&quot;family&quot;:&quot;Scarpa&quot;,&quot;given&quot;:&quot;Massimiliano&quot;,&quot;non-dropping-particle&quot;:&quot;&quot;,&quot;parse-names&quot;:false,&quot;suffix&quot;:&quot;&quot;},{&quot;dropping-particle&quot;:&quot;&quot;,&quot;family&quot;:&quot;Tambani&quot;,&quot;given&quot;:&quot;Chiara&quot;,&quot;non-dropping-particle&quot;:&quot;&quot;,&quot;parse-names&quot;:false,&quot;suffix&quot;:&quot;&quot;}],&quot;container-title&quot;:&quot;Energy and Buildings&quot;,&quot;id&quot;:&quot;d94ac077-e8d3-39bd-8db5-a8a41a98e95c&quot;,&quot;issued&quot;:{&quot;date-parts&quot;:[[&quot;2015&quot;,&quot;3&quot;,&quot;1&quot;]]},&quot;page&quot;:&quot;15-28&quot;,&quot;publisher&quot;:&quot;Elsevier Ltd&quot;,&quot;title&quot;:&quot;Demand response management by means of heat pumps controlled via real time pricing&quot;,&quot;type&quot;:&quot;article-journal&quot;,&quot;volume&quot;:&quot;90&quot;,&quot;container-title-short&quot;:&quot;Energy Build&quot;},&quot;uris&quot;:[&quot;http://www.mendeley.com/documents/?uuid=d94ac077-e8d3-39bd-8db5-a8a41a98e95c&quot;],&quot;isTemporary&quot;:false,&quot;legacyDesktopId&quot;:&quot;d94ac077-e8d3-39bd-8db5-a8a41a98e95c&quot;}]},{&quot;citationID&quot;:&quot;MENDELEY_CITATION_989c9e42-c1b8-47d4-a0aa-a338f08c1a43&quot;,&quot;properties&quot;:{&quot;noteIndex&quot;:0},&quot;isEdited&quot;:false,&quot;manualOverride&quot;:{&quot;citeprocText&quot;:&quot;[109]&quot;,&quot;isManuallyOverridden&quot;:true,&quot;manualOverrideText&quot;:&quot;Gottwalt et al., (2011)&quot;},&quot;citationTag&quot;:&quot;MENDELEY_CITATION_v3_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&quot;,&quot;citationItems&quot;:[{&quot;id&quot;:&quot;17df0b1e-7bd8-388e-8777-fe7920f9ca1a&quot;,&quot;itemData&quot;:{&quot;DOI&quot;:&quot;10.1016/j.enpol.2011.10.016&quot;,&quot;ISSN&quot;:&quot;03014215&quot;,&quot;abstract&quot;:&quot;Within the next years, consumer households will be increasingly equipped with smart metering and intelligent appliances. These technologies are the basis for households to better monitor electricity consumption and to actively control loads in private homes. Demand side management (DSM) can be adopted to private households. We present a simulation model that generates household load profiles under flat tariffs and simulates changes in these profiles when households are equipped with smart appliances and face time-based electricity prices.We investigate the impact of smart appliances and variable prices on electricity bills of a household. We show that for households the savings from equipping them with smart appliances are moderate compared to the required investment. This finding is quite robust with respect to variation of tariff price spreads and to different types of appliance utilization patterns.Finally, our results indicate that electric utilities may face new demand peaks when day-ahead hourly prices are applied. However, a considerable amount of residential load is available for shifting, which is interesting for the utilities to balance demand and supply. © 2011 Elsevier Ltd.&quot;,&quot;author&quot;:[{&quot;dropping-particle&quot;:&quot;&quot;,&quot;family&quot;:&quot;Gottwalt&quot;,&quot;given&quot;:&quot;Sebastian&quot;,&quot;non-dropping-particle&quot;:&quot;&quot;,&quot;parse-names&quot;:false,&quot;suffix&quot;:&quot;&quot;},{&quot;dropping-particle&quot;:&quot;&quot;,&quot;family&quot;:&quot;Ketter&quot;,&quot;given&quot;:&quot;Wolfgang&quot;,&quot;non-dropping-particle&quot;:&quot;&quot;,&quot;parse-names&quot;:false,&quot;suffix&quot;:&quot;&quot;},{&quot;dropping-particle&quot;:&quot;&quot;,&quot;family&quot;:&quot;Block&quot;,&quot;given&quot;:&quot;Carsten&quot;,&quot;non-dropping-particle&quot;:&quot;&quot;,&quot;parse-names&quot;:false,&quot;suffix&quot;:&quot;&quot;},{&quot;dropping-particle&quot;:&quot;&quot;,&quot;family&quot;:&quot;Collins&quot;,&quot;given&quot;:&quot;John&quot;,&quot;non-dropping-particle&quot;:&quot;&quot;,&quot;parse-names&quot;:false,&quot;suffix&quot;:&quot;&quot;},{&quot;dropping-particle&quot;:&quot;&quot;,&quot;family&quot;:&quot;Weinhardt&quot;,&quot;given&quot;:&quot;Christof&quot;,&quot;non-dropping-particle&quot;:&quot;&quot;,&quot;parse-names&quot;:false,&quot;suffix&quot;:&quot;&quot;}],&quot;container-title&quot;:&quot;Energy Policy&quot;,&quot;id&quot;:&quot;17df0b1e-7bd8-388e-8777-fe7920f9ca1a&quot;,&quot;issue&quot;:&quot;12&quot;,&quot;issued&quot;:{&quot;date-parts&quot;:[[&quot;2011&quot;,&quot;12&quot;,&quot;1&quot;]]},&quot;page&quot;:&quot;8163-8174&quot;,&quot;publisher&quot;:&quot;Elsevier&quot;,&quot;title&quot;:&quot;Demand side management-A simulation of household behavior under variable prices&quot;,&quot;type&quot;:&quot;article-journal&quot;,&quot;volume&quot;:&quot;39&quot;,&quot;container-title-short&quot;:&quot;Energy Policy&quot;},&quot;uris&quot;:[&quot;http://www.mendeley.com/documents/?uuid=17df0b1e-7bd8-388e-8777-fe7920f9ca1a&quot;],&quot;isTemporary&quot;:false,&quot;legacyDesktopId&quot;:&quot;17df0b1e-7bd8-388e-8777-fe7920f9ca1a&quot;}]},{&quot;citationID&quot;:&quot;MENDELEY_CITATION_5584dfa2-8e46-4cb6-b100-7b8e9066fdfb&quot;,&quot;properties&quot;:{&quot;noteIndex&quot;:0},&quot;isEdited&quot;:false,&quot;manualOverride&quot;:{&quot;citeprocText&quot;:&quot;[3]&quot;,&quot;isManuallyOverridden&quot;:false,&quot;manualOverrideText&quot;:&quot;&quot;},&quot;citationTag&quot;:&quot;MENDELEY_CITATION_v3_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&quot;,&quot;citationItems&quot;:[{&quot;id&quot;:&quot;d58303d9-4049-3b21-b4ce-c77cfc399f52&quot;,&quot;itemData&quot;:{&quot;DOI&quot;:&quot;10.1109/PESGM40551.2019.8973936&quot;,&quot;ISBN&quot;:&quot;9781728119816&quot;,&quot;ISSN&quot;:&quot;19449933&quot;,&quot;abstract&quot;:&quot;In this paper, we examine the potential for using phase change material (PCM) as a thermal storage medium for improving the efficiency as well as enabling grid-responsive control of heat pump (HP) systems. Previous research in PCM integration in buildings has primarily been focused on integration with building envelopes. An objective of our research is to design a novel and practical PCM integration with existing HP systems. High-fidelity models for building, HP and PCM are developed to facilitate the model-based predictive control (MPC) design. To optimize the operation of HP and PCM, we introduce an optimization problem considering various constraints for both comfort and hardware constraints. We include experimental results in which a house fleet are optimized to minimize their power consumption or electricity cost. We numerically demonstrate the designs potential for reducing power consumption or electricity cost by 13% or 19%, respectively.&quot;,&quot;author&quot;:[{&quot;dropping-particle&quot;:&quot;&quot;,&quot;family&quot;:&quot;Dong&quot;,&quot;given&quot;:&quot;Jin&quot;,&quot;non-dropping-particle&quot;:&quot;&quot;,&quot;parse-names&quot;:false,&quot;suffix&quot;:&quot;&quot;},{&quot;dropping-particle&quot;:&quot;&quot;,&quot;family&quot;:&quot;Shen&quot;,&quot;given&quot;:&quot;Bo&quot;,&quot;non-dropping-particle&quot;:&quot;&quot;,&quot;parse-names&quot;:false,&quot;suffix&quot;:&quot;&quot;},{&quot;dropping-particle&quot;:&quot;&quot;,&quot;family&quot;:&quot;Munk&quot;,&quot;given&quot;:&quot;Jeffrey&quot;,&quot;non-dropping-particle&quot;:&quot;&quot;,&quot;parse-names&quot;:false,&quot;suffix&quot;:&quot;&quot;},{&quot;dropping-particle&quot;:&quot;&quot;,&quot;family&quot;:&quot;Gluesenkamp&quot;,&quot;given&quot;:&quot;Kyle R.&quot;,&quot;non-dropping-particle&quot;:&quot;&quot;,&quot;parse-names&quot;:false,&quot;suffix&quot;:&quot;&quot;},{&quot;dropping-particle&quot;:&quot;&quot;,&quot;family&quot;:&quot;Laclair&quot;,&quot;given&quot;:&quot;Tim&quot;,&quot;non-dropping-particle&quot;:&quot;&quot;,&quot;parse-names&quot;:false,&quot;suffix&quot;:&quot;&quot;},{&quot;dropping-particle&quot;:&quot;&quot;,&quot;family&quot;:&quot;Kuruganti&quot;,&quot;given&quot;:&quot;Teja&quot;,&quot;non-dropping-particle&quot;:&quot;&quot;,&quot;parse-names&quot;:false,&quot;suffix&quot;:&quot;&quot;}],&quot;container-title&quot;:&quot;IEEE Power and Energy Society General Meeting&quot;,&quot;id&quot;:&quot;d58303d9-4049-3b21-b4ce-c77cfc399f52&quot;,&quot;issued&quot;:{&quot;date-parts&quot;:[[&quot;2019&quot;]]},&quot;title&quot;:&quot;Novel PCM Integration with Electrical Heat Pump for Demand Response&quot;,&quot;type&quot;:&quot;paper-conference&quot;,&quot;container-title-short&quot;:&quot;&quot;},&quot;uris&quot;:[&quot;http://www.mendeley.com/documents/?uuid=a85cbfa5-0df7-4e10-9431-26967e90678b&quot;],&quot;isTemporary&quot;:false,&quot;legacyDesktopId&quot;:&quot;a85cbfa5-0df7-4e10-9431-26967e90678b&quot;}]},{&quot;citationID&quot;:&quot;MENDELEY_CITATION_33296279-7686-4909-ac23-0ef9d2663982&quot;,&quot;properties&quot;:{&quot;noteIndex&quot;:0},&quot;isEdited&quot;:false,&quot;manualOverride&quot;:{&quot;citeprocText&quot;:&quot;[182]&quot;,&quot;isManuallyOverridden&quot;:false,&quot;manualOverrideText&quot;:&quot;&quot;},&quot;citationTag&quot;:&quot;MENDELEY_CITATION_v3_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&quot;,&quot;citationItems&quot;:[{&quot;id&quot;:&quot;40f4c535-0bb1-36db-9428-dee71b57826a&quot;,&quot;itemData&quot;:{&quot;DOI&quot;:&quot;10.1504/IJGEI.1997.063347&quot;,&quot;ISSN&quot;:&quot;09547118&quot;,&quot;abstract&quot;:&quot;Thermal energy storage (TES) is a key component of any successful thermal system and a good TES should allow minimum thermal energy losses, leading to energy savings, while permitting the highest possible extraction efficiency of the stored thermal energy. This study deals with the methods and applications of describing and assessing TES systems, and practical energy saving applications provided by using these TES systems. In this respect, the TES systems and their practical applications and design and selection criteria have been investigated. Further, energy saving techniques and applications are discussed and highlighted with illustrative examples.&quot;,&quot;author&quot;:[{&quot;dropping-particle&quot;:&quot;&quot;,&quot;family&quot;:&quot;Dincer&quot;,&quot;given&quot;:&quot;Ibrahim&quot;,&quot;non-dropping-particle&quot;:&quot;&quot;,&quot;parse-names&quot;:false,&quot;suffix&quot;:&quot;&quot;},{&quot;dropping-particle&quot;:&quot;&quot;,&quot;family&quot;:&quot;Dost&quot;,&quot;given&quot;:&quot;Sadik&quot;,&quot;non-dropping-particle&quot;:&quot;&quot;,&quot;parse-names&quot;:false,&quot;suffix&quot;:&quot;&quot;},{&quot;dropping-particle&quot;:&quot;&quot;,&quot;family&quot;:&quot;Li&quot;,&quot;given&quot;:&quot;Xianguo&quot;,&quot;non-dropping-particle&quot;:&quot;&quot;,&quot;parse-names&quot;:false,&quot;suffix&quot;:&quot;&quot;}],&quot;container-title&quot;:&quot;International Journal of Global Energy Issues&quot;,&quot;id&quot;:&quot;40f4c535-0bb1-36db-9428-dee71b57826a&quot;,&quot;issue&quot;:&quot;4&quot;,&quot;issued&quot;:{&quot;date-parts&quot;:[[&quot;1997&quot;]]},&quot;page&quot;:&quot;351-364&quot;,&quot;title&quot;:&quot;Thermal energy storage applications from an energy saving perspective&quot;,&quot;type&quot;:&quot;article-journal&quot;,&quot;volume&quot;:&quot;9&quot;,&quot;container-title-short&quot;:&quot;&quot;},&quot;uris&quot;:[&quot;http://www.mendeley.com/documents/?uuid=40f4c535-0bb1-36db-9428-dee71b57826a&quot;],&quot;isTemporary&quot;:false,&quot;legacyDesktopId&quot;:&quot;40f4c535-0bb1-36db-9428-dee71b57826a&quot;}]},{&quot;citationID&quot;:&quot;MENDELEY_CITATION_0285a7fc-62d8-4d6e-8736-c4a33d4f286b&quot;,&quot;properties&quot;:{&quot;noteIndex&quot;:0},&quot;isEdited&quot;:false,&quot;manualOverride&quot;:{&quot;citeprocText&quot;:&quot;[70], [75], [183]–[185]&quot;,&quot;isManuallyOverridden&quot;:false,&quot;manualOverrideText&quot;:&quot;&quot;},&quot;citationTag&quot;:&quot;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&quot;,&quot;citationItems&quot;:[{&quot;id&quot;:&quot;3aec5ad2-2f99-5c36-a2ac-de24ad0c7ca2&quot;,&quot;itemData&quot;:{&quot;DOI&quot;:&quot;10.1016/j.enbuild.2012.12.042&quot;,&quot;ISSN&quot;:&quot;03787788&quot;,&quot;abstract&quot;:&quot;This paper aims to explore how and where phase change materials (PCMs) are used in passive latent heat thermal energy storage (LHTES) systems, and to present an overview of how these construction solutions are related to building's energy performance. A survey on research trends are firstly presented followed by the discussion of some physical and theoretical considerations about the building and the potential of integrating PCMs in construction elements. The different types of PCMs and main criteria that govern their selection are reviewed, as well as the main methods to measure PCMs' thermal properties, and the techniques to incorporate PCMs into building elements. The numerical modeling of heat transfer with phase-change and heat transfer enhanced techniques are discussed, followed by a review of several passive LHTES systems with PCMs. Studies on dynamic simulation of energy in buildings (DSEB) incorporating PCMs are reviewed, mainly those supported by EnergyPlus, ESP-r and TRNSYS software tools. Lifecycle assessments, both environmental and economic are discussed. This review shows that passive construction solutions with PCMs provide the potential for reducing energy consumption for heating and cooling due to the load reduction/shifting, and for increasing indoor thermal comfort due to the reduced indoor temperature fluctuations. © 2013 Elsevier B.V.&quot;,&quot;author&quot;:[{&quot;dropping-particle&quot;:&quot;&quot;,&quot;family&quot;:&quot;Soares&quot;,&quot;given&quot;:&quot;N.&quot;,&quot;non-dropping-particle&quot;:&quot;&quot;,&quot;parse-names&quot;:false,&quot;suffix&quot;:&quot;&quot;},{&quot;dropping-particle&quot;:&quot;&quot;,&quot;family&quot;:&quot;Costa&quot;,&quot;given&quot;:&quot;J. J.&quot;,&quot;non-dropping-particle&quot;:&quot;&quot;,&quot;parse-names&quot;:false,&quot;suffix&quot;:&quot;&quot;},{&quot;dropping-particle&quot;:&quot;&quot;,&quot;family&quot;:&quot;Gaspar&quot;,&quot;given&quot;:&quot;A. R.&quot;,&quot;non-dropping-particle&quot;:&quot;&quot;,&quot;parse-names&quot;:false,&quot;suffix&quot;:&quot;&quot;},{&quot;dropping-particle&quot;:&quot;&quot;,&quot;family&quot;:&quot;Santos&quot;,&quot;given&quot;:&quot;P.&quot;,&quot;non-dropping-particle&quot;:&quot;&quot;,&quot;parse-names&quot;:false,&quot;suffix&quot;:&quot;&quot;}],&quot;container-title&quot;:&quot;Energy and Buildings&quot;,&quot;id&quot;:&quot;3aec5ad2-2f99-5c36-a2ac-de24ad0c7ca2&quot;,&quot;issued&quot;:{&quot;date-parts&quot;:[[&quot;2013&quot;]]},&quot;page&quot;:&quot;82-103&quot;,&quot;publisher&quot;:&quot;Elsevier B.V.&quot;,&quot;title&quot;:&quot;Review of passive PCM latent heat thermal energy storage systems towards buildings' energy efficiency&quot;,&quot;type&quot;:&quot;article-journal&quot;,&quot;volume&quot;:&quot;59&quot;,&quot;container-title-short&quot;:&quot;Energy Build&quot;},&quot;uris&quot;:[&quot;http://www.mendeley.com/documents/?uuid=bf198cc3-d85f-427d-9710-6b64d9615f35&quot;],&quot;isTemporary&quot;:false,&quot;legacyDesktopId&quot;:&quot;bf198cc3-d85f-427d-9710-6b64d9615f35&quot;},{&quot;id&quot;:&quot;305ca745-8196-3bd8-b415-68afcf972ffd&quot;,&quot;itemData&quot;:{&quot;DOI&quot;:&quot;10.1016/j.enbuild.2015.06.007&quot;,&quot;ISSN&quot;:&quot;03787788&quot;,&quot;abstract&quot;:&quot;It is well known that there is a need to develop technologies to achieve thermal comfort in buildings lowering the cooling and heating demand. Research has shown that thermal energy storage (TES) is a way to do so, but also other purposes can be pursued when using TES in buildings, such as peak shaving or increase of energy efficiency in HVAC systems. This paper reviews TES in buildings using sensible, latent heat and thermochemical energy storage. Sustainable heating and cooling with TES in buildings can be achieved through passive systems in building envelopes, Phase Change Materials (PCM) in active systems, sorption systems, and seasonal storage.&quot;,&quot;author&quot;:[{&quot;dropping-particle&quot;:&quot;&quot;,&quot;family&quot;:&quot;Gracia&quot;,&quot;given&quot;:&quot;Alvaro&quot;,&quot;non-dropping-particle&quot;:&quot;De&quot;,&quot;parse-names&quot;:false,&quot;suffix&quot;:&quot;&quot;},{&quot;dropping-particle&quot;:&quot;&quot;,&quot;family&quot;:&quot;Cabeza&quot;,&quot;given&quot;:&quot;Luisa F.&quot;,&quot;non-dropping-particle&quot;:&quot;&quot;,&quot;parse-names&quot;:false,&quot;suffix&quot;:&quot;&quot;}],&quot;container-title&quot;:&quot;Energy and Buildings&quot;,&quot;id&quot;:&quot;305ca745-8196-3bd8-b415-68afcf972ffd&quot;,&quot;issued&quot;:{&quot;date-parts&quot;:[[&quot;2015&quot;]]},&quot;page&quot;:&quot;414-419&quot;,&quot;publisher&quot;:&quot;Elsevier B.V.&quot;,&quot;title&quot;:&quot;Phase change materials and thermal energy storage for buildings&quot;,&quot;type&quot;:&quot;article-journal&quot;,&quot;volume&quot;:&quot;103&quot;,&quot;container-title-short&quot;:&quot;Energy Build&quot;},&quot;uris&quot;:[&quot;http://www.mendeley.com/documents/?uuid=e08e6b49-b48f-46e5-ada8-c0d82a666ef3&quot;],&quot;isTemporary&quot;:false,&quot;legacyDesktopId&quot;:&quot;e08e6b49-b48f-46e5-ada8-c0d82a666ef3&quot;},{&quot;id&quot;:&quot;2737e47f-948b-35d1-b8ed-d2bc520e4bb8&quot;,&quot;itemData&quot;:{&quot;DOI&quot;:&quot;10.1016/j.rser.2016.03.036&quot;,&quot;ISSN&quot;:&quot;18790690&quot;,&quot;abstract&quot;:&quot;The most significant threat that mankind faces in the 21th century is global warming. Buildings, which account for 40% of global energy consumption and greenhouse gas emissions, play a pivotal role in global warming. Estimates show that their destructive impact will grow by 1.8% per year through 2050, which indicates that future consumption and emissions will be worse than today. Therefore, the impact of cooling systems cannot be ignored, as they, along with ventilation and heating systems, account for 60% of the energy consumed in buildings. Passive cooling techniques are a promising alternative to conventional cooling systems. Of the various passive cooling strategies, thermal energy storage by means of latent heat is an efficient way to increase the thermal inertia of building envelopes, which would reduce temperature fluctuations, leading to the improved thermal comfort of occupants. Phase change materials (PCMs) with high density for thermal energy storage can be efficiently employed to this purpose. This paper reviews recent studies of the application of PCMs for passive cooling in buildings. From the literature, a comprehensive list of different organic, inorganic and eutectic PCMs appropriate for passive cooling in buildings are reviewed. Full-scale testing and numerical modeling were found to be the most popular investigative methods used for experimental and theoretical analysis of PCMs. The combination of these two methods can provide a detailed and valid technique for PCM investigations. Finally, incorporating PCMs into building walls with macro encapsulation was also a dominant interest in previous studies.&quot;,&quot;author&quot;:[{&quot;dropping-particle&quot;:&quot;&quot;,&quot;family&quot;:&quot;Akeiber&quot;,&quot;given&quot;:&quot;Hussein&quot;,&quot;non-dropping-particle&quot;:&quot;&quot;,&quot;parse-names&quot;:false,&quot;suffix&quot;:&quot;&quot;},{&quot;dropping-particle&quot;:&quot;&quot;,&quot;family&quot;:&quot;Nejat&quot;,&quot;given&quot;:&quot;Payam&quot;,&quot;non-dropping-particle&quot;:&quot;&quot;,&quot;parse-names&quot;:false,&quot;suffix&quot;:&quot;&quot;},{&quot;dropping-particle&quot;:&quot;&quot;,&quot;family&quot;:&quot;Majid&quot;,&quot;given&quot;:&quot;Muhd Zaimi Abd&quot;,&quot;non-dropping-particle&quot;:&quot;&quot;,&quot;parse-names&quot;:false,&quot;suffix&quot;:&quot;&quot;},{&quot;dropping-particle&quot;:&quot;&quot;,&quot;family&quot;:&quot;Wahid&quot;,&quot;given&quot;:&quot;Mazlan A.&quot;,&quot;non-dropping-particle&quot;:&quot;&quot;,&quot;parse-names&quot;:false,&quot;suffix&quot;:&quot;&quot;},{&quot;dropping-particle&quot;:&quot;&quot;,&quot;family&quot;:&quot;Jomehzadeh&quot;,&quot;given&quot;:&quot;Fatemeh&quot;,&quot;non-dropping-particle&quot;:&quot;&quot;,&quot;parse-names&quot;:false,&quot;suffix&quot;:&quot;&quot;},{&quot;dropping-particle&quot;:&quot;&quot;,&quot;family&quot;:&quot;Zeynali Famileh&quot;,&quot;given&quot;:&quot;Iman&quot;,&quot;non-dropping-particle&quot;:&quot;&quot;,&quot;parse-names&quot;:false,&quot;suffix&quot;:&quot;&quot;},{&quot;dropping-particle&quot;:&quot;&quot;,&quot;family&quot;:&quot;Calautit&quot;,&quot;given&quot;:&quot;John Kaiser&quot;,&quot;non-dropping-particle&quot;:&quot;&quot;,&quot;parse-names&quot;:false,&quot;suffix&quot;:&quot;&quot;},{&quot;dropping-particle&quot;:&quot;&quot;,&quot;family&quot;:&quot;Hughes&quot;,&quot;given&quot;:&quot;Ben Richard&quot;,&quot;non-dropping-particle&quot;:&quot;&quot;,&quot;parse-names&quot;:false,&quot;suffix&quot;:&quot;&quot;},{&quot;dropping-particle&quot;:&quot;&quot;,&quot;family&quot;:&quot;Zaki&quot;,&quot;given&quot;:&quot;Sheikh Ahmad&quot;,&quot;non-dropping-particle&quot;:&quot;&quot;,&quot;parse-names&quot;:false,&quot;suffix&quot;:&quot;&quot;}],&quot;container-title&quot;:&quot;Renewable and Sustainable Energy Reviews&quot;,&quot;id&quot;:&quot;2737e47f-948b-35d1-b8ed-d2bc520e4bb8&quot;,&quot;issued&quot;:{&quot;date-parts&quot;:[[&quot;2016&quot;]]},&quot;page&quot;:&quot;1470-1497&quot;,&quot;publisher&quot;:&quot;Elsevier&quot;,&quot;title&quot;:&quot;A review on phase change material (PCM) for sustainable passive cooling in building envelopes&quot;,&quot;type&quot;:&quot;article-journal&quot;,&quot;volume&quot;:&quot;60&quot;,&quot;container-title-short&quot;:&quot;&quot;},&quot;uris&quot;:[&quot;http://www.mendeley.com/documents/?uuid=00984ade-b6e9-4c27-8b11-6e57a441b482&quot;],&quot;isTemporary&quot;:false,&quot;legacyDesktopId&quot;:&quot;00984ade-b6e9-4c27-8b11-6e57a441b482&quot;},{&quot;id&quot;:&quot;4eddd5b4-1bbd-3443-9ee8-178b76d7d554&quot;,&quot;itemData&quot;:{&quot;DOI&quot;:&quot;10.1002/er.5406&quot;,&quot;ISSN&quot;:&quot;1099114X&quot;,&quot;abstract&quot;:&quot;The thermal properties of lightweight buildings can be efficiently improved by using phase change materials (PCMs). The heat storage capacity of the building can be extended exactly at the desired temperature level, which leads to an enormous increase in residential comfort. This is shown in the present paper using the example of a prefabricated wooden house. The house was divided into two identical rooms. One of them was equipped with almost one ton of phase change material based on salt hydrates with a melting temperature of approx. 21°C. The material was encapsulated in 1-l Polyethylene containers and installed in two back-ventilated layers inside of the walls. The house was monitored for a period of 87 days in terms of temperatures, solar radiation and air velocity inside the PCM wall system. A considerable temperature buffering could be observed in the PCM room compared to the reference room. An overall reduction of the temperature fluctuations of 57% and a reduction of the day/night fluctuations of 62% compared to the reference room could be obtained. In addition, a prediction regarding the energy demand of such buildings is discussed on the basis of a simulation program. Thus, the annual cooling capacity can be reduced by 36.5% compared to the regular timber construction technique by introducing PCM. Furthermore, the good correlation of the simulation results with the experimental ones allows using the simulation as a tool to design a house with additional thermal storages.&quot;,&quot;author&quot;:[{&quot;dropping-particle&quot;:&quot;&quot;,&quot;family&quot;:&quot;Sonnick&quot;,&quot;given&quot;:&quot;Sebastian&quot;,&quot;non-dropping-particle&quot;:&quot;&quot;,&quot;parse-names&quot;:false,&quot;suffix&quot;:&quot;&quot;},{&quot;dropping-particle&quot;:&quot;&quot;,&quot;family&quot;:&quot;Erlbeck&quot;,&quot;given&quot;:&quot;Lars&quot;,&quot;non-dropping-particle&quot;:&quot;&quot;,&quot;parse-names&quot;:false,&quot;suffix&quot;:&quot;&quot;},{&quot;dropping-particle&quot;:&quot;&quot;,&quot;family&quot;:&quot;Gaedtke&quot;,&quot;given&quot;:&quot;Maximilian&quot;,&quot;non-dropping-particle&quot;:&quot;&quot;,&quot;parse-names&quot;:false,&quot;suffix&quot;:&quot;&quot;},{&quot;dropping-particle&quot;:&quot;&quot;,&quot;family&quot;:&quot;Wunder&quot;,&quot;given&quot;:&quot;Frederik&quot;,&quot;non-dropping-particle&quot;:&quot;&quot;,&quot;parse-names&quot;:false,&quot;suffix&quot;:&quot;&quot;},{&quot;dropping-particle&quot;:&quot;&quot;,&quot;family&quot;:&quot;Mayer&quot;,&quot;given&quot;:&quot;Christoph&quot;,&quot;non-dropping-particle&quot;:&quot;&quot;,&quot;parse-names&quot;:false,&quot;suffix&quot;:&quot;&quot;},{&quot;dropping-particle&quot;:&quot;&quot;,&quot;family&quot;:&quot;Krause&quot;,&quot;given&quot;:&quot;Mathias J.&quot;,&quot;non-dropping-particle&quot;:&quot;&quot;,&quot;parse-names&quot;:false,&quot;suffix&quot;:&quot;&quot;},{&quot;dropping-particle&quot;:&quot;&quot;,&quot;family&quot;:&quot;Nirschl&quot;,&quot;given&quot;:&quot;Hermann&quot;,&quot;non-dropping-particle&quot;:&quot;&quot;,&quot;parse-names&quot;:false,&quot;suffix&quot;:&quot;&quot;},{&quot;dropping-particle&quot;:&quot;&quot;,&quot;family&quot;:&quot;Rädle&quot;,&quot;given&quot;:&quot;Matthias&quot;,&quot;non-dropping-particle&quot;:&quot;&quot;,&quot;parse-names&quot;:false,&quot;suffix&quot;:&quot;&quot;}],&quot;container-title&quot;:&quot;International Journal of Energy Research&quot;,&quot;id&quot;:&quot;4eddd5b4-1bbd-3443-9ee8-178b76d7d554&quot;,&quot;issued&quot;:{&quot;date-parts&quot;:[[&quot;2020&quot;,&quot;4&quot;,&quot;1&quot;]]},&quot;publisher&quot;:&quot;John Wiley and Sons Ltd&quot;,&quot;title&quot;:&quot;Passive room conditioning using phase change materials—Demonstration of a long-term real size experiment&quot;,&quot;type&quot;:&quot;article-journal&quot;,&quot;container-title-short&quot;:&quot;Int J Energy Res&quot;},&quot;uris&quot;:[&quot;http://www.mendeley.com/documents/?uuid=4eddd5b4-1bbd-3443-9ee8-178b76d7d554&quot;],&quot;isTemporary&quot;:false,&quot;legacyDesktopId&quot;:&quot;4eddd5b4-1bbd-3443-9ee8-178b76d7d554&quot;},{&quot;id&quot;:&quot;b100ac6f-9ec7-3b4f-8ce9-26e4a7347e20&quot;,&quot;itemData&quot;:{&quot;DOI&quot;:&quot;10.1016/j.matpr.2019.07.616&quot;,&quot;ISSN&quot;:&quot;22147853&quot;,&quot;abstract&quot;:&quot;Latent heat energy storage (LHES) systems using phase change materials (PCMs) are well known for its excellent thermal energy storage and release during melting and solidifications respectively. PCMs can be efficiently deployed in applications where significant temperature difference exists in the system for intermittent thermal energy storage. Several research contributions has been made on integrating PCMs in buildings for thermal management, as it enhances building thermal inertia, reduces maximum heat flux, shifts peak energy demand, reduces temperature fluctuations of air, etc., owing to its isothermal behavior and high energy storage density during phase change. Results of several research articles reveal that incorporation of PCM in buildings could significantly improve indoor comfort conditions and reduce energy demand of Heating ventilation and air conditioning (HVAC) systems, provided appropriate PCM selection, encapsulation methods, location deployed etc. This review paper is devoted to elucidate various facts attributing PCM integration in buildings for thermal management through passive approach. The facts includes performance of PCMs in buildings in terms of heat gain reduction, temperature attenuation, peak energy demand shifting and energy saving potential, encapsulation deployed, are discussed and presented in order to expedite the interpretation for future researchers, who took their research work in the field of building thermal energy management.&quot;,&quot;author&quot;:[{&quot;dropping-particle&quot;:&quot;&quot;,&quot;family&quot;:&quot;Arivazhagan&quot;,&quot;given&quot;:&quot;R.&quot;,&quot;non-dropping-particle&quot;:&quot;&quot;,&quot;parse-names&quot;:false,&quot;suffix&quot;:&quot;&quot;},{&quot;dropping-particle&quot;:&quot;&quot;,&quot;family&quot;:&quot;Geetha&quot;,&quot;given&quot;:&quot;N.B.&quot;,&quot;non-dropping-particle&quot;:&quot;&quot;,&quot;parse-names&quot;:false,&quot;suffix&quot;:&quot;&quot;},{&quot;dropping-particle&quot;:&quot;&quot;,&quot;family&quot;:&quot;Sivasamy&quot;,&quot;given&quot;:&quot;P.&quot;,&quot;non-dropping-particle&quot;:&quot;&quot;,&quot;parse-names&quot;:false,&quot;suffix&quot;:&quot;&quot;},{&quot;dropping-particle&quot;:&quot;&quot;,&quot;family&quot;:&quot;Kumaran&quot;,&quot;given&quot;:&quot;P.&quot;,&quot;non-dropping-particle&quot;:&quot;&quot;,&quot;parse-names&quot;:false,&quot;suffix&quot;:&quot;&quot;},{&quot;dropping-particle&quot;:&quot;&quot;,&quot;family&quot;:&quot;Kumara Gnanamithra&quot;,&quot;given&quot;:&quot;M.&quot;,&quot;non-dropping-particle&quot;:&quot;&quot;,&quot;parse-names&quot;:false,&quot;suffix&quot;:&quot;&quot;},{&quot;dropping-particle&quot;:&quot;&quot;,&quot;family&quot;:&quot;Sankar&quot;,&quot;given&quot;:&quot;S.&quot;,&quot;non-dropping-particle&quot;:&quot;&quot;,&quot;parse-names&quot;:false,&quot;suffix&quot;:&quot;&quot;},{&quot;dropping-particle&quot;:&quot;&quot;,&quot;family&quot;:&quot;Babu Loganathan&quot;,&quot;given&quot;:&quot;Ganesh&quot;,&quot;non-dropping-particle&quot;:&quot;&quot;,&quot;parse-names&quot;:false,&quot;suffix&quot;:&quot;&quot;},{&quot;dropping-particle&quot;:&quot;&quot;,&quot;family&quot;:&quot;Arivarasan&quot;,&quot;given&quot;:&quot;A.&quot;,&quot;non-dropping-particle&quot;:&quot;&quot;,&quot;parse-names&quot;:false,&quot;suffix&quot;:&quot;&quot;}],&quot;container-title&quot;:&quot;Materials Today: Proceedings&quot;,&quot;id&quot;:&quot;b100ac6f-9ec7-3b4f-8ce9-26e4a7347e20&quot;,&quot;issued&quot;:{&quot;date-parts&quot;:[[&quot;2020&quot;,&quot;1&quot;,&quot;1&quot;]]},&quot;page&quot;:&quot;419-431&quot;,&quot;publisher&quot;:&quot;Elsevier BV&quot;,&quot;title&quot;:&quot;Review on performance assessment of phase change materials in buildings for thermal management through passive approach&quot;,&quot;type&quot;:&quot;article-journal&quot;,&quot;volume&quot;:&quot;22&quot;,&quot;container-title-short&quot;:&quot;Mater Today Proc&quot;},&quot;uris&quot;:[&quot;http://www.mendeley.com/documents/?uuid=b100ac6f-9ec7-3b4f-8ce9-26e4a7347e20&quot;],&quot;isTemporary&quot;:false,&quot;legacyDesktopId&quot;:&quot;b100ac6f-9ec7-3b4f-8ce9-26e4a7347e20&quot;}]},{&quot;citationID&quot;:&quot;MENDELEY_CITATION_0485fd02-3e4b-4b4e-b744-b516e2d34afd&quot;,&quot;properties&quot;:{&quot;noteIndex&quot;:0},&quot;isEdited&quot;:false,&quot;manualOverride&quot;:{&quot;citeprocText&quot;:&quot;[103], [118]&quot;,&quot;isManuallyOverridden&quot;:false,&quot;manualOverrideText&quot;:&quot;&quot;},&quot;citationTag&quot;:&quot;MENDELEY_CITATION_v3_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&quot;,&quot;citationItems&quot;:[{&quot;id&quot;:&quot;fbe18e71-147b-396d-8f94-4aeb3d90b28b&quot;,&quot;itemData&quot;:{&quot;DOI&quot;:&quot;10.3390/su10010191&quot;,&quot;ISSN&quot;:&quot;20711050&quot;,&quot;abstract&quot;:&quot;© 2018 by the authors. Thermal energy storage (TES) is a technology that stocks thermal energy by heating or cooling a storage medium so that the stored energy can be used at a later time for heating and cooling applications and power generation. TES systems are used particularly in buildings and in industrial processes. This paper is focused on TES technologies that provide a way of valorizing solar heat and reducing the energy demand of buildings. The principles of several energy storage methods and calculation of storage capacities are described. Sensible heat storage technologies, including water tank, underground, and packed-bed storage methods, are briefly reviewed. Additionally, latent-heat storage systems associated with phase-change materials for use in solar heating/cooling of buildings, solar water heating, heat-pump systems, and concentrating sola r power plants as well as thermo-chemical storage are discussed. Finally, cool thermal energy storage is also briefly reviewed and outstanding information on the performance and costs of TES systems are included.&quot;,&quot;author&quot;:[{&quot;dropping-particle&quot;:&quot;&quot;,&quot;family&quot;:&quot;Sarbu&quot;,&quot;given&quot;:&quot;Ioan&quot;,&quot;non-dropping-particle&quot;:&quot;&quot;,&quot;parse-names&quot;:false,&quot;suffix&quot;:&quot;&quot;},{&quot;dropping-particle&quot;:&quot;&quot;,&quot;family&quot;:&quot;Sebarchievici&quot;,&quot;given&quot;:&quot;Calin&quot;,&quot;non-dropping-particle&quot;:&quot;&quot;,&quot;parse-names&quot;:false,&quot;suffix&quot;:&quot;&quot;}],&quot;container-title&quot;:&quot;Sustainability (Switzerland)&quot;,&quot;id&quot;:&quot;fbe18e71-147b-396d-8f94-4aeb3d90b28b&quot;,&quot;issue&quot;:&quot;1&quot;,&quot;issued&quot;:{&quot;date-parts&quot;:[[&quot;2018&quot;]]},&quot;title&quot;:&quot;A comprehensive review of thermal energy storage&quot;,&quot;type&quot;:&quot;article-journal&quot;,&quot;volume&quot;:&quot;10&quot;,&quot;container-title-short&quot;:&quot;&quot;},&quot;uris&quot;:[&quot;http://www.mendeley.com/documents/?uuid=43c59663-3f37-4423-849e-edb1b7e9771c&quot;],&quot;isTemporary&quot;:false,&quot;legacyDesktopId&quot;:&quot;43c59663-3f37-4423-849e-edb1b7e9771c&quot;},{&quot;id&quot;:&quot;3e26d04b-ce4e-3927-b4df-acadd4623c94&quot;,&quot;itemData&quot;:{&quot;DOI&quot;:&quot;10.1109/ISGTEurope.2014.7028883&quot;,&quot;ISBN&quot;:&quot;9781479977208&quot;,&quot;abstract&quot;:&quot;Domestic Heating Ventilation and Air-Conditioning (HVAC) loads are among the most flexible residential loads for possible demand response (DR) applications. This paper aims at assessing the DR potential of HVAC loads in smart grids considering users' temperature preferences. For doing so, at first, a mathematical formulation is developed to evaluate the flexibility of HVAC loads. The model, by adjusting the HVAC load, intends to either maximize or minimize electricity consumption during specific hours of a day while the user thermal comfort is intact. The proposed model is then applied to a medium massive structure house in Helsinki, Finland. The study is performed for different seasons and the associated DR potential is evaluated. The simulation results showcase the significant potential of HVAC loads in both consumption reduction and load increment. It is shown that the DR potential can be significantly affected by temperature dead-bands representing consumers' willingness to accept change in their comfort. It is also demonstrated that installing even a small thermal storage capacity may lead to a greater value-added DR potential.&quot;,&quot;author&quot;:[{&quot;dropping-particle&quot;:&quot;&quot;,&quot;family&quot;:&quot;Ali&quot;,&quot;given&quot;:&quot;Mubbashir&quot;,&quot;non-dropping-particle&quot;:&quot;&quot;,&quot;parse-names&quot;:false,&quot;suffix&quot;:&quot;&quot;},{&quot;dropping-particle&quot;:&quot;&quot;,&quot;family&quot;:&quot;Safdarian&quot;,&quot;given&quot;:&quot;Amir&quot;,&quot;non-dropping-particle&quot;:&quot;&quot;,&quot;parse-names&quot;:false,&quot;suffix&quot;:&quot;&quot;},{&quot;dropping-particle&quot;:&quot;&quot;,&quot;family&quot;:&quot;Lehtonen&quot;,&quot;given&quot;:&quot;Matti&quot;,&quot;non-dropping-particle&quot;:&quot;&quot;,&quot;parse-names&quot;:false,&quot;suffix&quot;:&quot;&quot;}],&quot;container-title&quot;:&quot;IEEE PES Innovative Smart Grid Technologies Conference Europe&quot;,&quot;id&quot;:&quot;3e26d04b-ce4e-3927-b4df-acadd4623c94&quot;,&quot;issue&quot;:&quot;January&quot;,&quot;issued&quot;:{&quot;date-parts&quot;:[[&quot;2015&quot;,&quot;1&quot;,&quot;30&quot;]]},&quot;publisher&quot;:&quot;IEEE Computer Society&quot;,&quot;title&quot;:&quot;Demand response potential of residential HVAC loads considering users preferences&quot;,&quot;type&quot;:&quot;paper-conference&quot;,&quot;volume&quot;:&quot;2015-Janua&quot;,&quot;container-title-short&quot;:&quot;&quot;},&quot;uris&quot;:[&quot;http://www.mendeley.com/documents/?uuid=3e26d04b-ce4e-3927-b4df-acadd4623c94&quot;],&quot;isTemporary&quot;:false,&quot;legacyDesktopId&quot;:&quot;3e26d04b-ce4e-3927-b4df-acadd4623c94&quot;}]},{&quot;citationID&quot;:&quot;MENDELEY_CITATION_c0d004fd-746d-4a98-8f2c-bf9d1ee6b38c&quot;,&quot;properties&quot;:{&quot;noteIndex&quot;:0},&quot;isEdited&quot;:false,&quot;manualOverride&quot;:{&quot;citeprocText&quot;:&quot;[3], [30]&quot;,&quot;isManuallyOverridden&quot;:false,&quot;manualOverrideText&quot;:&quot;&quot;},&quot;citationTag&quot;:&quot;MENDELEY_CITATION_v3_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&quot;,&quot;citationItems&quot;:[{&quot;id&quot;:&quot;1d9756c6-0466-3270-92ff-2fd1387918d4&quot;,&quot;itemData&quot;:{&quot;DOI&quot;:&quot;10.1177/0957650917754033&quot;,&quot;ISSN&quot;:&quot;0957-6509&quot;,&quot;abstract&quot;:&quot;A significant portion of energy is consumed by the buildings to provide thermal comfort for its occupants. Energy consumed by the conventional cooling machines is expected to increase substantially...&quot;,&quot;author&quot;:[{&quot;dropping-particle&quot;:&quot;&quot;,&quot;family&quot;:&quot;Waqas&quot;,&quot;given&quot;:&quot;Adeel&quot;,&quot;non-dropping-particle&quot;:&quot;&quot;,&quot;parse-names&quot;:false,&quot;suffix&quot;:&quot;&quot;},{&quot;dropping-particle&quot;:&quot;&quot;,&quot;family&quot;:&quot;Ji&quot;,&quot;given&quot;:&quot;Jie&quot;,&quot;non-dropping-particle&quot;:&quot;&quot;,&quot;parse-names&quot;:false,&quot;suffix&quot;:&quot;&quot;},{&quot;dropping-particle&quot;:&quot;&quot;,&quot;family&quot;:&quot;Ali&quot;,&quot;given&quot;:&quot;Majid&quot;,&quot;non-dropping-particle&quot;:&quot;&quot;,&quot;parse-names&quot;:false,&quot;suffix&quot;:&quot;&quot;},{&quot;dropping-particle&quot;:&quot;&quot;,&quot;family&quot;:&quot;Alvi&quot;,&quot;given&quot;:&quot;Jahan Zeb&quot;,&quot;non-dropping-particle&quot;:&quot;&quot;,&quot;parse-names&quot;:false,&quot;suffix&quot;:&quot;&quot;}],&quot;container-title&quot;:&quot;Proceedings of the Institution of Mechanical Engineers, Part A: Journal of Power and Energy&quot;,&quot;id&quot;:&quot;1d9756c6-0466-3270-92ff-2fd1387918d4&quot;,&quot;issue&quot;:&quot;6&quot;,&quot;issued&quot;:{&quot;date-parts&quot;:[[&quot;2018&quot;,&quot;9&quot;]]},&quot;page&quot;:&quot;735-766&quot;,&quot;publisher&quot;:&quot;SAGE PublicationsSage UK: London, England&quot;,&quot;title&quot;:&quot;Effectiveness of the phase change material-based thermal energy storage integrated with the conventional cooling systems of the buildings – A review&quot;,&quot;type&quot;:&quot;article-journal&quot;,&quot;volume&quot;:&quot;232&quot;,&quot;container-title-short&quot;:&quot;&quot;},&quot;uris&quot;:[&quot;http://www.mendeley.com/documents/?uuid=a822bd03-c3f2-4de4-8201-788a342943a8&quot;],&quot;isTemporary&quot;:false,&quot;legacyDesktopId&quot;:&quot;a822bd03-c3f2-4de4-8201-788a342943a8&quot;},{&quot;id&quot;:&quot;d58303d9-4049-3b21-b4ce-c77cfc399f52&quot;,&quot;itemData&quot;:{&quot;DOI&quot;:&quot;10.1109/PESGM40551.2019.8973936&quot;,&quot;ISBN&quot;:&quot;9781728119816&quot;,&quot;ISSN&quot;:&quot;19449933&quot;,&quot;abstract&quot;:&quot;In this paper, we examine the potential for using phase change material (PCM) as a thermal storage medium for improving the efficiency as well as enabling grid-responsive control of heat pump (HP) systems. Previous research in PCM integration in buildings has primarily been focused on integration with building envelopes. An objective of our research is to design a novel and practical PCM integration with existing HP systems. High-fidelity models for building, HP and PCM are developed to facilitate the model-based predictive control (MPC) design. To optimize the operation of HP and PCM, we introduce an optimization problem considering various constraints for both comfort and hardware constraints. We include experimental results in which a house fleet are optimized to minimize their power consumption or electricity cost. We numerically demonstrate the designs potential for reducing power consumption or electricity cost by 13% or 19%, respectively.&quot;,&quot;author&quot;:[{&quot;dropping-particle&quot;:&quot;&quot;,&quot;family&quot;:&quot;Dong&quot;,&quot;given&quot;:&quot;Jin&quot;,&quot;non-dropping-particle&quot;:&quot;&quot;,&quot;parse-names&quot;:false,&quot;suffix&quot;:&quot;&quot;},{&quot;dropping-particle&quot;:&quot;&quot;,&quot;family&quot;:&quot;Shen&quot;,&quot;given&quot;:&quot;Bo&quot;,&quot;non-dropping-particle&quot;:&quot;&quot;,&quot;parse-names&quot;:false,&quot;suffix&quot;:&quot;&quot;},{&quot;dropping-particle&quot;:&quot;&quot;,&quot;family&quot;:&quot;Munk&quot;,&quot;given&quot;:&quot;Jeffrey&quot;,&quot;non-dropping-particle&quot;:&quot;&quot;,&quot;parse-names&quot;:false,&quot;suffix&quot;:&quot;&quot;},{&quot;dropping-particle&quot;:&quot;&quot;,&quot;family&quot;:&quot;Gluesenkamp&quot;,&quot;given&quot;:&quot;Kyle R.&quot;,&quot;non-dropping-particle&quot;:&quot;&quot;,&quot;parse-names&quot;:false,&quot;suffix&quot;:&quot;&quot;},{&quot;dropping-particle&quot;:&quot;&quot;,&quot;family&quot;:&quot;Laclair&quot;,&quot;given&quot;:&quot;Tim&quot;,&quot;non-dropping-particle&quot;:&quot;&quot;,&quot;parse-names&quot;:false,&quot;suffix&quot;:&quot;&quot;},{&quot;dropping-particle&quot;:&quot;&quot;,&quot;family&quot;:&quot;Kuruganti&quot;,&quot;given&quot;:&quot;Teja&quot;,&quot;non-dropping-particle&quot;:&quot;&quot;,&quot;parse-names&quot;:false,&quot;suffix&quot;:&quot;&quot;}],&quot;container-title&quot;:&quot;IEEE Power and Energy Society General Meeting&quot;,&quot;id&quot;:&quot;d58303d9-4049-3b21-b4ce-c77cfc399f52&quot;,&quot;issued&quot;:{&quot;date-parts&quot;:[[&quot;2019&quot;]]},&quot;title&quot;:&quot;Novel PCM Integration with Electrical Heat Pump for Demand Response&quot;,&quot;type&quot;:&quot;paper-conference&quot;,&quot;container-title-short&quot;:&quot;&quot;},&quot;uris&quot;:[&quot;http://www.mendeley.com/documents/?uuid=a85cbfa5-0df7-4e10-9431-26967e90678b&quot;],&quot;isTemporary&quot;:false,&quot;legacyDesktopId&quot;:&quot;a85cbfa5-0df7-4e10-9431-26967e90678b&quot;}]},{&quot;citationID&quot;:&quot;MENDELEY_CITATION_83593a79-c84d-4ef4-8d6b-845cc2d62435&quot;,&quot;properties&quot;:{&quot;noteIndex&quot;:0},&quot;isEdited&quot;:false,&quot;manualOverride&quot;:{&quot;citeprocText&quot;:&quot;[30], [186]&quot;,&quot;isManuallyOverridden&quot;:false,&quot;manualOverrideText&quot;:&quot;&quot;},&quot;citationTag&quot;:&quot;MENDELEY_CITATION_v3_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&quot;,&quot;citationItems&quot;:[{&quot;id&quot;:&quot;4a85dcd4-4201-35e6-b9c5-09e2828e7b3a&quot;,&quot;itemData&quot;:{&quot;DOI&quot;:&quot;10.1016/j.rser.2012.01.020&quot;,&quot;ISSN&quot;:&quot;13640321&quot;,&quot;abstract&quot;:&quot;Designing a cost-effective phase change thermal storage system involves two challenging aspects: one is to select a suitable storage material and the other is to increase the heat transfer between the storage material and the heat transfer fluid as the performance of the system is limited by the poor thermal conductivity of the latent heat storage material. When used for storing energy in concentrated solar thermal power plants, the solar field operation temperature will determine the PCM melting temperature selection. This paper reviews concentrated solar thermal power plants that are currently operating and under construction. It also reviews phase change materials with melting temperatures above 300°C, which potentially can be used as energy storage media in these plants. In addition, various techniques employed to enhance the thermal performance of high temperature phase change thermal storage systems have been reviewed and discussed. This review aims to provide the necessary information for further research in the development of cost-effective high temperature phase change thermal storage systems. ©2012 Elsevier Ltd. All rights reserved.&quot;,&quot;author&quot;:[{&quot;dropping-particle&quot;:&quot;&quot;,&quot;family&quot;:&quot;Liu&quot;,&quot;given&quot;:&quot;Ming&quot;,&quot;non-dropping-particle&quot;:&quot;&quot;,&quot;parse-names&quot;:false,&quot;suffix&quot;:&quot;&quot;},{&quot;dropping-particle&quot;:&quot;&quot;,&quot;family&quot;:&quot;Saman&quot;,&quot;given&quot;:&quot;Wasim&quot;,&quot;non-dropping-particle&quot;:&quot;&quot;,&quot;parse-names&quot;:false,&quot;suffix&quot;:&quot;&quot;},{&quot;dropping-particle&quot;:&quot;&quot;,&quot;family&quot;:&quot;Bruno&quot;,&quot;given&quot;:&quot;Frank&quot;,&quot;non-dropping-particle&quot;:&quot;&quot;,&quot;parse-names&quot;:false,&quot;suffix&quot;:&quot;&quot;}],&quot;container-title&quot;:&quot;Renewable and Sustainable Energy Reviews&quot;,&quot;id&quot;:&quot;4a85dcd4-4201-35e6-b9c5-09e2828e7b3a&quot;,&quot;issue&quot;:&quot;4&quot;,&quot;issued&quot;:{&quot;date-parts&quot;:[[&quot;2012&quot;,&quot;5&quot;]]},&quot;page&quot;:&quot;2118-2132&quot;,&quot;publisher&quot;:&quot;Pergamon&quot;,&quot;title&quot;:&quot;Review on storage materials and thermal performance enhancement techniques for high temperature phase change thermal storage systems&quot;,&quot;type&quot;:&quot;article&quot;,&quot;volume&quot;:&quot;16&quot;,&quot;container-title-short&quot;:&quot;&quot;},&quot;uris&quot;:[&quot;http://www.mendeley.com/documents/?uuid=b8e6db49-c599-4135-aa42-55e2942edb41&quot;],&quot;isTemporary&quot;:false,&quot;legacyDesktopId&quot;:&quot;b8e6db49-c599-4135-aa42-55e2942edb41&quot;},{&quot;id&quot;:&quot;1d9756c6-0466-3270-92ff-2fd1387918d4&quot;,&quot;itemData&quot;:{&quot;DOI&quot;:&quot;10.1177/0957650917754033&quot;,&quot;ISSN&quot;:&quot;0957-6509&quot;,&quot;abstract&quot;:&quot;A significant portion of energy is consumed by the buildings to provide thermal comfort for its occupants. Energy consumed by the conventional cooling machines is expected to increase substantially...&quot;,&quot;author&quot;:[{&quot;dropping-particle&quot;:&quot;&quot;,&quot;family&quot;:&quot;Waqas&quot;,&quot;given&quot;:&quot;Adeel&quot;,&quot;non-dropping-particle&quot;:&quot;&quot;,&quot;parse-names&quot;:false,&quot;suffix&quot;:&quot;&quot;},{&quot;dropping-particle&quot;:&quot;&quot;,&quot;family&quot;:&quot;Ji&quot;,&quot;given&quot;:&quot;Jie&quot;,&quot;non-dropping-particle&quot;:&quot;&quot;,&quot;parse-names&quot;:false,&quot;suffix&quot;:&quot;&quot;},{&quot;dropping-particle&quot;:&quot;&quot;,&quot;family&quot;:&quot;Ali&quot;,&quot;given&quot;:&quot;Majid&quot;,&quot;non-dropping-particle&quot;:&quot;&quot;,&quot;parse-names&quot;:false,&quot;suffix&quot;:&quot;&quot;},{&quot;dropping-particle&quot;:&quot;&quot;,&quot;family&quot;:&quot;Alvi&quot;,&quot;given&quot;:&quot;Jahan Zeb&quot;,&quot;non-dropping-particle&quot;:&quot;&quot;,&quot;parse-names&quot;:false,&quot;suffix&quot;:&quot;&quot;}],&quot;container-title&quot;:&quot;Proceedings of the Institution of Mechanical Engineers, Part A: Journal of Power and Energy&quot;,&quot;id&quot;:&quot;1d9756c6-0466-3270-92ff-2fd1387918d4&quot;,&quot;issue&quot;:&quot;6&quot;,&quot;issued&quot;:{&quot;date-parts&quot;:[[&quot;2018&quot;,&quot;9&quot;]]},&quot;page&quot;:&quot;735-766&quot;,&quot;publisher&quot;:&quot;SAGE PublicationsSage UK: London, England&quot;,&quot;title&quot;:&quot;Effectiveness of the phase change material-based thermal energy storage integrated with the conventional cooling systems of the buildings – A review&quot;,&quot;type&quot;:&quot;article-journal&quot;,&quot;volume&quot;:&quot;232&quot;,&quot;container-title-short&quot;:&quot;&quot;},&quot;uris&quot;:[&quot;http://www.mendeley.com/documents/?uuid=a822bd03-c3f2-4de4-8201-788a342943a8&quot;],&quot;isTemporary&quot;:false,&quot;legacyDesktopId&quot;:&quot;a822bd03-c3f2-4de4-8201-788a342943a8&quot;}]},{&quot;citationID&quot;:&quot;MENDELEY_CITATION_a6711956-607d-4cda-9d65-ff6c52d5dc8d&quot;,&quot;properties&quot;:{&quot;noteIndex&quot;:0},&quot;isEdited&quot;:false,&quot;manualOverride&quot;:{&quot;citeprocText&quot;:&quot;[42]&quot;,&quot;isManuallyOverridden&quot;:true,&quot;manualOverrideText&quot;:&quot;Bruno et al., 2014&quot;},&quot;citationTag&quot;:&quot;MENDELEY_CITATION_v3_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&quot;,&quot;citationItems&quot;:[{&quot;id&quot;:&quot;f8f7c02b-3562-32d0-9556-6d1d09dc0da1&quot;,&quot;itemData&quot;:{&quot;DOI&quot;:&quot;10.1016/j.enbuild.2014.02.069&quot;,&quot;ISSN&quot;:&quot;03787788&quot;,&quot;abstract&quot;:&quot;Achieving energy savings with domestic off peak air conditioning using phase change materials (PCMs) has always proved a challenge. Although the energy efficiency ratio of an air conditioner is higher during the night, this improvement often does not offset the exergy loss experienced when using thermal storage. Simulations have been conducted using the effectiveness-number of transfer units (-NTU) representation of a PCM system to determine the instantaneous heat transfer when coupled to an inverter chiller cooling system. Results show that although 85% of the energy consumption for cooling could be shifted to the off-peak period with an ice based system, the energy demand increased by 7.6%. The investigation demonstrated that by using a PCM with a melting point of 4 °C, it is possible to achieve an energy saving for cooling. A savings of around 13.5% can be achieved using a PCM with a melting point of 10 °C. Energy usage was increased with a more efficient PCM storage system. This unexpected result was due to which period the storage system was charged. A more efficient storage system charged quicker during the warmer part of the evening. Therefore energy minimisation requires optimal charging during the coldest part of the night. © 2014 Elsevier B.V.&quot;,&quot;author&quot;:[{&quot;dropping-particle&quot;:&quot;&quot;,&quot;family&quot;:&quot;Bruno&quot;,&quot;given&quot;:&quot;F.&quot;,&quot;non-dropping-particle&quot;:&quot;&quot;,&quot;parse-names&quot;:false,&quot;suffix&quot;:&quot;&quot;},{&quot;dropping-particle&quot;:&quot;&quot;,&quot;family&quot;:&quot;Tay&quot;,&quot;given&quot;:&quot;N. H S&quot;,&quot;non-dropping-particle&quot;:&quot;&quot;,&quot;parse-names&quot;:false,&quot;suffix&quot;:&quot;&quot;},{&quot;dropping-particle&quot;:&quot;&quot;,&quot;family&quot;:&quot;Belusko&quot;,&quot;given&quot;:&quot;M.&quot;,&quot;non-dropping-particle&quot;:&quot;&quot;,&quot;parse-names&quot;:false,&quot;suffix&quot;:&quot;&quot;}],&quot;container-title&quot;:&quot;Energy and Buildings&quot;,&quot;id&quot;:&quot;f8f7c02b-3562-32d0-9556-6d1d09dc0da1&quot;,&quot;issued&quot;:{&quot;date-parts&quot;:[[&quot;2014&quot;,&quot;6&quot;,&quot;1&quot;]]},&quot;page&quot;:&quot;347-353&quot;,&quot;publisher&quot;:&quot;Elsevier&quot;,&quot;title&quot;:&quot;Minimising energy usage for domestic cooling with off-peak PCM storage&quot;,&quot;type&quot;:&quot;article-journal&quot;,&quot;volume&quot;:&quot;76&quot;,&quot;container-title-short&quot;:&quot;Energy Build&quot;},&quot;uris&quot;:[&quot;http://www.mendeley.com/documents/?uuid=f8f7c02b-3562-32d0-9556-6d1d09dc0da1&quot;],&quot;isTemporary&quot;:false,&quot;legacyDesktopId&quot;:&quot;f8f7c02b-3562-32d0-9556-6d1d09dc0da1&quot;}]},{&quot;citationID&quot;:&quot;MENDELEY_CITATION_5aa7a55a-8c61-49d5-bfa1-dca2ebddd2e0&quot;,&quot;properties&quot;:{&quot;noteIndex&quot;:0},&quot;isEdited&quot;:false,&quot;manualOverride&quot;:{&quot;citeprocText&quot;:&quot;[151]&quot;,&quot;isManuallyOverridden&quot;:true,&quot;manualOverrideText&quot;:&quot;Sehar et al., 2012&quot;},&quot;citationTag&quot;:&quot;MENDELEY_CITATION_v3_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&quot;,&quot;citationItems&quot;:[{&quot;id&quot;:&quot;808067bd-535f-39eb-a9ef-78b829ffbc85&quot;,&quot;itemData&quot;:{&quot;DOI&quot;:&quot;10.1016/j.enbuild.2012.05.002&quot;,&quot;ISSN&quot;:&quot;03787788&quot;,&quot;abstract&quot;:&quot;Cooling demand constitutes a large portion of total electrical demand for office buildings during peak hours. Ice storage technology can help shift this peak cooling demand to off-peak periods. This research analyzes the chiller energy consumption of conventional non-storage and ice storage cooling systems for large and medium-sized office buildings in diverse climate zones. Demand Response Quick Assessment Tool (DRQAT) has been used to model and simulate large and medium-sized office buildings. The construction and weather files in DRQAT have been modified to incorporate construction standard and weather data for the cities representing the diverse climate zones. Results indicate that the chiller energy consumption for non-storage and ice storage systems depends highly on climatic conditions. Climate zones with hot summers as well as small day and night temperature variations show higher chiller energy consumptions. The marine climate zone has the lowest chiller energy consumption. The cold/humid climate zone has higher chiller energy consumption than the cold/dry and very cold climate zones. The cold/dry and very cold climate zones have comparable chiller energy consumption. Research findings as presented in this paper will help utilities and building owners to quantify the benefits of installing ice storage systems in office buildings located in different climatic conditions. © 2012 Elsevier B.V.&quot;,&quot;author&quot;:[{&quot;dropping-particle&quot;:&quot;&quot;,&quot;family&quot;:&quot;Sehar&quot;,&quot;given&quot;:&quot;Fakeha&quot;,&quot;non-dropping-particle&quot;:&quot;&quot;,&quot;parse-names&quot;:false,&quot;suffix&quot;:&quot;&quot;},{&quot;dropping-particle&quot;:&quot;&quot;,&quot;family&quot;:&quot;Rahman&quot;,&quot;given&quot;:&quot;Saifur&quot;,&quot;non-dropping-particle&quot;:&quot;&quot;,&quot;parse-names&quot;:false,&quot;suffix&quot;:&quot;&quot;},{&quot;dropping-particle&quot;:&quot;&quot;,&quot;family&quot;:&quot;Pipattanasomporn&quot;,&quot;given&quot;:&quot;Manisa&quot;,&quot;non-dropping-particle&quot;:&quot;&quot;,&quot;parse-names&quot;:false,&quot;suffix&quot;:&quot;&quot;}],&quot;container-title&quot;:&quot;Energy and Buildings&quot;,&quot;id&quot;:&quot;808067bd-535f-39eb-a9ef-78b829ffbc85&quot;,&quot;issued&quot;:{&quot;date-parts&quot;:[[&quot;2012&quot;,&quot;8&quot;]]},&quot;page&quot;:&quot;255-262&quot;,&quot;title&quot;:&quot;Impacts of ice storage on electrical energy consumptions in office buildings&quot;,&quot;type&quot;:&quot;article-journal&quot;,&quot;volume&quot;:&quot;51&quot;,&quot;container-title-short&quot;:&quot;Energy Build&quot;},&quot;uris&quot;:[&quot;http://www.mendeley.com/documents/?uuid=4ff9821d-d297-47d5-8ab6-7ecf86b28cb6&quot;],&quot;isTemporary&quot;:false,&quot;legacyDesktopId&quot;:&quot;4ff9821d-d297-47d5-8ab6-7ecf86b28cb6&quot;}]},{&quot;citationID&quot;:&quot;MENDELEY_CITATION_380d17b5-12f5-420a-8aa2-6a6ebc6e4059&quot;,&quot;properties&quot;:{&quot;noteIndex&quot;:0},&quot;isEdited&quot;:false,&quot;manualOverride&quot;:{&quot;citeprocText&quot;:&quot;[44]&quot;,&quot;isManuallyOverridden&quot;:true,&quot;manualOverrideText&quot;:&quot;Mosaffa et al., 2016&quot;},&quot;citationTag&quot;:&quot;MENDELEY_CITATION_v3_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&quot;,&quot;citationItems&quot;:[{&quot;id&quot;:&quot;f72bfbe2-1e11-3f49-a826-233eafec5191&quot;,&quot;itemData&quot;:{&quot;DOI&quot;:&quot;10.1016/j.apenergy.2015.10.122&quot;,&quot;ISSN&quot;:&quot;03062619&quot;,&quot;abstract&quot;:&quot;In this work, a combination of a latent heat thermal storage unit and a refrigeration system is presented as an air conditioning system. Overall system, including charging and discharging processes is analyzed for different phase change materials (PCMs) from exergoeconomic and environmental points of view. Based on comfort condition, three cases are selected with different size of PCM slabs and different PCMs: RT27, S27 and SP25. When the charging process takes place during the whole of off-peak hours the following results are obtained: (1) the system using SP25 has the highest value of the coefficient of performance; (2) the system using RT27 has the highest value of exergy efficiency and (3) the system using S27 has the lowest value of total cost rate. Finally, in order to obtain the best balance between the exergy destruction cost rate and the capital cost rate, the exergoeconomic factor is defined for each component, for different cases when system operates in the best performance conditions.&quot;,&quot;author&quot;:[{&quot;dropping-particle&quot;:&quot;&quot;,&quot;family&quot;:&quot;Mosaffa&quot;,&quot;given&quot;:&quot;A. H.&quot;,&quot;non-dropping-particle&quot;:&quot;&quot;,&quot;parse-names&quot;:false,&quot;suffix&quot;:&quot;&quot;},{&quot;dropping-particle&quot;:&quot;&quot;,&quot;family&quot;:&quot;Garousi Farshi&quot;,&quot;given&quot;:&quot;L.&quot;,&quot;non-dropping-particle&quot;:&quot;&quot;,&quot;parse-names&quot;:false,&quot;suffix&quot;:&quot;&quot;}],&quot;container-title&quot;:&quot;Applied Energy&quot;,&quot;id&quot;:&quot;f72bfbe2-1e11-3f49-a826-233eafec5191&quot;,&quot;issued&quot;:{&quot;date-parts&quot;:[[&quot;2016&quot;]]},&quot;page&quot;:&quot;515-526&quot;,&quot;publisher&quot;:&quot;Elsevier Ltd&quot;,&quot;title&quot;:&quot;Exergoeconomic and environmental analyses of an air conditioning system using thermal energy storage&quot;,&quot;type&quot;:&quot;article-journal&quot;,&quot;volume&quot;:&quot;162&quot;,&quot;container-title-short&quot;:&quot;Appl Energy&quot;},&quot;uris&quot;:[&quot;http://www.mendeley.com/documents/?uuid=248ace03-226d-4426-ab1a-17a1e2957e68&quot;],&quot;isTemporary&quot;:false,&quot;legacyDesktopId&quot;:&quot;248ace03-226d-4426-ab1a-17a1e2957e68&quot;}]},{&quot;citationID&quot;:&quot;MENDELEY_CITATION_f369c1bf-4166-49f3-a4f2-ca27a2fcfc28&quot;,&quot;properties&quot;:{&quot;noteIndex&quot;:0},&quot;isEdited&quot;:false,&quot;manualOverride&quot;:{&quot;citeprocText&quot;:&quot;[144]&quot;,&quot;isManuallyOverridden&quot;:true,&quot;manualOverrideText&quot;:&quot;Jaber et al., 2012&quot;},&quot;citationTag&quot;:&quot;MENDELEY_CITATION_v3_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&quot;,&quot;citationItems&quot;:[{&quot;id&quot;:&quot;f207b857-e432-34f3-89de-9424149ae6d4&quot;,&quot;itemData&quot;:{&quot;DOI&quot;:&quot;10.1016/j.ijrefrig.2012.03.023&quot;,&quot;ISSN&quot;:&quot;01407007&quot;,&quot;abstract&quot;:&quot;Thermal Energy Storage (TES) technology based on the use of Phase Change Materials (PCM) has recently raised an important practical interest. This is mainly due to the high-energy storage density during phase change within a very narrow temperature range. To give an illustrative example, eighty times more heat is required to melt certain amount of ice at 0 °C than to heat up 1 °C the same amount of water. In this paper, novel cooling unit using PCM called Indirect Evaporative and Storage Unit (IESU) has been designed, modeled and simulated through over the year. Moreover IESU has been optimized from technical and economic point of view for residential application in Mediterranean climate. Cooling systems with heat storage have attracted an increasing attention over the past decades. However, studies of IESU haven't been found in open literature. © 2012 Published by Elsevier Ltd and IIR. All rights reserved.&quot;,&quot;author&quot;:[{&quot;dropping-particle&quot;:&quot;&quot;,&quot;family&quot;:&quot;Jaber&quot;,&quot;given&quot;:&quot;Samar&quot;,&quot;non-dropping-particle&quot;:&quot;&quot;,&quot;parse-names&quot;:false,&quot;suffix&quot;:&quot;&quot;},{&quot;dropping-particle&quot;:&quot;&quot;,&quot;family&quot;:&quot;Ajib&quot;,&quot;given&quot;:&quot;Salman&quot;,&quot;non-dropping-particle&quot;:&quot;&quot;,&quot;parse-names&quot;:false,&quot;suffix&quot;:&quot;&quot;}],&quot;container-title&quot;:&quot;International Journal of Refrigeration&quot;,&quot;id&quot;:&quot;f207b857-e432-34f3-89de-9424149ae6d4&quot;,&quot;issued&quot;:{&quot;date-parts&quot;:[[&quot;2012&quot;]]},&quot;title&quot;:&quot;Novel cooling unit using PCM for residential application&quot;,&quot;type&quot;:&quot;article-journal&quot;,&quot;container-title-short&quot;:&quot;&quot;},&quot;uris&quot;:[&quot;http://www.mendeley.com/documents/?uuid=fdd4d341-668e-499c-9975-1d3c7137dd7a&quot;],&quot;isTemporary&quot;:false,&quot;legacyDesktopId&quot;:&quot;fdd4d341-668e-499c-9975-1d3c7137dd7a&quot;}]},{&quot;citationID&quot;:&quot;MENDELEY_CITATION_c11ce465-20d7-4978-9b1b-28f138ccdda0&quot;,&quot;properties&quot;:{&quot;noteIndex&quot;:0},&quot;isEdited&quot;:false,&quot;manualOverride&quot;:{&quot;citeprocText&quot;:&quot;[137]&quot;,&quot;isManuallyOverridden&quot;:true,&quot;manualOverrideText&quot;:&quot;Zhu et al., 2011&quot;},&quot;citationTag&quot;:&quot;MENDELEY_CITATION_v3_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&quot;,&quot;citationItems&quot;:[{&quot;id&quot;:&quot;5fe76538-f179-3a02-8ba5-d6061256b0c7&quot;,&quot;itemData&quot;:{&quot;DOI&quot;:&quot;10.1016/j.enconman.2011.05.011&quot;,&quot;ISSN&quot;:&quot;01968904&quot;,&quot;abstract&quot;:&quot;Studies are conducted to investigate the impacts of shape-stabilized phase change material (SSPCM) and different control strategies on the energy consumption and peak load demand as well as electricity cost of building air-conditioning systems at typical summer conditions in two climates (subtropical and dry continental climates). An office building using a typical variable air volume (VAV) air-conditioning system was selected and simulated as the reference building in this study. Its envelopes were enhanced by integrating the SSPCM layers into its walls while the air-conditioning system and other configurations of the building remained unchanged. The building system was tested under two typical weather conditions and two typical electricity pricing policies (i.e., time-based pricing and energy-plus-demand-based pricing). Test results show that the use of SSPCM in the building could reduce the building electricity cost significantly (over 11% in electricity cost reduction and over 20% in peak load reduction), under two pricing policies by using load shifting control and demand limiting control respectively. This paper presents the test results and the evaluation on the energy performance and the optimal control strategies of air-conditioned commercial buildings with envelopes enhanced by SSPCM. © 2011 Elsevier Ltd. All rights reserved.&quot;,&quot;author&quot;:[{&quot;dropping-particle&quot;:&quot;&quot;,&quot;family&quot;:&quot;Zhu&quot;,&quot;given&quot;:&quot;Na&quot;,&quot;non-dropping-particle&quot;:&quot;&quot;,&quot;parse-names&quot;:false,&quot;suffix&quot;:&quot;&quot;},{&quot;dropping-particle&quot;:&quot;&quot;,&quot;family&quot;:&quot;Wang&quot;,&quot;given&quot;:&quot;Shengwei&quot;,&quot;non-dropping-particle&quot;:&quot;&quot;,&quot;parse-names&quot;:false,&quot;suffix&quot;:&quot;&quot;},{&quot;dropping-particle&quot;:&quot;&quot;,&quot;family&quot;:&quot;Ma&quot;,&quot;given&quot;:&quot;Zhenjun&quot;,&quot;non-dropping-particle&quot;:&quot;&quot;,&quot;parse-names&quot;:false,&quot;suffix&quot;:&quot;&quot;},{&quot;dropping-particle&quot;:&quot;&quot;,&quot;family&quot;:&quot;Sun&quot;,&quot;given&quot;:&quot;Yongjun&quot;,&quot;non-dropping-particle&quot;:&quot;&quot;,&quot;parse-names&quot;:false,&quot;suffix&quot;:&quot;&quot;}],&quot;container-title&quot;:&quot;Energy Conversion and Management&quot;,&quot;id&quot;:&quot;5fe76538-f179-3a02-8ba5-d6061256b0c7&quot;,&quot;issue&quot;:&quot;10&quot;,&quot;issued&quot;:{&quot;date-parts&quot;:[[&quot;2011&quot;,&quot;9&quot;,&quot;1&quot;]]},&quot;page&quot;:&quot;3197-3205&quot;,&quot;publisher&quot;:&quot;Elsevier Ltd&quot;,&quot;title&quot;:&quot;Energy performance and optimal control of air-conditioned buildings with envelopes enhanced by phase change materials&quot;,&quot;type&quot;:&quot;article-journal&quot;,&quot;volume&quot;:&quot;52&quot;,&quot;container-title-short&quot;:&quot;Energy Convers Manag&quot;},&quot;uris&quot;:[&quot;http://www.mendeley.com/documents/?uuid=5fe76538-f179-3a02-8ba5-d6061256b0c7&quot;],&quot;isTemporary&quot;:false,&quot;legacyDesktopId&quot;:&quot;5fe76538-f179-3a02-8ba5-d6061256b0c7&quot;}]},{&quot;citationID&quot;:&quot;MENDELEY_CITATION_9c34b30e-0410-44b1-851f-7d7f86e81a13&quot;,&quot;properties&quot;:{&quot;noteIndex&quot;:0},&quot;isEdited&quot;:false,&quot;manualOverride&quot;:{&quot;citeprocText&quot;:&quot;[143]&quot;,&quot;isManuallyOverridden&quot;:true,&quot;manualOverrideText&quot;:&quot;Real et al., 2014&quot;},&quot;citationTag&quot;:&quot;MENDELEY_CITATION_v3_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&quot;,&quot;citationItems&quot;:[{&quot;id&quot;:&quot;d5b3b78b-3ac5-53af-bfe5-296cd315ed5e&quot;,&quot;itemData&quot;:{&quot;DOI&quot;:&quot;10.1016/j.enbuild.2014.04.029&quot;,&quot;ISSN&quot;:&quot;03787788&quot;,&quot;abstract&quot;:&quot;This paper exposes a HVAC system installed and tested during the Solar Decathlon Europe 2012 competition at the SMLsystem prototype. This system is focussed to improve the performance of a heat pump based HVAC system with two thermal storage tanks using phase change materials (PCM). A cold tank is used to take advantage of the low outside temperatures at night to cool the PCM with a high COP and it is used later to cool the building when the outside temperature rises. The second tank is operated as an alternative hot reservoir which provides the system the flexibility to dissipate the heat to the tank at a constant temperature granting never to reduce the COP from a minimum value. Different functioning strategies to evaluate the efficient use of the HVAC system for cold accumulation and heat dissipation are shown and implemented.&quot;,&quot;author&quot;:[{&quot;dropping-particle&quot;:&quot;&quot;,&quot;family&quot;:&quot;Real&quot;,&quot;given&quot;:&quot;A.&quot;,&quot;non-dropping-particle&quot;:&quot;&quot;,&quot;parse-names&quot;:false,&quot;suffix&quot;:&quot;&quot;},{&quot;dropping-particle&quot;:&quot;&quot;,&quot;family&quot;:&quot;García&quot;,&quot;given&quot;:&quot;V.&quot;,&quot;non-dropping-particle&quot;:&quot;&quot;,&quot;parse-names&quot;:false,&quot;suffix&quot;:&quot;&quot;},{&quot;dropping-particle&quot;:&quot;&quot;,&quot;family&quot;:&quot;Domenech&quot;,&quot;given&quot;:&quot;L.&quot;,&quot;non-dropping-particle&quot;:&quot;&quot;,&quot;parse-names&quot;:false,&quot;suffix&quot;:&quot;&quot;},{&quot;dropping-particle&quot;:&quot;&quot;,&quot;family&quot;:&quot;Renau&quot;,&quot;given&quot;:&quot;J.&quot;,&quot;non-dropping-particle&quot;:&quot;&quot;,&quot;parse-names&quot;:false,&quot;suffix&quot;:&quot;&quot;},{&quot;dropping-particle&quot;:&quot;&quot;,&quot;family&quot;:&quot;Montés&quot;,&quot;given&quot;:&quot;N.&quot;,&quot;non-dropping-particle&quot;:&quot;&quot;,&quot;parse-names&quot;:false,&quot;suffix&quot;:&quot;&quot;},{&quot;dropping-particle&quot;:&quot;&quot;,&quot;family&quot;:&quot;Sánchez&quot;,&quot;given&quot;:&quot;F.&quot;,&quot;non-dropping-particle&quot;:&quot;&quot;,&quot;parse-names&quot;:false,&quot;suffix&quot;:&quot;&quot;}],&quot;container-title&quot;:&quot;Energy and Buildings&quot;,&quot;id&quot;:&quot;d5b3b78b-3ac5-53af-bfe5-296cd315ed5e&quot;,&quot;issued&quot;:{&quot;date-parts&quot;:[[&quot;2014&quot;]]},&quot;page&quot;:&quot;108-116&quot;,&quot;publisher&quot;:&quot;Elsevier B.V.&quot;,&quot;title&quot;:&quot;Improvement of a heat pump based HVAC system with PCM thermal storage for cold accumulation and heat dissipation&quot;,&quot;type&quot;:&quot;article-journal&quot;,&quot;volume&quot;:&quot;83&quot;,&quot;container-title-short&quot;:&quot;Energy Build&quot;},&quot;uris&quot;:[&quot;http://www.mendeley.com/documents/?uuid=3e977037-1f91-4752-b507-f6eaa87108ec&quot;],&quot;isTemporary&quot;:false,&quot;legacyDesktopId&quot;:&quot;3e977037-1f91-4752-b507-f6eaa87108ec&quot;}]},{&quot;citationID&quot;:&quot;MENDELEY_CITATION_5480e5a4-fa8c-4451-99bb-94fc7773299c&quot;,&quot;properties&quot;:{&quot;noteIndex&quot;:0},&quot;isEdited&quot;:false,&quot;manualOverride&quot;:{&quot;citeprocText&quot;:&quot;[43]&quot;,&quot;isManuallyOverridden&quot;:true,&quot;manualOverrideText&quot;:&quot;Chaiyat, 2015&quot;},&quot;citationTag&quot;:&quot;MENDELEY_CITATION_v3_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&quot;,&quot;citationItems&quot;:[{&quot;id&quot;:&quot;bc455013-1101-5226-a18d-d03b3c2b31c0&quot;,&quot;itemData&quot;:{&quot;DOI&quot;:&quot;10.1016/j.enconman.2015.01.068&quot;,&quot;ISSN&quot;:&quot;01968904&quot;,&quot;abstract&quot;:&quot;In this study, a concept of using phase change material (PCM) for improving cooling efficiency of an air-conditioner had been presented under Thailand climate. Rubitherm20 (RT-20) was selected to evaluate the thermal performance by reducing the air temperature entering the evaporating coil. The model of PCM celluloid balls had been performed with the air-conditioner. For the experiment, 2 TR of R-134a air-conditioner was chosen to test a pack bed of PCM balls with thickness 40 cm. The pressure drops of the air flowing through the bed were considered with and without a set of by-pass tubes along the height of the storage bed. The mathematical model of the air-conditioner with the PCM storage was developed and verified with the testing results. From the study results, it could be seen that pressure drops of the bed with and without bypass tubes were nearly the same results. Thus, PCM ball pack bed using RT-20 without bypass tubes was used to improve the cooling efficiency of the air-conditioner. The experimental result of the modified unit was compared and verified with the mathematical model, which agreed quite well with the simulation result. Finally, the model was used to analyze the economic result, which found that the electrical consumption of the modified air-conditioner could be decreased around 3.09 kW h/d. The saving cost from the PCM bed could be 9.10% of 170.03 USD/y and the payback period was around 4.15 y.&quot;,&quot;author&quot;:[{&quot;dropping-particle&quot;:&quot;&quot;,&quot;family&quot;:&quot;Chaiyat&quot;,&quot;given&quot;:&quot;Nattaporn&quot;,&quot;non-dropping-particle&quot;:&quot;&quot;,&quot;parse-names&quot;:false,&quot;suffix&quot;:&quot;&quot;}],&quot;container-title&quot;:&quot;Energy Conversion and Management&quot;,&quot;id&quot;:&quot;bc455013-1101-5226-a18d-d03b3c2b31c0&quot;,&quot;issued&quot;:{&quot;date-parts&quot;:[[&quot;2015&quot;]]},&quot;page&quot;:&quot;150-158&quot;,&quot;publisher&quot;:&quot;Elsevier Ltd&quot;,&quot;title&quot;:&quot;Energy and economic analysis of a building air-conditioner with a phase change material (PCM)&quot;,&quot;type&quot;:&quot;article-journal&quot;,&quot;volume&quot;:&quot;94&quot;,&quot;container-title-short&quot;:&quot;Energy Convers Manag&quot;},&quot;uris&quot;:[&quot;http://www.mendeley.com/documents/?uuid=30d65554-7fbd-4991-bdb4-dcb4080b83d5&quot;],&quot;isTemporary&quot;:false,&quot;legacyDesktopId&quot;:&quot;30d65554-7fbd-4991-bdb4-dcb4080b83d5&quot;}]},{&quot;citationID&quot;:&quot;MENDELEY_CITATION_871dfd78-430c-4df0-9393-498b59e54454&quot;,&quot;properties&quot;:{&quot;noteIndex&quot;:0},&quot;isEdited&quot;:false,&quot;manualOverride&quot;:{&quot;citeprocText&quot;:&quot;[153]&quot;,&quot;isManuallyOverridden&quot;:true,&quot;manualOverrideText&quot;:&quot;Pop et al., 2018&quot;},&quot;citationTag&quot;:&quot;MENDELEY_CITATION_v3_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&quot;,&quot;citationItems&quot;:[{&quot;id&quot;:&quot;b0e713b8-fe70-3b5b-adba-05f802bfa0bb&quot;,&quot;itemData&quot;:{&quot;DOI&quot;:&quot;10.1016/j.apenergy.2017.12.122&quot;,&quot;ISSN&quot;:&quot;03062619&quot;,&quot;abstract&quot;:&quot;The study provides novel and validated explicit equations of the apparent heat capacity variation with temperature for three phase change materials (PCM): RT20, RT25 and RT27. The developed models of PCM thermal behavior were successfully applied in the energy efficiency analysis of the fresh air cooling system with PCM latent heat storage system, serving a virtual office building considered to be located in different climatic conditions. Following the study, a practical guideline for estimation of the required quantity of PCM in fresh air cooling systems was provided. Two novel specific energy indicators were also proposed, which are useful for feasibility studies. The evaluation of PCM energy efficiency in fresh air cooling systems revealed that savings in the electric energy consumption of (7–41) % can be achieved, depending on the particular local conditions. Limits of the use of PCM in fresh air cooling systems were also provided.&quot;,&quot;author&quot;:[{&quot;dropping-particle&quot;:&quot;&quot;,&quot;family&quot;:&quot;Pop&quot;,&quot;given&quot;:&quot;Octavian G.&quot;,&quot;non-dropping-particle&quot;:&quot;&quot;,&quot;parse-names&quot;:false,&quot;suffix&quot;:&quot;&quot;},{&quot;dropping-particle&quot;:&quot;&quot;,&quot;family&quot;:&quot;Fechete Tutunaru&quot;,&quot;given&quot;:&quot;Lucian&quot;,&quot;non-dropping-particle&quot;:&quot;&quot;,&quot;parse-names&quot;:false,&quot;suffix&quot;:&quot;&quot;},{&quot;dropping-particle&quot;:&quot;&quot;,&quot;family&quot;:&quot;Bode&quot;,&quot;given&quot;:&quot;Florin&quot;,&quot;non-dropping-particle&quot;:&quot;&quot;,&quot;parse-names&quot;:false,&quot;suffix&quot;:&quot;&quot;},{&quot;dropping-particle&quot;:&quot;&quot;,&quot;family&quot;:&quot;Abrudan&quot;,&quot;given&quot;:&quot;Ancuţa C.&quot;,&quot;non-dropping-particle&quot;:&quot;&quot;,&quot;parse-names&quot;:false,&quot;suffix&quot;:&quot;&quot;},{&quot;dropping-particle&quot;:&quot;&quot;,&quot;family&quot;:&quot;Balan&quot;,&quot;given&quot;:&quot;Mugur C.&quot;,&quot;non-dropping-particle&quot;:&quot;&quot;,&quot;parse-names&quot;:false,&quot;suffix&quot;:&quot;&quot;}],&quot;container-title&quot;:&quot;Applied Energy&quot;,&quot;id&quot;:&quot;b0e713b8-fe70-3b5b-adba-05f802bfa0bb&quot;,&quot;issued&quot;:{&quot;date-parts&quot;:[[&quot;2018&quot;,&quot;2&quot;,&quot;15&quot;]]},&quot;page&quot;:&quot;976-996&quot;,&quot;publisher&quot;:&quot;Elsevier Ltd&quot;,&quot;title&quot;:&quot;Energy efficiency of PCM integrated in fresh air cooling systems in different climatic conditions&quot;,&quot;type&quot;:&quot;article-journal&quot;,&quot;volume&quot;:&quot;212&quot;,&quot;container-title-short&quot;:&quot;Appl Energy&quot;},&quot;uris&quot;:[&quot;http://www.mendeley.com/documents/?uuid=b0e713b8-fe70-3b5b-adba-05f802bfa0bb&quot;],&quot;isTemporary&quot;:false,&quot;legacyDesktopId&quot;:&quot;b0e713b8-fe70-3b5b-adba-05f802bfa0bb&quot;}]},{&quot;citationID&quot;:&quot;MENDELEY_CITATION_5deb5ccf-e3ea-45af-b085-242ddbf79146&quot;,&quot;properties&quot;:{&quot;noteIndex&quot;:0},&quot;isEdited&quot;:false,&quot;manualOverride&quot;:{&quot;citeprocText&quot;:&quot;[47]&quot;,&quot;isManuallyOverridden&quot;:true,&quot;manualOverrideText&quot;:&quot;Hirmiz et al., 2019&quot;},&quot;citationTag&quot;:&quot;MENDELEY_CITATION_v3_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&quot;,&quot;citationItems&quot;:[{&quot;id&quot;:&quot;bb9ab588-5b97-328d-ba77-af52552472e4&quot;,&quot;itemData&quot;:{&quot;DOI&quot;:&quot;10.1016/j.enbuild.2019.02.026&quot;,&quot;ISSN&quot;:&quot;03787788&quot;,&quot;abstract&quot;:&quot;Heat pumps have the potential to reduce CO 2 emissions due to building heating when compared to fossil-based heating (e.g. natural gas, oil, wood), specifically when used in regions with low-CO 2 electrical generation. In many regions, emissions from the electric grid tend to peak during peak demand periods due to the dispatching of fossil-based generation. The design of buildings as distributed thermal storage units can act to diminish the peaks in the grid, reduce the overall CO 2 emissions from residential heating, increase the utilization of low-CO 2 technologies (nuclear, hydro, wind, solar, etc.…), while maintaining the thermal comfort of the occupants. This study is concerned with how thermal energy storage can be integrated into heat pump systems to improve demand flexibility, and ultimately allow the heating system to remain off during peak periods. Heat pumps tend to operate under a limited temperature range, which limits the energy storage density of water as a thermal storage medium. Phase change materials (PCM) can be used as thermal storage, and they benefit from the ability to maintain a high energy density under limited temperature conditions. The challenge is that PCMs have a relatively low thermal conductivity which can limit the rate of charging and discharging of the stored thermal energy. In the current state-of-the-art literature, there is no standard methodology to size PCM thermal energy storage units for heat pump systems. This study presents novel results that compare numerical and analytical predictions of a hybrid PCM-water thermal storage tank, and proposes a reduced analytical methodology for sizing PCM thermal storage tanks for heat pumps used for demand side management. System-level numerical simulations, considering the transient complexities of the melting and solidification process in a system environment, are compared against a simplified analytical predictions of thermal storage performance. Storage tanks containing 75% PCM modules of 2 cm thickness were able to reduce storage volume by over three-fold of water-only storage operating under a ΔT=10 °C. Peak periods ranging between 2 and 6 h in a residential household were sustained when the appropriate storage volume is used. Analytical methods for estimating the required volume are presented that ease the storage sizing and discuss the expected benefits and their limitation.&quot;,&quot;author&quot;:[{&quot;dropping-particle&quot;:&quot;&quot;,&quot;family&quot;:&quot;Hirmiz&quot;,&quot;given&quot;:&quot;R.&quot;,&quot;non-dropping-particle&quot;:&quot;&quot;,&quot;parse-names&quot;:false,&quot;suffix&quot;:&quot;&quot;},{&quot;dropping-particle&quot;:&quot;&quot;,&quot;family&quot;:&quot;Teamah&quot;,&quot;given&quot;:&quot;H. M.&quot;,&quot;non-dropping-particle&quot;:&quot;&quot;,&quot;parse-names&quot;:false,&quot;suffix&quot;:&quot;&quot;},{&quot;dropping-particle&quot;:&quot;&quot;,&quot;family&quot;:&quot;Lightstone&quot;,&quot;given&quot;:&quot;M. F.&quot;,&quot;non-dropping-particle&quot;:&quot;&quot;,&quot;parse-names&quot;:false,&quot;suffix&quot;:&quot;&quot;},{&quot;dropping-particle&quot;:&quot;&quot;,&quot;family&quot;:&quot;Cotton&quot;,&quot;given&quot;:&quot;J. S.&quot;,&quot;non-dropping-particle&quot;:&quot;&quot;,&quot;parse-names&quot;:false,&quot;suffix&quot;:&quot;&quot;}],&quot;container-title&quot;:&quot;Energy and Buildings&quot;,&quot;id&quot;:&quot;bb9ab588-5b97-328d-ba77-af52552472e4&quot;,&quot;issued&quot;:{&quot;date-parts&quot;:[[&quot;2019&quot;,&quot;5&quot;,&quot;1&quot;]]},&quot;page&quot;:&quot;103-118&quot;,&quot;publisher&quot;:&quot;Elsevier Ltd&quot;,&quot;title&quot;:&quot;Performance of heat pump integrated phase change material thermal storage for electric load shifting in building demand side management&quot;,&quot;type&quot;:&quot;article-journal&quot;,&quot;volume&quot;:&quot;190&quot;,&quot;container-title-short&quot;:&quot;Energy Build&quot;},&quot;uris&quot;:[&quot;http://www.mendeley.com/documents/?uuid=bb9ab588-5b97-328d-ba77-af52552472e4&quot;],&quot;isTemporary&quot;:false,&quot;legacyDesktopId&quot;:&quot;bb9ab588-5b97-328d-ba77-af52552472e4&quot;}]},{&quot;citationID&quot;:&quot;MENDELEY_CITATION_57ab3e81-03ac-4a9a-9ce1-5c9806f4ed58&quot;,&quot;properties&quot;:{&quot;noteIndex&quot;:0},&quot;isEdited&quot;:false,&quot;manualOverride&quot;:{&quot;citeprocText&quot;:&quot;[3]&quot;,&quot;isManuallyOverridden&quot;:true,&quot;manualOverrideText&quot;:&quot;Dong et al., 2019&quot;},&quot;citationTag&quot;:&quot;MENDELEY_CITATION_v3_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&quot;,&quot;citationItems&quot;:[{&quot;id&quot;:&quot;d58303d9-4049-3b21-b4ce-c77cfc399f52&quot;,&quot;itemData&quot;:{&quot;DOI&quot;:&quot;10.1109/PESGM40551.2019.8973936&quot;,&quot;ISBN&quot;:&quot;9781728119816&quot;,&quot;ISSN&quot;:&quot;19449933&quot;,&quot;abstract&quot;:&quot;In this paper, we examine the potential for using phase change material (PCM) as a thermal storage medium for improving the efficiency as well as enabling grid-responsive control of heat pump (HP) systems. Previous research in PCM integration in buildings has primarily been focused on integration with building envelopes. An objective of our research is to design a novel and practical PCM integration with existing HP systems. High-fidelity models for building, HP and PCM are developed to facilitate the model-based predictive control (MPC) design. To optimize the operation of HP and PCM, we introduce an optimization problem considering various constraints for both comfort and hardware constraints. We include experimental results in which a house fleet are optimized to minimize their power consumption or electricity cost. We numerically demonstrate the designs potential for reducing power consumption or electricity cost by 13% or 19%, respectively.&quot;,&quot;author&quot;:[{&quot;dropping-particle&quot;:&quot;&quot;,&quot;family&quot;:&quot;Dong&quot;,&quot;given&quot;:&quot;Jin&quot;,&quot;non-dropping-particle&quot;:&quot;&quot;,&quot;parse-names&quot;:false,&quot;suffix&quot;:&quot;&quot;},{&quot;dropping-particle&quot;:&quot;&quot;,&quot;family&quot;:&quot;Shen&quot;,&quot;given&quot;:&quot;Bo&quot;,&quot;non-dropping-particle&quot;:&quot;&quot;,&quot;parse-names&quot;:false,&quot;suffix&quot;:&quot;&quot;},{&quot;dropping-particle&quot;:&quot;&quot;,&quot;family&quot;:&quot;Munk&quot;,&quot;given&quot;:&quot;Jeffrey&quot;,&quot;non-dropping-particle&quot;:&quot;&quot;,&quot;parse-names&quot;:false,&quot;suffix&quot;:&quot;&quot;},{&quot;dropping-particle&quot;:&quot;&quot;,&quot;family&quot;:&quot;Gluesenkamp&quot;,&quot;given&quot;:&quot;Kyle R.&quot;,&quot;non-dropping-particle&quot;:&quot;&quot;,&quot;parse-names&quot;:false,&quot;suffix&quot;:&quot;&quot;},{&quot;dropping-particle&quot;:&quot;&quot;,&quot;family&quot;:&quot;Laclair&quot;,&quot;given&quot;:&quot;Tim&quot;,&quot;non-dropping-particle&quot;:&quot;&quot;,&quot;parse-names&quot;:false,&quot;suffix&quot;:&quot;&quot;},{&quot;dropping-particle&quot;:&quot;&quot;,&quot;family&quot;:&quot;Kuruganti&quot;,&quot;given&quot;:&quot;Teja&quot;,&quot;non-dropping-particle&quot;:&quot;&quot;,&quot;parse-names&quot;:false,&quot;suffix&quot;:&quot;&quot;}],&quot;container-title&quot;:&quot;IEEE Power and Energy Society General Meeting&quot;,&quot;id&quot;:&quot;d58303d9-4049-3b21-b4ce-c77cfc399f52&quot;,&quot;issued&quot;:{&quot;date-parts&quot;:[[&quot;2019&quot;]]},&quot;title&quot;:&quot;Novel PCM Integration with Electrical Heat Pump for Demand Response&quot;,&quot;type&quot;:&quot;paper-conference&quot;,&quot;container-title-short&quot;:&quot;&quot;},&quot;uris&quot;:[&quot;http://www.mendeley.com/documents/?uuid=a85cbfa5-0df7-4e10-9431-26967e90678b&quot;],&quot;isTemporary&quot;:false,&quot;legacyDesktopId&quot;:&quot;a85cbfa5-0df7-4e10-9431-26967e90678b&quot;}]},{&quot;citationID&quot;:&quot;MENDELEY_CITATION_a8f5667d-f3b3-49c5-aaa9-53deaff7741d&quot;,&quot;properties&quot;:{&quot;noteIndex&quot;:0},&quot;isEdited&quot;:false,&quot;manualOverride&quot;:{&quot;citeprocText&quot;:&quot;[3]&quot;,&quot;isManuallyOverridden&quot;:false,&quot;manualOverrideText&quot;:&quot;&quot;},&quot;citationTag&quot;:&quot;MENDELEY_CITATION_v3_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&quot;,&quot;citationItems&quot;:[{&quot;id&quot;:&quot;d58303d9-4049-3b21-b4ce-c77cfc399f52&quot;,&quot;itemData&quot;:{&quot;DOI&quot;:&quot;10.1109/PESGM40551.2019.8973936&quot;,&quot;ISBN&quot;:&quot;9781728119816&quot;,&quot;ISSN&quot;:&quot;19449933&quot;,&quot;abstract&quot;:&quot;In this paper, we examine the potential for using phase change material (PCM) as a thermal storage medium for improving the efficiency as well as enabling grid-responsive control of heat pump (HP) systems. Previous research in PCM integration in buildings has primarily been focused on integration with building envelopes. An objective of our research is to design a novel and practical PCM integration with existing HP systems. High-fidelity models for building, HP and PCM are developed to facilitate the model-based predictive control (MPC) design. To optimize the operation of HP and PCM, we introduce an optimization problem considering various constraints for both comfort and hardware constraints. We include experimental results in which a house fleet are optimized to minimize their power consumption or electricity cost. We numerically demonstrate the designs potential for reducing power consumption or electricity cost by 13% or 19%, respectively.&quot;,&quot;author&quot;:[{&quot;dropping-particle&quot;:&quot;&quot;,&quot;family&quot;:&quot;Dong&quot;,&quot;given&quot;:&quot;Jin&quot;,&quot;non-dropping-particle&quot;:&quot;&quot;,&quot;parse-names&quot;:false,&quot;suffix&quot;:&quot;&quot;},{&quot;dropping-particle&quot;:&quot;&quot;,&quot;family&quot;:&quot;Shen&quot;,&quot;given&quot;:&quot;Bo&quot;,&quot;non-dropping-particle&quot;:&quot;&quot;,&quot;parse-names&quot;:false,&quot;suffix&quot;:&quot;&quot;},{&quot;dropping-particle&quot;:&quot;&quot;,&quot;family&quot;:&quot;Munk&quot;,&quot;given&quot;:&quot;Jeffrey&quot;,&quot;non-dropping-particle&quot;:&quot;&quot;,&quot;parse-names&quot;:false,&quot;suffix&quot;:&quot;&quot;},{&quot;dropping-particle&quot;:&quot;&quot;,&quot;family&quot;:&quot;Gluesenkamp&quot;,&quot;given&quot;:&quot;Kyle R.&quot;,&quot;non-dropping-particle&quot;:&quot;&quot;,&quot;parse-names&quot;:false,&quot;suffix&quot;:&quot;&quot;},{&quot;dropping-particle&quot;:&quot;&quot;,&quot;family&quot;:&quot;Laclair&quot;,&quot;given&quot;:&quot;Tim&quot;,&quot;non-dropping-particle&quot;:&quot;&quot;,&quot;parse-names&quot;:false,&quot;suffix&quot;:&quot;&quot;},{&quot;dropping-particle&quot;:&quot;&quot;,&quot;family&quot;:&quot;Kuruganti&quot;,&quot;given&quot;:&quot;Teja&quot;,&quot;non-dropping-particle&quot;:&quot;&quot;,&quot;parse-names&quot;:false,&quot;suffix&quot;:&quot;&quot;}],&quot;container-title&quot;:&quot;IEEE Power and Energy Society General Meeting&quot;,&quot;id&quot;:&quot;d58303d9-4049-3b21-b4ce-c77cfc399f52&quot;,&quot;issued&quot;:{&quot;date-parts&quot;:[[&quot;2019&quot;]]},&quot;title&quot;:&quot;Novel PCM Integration with Electrical Heat Pump for Demand Response&quot;,&quot;type&quot;:&quot;paper-conference&quot;,&quot;container-title-short&quot;:&quot;&quot;},&quot;uris&quot;:[&quot;http://www.mendeley.com/documents/?uuid=a85cbfa5-0df7-4e10-9431-26967e90678b&quot;],&quot;isTemporary&quot;:false,&quot;legacyDesktopId&quot;:&quot;a85cbfa5-0df7-4e10-9431-26967e90678b&quot;}]},{&quot;citationID&quot;:&quot;MENDELEY_CITATION_f3db2170-fb36-454d-844f-716ea7e9d627&quot;,&quot;properties&quot;:{&quot;noteIndex&quot;:0},&quot;isEdited&quot;:false,&quot;manualOverride&quot;:{&quot;citeprocText&quot;:&quot;[187]&quot;,&quot;isManuallyOverridden&quot;:false,&quot;manualOverrideText&quot;:&quot;&quot;},&quot;citationTag&quot;:&quot;MENDELEY_CITATION_v3_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&quot;,&quot;citationItems&quot;:[{&quot;id&quot;:&quot;11c8b8d9-da08-354f-ae02-d931fc2a1fd2&quot;,&quot;itemData&quot;:{&quot;id&quot;:&quot;11c8b8d9-da08-354f-ae02-d931fc2a1fd2&quot;,&quot;issued&quot;:{&quot;date-parts&quot;:[[&quot;0&quot;]]},&quot;title&quot;:&quot;F-Chart Software: Engineering Equation Solver&quot;,&quot;type&quot;:&quot;article&quot;,&quot;container-title-short&quot;:&quot;&quot;},&quot;uris&quot;:[&quot;http://www.mendeley.com/documents/?uuid=11c8b8d9-da08-354f-ae02-d931fc2a1fd2&quot;],&quot;isTemporary&quot;:false,&quot;legacyDesktopId&quot;:&quot;11c8b8d9-da08-354f-ae02-d931fc2a1fd2&quot;}]},{&quot;citationID&quot;:&quot;MENDELEY_CITATION_74100abf-0c2a-4147-9261-a2909430907d&quot;,&quot;properties&quot;:{&quot;noteIndex&quot;:0},&quot;isEdited&quot;:false,&quot;manualOverride&quot;:{&quot;citeprocText&quot;:&quot;[109]&quot;,&quot;isManuallyOverridden&quot;:true,&quot;manualOverrideText&quot;:&quot;Gottwalt et al., (2011)&quot;},&quot;citationTag&quot;:&quot;MENDELEY_CITATION_v3_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&quot;,&quot;citationItems&quot;:[{&quot;id&quot;:&quot;17df0b1e-7bd8-388e-8777-fe7920f9ca1a&quot;,&quot;itemData&quot;:{&quot;DOI&quot;:&quot;10.1016/j.enpol.2011.10.016&quot;,&quot;ISSN&quot;:&quot;03014215&quot;,&quot;abstract&quot;:&quot;Within the next years, consumer households will be increasingly equipped with smart metering and intelligent appliances. These technologies are the basis for households to better monitor electricity consumption and to actively control loads in private homes. Demand side management (DSM) can be adopted to private households. We present a simulation model that generates household load profiles under flat tariffs and simulates changes in these profiles when households are equipped with smart appliances and face time-based electricity prices.We investigate the impact of smart appliances and variable prices on electricity bills of a household. We show that for households the savings from equipping them with smart appliances are moderate compared to the required investment. This finding is quite robust with respect to variation of tariff price spreads and to different types of appliance utilization patterns.Finally, our results indicate that electric utilities may face new demand peaks when day-ahead hourly prices are applied. However, a considerable amount of residential load is available for shifting, which is interesting for the utilities to balance demand and supply. © 2011 Elsevier Ltd.&quot;,&quot;author&quot;:[{&quot;dropping-particle&quot;:&quot;&quot;,&quot;family&quot;:&quot;Gottwalt&quot;,&quot;given&quot;:&quot;Sebastian&quot;,&quot;non-dropping-particle&quot;:&quot;&quot;,&quot;parse-names&quot;:false,&quot;suffix&quot;:&quot;&quot;},{&quot;dropping-particle&quot;:&quot;&quot;,&quot;family&quot;:&quot;Ketter&quot;,&quot;given&quot;:&quot;Wolfgang&quot;,&quot;non-dropping-particle&quot;:&quot;&quot;,&quot;parse-names&quot;:false,&quot;suffix&quot;:&quot;&quot;},{&quot;dropping-particle&quot;:&quot;&quot;,&quot;family&quot;:&quot;Block&quot;,&quot;given&quot;:&quot;Carsten&quot;,&quot;non-dropping-particle&quot;:&quot;&quot;,&quot;parse-names&quot;:false,&quot;suffix&quot;:&quot;&quot;},{&quot;dropping-particle&quot;:&quot;&quot;,&quot;family&quot;:&quot;Collins&quot;,&quot;given&quot;:&quot;John&quot;,&quot;non-dropping-particle&quot;:&quot;&quot;,&quot;parse-names&quot;:false,&quot;suffix&quot;:&quot;&quot;},{&quot;dropping-particle&quot;:&quot;&quot;,&quot;family&quot;:&quot;Weinhardt&quot;,&quot;given&quot;:&quot;Christof&quot;,&quot;non-dropping-particle&quot;:&quot;&quot;,&quot;parse-names&quot;:false,&quot;suffix&quot;:&quot;&quot;}],&quot;container-title&quot;:&quot;Energy Policy&quot;,&quot;id&quot;:&quot;17df0b1e-7bd8-388e-8777-fe7920f9ca1a&quot;,&quot;issue&quot;:&quot;12&quot;,&quot;issued&quot;:{&quot;date-parts&quot;:[[&quot;2011&quot;,&quot;12&quot;,&quot;1&quot;]]},&quot;page&quot;:&quot;8163-8174&quot;,&quot;publisher&quot;:&quot;Elsevier&quot;,&quot;title&quot;:&quot;Demand side management-A simulation of household behavior under variable prices&quot;,&quot;type&quot;:&quot;article-journal&quot;,&quot;volume&quot;:&quot;39&quot;,&quot;container-title-short&quot;:&quot;Energy Policy&quot;},&quot;uris&quot;:[&quot;http://www.mendeley.com/documents/?uuid=17df0b1e-7bd8-388e-8777-fe7920f9ca1a&quot;],&quot;isTemporary&quot;:false,&quot;legacyDesktopId&quot;:&quot;17df0b1e-7bd8-388e-8777-fe7920f9ca1a&quot;}]},{&quot;citationID&quot;:&quot;MENDELEY_CITATION_1897d172-1ced-4c6c-9d21-ded8f23eb02d&quot;,&quot;properties&quot;:{&quot;noteIndex&quot;:0},&quot;isEdited&quot;:false,&quot;manualOverride&quot;:{&quot;isManuallyOverridden&quot;:false,&quot;citeprocText&quot;:&quot;[1]&quot;,&quot;manualOverrideText&quot;:&quot;&quot;},&quot;citationTag&quot;:&quot;MENDELEY_CITATION_v3_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&quot;,&quot;citationItems&quot;:[{&quot;id&quot;:&quot;120b1b1d-d017-3375-9e86-adfedb999be9&quot;,&quot;itemData&quot;:{&quot;type&quot;:&quot;report&quot;,&quot;id&quot;:&quot;120b1b1d-d017-3375-9e86-adfedb999be9&quot;,&quot;title&quot;:&quot;Annual Energy Outlook 2020&quot;,&quot;author&quot;:[{&quot;family&quot;:&quot;U.S. Energy Information Administration - EIA&quot;,&quot;given&quot;:&quot;&quot;,&quot;parse-names&quot;:false,&quot;dropping-particle&quot;:&quot;&quot;,&quot;non-dropping-particle&quot;:&quot;&quot;}],&quot;accessed&quot;:{&quot;date-parts&quot;:[[2020,4,19]]},&quot;URL&quot;:&quot;https://www.eia.gov/outlooks/aeo/&quot;,&quot;issued&quot;:{&quot;date-parts&quot;:[[2020]]},&quot;number-of-pages&quot;:&quot;1-161&quot;,&quot;container-title-short&quot;:&quot;&quot;},&quot;isTemporary&quot;:false}]},{&quot;citationID&quot;:&quot;MENDELEY_CITATION_ea6e3c70-0b6e-4064-9746-94ed915368c7&quot;,&quot;properties&quot;:{&quot;noteIndex&quot;:0},&quot;isEdited&quot;:false,&quot;manualOverride&quot;:{&quot;isManuallyOverridden&quot;:true,&quot;citeprocText&quot;:&quot;[188], [189]&quot;,&quot;manualOverrideText&quot;:&quot;[2, 3]&quot;},&quot;citationTag&quot;:&quot;MENDELEY_CITATION_v3_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&quot;,&quot;citationItems&quot;:[{&quot;id&quot;:&quot;c55d71ef-386d-353b-97cf-b12efcf560f6&quot;,&quot;itemData&quot;:{&quot;type&quot;:&quot;report&quot;,&quot;id&quot;:&quot;c55d71ef-386d-353b-97cf-b12efcf560f6&quot;,&quot;title&quot;:&quot;Grid-Interactive Efficient Buildings Technical Report Series: HVAC; Water Heating; Appliances; and Refrigeration&quot;,&quot;author&quot;:[{&quot;family&quot;:&quot;Goetzler&quot;,&quot;given&quot;:&quot;Bill&quot;,&quot;parse-names&quot;:false,&quot;dropping-particle&quot;:&quot;&quot;,&quot;non-dropping-particle&quot;:&quot;&quot;},{&quot;family&quot;:&quot;Guernsey&quot;,&quot;given&quot;:&quot;Matt&quot;,&quot;parse-names&quot;:false,&quot;dropping-particle&quot;:&quot;&quot;,&quot;non-dropping-particle&quot;:&quot;&quot;},{&quot;family&quot;:&quot;Kassuga&quot;,&quot;given&quot;:&quot;Theo&quot;,&quot;parse-names&quot;:false,&quot;dropping-particle&quot;:&quot;&quot;,&quot;non-dropping-particle&quot;:&quot;&quot;}],&quot;accessed&quot;:{&quot;date-parts&quot;:[[2021,5,19]]},&quot;ISBN&quot;:&quot;NREL/TP-5500-75470, DOE/GO-102019-5227, 1577966&quot;,&quot;URL&quot;:&quot;http://www.osti.gov/servlets/purl/1577966/%0Ahttp://files/87/Neukomm et al. - 2019 - Grid-Interactive Efficient Buildings Technical Rep.pdf&quot;,&quot;issued&quot;:{&quot;date-parts&quot;:[[2019]]},&quot;number-of-pages&quot;:&quot;DOE/GO-102019-5227&quot;,&quot;abstract&quot;:&quot;To help inform the building research community and advance BTO's research and development (R&amp;D) portfolio, BTO has published a series of technical reports that evaluate the opportunities for grid-interactive efficient buildings (GEBs). This overview report provides background on core concepts of GEBs and serves as an introduction to these technical reports.&quot;,&quot;issue&quot;:&quot;December&quot;,&quot;container-title-short&quot;:&quot;&quot;},&quot;isTemporary&quot;:false},{&quot;id&quot;:&quot;22c50ec6-282f-333b-8629-311e49f9ebf6&quot;,&quot;itemData&quot;:{&quot;type&quot;:&quot;report&quot;,&quot;id&quot;:&quot;22c50ec6-282f-333b-8629-311e49f9ebf6&quot;,&quot;title&quot;:&quot;Residential Buildings Factsheet&quot;,&quot;author&quot;:[{&quot;family&quot;:&quot;Center for Sustainable Systems&quot;,&quot;given&quot;:&quot;&quot;,&quot;parse-names&quot;:false,&quot;dropping-particle&quot;:&quot;&quot;,&quot;non-dropping-particle&quot;:&quot;&quot;}],&quot;accessed&quot;:{&quot;date-parts&quot;:[[2022,6,16]]},&quot;URL&quot;:&quot;https://css.umich.edu/publications/factsheets/built-environment/residential-buildings-factsheet&quot;,&quot;issued&quot;:{&quot;date-parts&quot;:[[2021]]},&quot;container-title-short&quot;:&quot;&quot;},&quot;isTemporary&quot;:false}]},{&quot;citationID&quot;:&quot;MENDELEY_CITATION_96e5bce1-dbcb-4d30-8006-5e588f5e1b7b&quot;,&quot;properties&quot;:{&quot;noteIndex&quot;:0},&quot;isEdited&quot;:false,&quot;manualOverride&quot;:{&quot;isManuallyOverridden&quot;:false,&quot;citeprocText&quot;:&quot;[190]&quot;,&quot;manualOverrideText&quot;:&quot;&quot;},&quot;citationTag&quot;:&quot;MENDELEY_CITATION_v3_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&quot;,&quot;citationItems&quot;:[{&quot;id&quot;:&quot;3f8fecc4-7d0f-3fbb-9590-eb6be74f67c5&quot;,&quot;itemData&quot;:{&quot;type&quot;:&quot;webpage&quot;,&quot;id&quot;:&quot;3f8fecc4-7d0f-3fbb-9590-eb6be74f67c5&quot;,&quot;title&quot;:&quot;Nearly 90% of U.S. households used air conditioning in 2020&quot;,&quot;author&quot;:[{&quot;family&quot;:&quot;U.S. Energy Information Administration - EIA&quot;,&quot;given&quot;:&quot;&quot;,&quot;parse-names&quot;:false,&quot;dropping-particle&quot;:&quot;&quot;,&quot;non-dropping-particle&quot;:&quot;&quot;}],&quot;container-title&quot;:&quot;Residential Energy Consumption Survey&quot;,&quot;accessed&quot;:{&quot;date-parts&quot;:[[2022,6,16]]},&quot;URL&quot;:&quot;https://www.eia.gov/todayinenergy/detail.php?id=52558&amp;src=%E2%80%B9%20Consumption%20%20%20%20%20%20Residential%20Energy%20Consumption%20Survey%20(RECS)-b1&quot;,&quot;container-title-short&quot;:&quot;&quot;},&quot;isTemporary&quot;:false}]},{&quot;citationID&quot;:&quot;MENDELEY_CITATION_9112ab71-b48d-4fdf-8fc4-3182dbedb84b&quot;,&quot;properties&quot;:{&quot;noteIndex&quot;:0},&quot;isEdited&quot;:false,&quot;manualOverride&quot;:{&quot;isManuallyOverridden&quot;:false,&quot;citeprocText&quot;:&quot;[188]&quot;,&quot;manualOverrideText&quot;:&quot;&quot;},&quot;citationTag&quot;:&quot;MENDELEY_CITATION_v3_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&quot;,&quot;citationItems&quot;:[{&quot;id&quot;:&quot;c55d71ef-386d-353b-97cf-b12efcf560f6&quot;,&quot;itemData&quot;:{&quot;type&quot;:&quot;report&quot;,&quot;id&quot;:&quot;c55d71ef-386d-353b-97cf-b12efcf560f6&quot;,&quot;title&quot;:&quot;Grid-Interactive Efficient Buildings Technical Report Series: HVAC; Water Heating; Appliances; and Refrigeration&quot;,&quot;author&quot;:[{&quot;family&quot;:&quot;Goetzler&quot;,&quot;given&quot;:&quot;Bill&quot;,&quot;parse-names&quot;:false,&quot;dropping-particle&quot;:&quot;&quot;,&quot;non-dropping-particle&quot;:&quot;&quot;},{&quot;family&quot;:&quot;Guernsey&quot;,&quot;given&quot;:&quot;Matt&quot;,&quot;parse-names&quot;:false,&quot;dropping-particle&quot;:&quot;&quot;,&quot;non-dropping-particle&quot;:&quot;&quot;},{&quot;family&quot;:&quot;Kassuga&quot;,&quot;given&quot;:&quot;Theo&quot;,&quot;parse-names&quot;:false,&quot;dropping-particle&quot;:&quot;&quot;,&quot;non-dropping-particle&quot;:&quot;&quot;}],&quot;accessed&quot;:{&quot;date-parts&quot;:[[2021,5,19]]},&quot;ISBN&quot;:&quot;NREL/TP-5500-75470, DOE/GO-102019-5227, 1577966&quot;,&quot;URL&quot;:&quot;http://www.osti.gov/servlets/purl/1577966/%0Ahttp://files/87/Neukomm et al. - 2019 - Grid-Interactive Efficient Buildings Technical Rep.pdf&quot;,&quot;issued&quot;:{&quot;date-parts&quot;:[[2019]]},&quot;number-of-pages&quot;:&quot;DOE/GO-102019-5227&quot;,&quot;abstract&quot;:&quot;To help inform the building research community and advance BTO's research and development (R&amp;D) portfolio, BTO has published a series of technical reports that evaluate the opportunities for grid-interactive efficient buildings (GEBs). This overview report provides background on core concepts of GEBs and serves as an introduction to these technical reports.&quot;,&quot;issue&quot;:&quot;December&quot;,&quot;container-title-short&quot;:&quot;&quot;},&quot;isTemporary&quot;:false}]},{&quot;citationID&quot;:&quot;MENDELEY_CITATION_b56b6651-e8f5-4807-b458-cea350efc8e5&quot;,&quot;properties&quot;:{&quot;noteIndex&quot;:0},&quot;isEdited&quot;:false,&quot;manualOverride&quot;:{&quot;isManuallyOverridden&quot;:true,&quot;citeprocText&quot;:&quot;[54], [55], [57], [60]&quot;,&quot;manualOverrideText&quot;:&quot;[5, 6, 7, 8]&quot;},&quot;citationTag&quot;:&quot;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&quot;,&quot;citationItems&quot;:[{&quot;id&quot;:&quot;921f7cea-abfd-3024-9bf3-34341891c4b8&quot;,&quot;itemData&quot;:{&quot;type&quot;:&quot;article-journal&quot;,&quot;id&quot;:&quot;921f7cea-abfd-3024-9bf3-34341891c4b8&quot;,&quot;title&quot;:&quot;Energy flexible buildings: A methodology for rating the flexibility performance of buildings with electric heating and cooling systems&quot;,&quot;author&quot;:[{&quot;family&quot;:&quot;Arteconi&quot;,&quot;given&quot;:&quot;Alessia&quot;,&quot;parse-names&quot;:false,&quot;dropping-particle&quot;:&quot;&quot;,&quot;non-dropping-particle&quot;:&quot;&quot;},{&quot;family&quot;:&quot;Mugnini&quot;,&quot;given&quot;:&quot;Alice&quot;,&quot;parse-names&quot;:false,&quot;dropping-particle&quot;:&quot;&quot;,&quot;non-dropping-particle&quot;:&quot;&quot;},{&quot;family&quot;:&quot;Polonara&quot;,&quot;given&quot;:&quot;Fabio&quot;,&quot;parse-names&quot;:false,&quot;dropping-particle&quot;:&quot;&quot;,&quot;non-dropping-particle&quot;:&quot;&quot;}],&quot;container-title&quot;:&quot;Applied Energy&quot;,&quot;container-title-short&quot;:&quot;Appl Energy&quot;,&quot;DOI&quot;:&quot;10.1016/j.apenergy.2019.113387&quot;,&quot;ISSN&quot;:&quot;03062619&quot;,&quot;URL&quot;:&quot;https://doi.org/10.1016/j.apenergy.2019.113387&quot;,&quot;issued&quot;:{&quot;date-parts&quot;:[[2019]]},&quot;page&quot;:&quot;113387&quot;,&quot;abstract&quot;:&quot;In the present energy scenario, buildings are playing more and more as energy prosumers. They can use and produce energy and also actively manage their energy demand. The energy flexibility quantifies their potential to adjust the energy demand on the basis of external requests. The objective of this paper is to propose a method for buildings energy flexibility labelling at design conditions in the same fashion as the energy performance label. The flexibility quantification is based on the calculation of four flexibility parameters, which contribute to the definition of the Flexibility Performance Indicator. In order to assess the Flexibility Performance Indicator, buildings dynamic simulations are necessary and the boundary conditions (i.e. demand response event, representative day, comfort constraints)to be considered during the evaluation are provided as part of the proposed methodology. The method was applied to different Italian buildings, which differ for geographic location and design specifications and, in particular, the effects of building structure, heating/cooling systems and energy storage systems were compared. Results show that the climatic conditions affect the flexibility performance, while the building feature more relevant is the thermal mass of the building envelope, more than that provided by the distribution system. A sensitivity analysis to evaluate how the results are influenced by the proposed boundary conditions was also performed. Their choice confirms to have a relevant impact on flexibility quantification, then their unique definition has a paramount importance within this methodology.&quot;,&quot;publisher&quot;:&quot;Elsevier&quot;,&quot;issue&quot;:&quot;May&quot;,&quot;volume&quot;:&quot;251&quot;},&quot;isTemporary&quot;:false},{&quot;id&quot;:&quot;064b0705-d953-3304-8f7e-bb4c3f01b94b&quot;,&quot;itemData&quot;:{&quot;type&quot;:&quot;article-journal&quot;,&quot;id&quot;:&quot;064b0705-d953-3304-8f7e-bb4c3f01b94b&quot;,&quot;title&quot;:&quot;Measures to improve energy demand flexibility in buildings for demand response (DR): A review&quot;,&quot;author&quot;:[{&quot;family&quot;:&quot;Chen&quot;,&quot;given&quot;:&quot;Yongbao&quot;,&quot;parse-names&quot;:false,&quot;dropping-particle&quot;:&quot;&quot;,&quot;non-dropping-particle&quot;:&quot;&quot;},{&quot;family&quot;:&quot;Xu&quot;,&quot;given&quot;:&quot;Peng&quot;,&quot;parse-names&quot;:false,&quot;dropping-particle&quot;:&quot;&quot;,&quot;non-dropping-particle&quot;:&quot;&quot;},{&quot;family&quot;:&quot;Gu&quot;,&quot;given&quot;:&quot;Jiefan&quot;,&quot;parse-names&quot;:false,&quot;dropping-particle&quot;:&quot;&quot;,&quot;non-dropping-particle&quot;:&quot;&quot;},{&quot;family&quot;:&quot;Schmidt&quot;,&quot;given&quot;:&quot;Ferdinand&quot;,&quot;parse-names&quot;:false,&quot;dropping-particle&quot;:&quot;&quot;,&quot;non-dropping-particle&quot;:&quot;&quot;},{&quot;family&quot;:&quot;Li&quot;,&quot;given&quot;:&quot;Weilin&quot;,&quot;parse-names&quot;:false,&quot;dropping-particle&quot;:&quot;&quot;,&quot;non-dropping-particle&quot;:&quot;&quot;}],&quot;container-title&quot;:&quot;Energy and Buildings&quot;,&quot;container-title-short&quot;:&quot;Energy Build&quot;,&quot;accessed&quot;:{&quot;date-parts&quot;:[[2023,3,13]]},&quot;DOI&quot;:&quot;10.1016/J.ENBUILD.2018.08.003&quot;,&quot;ISSN&quot;:&quot;0378-7788&quot;,&quot;issued&quot;:{&quot;date-parts&quot;:[[2018,10,15]]},&quot;page&quot;:&quot;125-139&quot;,&quot;abstract&quot;:&quot;This paper classifies and discusses the energy flexibility improvement strategies for demand responsive control in grid-interactive buildings based on a comprehensive study of the literature. Both supply and demand sides are considered. The flexibility measures range from renewable energy such as photovoltaic cells (PV) and wind to heating, ventilation, and air conditioning (HVAC) systems, energy storage, building thermal mass, appliances, and occupant behaviors. Currently, owing to the highly developed smart appliances and sensing communication techniques, DR is considered as an essential measure for improving energy flexibility in buildings without much additional investment. With the help of advanced demand response (DR) control strategies and measures, buildings can become more flexible in terms of power demand from the power grid. In this way, buildings achieve a better ability to balance differences in energy supply and demand. Furthermore, a synergistic approach with various measures is advisable, e.g., the use of energy storage technologies with PV and passive DR methods. This paper summarizes the measures for improving the flexibility of commercial and residential buildings, and develops a systematic methodology framework to evaluate energy demand flexibility in buildings.&quot;,&quot;publisher&quot;:&quot;Elsevier&quot;,&quot;volume&quot;:&quot;177&quot;},&quot;isTemporary&quot;:false},{&quot;id&quot;:&quot;560e10f1-4af0-373e-8a0c-dcc5f8a6a8ea&quot;,&quot;itemData&quot;:{&quot;type&quot;:&quot;article-journal&quot;,&quot;id&quot;:&quot;560e10f1-4af0-373e-8a0c-dcc5f8a6a8ea&quot;,&quot;title&quot;:&quot;IEA EBC Annex 67 Energy Flexible Buildings&quot;,&quot;author&quot;:[{&quot;family&quot;:&quot;Jensen&quot;,&quot;given&quot;:&quot;Søren Østergaard&quot;,&quot;parse-names&quot;:false,&quot;dropping-particle&quot;:&quot;&quot;,&quot;non-dropping-particle&quot;:&quot;&quot;},{&quot;family&quot;:&quot;Marszal-Pomianowska&quot;,&quot;given&quot;:&quot;Anna&quot;,&quot;parse-names&quot;:false,&quot;dropping-particle&quot;:&quot;&quot;,&quot;non-dropping-particle&quot;:&quot;&quot;},{&quot;family&quot;:&quot;Lollini&quot;,&quot;given&quot;:&quot;Roberto&quot;,&quot;parse-names&quot;:false,&quot;dropping-particle&quot;:&quot;&quot;,&quot;non-dropping-particle&quot;:&quot;&quot;},{&quot;family&quot;:&quot;Pasut&quot;,&quot;given&quot;:&quot;Wilmer&quot;,&quot;parse-names&quot;:false,&quot;dropping-particle&quot;:&quot;&quot;,&quot;non-dropping-particle&quot;:&quot;&quot;},{&quot;family&quot;:&quot;Knotzer&quot;,&quot;given&quot;:&quot;Armin&quot;,&quot;parse-names&quot;:false,&quot;dropping-particle&quot;:&quot;&quot;,&quot;non-dropping-particle&quot;:&quot;&quot;},{&quot;family&quot;:&quot;Engelmann&quot;,&quot;given&quot;:&quot;Peter&quot;,&quot;parse-names&quot;:false,&quot;dropping-particle&quot;:&quot;&quot;,&quot;non-dropping-particle&quot;:&quot;&quot;},{&quot;family&quot;:&quot;Stafford&quot;,&quot;given&quot;:&quot;Anne&quot;,&quot;parse-names&quot;:false,&quot;dropping-particle&quot;:&quot;&quot;,&quot;non-dropping-particle&quot;:&quot;&quot;},{&quot;family&quot;:&quot;Reynders&quot;,&quot;given&quot;:&quot;Glenn&quot;,&quot;parse-names&quot;:false,&quot;dropping-particle&quot;:&quot;&quot;,&quot;non-dropping-particle&quot;:&quot;&quot;}],&quot;container-title&quot;:&quot;Energy and Buildings&quot;,&quot;container-title-short&quot;:&quot;Energy Build&quot;,&quot;accessed&quot;:{&quot;date-parts&quot;:[[2020,4,20]]},&quot;DOI&quot;:&quot;10.1016/j.enbuild.2017.08.044&quot;,&quot;ISSN&quot;:&quot;03787788&quot;,&quot;issued&quot;:{&quot;date-parts&quot;:[[2017,11,15]]},&quot;page&quot;:&quot;25-34&quot;,&quot;abstract&quot;:&quot;The increasing global energy demand, the foreseen reduction of available fossil fuels and the increasing evidence off global warming during the last decades have generated a high interest in renewable energy sources. However, renewable energy sources, such as wind and solar power, have an intrinsic variability that can seriously affect the stability of the energy system if they account for a high percentage of the total generation. The Energy Flexibility of buildings is commonly suggested as part of the solution to alleviate some of the upcoming challenges in the future demand-respond energy systems (electrical, district heating and gas grids). Buildings can supply flexibility services in different ways, e.g. utilization of thermal mass, adjustability of HVAC system use (e.g. heating/cooling/ventilation), charging of electric vehicles, and shifting of plug-loads. However, there is currently no overview or insight into how much Energy Flexibility different building may be able to offer to the future energy systems in the sense of avoiding excess energy production, increase the stability of the energy networks, minimize congestion problems, enhance the efficiency and cost effectiveness of the future energy networks. Therefore, there is a need for increasing knowledge on and demonstration of the Energy Flexibility buildings can provide to energy networks. At the same time, there is a need for identifying critical aspects and possible solutions to manage this Energy Flexibility, while maintaining the comfort of the occupants and minimizing the use of non-renewable energy. In this context, the IEA (International Energy Agency) EBC (Energy in Buildings and Communities program) Annex 67: “Energy Flexible Buildings” was started in 2015. The article presents the background and the work plan of IEA EBC Annex 67 as well as already obtained results. Annex 67 is a corporation between participants from 16 countries: Austria, Belgium, Canada, China, Denmark, Finland, France, Germany, Ireland, Italy, The Netherlands, Norway, Portugal, Spain, Switzerland and UK.&quot;,&quot;publisher&quot;:&quot;Elsevier Ltd&quot;,&quot;volume&quot;:&quot;155&quot;},&quot;isTemporary&quot;:false},{&quot;id&quot;:&quot;8dbe7071-64ad-3736-bff4-ec0a75304982&quot;,&quot;itemData&quot;:{&quot;type&quot;:&quot;article-journal&quot;,&quot;id&quot;:&quot;8dbe7071-64ad-3736-bff4-ec0a75304982&quot;,&quot;title&quot;:&quot;Characterizing the energy flexibility of buildings and districts&quot;,&quot;author&quot;:[{&quot;family&quot;:&quot;Junker&quot;,&quot;given&quot;:&quot;Rune Grønborg&quot;,&quot;parse-names&quot;:false,&quot;dropping-particle&quot;:&quot;&quot;,&quot;non-dropping-particle&quot;:&quot;&quot;},{&quot;family&quot;:&quot;Azar&quot;,&quot;given&quot;:&quot;Armin Ghasem&quot;,&quot;parse-names&quot;:false,&quot;dropping-particle&quot;:&quot;&quot;,&quot;non-dropping-particle&quot;:&quot;&quot;},{&quot;family&quot;:&quot;Lopes&quot;,&quot;given&quot;:&quot;Rui Amaral&quot;,&quot;parse-names&quot;:false,&quot;dropping-particle&quot;:&quot;&quot;,&quot;non-dropping-particle&quot;:&quot;&quot;},{&quot;family&quot;:&quot;Lindberg&quot;,&quot;given&quot;:&quot;Karen Byskov&quot;,&quot;parse-names&quot;:false,&quot;dropping-particle&quot;:&quot;&quot;,&quot;non-dropping-particle&quot;:&quot;&quot;},{&quot;family&quot;:&quot;Reynders&quot;,&quot;given&quot;:&quot;Glenn&quot;,&quot;parse-names&quot;:false,&quot;dropping-particle&quot;:&quot;&quot;,&quot;non-dropping-particle&quot;:&quot;&quot;},{&quot;family&quot;:&quot;Relan&quot;,&quot;given&quot;:&quot;Rishi&quot;,&quot;parse-names&quot;:false,&quot;dropping-particle&quot;:&quot;&quot;,&quot;non-dropping-particle&quot;:&quot;&quot;},{&quot;family&quot;:&quot;Madsen&quot;,&quot;given&quot;:&quot;Henrik&quot;,&quot;parse-names&quot;:false,&quot;dropping-particle&quot;:&quot;&quot;,&quot;non-dropping-particle&quot;:&quot;&quot;}],&quot;container-title&quot;:&quot;Applied Energy&quot;,&quot;container-title-short&quot;:&quot;Appl Energy&quot;,&quot;DOI&quot;:&quot;10.1016/j.apenergy.2018.05.037&quot;,&quot;ISSN&quot;:&quot;03062619&quot;,&quot;URL&quot;:&quot;https://doi.org/10.1016/j.apenergy.2018.05.037&quot;,&quot;issued&quot;:{&quot;date-parts&quot;:[[2018]]},&quot;page&quot;:&quot;175-182&quot;,&quot;abstract&quot;:&quot;The large penetration rate of renewable energy sources leads to challenges in planning and controlling the energy production, transmission, and distribution in power systems. A potential solution is found in a paradigm shift from traditional supply control to demand control. To address such changes, a first step lays in a formal and robust characterization of the energy flexibility on the demand side. The most common way to characterize the energy flexibility is by considering it as a static function at every time instant. The validity of this approach is questionable because energy-based systems are never at steady-state. Therefore, in this paper, a novel methodology to characterize the energy flexibility as a dynamic function is proposed, which is titled as the Flexibility Function. The Flexibility Function brings new possibilities for enabling the grid operators or other operators to control the demand through the use of penalty signals (e.g., price, CO2, etc.). For instance, CO2-based controllers can be used to accelerate the transition to a fossil-free society. Contrary to previous static approaches to quantify Energy Flexibility, the dynamic nature of the Flexibility Function enables a Flexibility Index, which describes to which extent a building is able to respond to the grid's need for flexibility. In order to validate the proposed methodologies, a case study is presented, demonstrating how different Flexibility Functions enable the utilization of the flexibility in different types of buildings, which are integrated with renewable energies.&quot;,&quot;publisher&quot;:&quot;Elsevier&quot;,&quot;issue&quot;:&quot;April&quot;,&quot;volume&quot;:&quot;225&quot;},&quot;isTemporary&quot;:false}]},{&quot;citationID&quot;:&quot;MENDELEY_CITATION_817d3ed6-fa4c-4e5d-aee7-386fc431d6d1&quot;,&quot;properties&quot;:{&quot;noteIndex&quot;:0},&quot;isEdited&quot;:false,&quot;manualOverride&quot;:{&quot;isManuallyOverridden&quot;:false,&quot;citeprocText&quot;:&quot;[188]&quot;,&quot;manualOverrideText&quot;:&quot;&quot;},&quot;citationTag&quot;:&quot;MENDELEY_CITATION_v3_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&quot;,&quot;citationItems&quot;:[{&quot;id&quot;:&quot;c55d71ef-386d-353b-97cf-b12efcf560f6&quot;,&quot;itemData&quot;:{&quot;type&quot;:&quot;report&quot;,&quot;id&quot;:&quot;c55d71ef-386d-353b-97cf-b12efcf560f6&quot;,&quot;title&quot;:&quot;Grid-Interactive Efficient Buildings Technical Report Series: HVAC; Water Heating; Appliances; and Refrigeration&quot;,&quot;author&quot;:[{&quot;family&quot;:&quot;Goetzler&quot;,&quot;given&quot;:&quot;Bill&quot;,&quot;parse-names&quot;:false,&quot;dropping-particle&quot;:&quot;&quot;,&quot;non-dropping-particle&quot;:&quot;&quot;},{&quot;family&quot;:&quot;Guernsey&quot;,&quot;given&quot;:&quot;Matt&quot;,&quot;parse-names&quot;:false,&quot;dropping-particle&quot;:&quot;&quot;,&quot;non-dropping-particle&quot;:&quot;&quot;},{&quot;family&quot;:&quot;Kassuga&quot;,&quot;given&quot;:&quot;Theo&quot;,&quot;parse-names&quot;:false,&quot;dropping-particle&quot;:&quot;&quot;,&quot;non-dropping-particle&quot;:&quot;&quot;}],&quot;accessed&quot;:{&quot;date-parts&quot;:[[2021,5,19]]},&quot;ISBN&quot;:&quot;NREL/TP-5500-75470, DOE/GO-102019-5227, 1577966&quot;,&quot;URL&quot;:&quot;http://www.osti.gov/servlets/purl/1577966/%0Ahttp://files/87/Neukomm et al. - 2019 - Grid-Interactive Efficient Buildings Technical Rep.pdf&quot;,&quot;issued&quot;:{&quot;date-parts&quot;:[[2019]]},&quot;number-of-pages&quot;:&quot;DOE/GO-102019-5227&quot;,&quot;abstract&quot;:&quot;To help inform the building research community and advance BTO's research and development (R&amp;D) portfolio, BTO has published a series of technical reports that evaluate the opportunities for grid-interactive efficient buildings (GEBs). This overview report provides background on core concepts of GEBs and serves as an introduction to these technical reports.&quot;,&quot;issue&quot;:&quot;December&quot;,&quot;container-title-short&quot;:&quot;&quot;},&quot;isTemporary&quot;:false}]},{&quot;citationID&quot;:&quot;MENDELEY_CITATION_8b377175-e803-4d90-8c41-81e8e8c05b76&quot;,&quot;properties&quot;:{&quot;noteIndex&quot;:0},&quot;isEdited&quot;:false,&quot;manualOverride&quot;:{&quot;isManuallyOverridden&quot;:false,&quot;citeprocText&quot;:&quot;[188]&quot;,&quot;manualOverrideText&quot;:&quot;&quot;},&quot;citationTag&quot;:&quot;MENDELEY_CITATION_v3_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&quot;,&quot;citationItems&quot;:[{&quot;id&quot;:&quot;c55d71ef-386d-353b-97cf-b12efcf560f6&quot;,&quot;itemData&quot;:{&quot;type&quot;:&quot;report&quot;,&quot;id&quot;:&quot;c55d71ef-386d-353b-97cf-b12efcf560f6&quot;,&quot;title&quot;:&quot;Grid-Interactive Efficient Buildings Technical Report Series: HVAC; Water Heating; Appliances; and Refrigeration&quot;,&quot;author&quot;:[{&quot;family&quot;:&quot;Goetzler&quot;,&quot;given&quot;:&quot;Bill&quot;,&quot;parse-names&quot;:false,&quot;dropping-particle&quot;:&quot;&quot;,&quot;non-dropping-particle&quot;:&quot;&quot;},{&quot;family&quot;:&quot;Guernsey&quot;,&quot;given&quot;:&quot;Matt&quot;,&quot;parse-names&quot;:false,&quot;dropping-particle&quot;:&quot;&quot;,&quot;non-dropping-particle&quot;:&quot;&quot;},{&quot;family&quot;:&quot;Kassuga&quot;,&quot;given&quot;:&quot;Theo&quot;,&quot;parse-names&quot;:false,&quot;dropping-particle&quot;:&quot;&quot;,&quot;non-dropping-particle&quot;:&quot;&quot;}],&quot;accessed&quot;:{&quot;date-parts&quot;:[[2021,5,19]]},&quot;ISBN&quot;:&quot;NREL/TP-5500-75470, DOE/GO-102019-5227, 1577966&quot;,&quot;URL&quot;:&quot;http://www.osti.gov/servlets/purl/1577966/%0Ahttp://files/87/Neukomm et al. - 2019 - Grid-Interactive Efficient Buildings Technical Rep.pdf&quot;,&quot;issued&quot;:{&quot;date-parts&quot;:[[2019]]},&quot;number-of-pages&quot;:&quot;DOE/GO-102019-5227&quot;,&quot;abstract&quot;:&quot;To help inform the building research community and advance BTO's research and development (R&amp;D) portfolio, BTO has published a series of technical reports that evaluate the opportunities for grid-interactive efficient buildings (GEBs). This overview report provides background on core concepts of GEBs and serves as an introduction to these technical reports.&quot;,&quot;issue&quot;:&quot;December&quot;,&quot;container-title-short&quot;:&quot;&quot;},&quot;isTemporary&quot;:false}]},{&quot;citationID&quot;:&quot;MENDELEY_CITATION_400a0587-a7a3-4c19-806f-52b4018b5c0e&quot;,&quot;properties&quot;:{&quot;noteIndex&quot;:0},&quot;isEdited&quot;:false,&quot;manualOverride&quot;:{&quot;isManuallyOverridden&quot;:false,&quot;citeprocText&quot;:&quot;[191]&quot;,&quot;manualOverrideText&quot;:&quot;&quot;},&quot;citationTag&quot;:&quot;MENDELEY_CITATION_v3_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&quot;,&quot;citationItems&quot;:[{&quot;id&quot;:&quot;cf64e083-2d62-336f-a87f-7ab65d92e4dc&quot;,&quot;itemData&quot;:{&quot;type&quot;:&quot;report&quot;,&quot;id&quot;:&quot;cf64e083-2d62-336f-a87f-7ab65d92e4dc&quot;,&quot;title&quot;:&quot;How American Homes Vary By the Year They Were Built; How American Homes Vary By the Year They Were Built&quot;,&quot;author&quot;:[{&quot;family&quot;:&quot;Sarkar&quot;,&quot;given&quot;:&quot;Mousumi&quot;,&quot;parse-names&quot;:false,&quot;dropping-particle&quot;:&quot;&quot;,&quot;non-dropping-particle&quot;:&quot;&quot;}],&quot;accessed&quot;:{&quot;date-parts&quot;:[[2021,5,19]]},&quot;URL&quot;:&quot;http://www.census.gov/const/www/charindex.html&quot;,&quot;issued&quot;:{&quot;date-parts&quot;:[[2011]]},&quot;publisher-place&quot;:&quot;Washington, DC&quot;,&quot;container-title-short&quot;:&quot;&quot;},&quot;isTemporary&quot;:false}]},{&quot;citationID&quot;:&quot;MENDELEY_CITATION_c6ab2dd1-1276-456b-8665-ec2ebc905946&quot;,&quot;properties&quot;:{&quot;noteIndex&quot;:0},&quot;isEdited&quot;:false,&quot;manualOverride&quot;:{&quot;isManuallyOverridden&quot;:true,&quot;citeprocText&quot;:&quot;[23], [188]&quot;,&quot;manualOverrideText&quot;:&quot;[2, 10]&quot;},&quot;citationTag&quot;:&quot;MENDELEY_CITATION_v3_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&quot;,&quot;citationItems&quot;:[{&quot;id&quot;:&quot;c55d71ef-386d-353b-97cf-b12efcf560f6&quot;,&quot;itemData&quot;:{&quot;type&quot;:&quot;report&quot;,&quot;id&quot;:&quot;c55d71ef-386d-353b-97cf-b12efcf560f6&quot;,&quot;title&quot;:&quot;Grid-Interactive Efficient Buildings Technical Report Series: HVAC; Water Heating; Appliances; and Refrigeration&quot;,&quot;author&quot;:[{&quot;family&quot;:&quot;Goetzler&quot;,&quot;given&quot;:&quot;Bill&quot;,&quot;parse-names&quot;:false,&quot;dropping-particle&quot;:&quot;&quot;,&quot;non-dropping-particle&quot;:&quot;&quot;},{&quot;family&quot;:&quot;Guernsey&quot;,&quot;given&quot;:&quot;Matt&quot;,&quot;parse-names&quot;:false,&quot;dropping-particle&quot;:&quot;&quot;,&quot;non-dropping-particle&quot;:&quot;&quot;},{&quot;family&quot;:&quot;Kassuga&quot;,&quot;given&quot;:&quot;Theo&quot;,&quot;parse-names&quot;:false,&quot;dropping-particle&quot;:&quot;&quot;,&quot;non-dropping-particle&quot;:&quot;&quot;}],&quot;accessed&quot;:{&quot;date-parts&quot;:[[2021,5,19]]},&quot;ISBN&quot;:&quot;NREL/TP-5500-75470, DOE/GO-102019-5227, 1577966&quot;,&quot;URL&quot;:&quot;http://www.osti.gov/servlets/purl/1577966/%0Ahttp://files/87/Neukomm et al. - 2019 - Grid-Interactive Efficient Buildings Technical Rep.pdf&quot;,&quot;issued&quot;:{&quot;date-parts&quot;:[[2019]]},&quot;number-of-pages&quot;:&quot;DOE/GO-102019-5227&quot;,&quot;abstract&quot;:&quot;To help inform the building research community and advance BTO's research and development (R&amp;D) portfolio, BTO has published a series of technical reports that evaluate the opportunities for grid-interactive efficient buildings (GEBs). This overview report provides background on core concepts of GEBs and serves as an introduction to these technical reports.&quot;,&quot;issue&quot;:&quot;December&quot;,&quot;container-title-short&quot;:&quot;&quot;},&quot;isTemporary&quot;:false},{&quot;id&quot;:&quot;a99d46fa-950a-3fd3-904d-7caca65d5bdc&quot;,&quot;itemData&quot;:{&quot;type&quot;:&quot;article-magazine&quot;,&quot;id&quot;:&quot;a99d46fa-950a-3fd3-904d-7caca65d5bdc&quot;,&quot;title&quot;:&quot;The State of Art of Heat-Pump integrated Thermal Energy Storage for Demand Response&quot;,&quot;author&quot;:[{&quot;family&quot;:&quot;Sultan&quot;,&quot;given&quot;:&quot;Sara&quot;,&quot;parse-names&quot;:false,&quot;dropping-particle&quot;:&quot;&quot;,&quot;non-dropping-particle&quot;:&quot;&quot;},{&quot;family&quot;:&quot;Gluesenkamp&quot;,&quot;given&quot;:&quot;Kyle R&quot;,&quot;parse-names&quot;:false,&quot;dropping-particle&quot;:&quot;&quot;,&quot;non-dropping-particle&quot;:&quot;&quot;},{&quot;family&quot;:&quot;States&quot;,&quot;given&quot;:&quot;United&quot;,&quot;parse-names&quot;:false,&quot;dropping-particle&quot;:&quot;&quot;,&quot;non-dropping-particle&quot;:&quot;&quot;}],&quot;container-title&quot;:&quot;IEA Heat Pump Technologies Magazine&quot;,&quot;DOI&quot;:&quot;https://doi.org/10.23697/62tr-nt79&quot;,&quot;URL&quot;:&quot;https://heatpumpingtechnologies.org/publications/the-state-of-art-of-heat-pump-integrated-thermal-energy-storage-for-demand-response/&quot;,&quot;issued&quot;:{&quot;date-parts&quot;:[[2021]]},&quot;page&quot;:&quot;27-30&quot;,&quot;issue&quot;:&quot;2&quot;,&quot;volume&quot;:&quot;40&quot;,&quot;container-title-short&quot;:&quot;&quot;},&quot;isTemporary&quot;:false}]},{&quot;citationID&quot;:&quot;MENDELEY_CITATION_33424266-c572-4d3e-b7c3-886defb472f0&quot;,&quot;properties&quot;:{&quot;noteIndex&quot;:0},&quot;isEdited&quot;:false,&quot;manualOverride&quot;:{&quot;isManuallyOverridden&quot;:true,&quot;citeprocText&quot;:&quot;[5], [7]–[10], [20]&quot;,&quot;manualOverrideText&quot;:&quot;[11, 12, 13, 14, 15, 16]&quot;},&quot;citationTag&quot;:&quot;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&quot;,&quot;citationItems&quot;:[{&quot;id&quot;:&quot;a4f1ad57-419a-3b28-8f88-b4a4e83a691d&quot;,&quot;itemData&quot;:{&quot;type&quot;:&quot;article-journal&quot;,&quot;id&quot;:&quot;a4f1ad57-419a-3b28-8f88-b4a4e83a691d&quot;,&quot;title&quot;:&quot;PCM Material Selection For Heat Pump Integrated With Thermal Energy Storage For Demand Response in Residential Buildings&quot;,&quot;author&quot;:[{&quot;family&quot;:&quot;Sultan&quot;,&quot;given&quot;:&quot;Sara&quot;,&quot;parse-names&quot;:false,&quot;dropping-particle&quot;:&quot;&quot;,&quot;non-dropping-particle&quot;:&quot;&quot;},{&quot;family&quot;:&quot;Turnaoglu&quot;,&quot;given&quot;:&quot;Tugba&quot;,&quot;parse-names&quot;:false,&quot;dropping-particle&quot;:&quot;&quot;,&quot;non-dropping-particle&quot;:&quot;&quot;},{&quot;family&quot;:&quot;Akamo&quot;,&quot;given&quot;:&quot;Damilola&quot;,&quot;parse-names&quot;:false,&quot;dropping-particle&quot;:&quot;&quot;,&quot;non-dropping-particle&quot;:&quot;&quot;},{&quot;family&quot;:&quot;Hirschey&quot;,&quot;given&quot;:&quot;Jason&quot;,&quot;parse-names&quot;:false,&quot;dropping-particle&quot;:&quot;&quot;,&quot;non-dropping-particle&quot;:&quot;&quot;},{&quot;family&quot;:&quot;Laclair&quot;,&quot;given&quot;:&quot;Tim&quot;,&quot;parse-names&quot;:false,&quot;dropping-particle&quot;:&quot;&quot;,&quot;non-dropping-particle&quot;:&quot;&quot;},{&quot;family&quot;:&quot;Liu&quot;,&quot;given&quot;:&quot;Xiaobing&quot;,&quot;parse-names&quot;:false,&quot;dropping-particle&quot;:&quot;&quot;,&quot;non-dropping-particle&quot;:&quot;&quot;},{&quot;family&quot;:&quot;Gluesenkamp&quot;,&quot;given&quot;:&quot;Kyle R.&quot;,&quot;parse-names&quot;:false,&quot;dropping-particle&quot;:&quot;&quot;,&quot;non-dropping-particle&quot;:&quot;&quot;}],&quot;container-title&quot;:&quot;International High Performance Buildings Conference&quot;,&quot;accessed&quot;:{&quot;date-parts&quot;:[[2023,1,19]]},&quot;URL&quot;:&quot;https://docs.lib.purdue.edu/ihpbc/427&quot;,&quot;issued&quot;:{&quot;date-parts&quot;:[[2022,7,14]]},&quot;container-title-short&quot;:&quot;&quot;},&quot;isTemporary&quot;:false},{&quot;id&quot;:&quot;1a442f40-58bd-3908-a451-337be8d4a84d&quot;,&quot;itemData&quot;:{&quot;type&quot;:&quot;article-journal&quot;,&quot;id&quot;:&quot;1a442f40-58bd-3908-a451-337be8d4a84d&quot;,&quot;title&quot;:&quot;A comprehensive review on current advances of thermal energy storage and its applications&quot;,&quot;author&quot;:[{&quot;family&quot;:&quot;Chavan&quot;,&quot;given&quot;:&quot;Santosh&quot;,&quot;parse-names&quot;:false,&quot;dropping-particle&quot;:&quot;&quot;,&quot;non-dropping-particle&quot;:&quot;&quot;},{&quot;family&quot;:&quot;Rudrapati&quot;,&quot;given&quot;:&quot;Ramesh&quot;,&quot;parse-names&quot;:false,&quot;dropping-particle&quot;:&quot;&quot;,&quot;non-dropping-particle&quot;:&quot;&quot;},{&quot;family&quot;:&quot;Manickam&quot;,&quot;given&quot;:&quot;Selvaraj&quot;,&quot;parse-names&quot;:false,&quot;dropping-particle&quot;:&quot;&quot;,&quot;non-dropping-particle&quot;:&quot;&quot;}],&quot;container-title&quot;:&quot;Alexandria Engineering Journal&quot;,&quot;accessed&quot;:{&quot;date-parts&quot;:[[2023,3,13]]},&quot;DOI&quot;:&quot;10.1016/J.AEJ.2021.11.003&quot;,&quot;ISSN&quot;:&quot;1110-0168&quot;,&quot;issued&quot;:{&quot;date-parts&quot;:[[2022,7,1]]},&quot;page&quot;:&quot;5455-5463&quot;,&quot;abstract&quot;:&quot;Thermal energy storage (TES) is playing a vital role in various applications and this paper intends to provide an overview of different applications involved in various areas. This work mainly focuses on review of TES applications in wide area such as waste heat recovery, Heavy electronic equipment's cooling etc. The comprehensive study shows that thermal energy stored can be used for heating and cooling applications and have a great scope for developing new technology and methods for utilizing it to maximum extent. Exploring various thermal storage materials and methods for different application opening many ways towards the sustainable development and utilization of available thermal energy.&quot;,&quot;publisher&quot;:&quot;Elsevier&quot;,&quot;issue&quot;:&quot;7&quot;,&quot;volume&quot;:&quot;61&quot;,&quot;container-title-short&quot;:&quot;&quot;},&quot;isTemporary&quot;:false},{&quot;id&quot;:&quot;2132e2b9-1976-3687-b02d-1142503b9d80&quot;,&quot;itemData&quot;:{&quot;type&quot;:&quot;article-journal&quot;,&quot;id&quot;:&quot;2132e2b9-1976-3687-b02d-1142503b9d80&quot;,&quot;title&quot;:&quot;Potential Phase Change Materials in Building Wall Construction—A Review&quot;,&quot;author&quot;:[{&quot;family&quot;:&quot;Kurdi&quot;,&quot;given&quot;:&quot;Abdulaziz&quot;,&quot;parse-names&quot;:false,&quot;dropping-particle&quot;:&quot;&quot;,&quot;non-dropping-particle&quot;:&quot;&quot;},{&quot;family&quot;:&quot;Almoatham&quot;,&quot;given&quot;:&quot;Nasser&quot;,&quot;parse-names&quot;:false,&quot;dropping-particle&quot;:&quot;&quot;,&quot;non-dropping-particle&quot;:&quot;&quot;},{&quot;family&quot;:&quot;Mirza&quot;,&quot;given&quot;:&quot;Mark&quot;,&quot;parse-names&quot;:false,&quot;dropping-particle&quot;:&quot;&quot;,&quot;non-dropping-particle&quot;:&quot;&quot;},{&quot;family&quot;:&quot;Ballweg&quot;,&quot;given&quot;:&quot;Thomas&quot;,&quot;parse-names&quot;:false,&quot;dropping-particle&quot;:&quot;&quot;,&quot;non-dropping-particle&quot;:&quot;&quot;},{&quot;family&quot;:&quot;Alkahlan&quot;,&quot;given&quot;:&quot;Bandar&quot;,&quot;parse-names&quot;:false,&quot;dropping-particle&quot;:&quot;&quot;,&quot;non-dropping-particle&quot;:&quot;&quot;}],&quot;container-title&quot;:&quot;Materials 2021, Vol. 14, Page 5328&quot;,&quot;accessed&quot;:{&quot;date-parts&quot;:[[2023,3,13]]},&quot;DOI&quot;:&quot;10.3390/MA14185328&quot;,&quot;ISSN&quot;:&quot;1996-1944&quot;,&quot;URL&quot;:&quot;https://www.mdpi.com/1996-1944/14/18/5328/htm&quot;,&quot;issued&quot;:{&quot;date-parts&quot;:[[2021,9,15]]},&quot;page&quot;:&quot;5328&quot;,&quot;abstract&quot;:&quot;Phase change materials (PCMs) are an effective thermal mass and their integration into the structure of a building can reduce the ongoing costs of building operation, such as daily heating/cooling. PCMs as a thermal mass can absorb and retard heat loss to the building interior, maintaining comfort in the building. Although a large number of PCMs have been reported in the literature, only a handful of them, with their respective advantages and disadvantages, are suitable for building wall construction. Based on the information available in the literature, a critical evaluation of PCMs was performed in this paper, focusing on two aspects: (i) PCMs for building wall applications and (ii) the inclusion of PCMs in building wall applications. Four different PCMs, namely paraffin wax, fatty acids, hydrated salts, and butyl stearate, were identified as being the most suitable for building wall applications and these are explained in detail in terms of their physical and thermal properties. Although there are several PCM encapsulation techniques, the direct application of PCM in concrete admixtures is the most economical method to keep costs within manageable limits. However, care should be taken to ensure that PCM does not leak or drip from the building wall.&quot;,&quot;publisher&quot;:&quot;Multidisciplinary Digital Publishing Institute&quot;,&quot;issue&quot;:&quot;18&quot;,&quot;volume&quot;:&quot;14&quot;,&quot;container-title-short&quot;:&quot;&quot;},&quot;isTemporary&quot;:false},{&quot;id&quot;:&quot;bb4b0011-d4a7-3923-ab0c-5369014ec7f5&quot;,&quot;itemData&quot;:{&quot;type&quot;:&quot;article-journal&quot;,&quot;id&quot;:&quot;bb4b0011-d4a7-3923-ab0c-5369014ec7f5&quot;,&quot;title&quot;:&quot;Thermal energy management in buildings and constructions with phase change material-epoxy composites: a review&quot;,&quot;author&quot;:[{&quot;family&quot;:&quot;Amberkar&quot;,&quot;given&quot;:&quot;Tejashree&quot;,&quot;parse-names&quot;:false,&quot;dropping-particle&quot;:&quot;&quot;,&quot;non-dropping-particle&quot;:&quot;&quot;},{&quot;family&quot;:&quot;Mahanwar&quot;,&quot;given&quot;:&quot;Prakash&quot;,&quot;parse-names&quot;:false,&quot;dropping-particle&quot;:&quot;&quot;,&quot;non-dropping-particle&quot;:&quot;&quot;}],&quot;container-title&quot;:&quot;https://doi.org/10.1080/15567036.2023.2171514&quot;,&quot;accessed&quot;:{&quot;date-parts&quot;:[[2023,3,13]]},&quot;DOI&quot;:&quot;10.1080/15567036.2023.2171514&quot;,&quot;ISSN&quot;:&quot;1556-7036&quot;,&quot;URL&quot;:&quot;https://www.tandfonline.com/doi/abs/10.1080/15567036.2023.2171514&quot;,&quot;issued&quot;:{&quot;date-parts&quot;:[[2023,12,31]]},&quot;page&quot;:&quot;727-761&quot;,&quot;abstract&quot;:&quot;The research has shown that combining phase change materials (PCMs) in construction materials improves thermal performance and longevity of construction. PCM absorbs latent heat of phase transition...&quot;,&quot;publisher&quot;:&quot;Taylor &amp; Francis&quot;,&quot;issue&quot;:&quot;1&quot;,&quot;volume&quot;:&quot;45&quot;,&quot;container-title-short&quot;:&quot;&quot;},&quot;isTemporary&quot;:false},{&quot;id&quot;:&quot;e147ceef-ee4b-3a0d-a362-f8f3397f606a&quot;,&quot;itemData&quot;:{&quot;type&quot;:&quot;article-journal&quot;,&quot;id&quot;:&quot;e147ceef-ee4b-3a0d-a362-f8f3397f606a&quot;,&quot;title&quot;:&quot;Energy storage using phase change materials - Challenges and opportunities for power savings in residential buildings&quot;,&quot;author&quot;:[{&quot;family&quot;:&quot;Rahman&quot;,&quot;given&quot;:&quot;Muhammad Mustafizur&quot;,&quot;parse-names&quot;:false,&quot;dropping-particle&quot;:&quot;&quot;,&quot;non-dropping-particle&quot;:&quot;&quot;},{&quot;family&quot;:&quot;Habib&quot;,&quot;given&quot;:&quot;Md Ahsan&quot;,&quot;parse-names&quot;:false,&quot;dropping-particle&quot;:&quot;&quot;,&quot;non-dropping-particle&quot;:&quot;&quot;}],&quot;container-title&quot;:&quot;AIP Conference Proceedings&quot;,&quot;container-title-short&quot;:&quot;AIP Conf Proc&quot;,&quot;accessed&quot;:{&quot;date-parts&quot;:[[2023,3,13]]},&quot;DOI&quot;:&quot;10.1063/5.0117296&quot;,&quot;ISBN&quot;:&quot;9780735442573&quot;,&quot;ISSN&quot;:&quot;0094-243X&quot;,&quot;URL&quot;:&quot;https://aip.scitation.org/doi/abs/10.1063/5.0117296&quot;,&quot;issued&quot;:{&quot;date-parts&quot;:[[2022,11,17]]},&quot;page&quot;:&quot;020054&quot;,&quot;abstract&quot;:&quot;The energy consumption in residential buildings is mainly combined with the interior environment's heating and cooling energy demand. One solution is to reduce these energy consumptions by implemen...&quot;,&quot;publisher&quot;:&quot;AIP Publishing LLCAIP Publishing&quot;,&quot;issue&quot;:&quot;1&quot;,&quot;volume&quot;:&quot;2681&quot;},&quot;isTemporary&quot;:false},{&quot;id&quot;:&quot;6eb7fc6c-3223-3b88-b8c2-828c31a888dd&quot;,&quot;itemData&quot;:{&quot;type&quot;:&quot;article-journal&quot;,&quot;id&quot;:&quot;6eb7fc6c-3223-3b88-b8c2-828c31a888dd&quot;,&quot;title&quot;:&quot;Introduction and Literature Review of Building Components with Passive Thermal Energy Storage Systems&quot;,&quot;author&quot;:[{&quot;family&quot;:&quot;Sepehri&quot;,&quot;given&quot;:&quot;Amin&quot;,&quot;parse-names&quot;:false,&quot;dropping-particle&quot;:&quot;&quot;,&quot;non-dropping-particle&quot;:&quot;&quot;}],&quot;container-title&quot;:&quot;Green Energy and Technology&quot;,&quot;accessed&quot;:{&quot;date-parts&quot;:[[2023,3,13]]},&quot;DOI&quot;:&quot;10.1007/978-3-031-08732-5_1/FIGURES/11&quot;,&quot;ISSN&quot;:&quot;18653537&quot;,&quot;URL&quot;:&quot;https://link.springer.com/chapter/10.1007/978-3-031-08732-5_1&quot;,&quot;issued&quot;:{&quot;date-parts&quot;:[[2022]]},&quot;page&quot;:&quot;1-18&quot;,&quot;abstract&quot;:&quot;Heating, ventilating, and air-conditioning (HVAC) systems account for almost half of the total energy consumption in buildings. While many studies have evaluated active thermal energy storage (TES) systems integrated into the building HVAC system, some other studies have focused on passive TES systems that may be incorporated in different parts of a building and use no mechanical force to charge/discharge. Passive TES systems could improve building energy efficiency by reducing the energy consumption in the building. There are two primary classifications of passive systems in buildings known as sensible heat and latent heat storage systems. While sensible heat storage can be used in traditional solid building materials like concrete, earth, brick, and stone, researchers have found a greater potential of energy use reduction in the case of latent heat storage via integrating phase change material (PCM) in the building structure. PCM can passively be incorporated in building envelope inside building materials using incorporation or encapsulation techniques or as a new layer in the construction procedure. This chapter presents a comprehensive review of the literature about both sensible and latent heat storage systems which are implemented in building components, focusing mainly on the performance of various techniques. The advantages and disadvantages of the different research approaches have been also highlighted.&quot;,&quot;publisher&quot;:&quot;Springer Science and Business Media Deutschland GmbH&quot;,&quot;container-title-short&quot;:&quot;&quot;},&quot;isTemporary&quot;:false}]},{&quot;citationID&quot;:&quot;MENDELEY_CITATION_b1bca68a-4b0b-47e0-9f3f-e78bd647b822&quot;,&quot;properties&quot;:{&quot;noteIndex&quot;:0},&quot;isEdited&quot;:false,&quot;manualOverride&quot;:{&quot;isManuallyOverridden&quot;:false,&quot;citeprocText&quot;:&quot;[23]&quot;,&quot;manualOverrideText&quot;:&quot;&quot;},&quot;citationTag&quot;:&quot;MENDELEY_CITATION_v3_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&quot;,&quot;citationItems&quot;:[{&quot;id&quot;:&quot;a99d46fa-950a-3fd3-904d-7caca65d5bdc&quot;,&quot;itemData&quot;:{&quot;type&quot;:&quot;article-magazine&quot;,&quot;id&quot;:&quot;a99d46fa-950a-3fd3-904d-7caca65d5bdc&quot;,&quot;title&quot;:&quot;The State of Art of Heat-Pump integrated Thermal Energy Storage for Demand Response&quot;,&quot;author&quot;:[{&quot;family&quot;:&quot;Sultan&quot;,&quot;given&quot;:&quot;Sara&quot;,&quot;parse-names&quot;:false,&quot;dropping-particle&quot;:&quot;&quot;,&quot;non-dropping-particle&quot;:&quot;&quot;},{&quot;family&quot;:&quot;Gluesenkamp&quot;,&quot;given&quot;:&quot;Kyle R&quot;,&quot;parse-names&quot;:false,&quot;dropping-particle&quot;:&quot;&quot;,&quot;non-dropping-particle&quot;:&quot;&quot;},{&quot;family&quot;:&quot;States&quot;,&quot;given&quot;:&quot;United&quot;,&quot;parse-names&quot;:false,&quot;dropping-particle&quot;:&quot;&quot;,&quot;non-dropping-particle&quot;:&quot;&quot;}],&quot;container-title&quot;:&quot;IEA Heat Pump Technologies Magazine&quot;,&quot;DOI&quot;:&quot;https://doi.org/10.23697/62tr-nt79&quot;,&quot;URL&quot;:&quot;https://heatpumpingtechnologies.org/publications/the-state-of-art-of-heat-pump-integrated-thermal-energy-storage-for-demand-response/&quot;,&quot;issued&quot;:{&quot;date-parts&quot;:[[2021]]},&quot;page&quot;:&quot;27-30&quot;,&quot;issue&quot;:&quot;2&quot;,&quot;volume&quot;:&quot;40&quot;,&quot;container-title-short&quot;:&quot;&quot;},&quot;isTemporary&quot;:false}]},{&quot;citationID&quot;:&quot;MENDELEY_CITATION_34963f44-b11f-4e1c-a2ef-9cb618d714bd&quot;,&quot;properties&quot;:{&quot;noteIndex&quot;:0},&quot;isEdited&quot;:false,&quot;manualOverride&quot;:{&quot;isManuallyOverridden&quot;:true,&quot;citeprocText&quot;:&quot;[66], [70], [75], [79], [104], [105]&quot;,&quot;manualOverrideText&quot;:&quot;[17, 18, 19, 20, 21, 22]&quot;},&quot;citationTag&quot;:&quot;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&quot;,&quot;citationItems&quot;:[{&quot;id&quot;:&quot;2c458f91-a6a5-341f-9147-c1a7acca8563&quot;,&quot;itemData&quot;:{&quot;type&quot;:&quot;article-journal&quot;,&quot;id&quot;:&quot;2c458f91-a6a5-341f-9147-c1a7acca8563&quot;,&quot;title&quot;:&quot;Review on thermal performance of phase change energy storage building envelope&quot;,&quot;author&quot;:[{&quot;family&quot;:&quot;Wang&quot;,&quot;given&quot;:&quot;Xin&quot;,&quot;parse-names&quot;:false,&quot;dropping-particle&quot;:&quot;&quot;,&quot;non-dropping-particle&quot;:&quot;&quot;},{&quot;family&quot;:&quot;Zhang&quot;,&quot;given&quot;:&quot;Yinping&quot;,&quot;parse-names&quot;:false,&quot;dropping-particle&quot;:&quot;&quot;,&quot;non-dropping-particle&quot;:&quot;&quot;},{&quot;family&quot;:&quot;Xiao&quot;,&quot;given&quot;:&quot;Wei&quot;,&quot;parse-names&quot;:false,&quot;dropping-particle&quot;:&quot;&quot;,&quot;non-dropping-particle&quot;:&quot;&quot;},{&quot;family&quot;:&quot;Zeng&quot;,&quot;given&quot;:&quot;Ruolang&quot;,&quot;parse-names&quot;:false,&quot;dropping-particle&quot;:&quot;&quot;,&quot;non-dropping-particle&quot;:&quot;&quot;},{&quot;family&quot;:&quot;Zhang&quot;,&quot;given&quot;:&quot;Qunli&quot;,&quot;parse-names&quot;:false,&quot;dropping-particle&quot;:&quot;&quot;,&quot;non-dropping-particle&quot;:&quot;&quot;},{&quot;family&quot;:&quot;Di&quot;,&quot;given&quot;:&quot;Hongfa&quot;,&quot;parse-names&quot;:false,&quot;dropping-particle&quot;:&quot;&quot;,&quot;non-dropping-particle&quot;:&quot;&quot;}],&quot;container-title&quot;:&quot;Chinese Science Bulletin&quot;,&quot;accessed&quot;:{&quot;date-parts&quot;:[[2020,5,1]]},&quot;DOI&quot;:&quot;10.1007/s11434-009-0120-8&quot;,&quot;ISSN&quot;:&quot;10016538&quot;,&quot;issued&quot;:{&quot;date-parts&quot;:[[2009,3]]},&quot;page&quot;:&quot;920-928&quot;,&quot;abstract&quot;:&quot;Improving the thermal performance of building envelope is an important way to save building energy consumption. The phase change energy storage building envelope is helpful to effective use of renewable energy, reducing building operational energy consumption, increasing building thermal comfort, and reducing environment pollution and greenhouse gas emission. This paper presents the concept of ideal energy-saving building envelope, which is used to guide the building envelope material selection and thermal performance design. This paper reviews some available researches on phase change building material and phase change energy storage building envelope. At last, this paper presents some current problems needed further research. © 2009 Science in China Press and Springer-Verlag GmbH.&quot;,&quot;issue&quot;:&quot;6&quot;,&quot;volume&quot;:&quot;54&quot;,&quot;container-title-short&quot;:&quot;&quot;},&quot;isTemporary&quot;:false},{&quot;id&quot;:&quot;846eba1c-2c96-3283-bf1d-e0bd12eedf6d&quot;,&quot;itemData&quot;:{&quot;type&quot;:&quot;article-journal&quot;,&quot;id&quot;:&quot;846eba1c-2c96-3283-bf1d-e0bd12eedf6d&quot;,&quot;title&quot;:&quot;Review on phase change material based free cooling of buildings-The way toward sustainability&quot;,&quot;author&quot;:[{&quot;family&quot;:&quot;Thambidurai&quot;,&quot;given&quot;:&quot;Muthuvelan&quot;,&quot;parse-names&quot;:false,&quot;dropping-particle&quot;:&quot;&quot;,&quot;non-dropping-particle&quot;:&quot;&quot;},{&quot;family&quot;:&quot;Panchabikesan&quot;,&quot;given&quot;:&quot;Karthik&quot;,&quot;parse-names&quot;:false,&quot;dropping-particle&quot;:&quot;&quot;,&quot;non-dropping-particle&quot;:&quot;&quot;},{&quot;family&quot;:&quot;Krishna Mohan&quot;,&quot;given&quot;:&quot;N&quot;,&quot;parse-names&quot;:false,&quot;dropping-particle&quot;:&quot;&quot;,&quot;non-dropping-particle&quot;:&quot;&quot;},{&quot;family&quot;:&quot;Ramalingam&quot;,&quot;given&quot;:&quot;Velraj&quot;,&quot;parse-names&quot;:false,&quot;dropping-particle&quot;:&quot;&quot;,&quot;non-dropping-particle&quot;:&quot;&quot;}],&quot;container-title&quot;:&quot;Journal of Energy Storage&quot;,&quot;container-title-short&quot;:&quot;J Energy Storage&quot;,&quot;DOI&quot;:&quot;10.1016/j.est.2015.09.003&quot;,&quot;ISSN&quot;:&quot;2352152X&quot;,&quot;URL&quot;:&quot;http://dx.doi.org/10.1016/j.est.2015.09.003&quot;,&quot;issued&quot;:{&quot;date-parts&quot;:[[2015]]},&quot;page&quot;:&quot;74-88&quot;,&quot;abstract&quot;:&quot;The present world energy scenario signifies the importance of renewable energy utilization and paves the pathway towards green and net zero energy building concepts for a sustainable future. In the recent years, substantial energy is spent in building space heating/cooling applications to meet the human comfort requirements. In order to reduce the unnecessary losses associated with the buildings, several advancements toward energy efficient concepts are also being proposed and implemented in many buildings. Free cooling is one such novel concept through which building cooling demands can be met without compromising the indoor air quality. Free cooling concept stores the abundant atmospheric night cool energy in phase change materials (PCM) and uses the stored energy during the day hours to achieve the desired room comfort conditions. This review article aims to update and consolidate the substantial work carried out in the recent years by various researchers on free cooling technology using PCMs in latent heat thermal energy storage (LHTES) systems. In addition, future potential of free cooling technologies, scope for further improvement, policies that needs be promoted by the government toward its sustainability to ensure market penetration of free cooling technologies are also discussed in detail.&quot;,&quot;publisher&quot;:&quot;Elsevier Ltd&quot;,&quot;volume&quot;:&quot;4&quot;},&quot;isTemporary&quot;:false},{&quot;id&quot;:&quot;2737e47f-948b-35d1-b8ed-d2bc520e4bb8&quot;,&quot;itemData&quot;:{&quot;type&quot;:&quot;article-journal&quot;,&quot;id&quot;:&quot;2737e47f-948b-35d1-b8ed-d2bc520e4bb8&quot;,&quot;title&quot;:&quot;A review on phase change material (PCM) for sustainable passive cooling in building envelopes&quot;,&quot;author&quot;:[{&quot;family&quot;:&quot;Akeiber&quot;,&quot;given&quot;:&quot;Hussein&quot;,&quot;parse-names&quot;:false,&quot;dropping-particle&quot;:&quot;&quot;,&quot;non-dropping-particle&quot;:&quot;&quot;},{&quot;family&quot;:&quot;Nejat&quot;,&quot;given&quot;:&quot;Payam&quot;,&quot;parse-names&quot;:false,&quot;dropping-particle&quot;:&quot;&quot;,&quot;non-dropping-particle&quot;:&quot;&quot;},{&quot;family&quot;:&quot;Majid&quot;,&quot;given&quot;:&quot;Muhd Zaimi Abd&quot;,&quot;parse-names&quot;:false,&quot;dropping-particle&quot;:&quot;&quot;,&quot;non-dropping-particle&quot;:&quot;&quot;},{&quot;family&quot;:&quot;Wahid&quot;,&quot;given&quot;:&quot;Mazlan A.&quot;,&quot;parse-names&quot;:false,&quot;dropping-particle&quot;:&quot;&quot;,&quot;non-dropping-particle&quot;:&quot;&quot;},{&quot;family&quot;:&quot;Jomehzadeh&quot;,&quot;given&quot;:&quot;Fatemeh&quot;,&quot;parse-names&quot;:false,&quot;dropping-particle&quot;:&quot;&quot;,&quot;non-dropping-particle&quot;:&quot;&quot;},{&quot;family&quot;:&quot;Zeynali Famileh&quot;,&quot;given&quot;:&quot;Iman&quot;,&quot;parse-names&quot;:false,&quot;dropping-particle&quot;:&quot;&quot;,&quot;non-dropping-particle&quot;:&quot;&quot;},{&quot;family&quot;:&quot;Calautit&quot;,&quot;given&quot;:&quot;John Kaiser&quot;,&quot;parse-names&quot;:false,&quot;dropping-particle&quot;:&quot;&quot;,&quot;non-dropping-particle&quot;:&quot;&quot;},{&quot;family&quot;:&quot;Hughes&quot;,&quot;given&quot;:&quot;Ben Richard&quot;,&quot;parse-names&quot;:false,&quot;dropping-particle&quot;:&quot;&quot;,&quot;non-dropping-particle&quot;:&quot;&quot;},{&quot;family&quot;:&quot;Zaki&quot;,&quot;given&quot;:&quot;Sheikh Ahmad&quot;,&quot;parse-names&quot;:false,&quot;dropping-particle&quot;:&quot;&quot;,&quot;non-dropping-particle&quot;:&quot;&quot;}],&quot;container-title&quot;:&quot;Renewable and Sustainable Energy Reviews&quot;,&quot;DOI&quot;:&quot;10.1016/j.rser.2016.03.036&quot;,&quot;ISSN&quot;:&quot;18790690&quot;,&quot;URL&quot;:&quot;http://dx.doi.org/10.1016/j.rser.2016.03.036&quot;,&quot;issued&quot;:{&quot;date-parts&quot;:[[2016]]},&quot;page&quot;:&quot;1470-1497&quot;,&quot;abstract&quot;:&quot;The most significant threat that mankind faces in the 21th century is global warming. Buildings, which account for 40% of global energy consumption and greenhouse gas emissions, play a pivotal role in global warming. Estimates show that their destructive impact will grow by 1.8% per year through 2050, which indicates that future consumption and emissions will be worse than today. Therefore, the impact of cooling systems cannot be ignored, as they, along with ventilation and heating systems, account for 60% of the energy consumed in buildings. Passive cooling techniques are a promising alternative to conventional cooling systems. Of the various passive cooling strategies, thermal energy storage by means of latent heat is an efficient way to increase the thermal inertia of building envelopes, which would reduce temperature fluctuations, leading to the improved thermal comfort of occupants. Phase change materials (PCMs) with high density for thermal energy storage can be efficiently employed to this purpose. This paper reviews recent studies of the application of PCMs for passive cooling in buildings. From the literature, a comprehensive list of different organic, inorganic and eutectic PCMs appropriate for passive cooling in buildings are reviewed. Full-scale testing and numerical modeling were found to be the most popular investigative methods used for experimental and theoretical analysis of PCMs. The combination of these two methods can provide a detailed and valid technique for PCM investigations. Finally, incorporating PCMs into building walls with macro encapsulation was also a dominant interest in previous studies.&quot;,&quot;publisher&quot;:&quot;Elsevier&quot;,&quot;volume&quot;:&quot;60&quot;,&quot;container-title-short&quot;:&quot;&quot;},&quot;isTemporary&quot;:false},{&quot;id&quot;:&quot;c347a1b6-c90b-36de-9d48-b7bbaf20584a&quot;,&quot;itemData&quot;:{&quot;type&quot;:&quot;article-journal&quot;,&quot;id&quot;:&quot;c347a1b6-c90b-36de-9d48-b7bbaf20584a&quot;,&quot;title&quot;:&quot;Phase change materials (PCM) for cooling applications in buildings: A review&quot;,&quot;author&quot;:[{&quot;family&quot;:&quot;Souayfane&quot;,&quot;given&quot;:&quot;Farah&quot;,&quot;parse-names&quot;:false,&quot;dropping-particle&quot;:&quot;&quot;,&quot;non-dropping-particle&quot;:&quot;&quot;},{&quot;family&quot;:&quot;Fardoun&quot;,&quot;given&quot;:&quot;Farouk&quot;,&quot;parse-names&quot;:false,&quot;dropping-particle&quot;:&quot;&quot;,&quot;non-dropping-particle&quot;:&quot;&quot;},{&quot;family&quot;:&quot;Biwole&quot;,&quot;given&quot;:&quot;Pascal Henry&quot;,&quot;parse-names&quot;:false,&quot;dropping-particle&quot;:&quot;&quot;,&quot;non-dropping-particle&quot;:&quot;&quot;}],&quot;container-title&quot;:&quot;Energy and Buildings&quot;,&quot;container-title-short&quot;:&quot;Energy Build&quot;,&quot;DOI&quot;:&quot;10.1016/j.enbuild.2016.04.006&quot;,&quot;ISSN&quot;:&quot;03787788&quot;,&quot;URL&quot;:&quot;http://dx.doi.org/10.1016/j.enbuild.2016.04.006&quot;,&quot;issued&quot;:{&quot;date-parts&quot;:[[2016]]},&quot;page&quot;:&quot;396-431&quot;,&quot;abstract&quot;:&quot;Cooling demand in the building sector is growing rapidly; thermal energy storage systems using phase change materials (PCM) can be a very useful way to improve the building thermal performance. The right use of PCM in the envelope can minimize peak cooling loads, allow the use of smaller HVAC technical equipment for cooling, and has the capability to keep the indoor temperature within the comfort range due to smaller indoor temperature fluctuations. This article presents an overview of different PCM applications in buildings for reducing cooling loads under different climate conditions, and the factors affecting the successful and the effective use of the PCM. Many drawbacks have been found in PCM applications, mainly the intense impact of summer weather conditions over the PCM performance, which prohibits its complete solidification during night, and thus, limiting its effectiveness during the day. Proposed solutions are reviewed in this article. Finally, a topology diagram is presented to summarize the steps leading to an effective use of PCM in building applications.&quot;,&quot;publisher&quot;:&quot;Elsevier B.V.&quot;,&quot;volume&quot;:&quot;129&quot;},&quot;isTemporary&quot;:false},{&quot;id&quot;:&quot;305ca745-8196-3bd8-b415-68afcf972ffd&quot;,&quot;itemData&quot;:{&quot;type&quot;:&quot;article-journal&quot;,&quot;id&quot;:&quot;305ca745-8196-3bd8-b415-68afcf972ffd&quot;,&quot;title&quot;:&quot;Phase change materials and thermal energy storage for buildings&quot;,&quot;author&quot;:[{&quot;family&quot;:&quot;Gracia&quot;,&quot;given&quot;:&quot;Alvaro&quot;,&quot;parse-names&quot;:false,&quot;dropping-particle&quot;:&quot;&quot;,&quot;non-dropping-particle&quot;:&quot;De&quot;},{&quot;family&quot;:&quot;Cabeza&quot;,&quot;given&quot;:&quot;Luisa F.&quot;,&quot;parse-names&quot;:false,&quot;dropping-particle&quot;:&quot;&quot;,&quot;non-dropping-particle&quot;:&quot;&quot;}],&quot;container-title&quot;:&quot;Energy and Buildings&quot;,&quot;container-title-short&quot;:&quot;Energy Build&quot;,&quot;DOI&quot;:&quot;10.1016/j.enbuild.2015.06.007&quot;,&quot;ISSN&quot;:&quot;03787788&quot;,&quot;URL&quot;:&quot;http://dx.doi.org/10.1016/j.enbuild.2015.06.007&quot;,&quot;issued&quot;:{&quot;date-parts&quot;:[[2015]]},&quot;page&quot;:&quot;414-419&quot;,&quot;abstract&quot;:&quot;It is well known that there is a need to develop technologies to achieve thermal comfort in buildings lowering the cooling and heating demand. Research has shown that thermal energy storage (TES) is a way to do so, but also other purposes can be pursued when using TES in buildings, such as peak shaving or increase of energy efficiency in HVAC systems. This paper reviews TES in buildings using sensible, latent heat and thermochemical energy storage. Sustainable heating and cooling with TES in buildings can be achieved through passive systems in building envelopes, Phase Change Materials (PCM) in active systems, sorption systems, and seasonal storage.&quot;,&quot;publisher&quot;:&quot;Elsevier B.V.&quot;,&quot;volume&quot;:&quot;103&quot;},&quot;isTemporary&quot;:false},{&quot;id&quot;:&quot;18162e8a-0cec-3b9c-9e5f-f8eafc2e25f1&quot;,&quot;itemData&quot;:{&quot;type&quot;:&quot;article-journal&quot;,&quot;id&quot;:&quot;18162e8a-0cec-3b9c-9e5f-f8eafc2e25f1&quot;,&quot;title&quot;:&quot;Application of latent heat thermal energy storage in buildings: State-of-the-art and outlook&quot;,&quot;author&quot;:[{&quot;family&quot;:&quot;Zhang&quot;,&quot;given&quot;:&quot;Yinping&quot;,&quot;parse-names&quot;:false,&quot;dropping-particle&quot;:&quot;&quot;,&quot;non-dropping-particle&quot;:&quot;&quot;},{&quot;family&quot;:&quot;Zhou&quot;,&quot;given&quot;:&quot;Guobing&quot;,&quot;parse-names&quot;:false,&quot;dropping-particle&quot;:&quot;&quot;,&quot;non-dropping-particle&quot;:&quot;&quot;},{&quot;family&quot;:&quot;Lin&quot;,&quot;given&quot;:&quot;Kunping&quot;,&quot;parse-names&quot;:false,&quot;dropping-particle&quot;:&quot;&quot;,&quot;non-dropping-particle&quot;:&quot;&quot;},{&quot;family&quot;:&quot;Zhang&quot;,&quot;given&quot;:&quot;Qunli&quot;,&quot;parse-names&quot;:false,&quot;dropping-particle&quot;:&quot;&quot;,&quot;non-dropping-particle&quot;:&quot;&quot;},{&quot;family&quot;:&quot;Di&quot;,&quot;given&quot;:&quot;Hongfa&quot;,&quot;parse-names&quot;:false,&quot;dropping-particle&quot;:&quot;&quot;,&quot;non-dropping-particle&quot;:&quot;&quot;}],&quot;container-title&quot;:&quot;Building and Environment&quot;,&quot;container-title-short&quot;:&quot;Build Environ&quot;,&quot;DOI&quot;:&quot;10.1016/j.buildenv.2006.07.023&quot;,&quot;ISSN&quot;:&quot;03601323&quot;,&quot;issued&quot;:{&quot;date-parts&quot;:[[2007]]},&quot;page&quot;:&quot;2197-2209&quot;,&quot;abstract&quot;:&quot;Latent heat thermal energy storage (LHTES) is becoming more and more attractive for space heating and cooling of buildings. The application of LHTES in buildings has the following advantages: (1) the ability to narrow the gap between the peak and off-peak loads of electricity demand; (2) the ability to save operative fees by shifting the electrical consumption from peak periods to off-peak periods since the cost of electricity at night is 1/3-1/5 of that during the day; (3) the ability to utilize solar energy continuously, storing solar energy during the day, and releasing it at night, particularly for space heating in winter by reducing diurnal temperature fluctuation thus improving the degree of thermal comfort; (4) the ability to store the natural cooling by ventilation at night in summer and to release it to decrease the room temperature during the day, thus reducing the cooling load of air conditioning. This paper investigates previous work on thermal energy storage by incorporating phase change materials (PCMs) in the building envelope. The basic principle, candidate PCMs and their thermophysical properties, incorporation methods, thermal analyses of the use of PCMs in walls, floor, ceiling and window etc. and heat transfer enhancement are discussed. We show that with suitable PCMs and a suitable incorporation method with building material, LHTES can be economically efficient for heating and cooling buildings. However, several problems need to be tackled before LHTES can reliably and practically be applied. We conclude with some suggestions for future work. ©2006 Elsevier Ltd. All rights reserved.&quot;,&quot;issue&quot;:&quot;6&quot;,&quot;volume&quot;:&quot;42&quot;},&quot;isTemporary&quot;:false}]},{&quot;citationID&quot;:&quot;MENDELEY_CITATION_90bddfd5-1105-4dae-b975-8ea5fb6b3f1a&quot;,&quot;properties&quot;:{&quot;noteIndex&quot;:0},&quot;isEdited&quot;:false,&quot;manualOverride&quot;:{&quot;isManuallyOverridden&quot;:true,&quot;citeprocText&quot;:&quot;[3], [42], [44], [141], [145], [154]&quot;,&quot;manualOverrideText&quot;:&quot;[23, 24, 25, 26, 27, 28]&quot;},&quot;citationTag&quot;:&quot;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&quot;,&quot;citationItems&quot;:[{&quot;id&quot;:&quot;d58303d9-4049-3b21-b4ce-c77cfc399f52&quot;,&quot;itemData&quot;:{&quot;type&quot;:&quot;paper-conference&quot;,&quot;id&quot;:&quot;d58303d9-4049-3b21-b4ce-c77cfc399f52&quot;,&quot;title&quot;:&quot;Novel PCM Integration with Electrical Heat Pump for Demand Response&quot;,&quot;author&quot;:[{&quot;family&quot;:&quot;Dong&quot;,&quot;given&quot;:&quot;Jin&quot;,&quot;parse-names&quot;:false,&quot;dropping-particle&quot;:&quot;&quot;,&quot;non-dropping-particle&quot;:&quot;&quot;},{&quot;family&quot;:&quot;Shen&quot;,&quot;given&quot;:&quot;Bo&quot;,&quot;parse-names&quot;:false,&quot;dropping-particle&quot;:&quot;&quot;,&quot;non-dropping-particle&quot;:&quot;&quot;},{&quot;family&quot;:&quot;Munk&quot;,&quot;given&quot;:&quot;Jeffrey&quot;,&quot;parse-names&quot;:false,&quot;dropping-particle&quot;:&quot;&quot;,&quot;non-dropping-particle&quot;:&quot;&quot;},{&quot;family&quot;:&quot;Gluesenkamp&quot;,&quot;given&quot;:&quot;Kyle R.&quot;,&quot;parse-names&quot;:false,&quot;dropping-particle&quot;:&quot;&quot;,&quot;non-dropping-particle&quot;:&quot;&quot;},{&quot;family&quot;:&quot;Laclair&quot;,&quot;given&quot;:&quot;Tim&quot;,&quot;parse-names&quot;:false,&quot;dropping-particle&quot;:&quot;&quot;,&quot;non-dropping-particle&quot;:&quot;&quot;},{&quot;family&quot;:&quot;Kuruganti&quot;,&quot;given&quot;:&quot;Teja&quot;,&quot;parse-names&quot;:false,&quot;dropping-particle&quot;:&quot;&quot;,&quot;non-dropping-particle&quot;:&quot;&quot;}],&quot;container-title&quot;:&quot;IEEE Power and Energy Society General Meeting&quot;,&quot;DOI&quot;:&quot;10.1109/PESGM40551.2019.8973936&quot;,&quot;ISBN&quot;:&quot;9781728119816&quot;,&quot;ISSN&quot;:&quot;19449933&quot;,&quot;issued&quot;:{&quot;date-parts&quot;:[[2019]]},&quot;abstract&quot;:&quot;In this paper, we examine the potential for using phase change material (PCM) as a thermal storage medium for improving the efficiency as well as enabling grid-responsive control of heat pump (HP) systems. Previous research in PCM integration in buildings has primarily been focused on integration with building envelopes. An objective of our research is to design a novel and practical PCM integration with existing HP systems. High-fidelity models for building, HP and PCM are developed to facilitate the model-based predictive control (MPC) design. To optimize the operation of HP and PCM, we introduce an optimization problem considering various constraints for both comfort and hardware constraints. We include experimental results in which a house fleet are optimized to minimize their power consumption or electricity cost. We numerically demonstrate the designs potential for reducing power consumption or electricity cost by 13% or 19%, respectively.&quot;,&quot;container-title-short&quot;:&quot;&quot;},&quot;isTemporary&quot;:false},{&quot;id&quot;:&quot;aad07b45-f5e8-3a1b-9f6e-4305e44d0e90&quot;,&quot;itemData&quot;:{&quot;type&quot;:&quot;paper-conference&quot;,&quot;id&quot;:&quot;aad07b45-f5e8-3a1b-9f6e-4305e44d0e90&quot;,&quot;title&quot;:&quot;Analysis of Residential Time-of-Use Utility Rate Structures and Economic Implications for Thermal Energy Storage&quot;,&quot;author&quot;:[{&quot;family&quot;:&quot;Sultan&quot;,&quot;given&quot;:&quot;S&quot;,&quot;parse-names&quot;:false,&quot;dropping-particle&quot;:&quot;&quot;,&quot;non-dropping-particle&quot;:&quot;&quot;},{&quot;family&quot;:&quot;Hirschey&quot;,&quot;given&quot;:&quot;J&quot;,&quot;parse-names&quot;:false,&quot;dropping-particle&quot;:&quot;&quot;,&quot;non-dropping-particle&quot;:&quot;&quot;},{&quot;family&quot;:&quot;Gluesenkamp&quot;,&quot;given&quot;:&quot;KR&quot;,&quot;parse-names&quot;:false,&quot;dropping-particle&quot;:&quot;&quot;,&quot;non-dropping-particle&quot;:&quot;&quot;},{&quot;family&quot;:&quot;Graham&quot;,&quot;given&quot;:&quot;S&quot;,&quot;parse-names&quot;:false,&quot;dropping-particle&quot;:&quot;&quot;,&quot;non-dropping-particle&quot;:&quot;&quot;}],&quot;accessed&quot;:{&quot;date-parts&quot;:[[2021,8,31]]},&quot;URL&quot;:&quot;https://docs.lib.purdue.edu/cgi/viewcontent.cgi?article=1369&amp;context=ihpbc&quot;,&quot;issued&quot;:{&quot;date-parts&quot;:[[2021]]},&quot;page&quot;:&quot;1-10&quot;,&quot;abstract&quot;:&quot;Thermal energy storage (TES) is an increasingly popular tool to level out the daily electrical demand and add stability to the electrical grid as more intermittent renewable energy sources are installed. TES systems can locally decouple high thermal loads from the operation of a heat pump or reduce the electrical energy demand of the heat pump by providing a more favorable temperature gradient. In addition, many policy makers and utility providers have introduced time-of-use (TOU) rate schedules for residential customers to better reflect the price of electricity generation and demand for specific times. TOU rate schedules price grid-provided electricity differently throughout the day depending on the region's climate, time of year, and electrical production portfolio. Large differences between on-peak and off-peak electrical prices may create an economic advantage for a residential customer to install a TES system. In this work, the economic and energy savings are calculated for a modeled 223 square foot residential building with water/ice-based TES using a TOU rate structure. The weather data is from Fresno County, CA, ASHRAE climate zone 3B, and a representative residential TOU utility rate structure from a utility provider in California was used. The simulation was carried out for cooling only during a week of extreme hot summer daytime temperature and the results showed that total energy consumption could be reduced by 14.5% with an 87.5% reduction in on-peak energy usage when the TES is installed. The cost of operating this system for space cooling was reduced by nearly 20% using the sample utility rate plan.&quot;,&quot;container-title-short&quot;:&quot;&quot;},&quot;isTemporary&quot;:false},{&quot;id&quot;:&quot;ac8b49eb-a59c-3fae-b662-de887265d037&quot;,&quot;itemData&quot;:{&quot;type&quot;:&quot;article-journal&quot;,&quot;id&quot;:&quot;ac8b49eb-a59c-3fae-b662-de887265d037&quot;,&quot;title&quot;:&quot;Energy reduction of building air-conditioner with phase change material in Thailand&quot;,&quot;author&quot;:[{&quot;family&quot;:&quot;Chaiyat&quot;,&quot;given&quot;:&quot;Nattaporn&quot;,&quot;parse-names&quot;:false,&quot;dropping-particle&quot;:&quot;&quot;,&quot;non-dropping-particle&quot;:&quot;&quot;},{&quot;family&quot;:&quot;Kiatsiriroat&quot;,&quot;given&quot;:&quot;Tanongkiat&quot;,&quot;parse-names&quot;:false,&quot;dropping-particle&quot;:&quot;&quot;,&quot;non-dropping-particle&quot;:&quot;&quot;}],&quot;container-title&quot;:&quot;Case Studies in Thermal Engineering&quot;,&quot;DOI&quot;:&quot;10.1016/j.csite.2014.09.006&quot;,&quot;ISSN&quot;:&quot;2214157X&quot;,&quot;URL&quot;:&quot;http://dx.doi.org/10.1016/j.csite.2014.09.006&quot;,&quot;issued&quot;:{&quot;date-parts&quot;:[[2014]]},&quot;page&quot;:&quot;175-186&quot;,&quot;abstract&quot;:&quot;In this study, a concept of using phase change material (PCM) for improving cooling efficiency of an air-conditioner had been presented under Thai climate. Paraffin waxes melting point at around 20°C was selected to evaluate the thermal performance by reducing the air temperature entering the evaporating coil. The model of PCM celluloid balls had been performed with the air-conditioner. Moreover, the mathematical model of the air-conditioner with the PCM storage was developed and verified with the testing results. From the study results, it could be seen that the simulated data agreed quite well with the experimental result at the discrepant around 2-4%. Finally, the model was used to analyze the economic result which was found that the electrical consumption of the modified air-conditioner could be decreased 3.09 kWh/d. The electrical power consumption of the modified unit was 36.27 kWh/d at the operating time 15 h/d compared with 39.36 kW h/d of the normal unit at the operating time 12 h/d. The saving cost of the PCM bed could be 9.10% or 170.03 USD and the payback period was 4.15 y.&quot;,&quot;publisher&quot;:&quot;Elsevier&quot;,&quot;volume&quot;:&quot;4&quot;,&quot;container-title-short&quot;:&quot;&quot;},&quot;isTemporary&quot;:false},{&quot;id&quot;:&quot;f5a3a029-6d67-3338-9450-9fabd028d938&quot;,&quot;itemData&quot;:{&quot;type&quot;:&quot;article-journal&quot;,&quot;id&quot;:&quot;f5a3a029-6d67-3338-9450-9fabd028d938&quot;,&quot;title&quot;:&quot;Numerical and experimental study on heat pump water heater with PCM for thermal storage&quot;,&quot;author&quot;:[{&quot;family&quot;:&quot;Long&quot;,&quot;given&quot;:&quot;Jian You&quot;,&quot;parse-names&quot;:false,&quot;dropping-particle&quot;:&quot;&quot;,&quot;non-dropping-particle&quot;:&quot;&quot;},{&quot;family&quot;:&quot;Zhu&quot;,&quot;given&quot;:&quot;Dong Sheng&quot;,&quot;parse-names&quot;:false,&quot;dropping-particle&quot;:&quot;&quot;,&quot;non-dropping-particle&quot;:&quot;&quot;}],&quot;container-title&quot;:&quot;Energy and Buildings&quot;,&quot;container-title-short&quot;:&quot;Energy Build&quot;,&quot;accessed&quot;:{&quot;date-parts&quot;:[[2020,5,2]]},&quot;DOI&quot;:&quot;10.1016/j.enbuild.2007.05.001&quot;,&quot;ISSN&quot;:&quot;03787788&quot;,&quot;issued&quot;:{&quot;date-parts&quot;:[[2008,1,1]]},&quot;page&quot;:&quot;666-672&quot;,&quot;abstract&quot;:&quot;An air source heat pump water heater with phase change material (PCM) for thermal storage was designed to take advantage of off-peak electrical energy. The heat transfer model of PCM was based upon a pure conduction formulation. Quasi-steady state method was used to calculate the temperature distribution and phase front location of PCM during thermal storage process. Temperature and thermal resistance iteration approach has been developed for the analysis of temperature variation of heat transfer fluid (HTF) and phase front location of PCM during thermal release process. To test the physical validity of the calculational results, experimental studies about storing heat and releasing heat of PCM were carried. Comparison between the calculational results and the experimental data shows good agreement. Graphical results including system pressure and input power of heat pump, time-wise variation of stored and released thermal energy of PCM were presented and discussed. © 2007 Elsevier B.V. All rights reserved.&quot;,&quot;publisher&quot;:&quot;Elsevier&quot;,&quot;issue&quot;:&quot;4&quot;,&quot;volume&quot;:&quot;40&quot;},&quot;isTemporary&quot;:false},{&quot;id&quot;:&quot;f72bfbe2-1e11-3f49-a826-233eafec5191&quot;,&quot;itemData&quot;:{&quot;type&quot;:&quot;article-journal&quot;,&quot;id&quot;:&quot;f72bfbe2-1e11-3f49-a826-233eafec5191&quot;,&quot;title&quot;:&quot;Exergoeconomic and environmental analyses of an air conditioning system using thermal energy storage&quot;,&quot;author&quot;:[{&quot;family&quot;:&quot;Mosaffa&quot;,&quot;given&quot;:&quot;A. H.&quot;,&quot;parse-names&quot;:false,&quot;dropping-particle&quot;:&quot;&quot;,&quot;non-dropping-particle&quot;:&quot;&quot;},{&quot;family&quot;:&quot;Garousi Farshi&quot;,&quot;given&quot;:&quot;L.&quot;,&quot;parse-names&quot;:false,&quot;dropping-particle&quot;:&quot;&quot;,&quot;non-dropping-particle&quot;:&quot;&quot;}],&quot;container-title&quot;:&quot;Applied Energy&quot;,&quot;container-title-short&quot;:&quot;Appl Energy&quot;,&quot;DOI&quot;:&quot;10.1016/j.apenergy.2015.10.122&quot;,&quot;ISSN&quot;:&quot;03062619&quot;,&quot;URL&quot;:&quot;http://dx.doi.org/10.1016/j.apenergy.2015.10.122&quot;,&quot;issued&quot;:{&quot;date-parts&quot;:[[2016]]},&quot;page&quot;:&quot;515-526&quot;,&quot;abstract&quot;:&quot;In this work, a combination of a latent heat thermal storage unit and a refrigeration system is presented as an air conditioning system. Overall system, including charging and discharging processes is analyzed for different phase change materials (PCMs) from exergoeconomic and environmental points of view. Based on comfort condition, three cases are selected with different size of PCM slabs and different PCMs: RT27, S27 and SP25. When the charging process takes place during the whole of off-peak hours the following results are obtained: (1) the system using SP25 has the highest value of the coefficient of performance; (2) the system using RT27 has the highest value of exergy efficiency and (3) the system using S27 has the lowest value of total cost rate. Finally, in order to obtain the best balance between the exergy destruction cost rate and the capital cost rate, the exergoeconomic factor is defined for each component, for different cases when system operates in the best performance conditions.&quot;,&quot;publisher&quot;:&quot;Elsevier Ltd&quot;,&quot;volume&quot;:&quot;162&quot;},&quot;isTemporary&quot;:false},{&quot;id&quot;:&quot;f8f7c02b-3562-32d0-9556-6d1d09dc0da1&quot;,&quot;itemData&quot;:{&quot;type&quot;:&quot;article-journal&quot;,&quot;id&quot;:&quot;f8f7c02b-3562-32d0-9556-6d1d09dc0da1&quot;,&quot;title&quot;:&quot;Minimising energy usage for domestic cooling with off-peak PCM storage&quot;,&quot;author&quot;:[{&quot;family&quot;:&quot;Bruno&quot;,&quot;given&quot;:&quot;F.&quot;,&quot;parse-names&quot;:false,&quot;dropping-particle&quot;:&quot;&quot;,&quot;non-dropping-particle&quot;:&quot;&quot;},{&quot;family&quot;:&quot;Tay&quot;,&quot;given&quot;:&quot;N. H S&quot;,&quot;parse-names&quot;:false,&quot;dropping-particle&quot;:&quot;&quot;,&quot;non-dropping-particle&quot;:&quot;&quot;},{&quot;family&quot;:&quot;Belusko&quot;,&quot;given&quot;:&quot;M.&quot;,&quot;parse-names&quot;:false,&quot;dropping-particle&quot;:&quot;&quot;,&quot;non-dropping-particle&quot;:&quot;&quot;}],&quot;container-title&quot;:&quot;Energy and Buildings&quot;,&quot;container-title-short&quot;:&quot;Energy Build&quot;,&quot;accessed&quot;:{&quot;date-parts&quot;:[[2019,7,19]]},&quot;DOI&quot;:&quot;10.1016/j.enbuild.2014.02.069&quot;,&quot;ISSN&quot;:&quot;03787788&quot;,&quot;URL&quot;:&quot;https://www-sciencedirect-com.proxy.lib.utk.edu/science/article/pii/S0378778814002059&quot;,&quot;issued&quot;:{&quot;date-parts&quot;:[[2014,6,1]]},&quot;page&quot;:&quot;347-353&quot;,&quot;abstract&quot;:&quot;Achieving energy savings with domestic off peak air conditioning using phase change materials (PCMs) has always proved a challenge. Although the energy efficiency ratio of an air conditioner is higher during the night, this improvement often does not offset the exergy loss experienced when using thermal storage. Simulations have been conducted using the effectiveness-number of transfer units (-NTU) representation of a PCM system to determine the instantaneous heat transfer when coupled to an inverter chiller cooling system. Results show that although 85% of the energy consumption for cooling could be shifted to the off-peak period with an ice based system, the energy demand increased by 7.6%. The investigation demonstrated that by using a PCM with a melting point of 4 °C, it is possible to achieve an energy saving for cooling. A savings of around 13.5% can be achieved using a PCM with a melting point of 10 °C. Energy usage was increased with a more efficient PCM storage system. This unexpected result was due to which period the storage system was charged. A more efficient storage system charged quicker during the warmer part of the evening. Therefore energy minimisation requires optimal charging during the coldest part of the night. © 2014 Elsevier B.V.&quot;,&quot;publisher&quot;:&quot;Elsevier&quot;,&quot;volume&quot;:&quot;76&quot;},&quot;isTemporary&quot;:false}]},{&quot;citationID&quot;:&quot;MENDELEY_CITATION_45aa4719-4fb3-4dd5-b32c-36b7e4894dcc&quot;,&quot;properties&quot;:{&quot;noteIndex&quot;:0},&quot;isEdited&quot;:false,&quot;manualOverride&quot;:{&quot;isManuallyOverridden&quot;:false,&quot;citeprocText&quot;:&quot;[23]&quot;,&quot;manualOverrideText&quot;:&quot;&quot;},&quot;citationTag&quot;:&quot;MENDELEY_CITATION_v3_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&quot;,&quot;citationItems&quot;:[{&quot;id&quot;:&quot;a99d46fa-950a-3fd3-904d-7caca65d5bdc&quot;,&quot;itemData&quot;:{&quot;type&quot;:&quot;article-magazine&quot;,&quot;id&quot;:&quot;a99d46fa-950a-3fd3-904d-7caca65d5bdc&quot;,&quot;title&quot;:&quot;The State of Art of Heat-Pump integrated Thermal Energy Storage for Demand Response&quot;,&quot;author&quot;:[{&quot;family&quot;:&quot;Sultan&quot;,&quot;given&quot;:&quot;Sara&quot;,&quot;parse-names&quot;:false,&quot;dropping-particle&quot;:&quot;&quot;,&quot;non-dropping-particle&quot;:&quot;&quot;},{&quot;family&quot;:&quot;Gluesenkamp&quot;,&quot;given&quot;:&quot;Kyle R&quot;,&quot;parse-names&quot;:false,&quot;dropping-particle&quot;:&quot;&quot;,&quot;non-dropping-particle&quot;:&quot;&quot;},{&quot;family&quot;:&quot;States&quot;,&quot;given&quot;:&quot;United&quot;,&quot;parse-names&quot;:false,&quot;dropping-particle&quot;:&quot;&quot;,&quot;non-dropping-particle&quot;:&quot;&quot;}],&quot;container-title&quot;:&quot;IEA Heat Pump Technologies Magazine&quot;,&quot;DOI&quot;:&quot;https://doi.org/10.23697/62tr-nt79&quot;,&quot;URL&quot;:&quot;https://heatpumpingtechnologies.org/publications/the-state-of-art-of-heat-pump-integrated-thermal-energy-storage-for-demand-response/&quot;,&quot;issued&quot;:{&quot;date-parts&quot;:[[2021]]},&quot;page&quot;:&quot;27-30&quot;,&quot;issue&quot;:&quot;2&quot;,&quot;volume&quot;:&quot;40&quot;,&quot;container-title-short&quot;:&quot;&quot;},&quot;isTemporary&quot;:false}]},{&quot;citationID&quot;:&quot;MENDELEY_CITATION_0d8c2d77-1b2a-4f31-9e75-9a70f6fff93c&quot;,&quot;properties&quot;:{&quot;noteIndex&quot;:0},&quot;isEdited&quot;:false,&quot;manualOverride&quot;:{&quot;isManuallyOverridden&quot;:false,&quot;citeprocText&quot;:&quot;[23]&quot;,&quot;manualOverrideText&quot;:&quot;&quot;},&quot;citationTag&quot;:&quot;MENDELEY_CITATION_v3_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&quot;,&quot;citationItems&quot;:[{&quot;id&quot;:&quot;a99d46fa-950a-3fd3-904d-7caca65d5bdc&quot;,&quot;itemData&quot;:{&quot;type&quot;:&quot;article-magazine&quot;,&quot;id&quot;:&quot;a99d46fa-950a-3fd3-904d-7caca65d5bdc&quot;,&quot;title&quot;:&quot;The State of Art of Heat-Pump integrated Thermal Energy Storage for Demand Response&quot;,&quot;author&quot;:[{&quot;family&quot;:&quot;Sultan&quot;,&quot;given&quot;:&quot;Sara&quot;,&quot;parse-names&quot;:false,&quot;dropping-particle&quot;:&quot;&quot;,&quot;non-dropping-particle&quot;:&quot;&quot;},{&quot;family&quot;:&quot;Gluesenkamp&quot;,&quot;given&quot;:&quot;Kyle R&quot;,&quot;parse-names&quot;:false,&quot;dropping-particle&quot;:&quot;&quot;,&quot;non-dropping-particle&quot;:&quot;&quot;},{&quot;family&quot;:&quot;States&quot;,&quot;given&quot;:&quot;United&quot;,&quot;parse-names&quot;:false,&quot;dropping-particle&quot;:&quot;&quot;,&quot;non-dropping-particle&quot;:&quot;&quot;}],&quot;container-title&quot;:&quot;IEA Heat Pump Technologies Magazine&quot;,&quot;DOI&quot;:&quot;https://doi.org/10.23697/62tr-nt79&quot;,&quot;URL&quot;:&quot;https://heatpumpingtechnologies.org/publications/the-state-of-art-of-heat-pump-integrated-thermal-energy-storage-for-demand-response/&quot;,&quot;issued&quot;:{&quot;date-parts&quot;:[[2021]]},&quot;page&quot;:&quot;27-30&quot;,&quot;issue&quot;:&quot;2&quot;,&quot;volume&quot;:&quot;40&quot;,&quot;container-title-short&quot;:&quot;&quot;},&quot;isTemporary&quot;:false}]},{&quot;citationID&quot;:&quot;MENDELEY_CITATION_1b07fef0-7cff-4eaa-af39-aa61ef82a27d&quot;,&quot;properties&quot;:{&quot;noteIndex&quot;:0},&quot;isEdited&quot;:false,&quot;manualOverride&quot;:{&quot;isManuallyOverridden&quot;:false,&quot;citeprocText&quot;:&quot;[3]&quot;,&quot;manualOverrideText&quot;:&quot;&quot;},&quot;citationTag&quot;:&quot;MENDELEY_CITATION_v3_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&quot;,&quot;citationItems&quot;:[{&quot;id&quot;:&quot;d58303d9-4049-3b21-b4ce-c77cfc399f52&quot;,&quot;itemData&quot;:{&quot;type&quot;:&quot;paper-conference&quot;,&quot;id&quot;:&quot;d58303d9-4049-3b21-b4ce-c77cfc399f52&quot;,&quot;title&quot;:&quot;Novel PCM Integration with Electrical Heat Pump for Demand Response&quot;,&quot;author&quot;:[{&quot;family&quot;:&quot;Dong&quot;,&quot;given&quot;:&quot;Jin&quot;,&quot;parse-names&quot;:false,&quot;dropping-particle&quot;:&quot;&quot;,&quot;non-dropping-particle&quot;:&quot;&quot;},{&quot;family&quot;:&quot;Shen&quot;,&quot;given&quot;:&quot;Bo&quot;,&quot;parse-names&quot;:false,&quot;dropping-particle&quot;:&quot;&quot;,&quot;non-dropping-particle&quot;:&quot;&quot;},{&quot;family&quot;:&quot;Munk&quot;,&quot;given&quot;:&quot;Jeffrey&quot;,&quot;parse-names&quot;:false,&quot;dropping-particle&quot;:&quot;&quot;,&quot;non-dropping-particle&quot;:&quot;&quot;},{&quot;family&quot;:&quot;Gluesenkamp&quot;,&quot;given&quot;:&quot;Kyle R.&quot;,&quot;parse-names&quot;:false,&quot;dropping-particle&quot;:&quot;&quot;,&quot;non-dropping-particle&quot;:&quot;&quot;},{&quot;family&quot;:&quot;Laclair&quot;,&quot;given&quot;:&quot;Tim&quot;,&quot;parse-names&quot;:false,&quot;dropping-particle&quot;:&quot;&quot;,&quot;non-dropping-particle&quot;:&quot;&quot;},{&quot;family&quot;:&quot;Kuruganti&quot;,&quot;given&quot;:&quot;Teja&quot;,&quot;parse-names&quot;:false,&quot;dropping-particle&quot;:&quot;&quot;,&quot;non-dropping-particle&quot;:&quot;&quot;}],&quot;container-title&quot;:&quot;IEEE Power and Energy Society General Meeting&quot;,&quot;DOI&quot;:&quot;10.1109/PESGM40551.2019.8973936&quot;,&quot;ISBN&quot;:&quot;9781728119816&quot;,&quot;ISSN&quot;:&quot;19449933&quot;,&quot;issued&quot;:{&quot;date-parts&quot;:[[2019]]},&quot;abstract&quot;:&quot;In this paper, we examine the potential for using phase change material (PCM) as a thermal storage medium for improving the efficiency as well as enabling grid-responsive control of heat pump (HP) systems. Previous research in PCM integration in buildings has primarily been focused on integration with building envelopes. An objective of our research is to design a novel and practical PCM integration with existing HP systems. High-fidelity models for building, HP and PCM are developed to facilitate the model-based predictive control (MPC) design. To optimize the operation of HP and PCM, we introduce an optimization problem considering various constraints for both comfort and hardware constraints. We include experimental results in which a house fleet are optimized to minimize their power consumption or electricity cost. We numerically demonstrate the designs potential for reducing power consumption or electricity cost by 13% or 19%, respectively.&quot;,&quot;container-title-short&quot;:&quot;&quot;},&quot;isTemporary&quot;:false}]},{&quot;citationID&quot;:&quot;MENDELEY_CITATION_3b647ba0-96f0-4d03-abe2-9ba0f26d5a88&quot;,&quot;properties&quot;:{&quot;noteIndex&quot;:0},&quot;isEdited&quot;:false,&quot;manualOverride&quot;:{&quot;isManuallyOverridden&quot;:false,&quot;citeprocText&quot;:&quot;[192]&quot;,&quot;manualOverrideText&quot;:&quot;&quot;},&quot;citationTag&quot;:&quot;MENDELEY_CITATION_v3_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&quot;,&quot;citationItems&quot;:[{&quot;id&quot;:&quot;fdab8d15-1896-3e9f-96fd-9abc2454f091&quot;,&quot;itemData&quot;:{&quot;type&quot;:&quot;article-journal&quot;,&quot;id&quot;:&quot;fdab8d15-1896-3e9f-96fd-9abc2454f091&quot;,&quot;title&quot;:&quot;Phase change material (Pcm)-based solar air heating system for residential space heating in winter&quot;,&quot;author&quot;:[{&quot;family&quot;:&quot;Waqas&quot;,&quot;given&quot;:&quot;Adeel&quot;,&quot;parse-names&quot;:false,&quot;dropping-particle&quot;:&quot;&quot;,&quot;non-dropping-particle&quot;:&quot;&quot;},{&quot;family&quot;:&quot;Kumar&quot;,&quot;given&quot;:&quot;S.&quot;,&quot;parse-names&quot;:false,&quot;dropping-particle&quot;:&quot;&quot;,&quot;non-dropping-particle&quot;:&quot;&quot;}],&quot;container-title&quot;:&quot;International Journal of Green Energy&quot;,&quot;container-title-short&quot;:&quot;Int J Green Energy&quot;,&quot;DOI&quot;:&quot;10.1080/15435075.2012.673518&quot;,&quot;ISSN&quot;:&quot;15435075&quot;,&quot;issued&quot;:{&quot;date-parts&quot;:[[2013]]},&quot;page&quot;:&quot;402-426&quot;,&quot;abstract&quot;:&quot;This study presents the analysis of phase change material (PCM)-based solar air heating system to achieve comfort conditions in a living space during winter season. The technical feasibility of PCM-based solar air heating system has been demonstrated, thus reducing the risks due to indoor air pollution caused by the use of fossil fuel or biomass combustion devices. The most sensitive parameters affecting the performance of storage unit are the melting point of storage material, mass of PCM, and airflow rate. The simulation results considering various flow rates and melting temperature of PCM indicate that, when melting temperature of PCM is equal to the comfort temperature of all the winter months, the storage unit performance is maximized for all the months during winter season. A new parameter, heating capacity of the PCM, has been introduced to illustrate the performance of the PCM storage. © 2013 Copyright Taylor  &amp;  Francis Group, LLC.&quot;,&quot;issue&quot;:&quot;4&quot;,&quot;volume&quot;:&quot;10&quot;},&quot;isTemporary&quot;:false}]},{&quot;citationID&quot;:&quot;MENDELEY_CITATION_f3fc9b4f-b8d0-415d-938c-c043654942fe&quot;,&quot;properties&quot;:{&quot;noteIndex&quot;:0},&quot;isEdited&quot;:false,&quot;manualOverride&quot;:{&quot;isManuallyOverridden&quot;:false,&quot;citeprocText&quot;:&quot;[192]&quot;,&quot;manualOverrideText&quot;:&quot;&quot;},&quot;citationTag&quot;:&quot;MENDELEY_CITATION_v3_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&quot;,&quot;citationItems&quot;:[{&quot;id&quot;:&quot;fdab8d15-1896-3e9f-96fd-9abc2454f091&quot;,&quot;itemData&quot;:{&quot;type&quot;:&quot;article-journal&quot;,&quot;id&quot;:&quot;fdab8d15-1896-3e9f-96fd-9abc2454f091&quot;,&quot;title&quot;:&quot;Phase change material (Pcm)-based solar air heating system for residential space heating in winter&quot;,&quot;author&quot;:[{&quot;family&quot;:&quot;Waqas&quot;,&quot;given&quot;:&quot;Adeel&quot;,&quot;parse-names&quot;:false,&quot;dropping-particle&quot;:&quot;&quot;,&quot;non-dropping-particle&quot;:&quot;&quot;},{&quot;family&quot;:&quot;Kumar&quot;,&quot;given&quot;:&quot;S.&quot;,&quot;parse-names&quot;:false,&quot;dropping-particle&quot;:&quot;&quot;,&quot;non-dropping-particle&quot;:&quot;&quot;}],&quot;container-title&quot;:&quot;International Journal of Green Energy&quot;,&quot;container-title-short&quot;:&quot;Int J Green Energy&quot;,&quot;DOI&quot;:&quot;10.1080/15435075.2012.673518&quot;,&quot;ISSN&quot;:&quot;15435075&quot;,&quot;issued&quot;:{&quot;date-parts&quot;:[[2013]]},&quot;page&quot;:&quot;402-426&quot;,&quot;abstract&quot;:&quot;This study presents the analysis of phase change material (PCM)-based solar air heating system to achieve comfort conditions in a living space during winter season. The technical feasibility of PCM-based solar air heating system has been demonstrated, thus reducing the risks due to indoor air pollution caused by the use of fossil fuel or biomass combustion devices. The most sensitive parameters affecting the performance of storage unit are the melting point of storage material, mass of PCM, and airflow rate. The simulation results considering various flow rates and melting temperature of PCM indicate that, when melting temperature of PCM is equal to the comfort temperature of all the winter months, the storage unit performance is maximized for all the months during winter season. A new parameter, heating capacity of the PCM, has been introduced to illustrate the performance of the PCM storage. © 2013 Copyright Taylor  &amp;  Francis Group, LLC.&quot;,&quot;issue&quot;:&quot;4&quot;,&quot;volume&quot;:&quot;10&quot;},&quot;isTemporary&quot;:false}]},{&quot;citationID&quot;:&quot;MENDELEY_CITATION_547dae25-680d-4c0b-bff7-e4e3eda61d05&quot;,&quot;properties&quot;:{&quot;noteIndex&quot;:0},&quot;isEdited&quot;:false,&quot;manualOverride&quot;:{&quot;isManuallyOverridden&quot;:false,&quot;citeprocText&quot;:&quot;[121]&quot;,&quot;manualOverrideText&quot;:&quot;&quot;},&quot;citationTag&quot;:&quot;MENDELEY_CITATION_v3_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&quot;,&quot;citationItems&quot;:[{&quot;id&quot;:&quot;8a4230c8-3490-3a19-a30b-007fa473089e&quot;,&quot;itemData&quot;:{&quot;type&quot;:&quot;article-journal&quot;,&quot;id&quot;:&quot;8a4230c8-3490-3a19-a30b-007fa473089e&quot;,&quot;title&quot;:&quot;Free cooling of a building using PCM heat storage integrated into the ventilation system&quot;,&quot;author&quot;:[{&quot;family&quot;:&quot;Arkar&quot;,&quot;given&quot;:&quot;C.&quot;,&quot;parse-names&quot;:false,&quot;dropping-particle&quot;:&quot;&quot;,&quot;non-dropping-particle&quot;:&quot;&quot;},{&quot;family&quot;:&quot;Medved&quot;,&quot;given&quot;:&quot;S.&quot;,&quot;parse-names&quot;:false,&quot;dropping-particle&quot;:&quot;&quot;,&quot;non-dropping-particle&quot;:&quot;&quot;}],&quot;container-title&quot;:&quot;Solar Energy&quot;,&quot;accessed&quot;:{&quot;date-parts&quot;:[[2020,5,1]]},&quot;DOI&quot;:&quot;10.1016/j.solener.2007.01.010&quot;,&quot;ISSN&quot;:&quot;0038092X&quot;,&quot;issued&quot;:{&quot;date-parts&quot;:[[2007,9]]},&quot;page&quot;:&quot;1078-1087&quot;,&quot;abstract&quot;:&quot;This article presents a study of the free cooling of a low-energy building using a latent-heat thermal energy storage (LHTES) device integrated into a mechanical ventilation system. The cylindrical LHTES device was filled with spheres of encapsulated RT20 paraffin, a phase-change material (PCM). A numerical model of the LHTES was developed to identify the parameters that have an influence on the LHTES's thermal response, to determine the optimum phase-change temperature and to form the LHTES's temperature-response function. The last of these defines the LHTES's outlet-air temperature for a periodic variation of the inlet ambient-air temperature and the defined operating conditions. The temperature-response function was then integrated into the TRNSYS building thermal response model. Numerical simulations showed that a PCM with a melting temperature between 20 and 22 °C is the most suitable for free cooling in the case of a continental climate. The analyses of the temperatures in a low-energy building showed that free cooling with an LHTES is an effective cooling technique. Suitable thermal comfort conditions in the presented case-study building could be achieved using an LHTES with 6.4 kg of PCM per square metre of floor area. © 2007 Elsevier Ltd. All rights reserved.&quot;,&quot;issue&quot;:&quot;9&quot;,&quot;volume&quot;:&quot;81&quot;,&quot;container-title-short&quot;:&quot;&quot;},&quot;isTemporary&quot;:false}]},{&quot;citationID&quot;:&quot;MENDELEY_CITATION_7f2247f6-6217-4ab5-9b25-cbb4d38ee9ae&quot;,&quot;properties&quot;:{&quot;noteIndex&quot;:0},&quot;isEdited&quot;:false,&quot;manualOverride&quot;:{&quot;isManuallyOverridden&quot;:false,&quot;citeprocText&quot;:&quot;[160]&quot;,&quot;manualOverrideText&quot;:&quot;&quot;},&quot;citationTag&quot;:&quot;MENDELEY_CITATION_v3_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&quot;,&quot;citationItems&quot;:[{&quot;id&quot;:&quot;190dbe38-1ec3-3999-bb17-9c17dc4498bf&quot;,&quot;itemData&quot;:{&quot;type&quot;:&quot;article-journal&quot;,&quot;id&quot;:&quot;190dbe38-1ec3-3999-bb17-9c17dc4498bf&quot;,&quot;title&quot;:&quot;Utilization of latent heat storage unit for comfort ventilation of buildings in hot and dry climates&quot;,&quot;author&quot;:[{&quot;family&quot;:&quot;Waqas&quot;,&quot;given&quot;:&quot;A.&quot;,&quot;parse-names&quot;:false,&quot;dropping-particle&quot;:&quot;&quot;,&quot;non-dropping-particle&quot;:&quot;&quot;},{&quot;family&quot;:&quot;Kumar&quot;,&quot;given&quot;:&quot;S.&quot;,&quot;parse-names&quot;:false,&quot;dropping-particle&quot;:&quot;&quot;,&quot;non-dropping-particle&quot;:&quot;&quot;}],&quot;container-title&quot;:&quot;International Journal of Green Energy&quot;,&quot;container-title-short&quot;:&quot;Int J Green Energy&quot;,&quot;DOI&quot;:&quot;10.1080/15435075.2010.529406&quot;,&quot;ISSN&quot;:&quot;15435075&quot;,&quot;issued&quot;:{&quot;date-parts&quot;:[[2011]]},&quot;page&quot;:&quot;1-24&quot;,&quot;abstract&quot;:&quot;In hot and dry climatic conditions of South Asia, summer night temperatures are low, and phase change material (PCM) based heat storage technique could be used as heat sink to reduce ambient air temperature during hot day times, as an alternate of current ventilation techniques for the building sector. This can help in reducing electricity consumption and consequently reducing green house gas emissions. This study presents the analysis of PCM storage unit using cooler night temperatures for charging of storage material and later acting as a heat sink for hot ambient air during day time in hot and dry climatic conditions. The influence of air flow rates and melting point of PCM on the availability of comfort temperatures at storage unit outlet has been studied. The results clearly indicate the feasibility of PCM storage unit as a heat sink to keep ambient air within comfort limits during the hot day time in summer season. When the PCM melting temperature is equal to the comfort temperature of the hottest summer month, the storage unit performance is maximized for all the months during the summer season. Copyright © Taylor  &amp;  Francis Group, LLC.&quot;,&quot;issue&quot;:&quot;1&quot;,&quot;volume&quot;:&quot;8&quot;},&quot;isTemporary&quot;:false}]},{&quot;citationID&quot;:&quot;MENDELEY_CITATION_70d94eb1-c395-4620-bbf6-a45b6f9330fd&quot;,&quot;properties&quot;:{&quot;noteIndex&quot;:0},&quot;isEdited&quot;:false,&quot;manualOverride&quot;:{&quot;isManuallyOverridden&quot;:false,&quot;citeprocText&quot;:&quot;[193]&quot;,&quot;manualOverrideText&quot;:&quot;&quot;},&quot;citationTag&quot;:&quot;MENDELEY_CITATION_v3_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&quot;,&quot;citationItems&quot;:[{&quot;id&quot;:&quot;d64e3c86-76b7-31a2-9ae3-40c57fa84f86&quot;,&quot;itemData&quot;:{&quot;type&quot;:&quot;article-journal&quot;,&quot;id&quot;:&quot;d64e3c86-76b7-31a2-9ae3-40c57fa84f86&quot;,&quot;title&quot;:&quot;Performance analysis of phase-change material storage unit for both heating and cooling of buildings&quot;,&quot;author&quot;:[{&quot;family&quot;:&quot;Waqas&quot;,&quot;given&quot;:&quot;Adeel&quot;,&quot;parse-names&quot;:false,&quot;dropping-particle&quot;:&quot;&quot;,&quot;non-dropping-particle&quot;:&quot;&quot;},{&quot;family&quot;:&quot;Ali&quot;,&quot;given&quot;:&quot;Majid&quot;,&quot;parse-names&quot;:false,&quot;dropping-particle&quot;:&quot;&quot;,&quot;non-dropping-particle&quot;:&quot;&quot;},{&quot;family&quot;:&quot;Ud Din&quot;,&quot;given&quot;:&quot;Zia&quot;,&quot;parse-names&quot;:false,&quot;dropping-particle&quot;:&quot;&quot;,&quot;non-dropping-particle&quot;:&quot;&quot;}],&quot;container-title&quot;:&quot;International Journal of Sustainable Energy&quot;,&quot;accessed&quot;:{&quot;date-parts&quot;:[[2019,6,11]]},&quot;DOI&quot;:&quot;10.1080/14786451.2015.1018832&quot;,&quot;ISSN&quot;:&quot;1478-6451&quot;,&quot;URL&quot;:&quot;https://www.tandfonline.com/doi/full/10.1080/14786451.2015.1018832&quot;,&quot;issued&quot;:{&quot;date-parts&quot;:[[2017,4,21]]},&quot;page&quot;:&quot;379-397&quot;,&quot;abstract&quot;:&quot;Utilisation of solar energy and the night ambient (cool) temperatures are the passive ways of heating and cooling of buildings. Intermittent and time-dependent nature of these sources makes thermal energy storage vital for efficient and continuous operation of these heating and cooling techniques. Latent heat thermal energy storage by phase-change materials (PCMs) is preferred over other storage techniques due to its high-energy storage density and isothermal storage process. The current study was aimed to evaluate the performance of the air-based PCM storage unit utilising solar energy and cool ambient night temperatures for comfort heating and cooling of a building in dry-cold and dry-hot climates. The performance of the studied PCM storage unit was maximised when the melting point of the PCM was ∼29°C in summer and 21°C during winter season. The appropriate melting point was ∼27.5°C for all-the-year-round performance. At lower melting points than 27.5°C, declination in the cooling capacity of the stora...&quot;,&quot;publisher&quot;:&quot;Taylor &amp; Francis&quot;,&quot;issue&quot;:&quot;4&quot;,&quot;volume&quot;:&quot;36&quot;,&quot;container-title-short&quot;:&quot;&quot;},&quot;isTemporary&quot;:false}]},{&quot;citationID&quot;:&quot;MENDELEY_CITATION_6eeb9e7b-20d0-47d3-9ecc-538650c8144b&quot;,&quot;properties&quot;:{&quot;noteIndex&quot;:0},&quot;isEdited&quot;:false,&quot;manualOverride&quot;:{&quot;isManuallyOverridden&quot;:false,&quot;citeprocText&quot;:&quot;[193]&quot;,&quot;manualOverrideText&quot;:&quot;&quot;},&quot;citationTag&quot;:&quot;MENDELEY_CITATION_v3_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&quot;,&quot;citationItems&quot;:[{&quot;id&quot;:&quot;d64e3c86-76b7-31a2-9ae3-40c57fa84f86&quot;,&quot;itemData&quot;:{&quot;type&quot;:&quot;article-journal&quot;,&quot;id&quot;:&quot;d64e3c86-76b7-31a2-9ae3-40c57fa84f86&quot;,&quot;title&quot;:&quot;Performance analysis of phase-change material storage unit for both heating and cooling of buildings&quot;,&quot;author&quot;:[{&quot;family&quot;:&quot;Waqas&quot;,&quot;given&quot;:&quot;Adeel&quot;,&quot;parse-names&quot;:false,&quot;dropping-particle&quot;:&quot;&quot;,&quot;non-dropping-particle&quot;:&quot;&quot;},{&quot;family&quot;:&quot;Ali&quot;,&quot;given&quot;:&quot;Majid&quot;,&quot;parse-names&quot;:false,&quot;dropping-particle&quot;:&quot;&quot;,&quot;non-dropping-particle&quot;:&quot;&quot;},{&quot;family&quot;:&quot;Ud Din&quot;,&quot;given&quot;:&quot;Zia&quot;,&quot;parse-names&quot;:false,&quot;dropping-particle&quot;:&quot;&quot;,&quot;non-dropping-particle&quot;:&quot;&quot;}],&quot;container-title&quot;:&quot;International Journal of Sustainable Energy&quot;,&quot;accessed&quot;:{&quot;date-parts&quot;:[[2019,6,11]]},&quot;DOI&quot;:&quot;10.1080/14786451.2015.1018832&quot;,&quot;ISSN&quot;:&quot;1478-6451&quot;,&quot;URL&quot;:&quot;https://www.tandfonline.com/doi/full/10.1080/14786451.2015.1018832&quot;,&quot;issued&quot;:{&quot;date-parts&quot;:[[2017,4,21]]},&quot;page&quot;:&quot;379-397&quot;,&quot;abstract&quot;:&quot;Utilisation of solar energy and the night ambient (cool) temperatures are the passive ways of heating and cooling of buildings. Intermittent and time-dependent nature of these sources makes thermal energy storage vital for efficient and continuous operation of these heating and cooling techniques. Latent heat thermal energy storage by phase-change materials (PCMs) is preferred over other storage techniques due to its high-energy storage density and isothermal storage process. The current study was aimed to evaluate the performance of the air-based PCM storage unit utilising solar energy and cool ambient night temperatures for comfort heating and cooling of a building in dry-cold and dry-hot climates. The performance of the studied PCM storage unit was maximised when the melting point of the PCM was ∼29°C in summer and 21°C during winter season. The appropriate melting point was ∼27.5°C for all-the-year-round performance. At lower melting points than 27.5°C, declination in the cooling capacity of the stora...&quot;,&quot;publisher&quot;:&quot;Taylor &amp; Francis&quot;,&quot;issue&quot;:&quot;4&quot;,&quot;volume&quot;:&quot;36&quot;,&quot;container-title-short&quot;:&quot;&quot;},&quot;isTemporary&quot;:false}]},{&quot;citationID&quot;:&quot;MENDELEY_CITATION_4866e3a0-af2f-402f-9c4f-8800f1f9619a&quot;,&quot;properties&quot;:{&quot;noteIndex&quot;:0},&quot;isEdited&quot;:false,&quot;manualOverride&quot;:{&quot;isManuallyOverridden&quot;:true,&quot;citeprocText&quot;:&quot;[192], [193]&quot;,&quot;manualOverrideText&quot;:&quot;[29, 32]&quot;},&quot;citationTag&quot;:&quot;MENDELEY_CITATION_v3_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&quot;,&quot;citationItems&quot;:[{&quot;id&quot;:&quot;fdab8d15-1896-3e9f-96fd-9abc2454f091&quot;,&quot;itemData&quot;:{&quot;type&quot;:&quot;article-journal&quot;,&quot;id&quot;:&quot;fdab8d15-1896-3e9f-96fd-9abc2454f091&quot;,&quot;title&quot;:&quot;Phase change material (Pcm)-based solar air heating system for residential space heating in winter&quot;,&quot;author&quot;:[{&quot;family&quot;:&quot;Waqas&quot;,&quot;given&quot;:&quot;Adeel&quot;,&quot;parse-names&quot;:false,&quot;dropping-particle&quot;:&quot;&quot;,&quot;non-dropping-particle&quot;:&quot;&quot;},{&quot;family&quot;:&quot;Kumar&quot;,&quot;given&quot;:&quot;S.&quot;,&quot;parse-names&quot;:false,&quot;dropping-particle&quot;:&quot;&quot;,&quot;non-dropping-particle&quot;:&quot;&quot;}],&quot;container-title&quot;:&quot;International Journal of Green Energy&quot;,&quot;container-title-short&quot;:&quot;Int J Green Energy&quot;,&quot;DOI&quot;:&quot;10.1080/15435075.2012.673518&quot;,&quot;ISSN&quot;:&quot;15435075&quot;,&quot;issued&quot;:{&quot;date-parts&quot;:[[2013]]},&quot;page&quot;:&quot;402-426&quot;,&quot;abstract&quot;:&quot;This study presents the analysis of phase change material (PCM)-based solar air heating system to achieve comfort conditions in a living space during winter season. The technical feasibility of PCM-based solar air heating system has been demonstrated, thus reducing the risks due to indoor air pollution caused by the use of fossil fuel or biomass combustion devices. The most sensitive parameters affecting the performance of storage unit are the melting point of storage material, mass of PCM, and airflow rate. The simulation results considering various flow rates and melting temperature of PCM indicate that, when melting temperature of PCM is equal to the comfort temperature of all the winter months, the storage unit performance is maximized for all the months during winter season. A new parameter, heating capacity of the PCM, has been introduced to illustrate the performance of the PCM storage. © 2013 Copyright Taylor  &amp;  Francis Group, LLC.&quot;,&quot;issue&quot;:&quot;4&quot;,&quot;volume&quot;:&quot;10&quot;},&quot;isTemporary&quot;:false},{&quot;id&quot;:&quot;d64e3c86-76b7-31a2-9ae3-40c57fa84f86&quot;,&quot;itemData&quot;:{&quot;type&quot;:&quot;article-journal&quot;,&quot;id&quot;:&quot;d64e3c86-76b7-31a2-9ae3-40c57fa84f86&quot;,&quot;title&quot;:&quot;Performance analysis of phase-change material storage unit for both heating and cooling of buildings&quot;,&quot;author&quot;:[{&quot;family&quot;:&quot;Waqas&quot;,&quot;given&quot;:&quot;Adeel&quot;,&quot;parse-names&quot;:false,&quot;dropping-particle&quot;:&quot;&quot;,&quot;non-dropping-particle&quot;:&quot;&quot;},{&quot;family&quot;:&quot;Ali&quot;,&quot;given&quot;:&quot;Majid&quot;,&quot;parse-names&quot;:false,&quot;dropping-particle&quot;:&quot;&quot;,&quot;non-dropping-particle&quot;:&quot;&quot;},{&quot;family&quot;:&quot;Ud Din&quot;,&quot;given&quot;:&quot;Zia&quot;,&quot;parse-names&quot;:false,&quot;dropping-particle&quot;:&quot;&quot;,&quot;non-dropping-particle&quot;:&quot;&quot;}],&quot;container-title&quot;:&quot;International Journal of Sustainable Energy&quot;,&quot;accessed&quot;:{&quot;date-parts&quot;:[[2019,6,11]]},&quot;DOI&quot;:&quot;10.1080/14786451.2015.1018832&quot;,&quot;ISSN&quot;:&quot;1478-6451&quot;,&quot;URL&quot;:&quot;https://www.tandfonline.com/doi/full/10.1080/14786451.2015.1018832&quot;,&quot;issued&quot;:{&quot;date-parts&quot;:[[2017,4,21]]},&quot;page&quot;:&quot;379-397&quot;,&quot;abstract&quot;:&quot;Utilisation of solar energy and the night ambient (cool) temperatures are the passive ways of heating and cooling of buildings. Intermittent and time-dependent nature of these sources makes thermal energy storage vital for efficient and continuous operation of these heating and cooling techniques. Latent heat thermal energy storage by phase-change materials (PCMs) is preferred over other storage techniques due to its high-energy storage density and isothermal storage process. The current study was aimed to evaluate the performance of the air-based PCM storage unit utilising solar energy and cool ambient night temperatures for comfort heating and cooling of a building in dry-cold and dry-hot climates. The performance of the studied PCM storage unit was maximised when the melting point of the PCM was ∼29°C in summer and 21°C during winter season. The appropriate melting point was ∼27.5°C for all-the-year-round performance. At lower melting points than 27.5°C, declination in the cooling capacity of the stora...&quot;,&quot;publisher&quot;:&quot;Taylor &amp; Francis&quot;,&quot;issue&quot;:&quot;4&quot;,&quot;volume&quot;:&quot;36&quot;,&quot;container-title-short&quot;:&quot;&quot;},&quot;isTemporary&quot;:false}]},{&quot;citationID&quot;:&quot;MENDELEY_CITATION_cd6c6d14-7bfb-4c7e-8c49-bb1cfa00ea10&quot;,&quot;properties&quot;:{&quot;noteIndex&quot;:0},&quot;isEdited&quot;:false,&quot;manualOverride&quot;:{&quot;isManuallyOverridden&quot;:true,&quot;citeprocText&quot;:&quot;[161]–[164], [166]–[170], [194]&quot;,&quot;manualOverrideText&quot;:&quot;[33, 34, 35, 36, 37, 38, 39, 40, 41, 42]&quot;},&quot;citationTag&quot;:&quot;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&quot;,&quot;citationItems&quot;:[{&quot;id&quot;:&quot;3526a1ec-6afd-3172-b57c-8eba8709ad48&quot;,&quot;itemData&quot;:{&quot;type&quot;:&quot;article-journal&quot;,&quot;id&quot;:&quot;3526a1ec-6afd-3172-b57c-8eba8709ad48&quot;,&quot;title&quot;:&quot;A methodology for investigating the effectiveness of PCM wallboards for summer thermal comfort in buildings&quot;,&quot;author&quot;:[{&quot;family&quot;:&quot;Evola&quot;,&quot;given&quot;:&quot;G.&quot;,&quot;parse-names&quot;:false,&quot;dropping-particle&quot;:&quot;&quot;,&quot;non-dropping-particle&quot;:&quot;&quot;},{&quot;family&quot;:&quot;Marletta&quot;,&quot;given&quot;:&quot;L.&quot;,&quot;parse-names&quot;:false,&quot;dropping-particle&quot;:&quot;&quot;,&quot;non-dropping-particle&quot;:&quot;&quot;},{&quot;family&quot;:&quot;Sicurella&quot;,&quot;given&quot;:&quot;F.&quot;,&quot;parse-names&quot;:false,&quot;dropping-particle&quot;:&quot;&quot;,&quot;non-dropping-particle&quot;:&quot;&quot;}],&quot;container-title&quot;:&quot;Building and Environment&quot;,&quot;container-title-short&quot;:&quot;Build Environ&quot;,&quot;accessed&quot;:{&quot;date-parts&quot;:[[2021,9,2]]},&quot;DOI&quot;:&quot;10.1016/j.buildenv.2012.09.021&quot;,&quot;ISSN&quot;:&quot;03601323&quot;,&quot;issued&quot;:{&quot;date-parts&quot;:[[2013,1,1]]},&quot;page&quot;:&quot;517-527&quot;,&quot;abstract&quot;:&quot;The present paper describes a methodology for the comprehensive evaluation of the effectiveness of Phase Change Materials (PCMs) for the improvement of summer thermal comfort in lightweight buildings. To this aim, a series of indicators is firstly introduced, that allow a precise description of both the PCM behaviour (frequency of melting, storage efficiency) and the intensity and duration of the thermal comfort perceived by the occupants. Then a case study is proposed, based on simulations, that consists in the application of newly developed wallboards, containing organic PCMs, on the partition walls of a lightweight office building. The approach presented in the study can be useful for assisting the detection of the most appropriate PCM and its installation pattern as a function of the climatic operating conditions and of the comfort requirements. © 2012 Elsevier Ltd.&quot;,&quot;publisher&quot;:&quot;Pergamon&quot;,&quot;volume&quot;:&quot;59&quot;},&quot;isTemporary&quot;:false},{&quot;id&quot;:&quot;a1654460-9dc6-3427-b9b3-4071c048b03a&quot;,&quot;itemData&quot;:{&quot;type&quot;:&quot;article-journal&quot;,&quot;id&quot;:&quot;a1654460-9dc6-3427-b9b3-4071c048b03a&quot;,&quot;title&quot;:&quot;Energy saving potential of phase change materials in major Australian cities&quot;,&quot;author&quot;:[{&quot;family&quot;:&quot;Alam&quot;,&quot;given&quot;:&quot;Morshed&quot;,&quot;parse-names&quot;:false,&quot;dropping-particle&quot;:&quot;&quot;,&quot;non-dropping-particle&quot;:&quot;&quot;},{&quot;family&quot;:&quot;Jamil&quot;,&quot;given&quot;:&quot;Hasnat&quot;,&quot;parse-names&quot;:false,&quot;dropping-particle&quot;:&quot;&quot;,&quot;non-dropping-particle&quot;:&quot;&quot;},{&quot;family&quot;:&quot;Sanjayan&quot;,&quot;given&quot;:&quot;Jay&quot;,&quot;parse-names&quot;:false,&quot;dropping-particle&quot;:&quot;&quot;,&quot;non-dropping-particle&quot;:&quot;&quot;},{&quot;family&quot;:&quot;Wilson&quot;,&quot;given&quot;:&quot;John&quot;,&quot;parse-names&quot;:false,&quot;dropping-particle&quot;:&quot;&quot;,&quot;non-dropping-particle&quot;:&quot;&quot;}],&quot;container-title&quot;:&quot;Energy and Buildings&quot;,&quot;container-title-short&quot;:&quot;Energy Build&quot;,&quot;accessed&quot;:{&quot;date-parts&quot;:[[2021,9,2]]},&quot;DOI&quot;:&quot;10.1016/j.enbuild.2014.04.027&quot;,&quot;ISSN&quot;:&quot;03787788&quot;,&quot;issued&quot;:{&quot;date-parts&quot;:[[2014,8,1]]},&quot;page&quot;:&quot;192-201&quot;,&quot;abstract&quot;:&quot;The potential of phase change materials (PCM) in reducing the heating/cooling energy consumption of residential houses along with several factors influencing the effectiveness of PCM were investigated using EnergyPlus. Simulations were carried out using five different phase change temperature ranges at eight Australian cities which represent six climate zones. It was found that the effectiveness of PCM strongly depends on local weather, thermostat range, PCM layer thickness and surface area. The optimum PCM melting range for lowest energy consumption in each month of the year was found to be far from unique. Different PCM was found to be effective in different times of the year. Depending on local weather, the integration of PCM resulted in 17-23% annual energy savings in the studied house except hot and humid cities like Darwin. For a given amount of PCM, energy saving potential was found to improve further with the increase of applied surface area and decrease of PCM layer thickness up to certain limit beyond which the potential started to decline. The energy saving potential was also found to decrease when the PCM melting point was outside the thermostat range of the corresponding city. The paper also presented the potential effect of climate change on the effectiveness of PCM. © 2014 Elsevier B.V.&quot;,&quot;publisher&quot;:&quot;Elsevier&quot;,&quot;volume&quot;:&quot;78&quot;},&quot;isTemporary&quot;:false},{&quot;id&quot;:&quot;a7e6fcd5-90cd-30a0-90d2-bafda0494ea8&quot;,&quot;itemData&quot;:{&quot;type&quot;:&quot;article-journal&quot;,&quot;id&quot;:&quot;a7e6fcd5-90cd-30a0-90d2-bafda0494ea8&quot;,&quot;title&quot;:&quot;Energy performance of building envelopes integrated with phase change materials for cooling load reduction in tropical Singapore&quot;,&quot;author&quot;:[{&quot;family&quot;:&quot;Lei&quot;,&quot;given&quot;:&quot;Jiawei&quot;,&quot;parse-names&quot;:false,&quot;dropping-particle&quot;:&quot;&quot;,&quot;non-dropping-particle&quot;:&quot;&quot;},{&quot;family&quot;:&quot;Yang&quot;,&quot;given&quot;:&quot;Jinglei&quot;,&quot;parse-names&quot;:false,&quot;dropping-particle&quot;:&quot;&quot;,&quot;non-dropping-particle&quot;:&quot;&quot;},{&quot;family&quot;:&quot;Yang&quot;,&quot;given&quot;:&quot;En Hua&quot;,&quot;parse-names&quot;:false,&quot;dropping-particle&quot;:&quot;&quot;,&quot;non-dropping-particle&quot;:&quot;&quot;}],&quot;container-title&quot;:&quot;Applied Energy&quot;,&quot;container-title-short&quot;:&quot;Appl Energy&quot;,&quot;accessed&quot;:{&quot;date-parts&quot;:[[2021,9,2]]},&quot;DOI&quot;:&quot;10.1016/j.apenergy.2015.10.031&quot;,&quot;ISSN&quot;:&quot;03062619&quot;,&quot;issued&quot;:{&quot;date-parts&quot;:[[2016,1,15]]},&quot;page&quot;:&quot;207-217&quot;,&quot;abstract&quot;:&quot;Phase change materials (PCMs) are capable to absorb massive heat during a phase transition in a narrow temperature range, which have great potential to be incorporated into building envelopes to prevent heat penetration into buildings and reduce cooling loads. The efficiency and selection of PCMs, however, are highly subject to the climate where they are applied. This study focused on the energy performance of building envelopes integrated with PCMs for cooling load reduction in tropical climate through numerical simulations. Studies were carried out to reveal the efficacy and factors that govern the performance of the PCM addition for cooling load reduction in Singapore. The results showed that PCM can effectively reduce heat gains through building envelopes throughout the whole year, indicating the significant advantage of the use of PCMs in tropics over other regions where PCMs are only effective in certain seasons. The selection of PCM with suitable phase change temperature is critical. PCMs applied to the exterior surfaces of walls showed better performance and the optimum phase change temperature is the lowest temperature allowing the full melting-solidification cycle of the entire PCM layer. A larger phase change temperature range improves the adaptivity of the PCMs to temperature variations, but may compromise the largest energy savings that the PCMs can achieve. While thicker PCM layer reduces heat gains through building envelope, thinner PCM layer shows higher efficiency and cost benefits.&quot;,&quot;publisher&quot;:&quot;Elsevier&quot;,&quot;volume&quot;:&quot;162&quot;},&quot;isTemporary&quot;:false},{&quot;id&quot;:&quot;a78f813f-d9aa-36f3-b6aa-b8f6b2a3bba4&quot;,&quot;itemData&quot;:{&quot;type&quot;:&quot;article-journal&quot;,&quot;id&quot;:&quot;a78f813f-d9aa-36f3-b6aa-b8f6b2a3bba4&quot;,&quot;title&quot;:&quot;Simulation-based optimization of PCM melting temperature to improve the energy performance in buildings&quot;,&quot;author&quot;:[{&quot;family&quot;:&quot;Saffari&quot;,&quot;given&quot;:&quot;Mohammad&quot;,&quot;parse-names&quot;:false,&quot;dropping-particle&quot;:&quot;&quot;,&quot;non-dropping-particle&quot;:&quot;&quot;},{&quot;family&quot;:&quot;Gracia&quot;,&quot;given&quot;:&quot;Alvaro&quot;,&quot;parse-names&quot;:false,&quot;dropping-particle&quot;:&quot;&quot;,&quot;non-dropping-particle&quot;:&quot;de&quot;},{&quot;family&quot;:&quot;Fernández&quot;,&quot;given&quot;:&quot;Cèsar&quot;,&quot;parse-names&quot;:false,&quot;dropping-particle&quot;:&quot;&quot;,&quot;non-dropping-particle&quot;:&quot;&quot;},{&quot;family&quot;:&quot;Cabeza&quot;,&quot;given&quot;:&quot;Luisa F.&quot;,&quot;parse-names&quot;:false,&quot;dropping-particle&quot;:&quot;&quot;,&quot;non-dropping-particle&quot;:&quot;&quot;}],&quot;container-title&quot;:&quot;Applied Energy&quot;,&quot;container-title-short&quot;:&quot;Appl Energy&quot;,&quot;accessed&quot;:{&quot;date-parts&quot;:[[2021,8,31]]},&quot;DOI&quot;:&quot;10.1016/j.apenergy.2017.05.107&quot;,&quot;ISSN&quot;:&quot;03062619&quot;,&quot;issued&quot;:{&quot;date-parts&quot;:[[2017,9,15]]},&quot;page&quot;:&quot;420-434&quot;,&quot;abstract&quot;:&quot;Globally, a considerable amount of energy is consumed by the building sector. The building envelope can highly influence the energy consumption in buildings. In this regard, innovative technologies such as thermal energy storage (TES) can help to boost the energy efficiency and to reduce the CO2 emissions in this sector. The use of phase change materials (PCM), due to its high heat capacity, has been the centre of attention of many researchers. A considerable number of papers have been published on the application of PCM as passive system in building envelopes. Researches have shown that choosing the PCM melting temperature in different climate conditions is a key factor to improve the energy performance in buildings. In the present paper, a simulation-based optimization methodology will be presented by coupling EnergyPlus and GenOpt with an innovative enthalpy-temperature (h-T) function to define the optimum PCM peak melting temperature to enhance the cooling, heating, and the annual total heating and cooling energy performance of a residential building in various climate conditions based on Köppen-Geiger classification. Results show that in a cooling dominant climate the best PCM melting temperature to reduce the annual energy consumption is close to the maximum of 26 °C (melting range of 24–28 °C), whereas in heating dominant climates PCM with lower melting temperature of 20 °C (melting range of 18–22 °C) yields higher annual energy benefits. Moreover, it was found that the proper selection of PCM melting temperature in each climate zone can lead to notable energy savings for cooling energy consumption, heating energy consumption, and total annual energy consumption.&quot;,&quot;publisher&quot;:&quot;Elsevier&quot;,&quot;volume&quot;:&quot;202&quot;},&quot;isTemporary&quot;:false},{&quot;id&quot;:&quot;92ae012f-4933-39f0-9f20-1b911bd19964&quot;,&quot;itemData&quot;:{&quot;type&quot;:&quot;article-journal&quot;,&quot;id&quot;:&quot;92ae012f-4933-39f0-9f20-1b911bd19964&quot;,&quot;title&quot;:&quot;Multi-objective optimization of energy performance of a building considering different configurations and types of PCM&quot;,&quot;author&quot;:[{&quot;family&quot;:&quot;Markarian&quot;,&quot;given&quot;:&quot;Elin&quot;,&quot;parse-names&quot;:false,&quot;dropping-particle&quot;:&quot;&quot;,&quot;non-dropping-particle&quot;:&quot;&quot;},{&quot;family&quot;:&quot;Fazelpour&quot;,&quot;given&quot;:&quot;Farivar&quot;,&quot;parse-names&quot;:false,&quot;dropping-particle&quot;:&quot;&quot;,&quot;non-dropping-particle&quot;:&quot;&quot;}],&quot;container-title&quot;:&quot;Solar Energy&quot;,&quot;accessed&quot;:{&quot;date-parts&quot;:[[2022,4,19]]},&quot;DOI&quot;:&quot;10.1016/J.SOLENER.2019.09.003&quot;,&quot;ISSN&quot;:&quot;0038-092X&quot;,&quot;issued&quot;:{&quot;date-parts&quot;:[[2019,10,1]]},&quot;page&quot;:&quot;481-496&quot;,&quot;abstract&quot;:&quot;Phase change materials (PCM) can be outfitted in building envelopes to not only provide thermal comfort for occupants but also trim heating, ventilation and air conditioning (HVAC) loads. However, the efficacy of PCMs depends highly on its thermo-physical properties and climatic condition. In this regard, a multi-objective optimization technique is adopted to unearth the optimal type and location of PCM that can minimize heating and cooling loads considering five cities of Iran namely Tehran, Tabriz, Bandar Abas, Shiraz and Yazd with distinctive climates. Then, the optimal PCMs are environmentally and economically assessed. The study showed that the PCM with a melting temperature of 25 °C outperforms in terms of cooling load while the PCM with a melting temperature of 21 °C favors the heating performance. Moreover, the utilization of PCM results in electricity saving of 4.5–5.5% for all the climates. On average, the annual carbon footprint is reduced by 1297 kg, 1420 kg, 2040 kg, 1027 kg, and 1248 kg for Tehran, Tabriz, Bandar Abas, Shiraz, and Yazd, respectively. The payback period was found to be more than 70 years for all the cities considering current economic conditions. However, the energy subsidies are projected to fall in the near future that may make PCM integration economically feasible.&quot;,&quot;publisher&quot;:&quot;Pergamon&quot;,&quot;volume&quot;:&quot;191&quot;,&quot;container-title-short&quot;:&quot;&quot;},&quot;isTemporary&quot;:false},{&quot;id&quot;:&quot;6052fad5-23c0-32ea-a740-aa6ebad5c9a2&quot;,&quot;itemData&quot;:{&quot;type&quot;:&quot;article-journal&quot;,&quot;id&quot;:&quot;6052fad5-23c0-32ea-a740-aa6ebad5c9a2&quot;,&quot;title&quot;:&quot;Optimal control of natural ventilation as passive cooling strategy for improving the energy performance of building envelope with PCM integration&quot;,&quot;author&quot;:[{&quot;family&quot;:&quot;Piselli&quot;,&quot;given&quot;:&quot;Cristina&quot;,&quot;parse-names&quot;:false,&quot;dropping-particle&quot;:&quot;&quot;,&quot;non-dropping-particle&quot;:&quot;&quot;},{&quot;family&quot;:&quot;Prabhakar&quot;,&quot;given&quot;:&quot;Mohit&quot;,&quot;parse-names&quot;:false,&quot;dropping-particle&quot;:&quot;&quot;,&quot;non-dropping-particle&quot;:&quot;&quot;},{&quot;family&quot;:&quot;Gracia&quot;,&quot;given&quot;:&quot;Alvaro&quot;,&quot;parse-names&quot;:false,&quot;dropping-particle&quot;:&quot;&quot;,&quot;non-dropping-particle&quot;:&quot;de&quot;},{&quot;family&quot;:&quot;Saffari&quot;,&quot;given&quot;:&quot;Mohammad&quot;,&quot;parse-names&quot;:false,&quot;dropping-particle&quot;:&quot;&quot;,&quot;non-dropping-particle&quot;:&quot;&quot;},{&quot;family&quot;:&quot;Pisello&quot;,&quot;given&quot;:&quot;Anna Laura&quot;,&quot;parse-names&quot;:false,&quot;dropping-particle&quot;:&quot;&quot;,&quot;non-dropping-particle&quot;:&quot;&quot;},{&quot;family&quot;:&quot;Cabeza&quot;,&quot;given&quot;:&quot;Luisa F.&quot;,&quot;parse-names&quot;:false,&quot;dropping-particle&quot;:&quot;&quot;,&quot;non-dropping-particle&quot;:&quot;&quot;}],&quot;container-title&quot;:&quot;Renewable Energy&quot;,&quot;container-title-short&quot;:&quot;Renew Energy&quot;,&quot;accessed&quot;:{&quot;date-parts&quot;:[[2021,9,2]]},&quot;DOI&quot;:&quot;10.1016/j.renene.2020.07.043&quot;,&quot;ISSN&quot;:&quot;18790682&quot;,&quot;issued&quot;:{&quot;date-parts&quot;:[[2020,12,1]]},&quot;page&quot;:&quot;171-181&quot;,&quot;abstract&quot;:&quot;Phase Change Materials have been acknowledged for their potential to be used as passive strategy for improving energy efficiency and occupants’ thermal comfort in buildings. However, their performance still needs to be enhanced to have them effectively used. In this view, this study investigates the potential improvement of PCMs performance for passive cooling application by efficient natural ventilation in residential building stock. Therefore, coupled dynamic simulation and optimization analysis is performed to explore the optimum melting temperature of PCM integrated in the external building envelope to minimize cooling loads in different Italian climate zones. Moreover, various natural ventilation control strategies are implemented to assess their influence on the process of PCM charge-discharge cycle. Results show that PCM inclusion in the building envelope provides significant cooling savings, up to about 300 kWh/year in mild climates. Furthermore, both night and temperature controlled natural ventilation are able to enhance the efficiency of PCMs thermal energy storage charge-discharge cycle. However, the optimum performance is obtained by coupling PCMs with natural ventilation controlled by indoor/outdoor temperature difference in all considered climate contexts. Accordingly, considerable building cooling energy need reduction is achievable through the optimum combination of PCMs and natural ventilation control, especially in milder climates.&quot;,&quot;publisher&quot;:&quot;Pergamon&quot;,&quot;volume&quot;:&quot;162&quot;},&quot;isTemporary&quot;:false},{&quot;id&quot;:&quot;c95ed18c-f458-3283-834e-f59e1e3ae5b5&quot;,&quot;itemData&quot;:{&quot;type&quot;:&quot;article-journal&quot;,&quot;id&quot;:&quot;c95ed18c-f458-3283-834e-f59e1e3ae5b5&quot;,&quot;title&quot;:&quot;Coupling optimization study of key influencing factors on PCM trombe wall for year thermal management&quot;,&quot;author&quot;:[{&quot;family&quot;:&quot;Zhu&quot;,&quot;given&quot;:&quot;Na&quot;,&quot;parse-names&quot;:false,&quot;dropping-particle&quot;:&quot;&quot;,&quot;non-dropping-particle&quot;:&quot;&quot;},{&quot;family&quot;:&quot;Deng&quot;,&quot;given&quot;:&quot;Renjie&quot;,&quot;parse-names&quot;:false,&quot;dropping-particle&quot;:&quot;&quot;,&quot;non-dropping-particle&quot;:&quot;&quot;},{&quot;family&quot;:&quot;Hu&quot;,&quot;given&quot;:&quot;Pingfang&quot;,&quot;parse-names&quot;:false,&quot;dropping-particle&quot;:&quot;&quot;,&quot;non-dropping-particle&quot;:&quot;&quot;},{&quot;family&quot;:&quot;Lei&quot;,&quot;given&quot;:&quot;Fei&quot;,&quot;parse-names&quot;:false,&quot;dropping-particle&quot;:&quot;&quot;,&quot;non-dropping-particle&quot;:&quot;&quot;},{&quot;family&quot;:&quot;Xu&quot;,&quot;given&quot;:&quot;Linghong&quot;,&quot;parse-names&quot;:false,&quot;dropping-particle&quot;:&quot;&quot;,&quot;non-dropping-particle&quot;:&quot;&quot;},{&quot;family&quot;:&quot;Jiang&quot;,&quot;given&quot;:&quot;Zhangning&quot;,&quot;parse-names&quot;:false,&quot;dropping-particle&quot;:&quot;&quot;,&quot;non-dropping-particle&quot;:&quot;&quot;}],&quot;container-title&quot;:&quot;Energy&quot;,&quot;accessed&quot;:{&quot;date-parts&quot;:[[2021,9,2]]},&quot;DOI&quot;:&quot;10.1016/j.energy.2021.121470&quot;,&quot;ISSN&quot;:&quot;03605442&quot;,&quot;issued&quot;:{&quot;date-parts&quot;:[[2021,12,1]]},&quot;page&quot;:&quot;121470&quot;,&quot;abstract&quot;:&quot;The proposed environment-interactive novel Trombe wall system was a passive building envelope integrated with phase change material (PCM) based on traditional Trombe wall. Compared with traditional Trombe wall system, this system can make full use of solar energy and nature ventilation, improving indoor thermal comfort. The dynamic heat transfer model of PCM Trombe room was established, and six key factors influencing thermal performance of PCM Trombe wall system were analyzed. Through the coupled operation of TRNSYS heat transfer model and GenOpt optimization software, the energy consumption characteristics of the system and the optimal value of the key influencing factors were analyzed and obtained. The optimal air gap thickness was 0.05 m, the optimal external sun-shading length was 0.78 m, the optimal thermal storage wall thickness was 0.68 m, the optimal vents area was 0.6 m2, the optimal melting temperature of lower temperature PCM layer was 16.5 °C, and the optimal melting temperature of higher temperature PCM layer was 27.75 °C. The annual total building load was reduced by 7.56% in optimized reference Trombe room compared with traditional Trombe wall, and the annual total building load was reduced by 13.52% in optimized PCM Trombe compared with reference Trombe wall.&quot;,&quot;publisher&quot;:&quot;Pergamon&quot;,&quot;volume&quot;:&quot;236&quot;,&quot;container-title-short&quot;:&quot;&quot;},&quot;isTemporary&quot;:false},{&quot;id&quot;:&quot;31725fa6-29a5-3030-95fd-b542c2259054&quot;,&quot;itemData&quot;:{&quot;type&quot;:&quot;article-journal&quot;,&quot;id&quot;:&quot;31725fa6-29a5-3030-95fd-b542c2259054&quot;,&quot;title&quot;:&quot;Experimental investigation of latent heat thermal energy storage using PCMs with different melting temperatures for building retrofit&quot;,&quot;author&quot;:[{&quot;family&quot;:&quot;Berardi&quot;,&quot;given&quot;:&quot;Umberto&quot;,&quot;parse-names&quot;:false,&quot;dropping-particle&quot;:&quot;&quot;,&quot;non-dropping-particle&quot;:&quot;&quot;},{&quot;family&quot;:&quot;Soudian&quot;,&quot;given&quot;:&quot;Shahrzad&quot;,&quot;parse-names&quot;:false,&quot;dropping-particle&quot;:&quot;&quot;,&quot;non-dropping-particle&quot;:&quot;&quot;}],&quot;container-title&quot;:&quot;Energy and Buildings&quot;,&quot;container-title-short&quot;:&quot;Energy Build&quot;,&quot;accessed&quot;:{&quot;date-parts&quot;:[[2021,9,2]]},&quot;DOI&quot;:&quot;10.1016/j.enbuild.2018.12.016&quot;,&quot;ISSN&quot;:&quot;03787788&quot;,&quot;issued&quot;:{&quot;date-parts&quot;:[[2019,2,15]]},&quot;page&quot;:&quot;180-195&quot;,&quot;abstract&quot;:&quot;Recent architectural trends in high-rise residential buildings are favoring more transparent facades with fully glazed exteriors. While aesthetically pleasing, high window to wall ratios (WWR) entail significant discomfort due to higher solar heat gains and heat losses. In this architectural context, passive latent heat thermal energy storage (LHTES) is a possible solution to regulate indoor thermal comfort by limiting the room temperature swings. This study investigates the effectiveness of adopting Phase Change Materials (PCMs) in retrofitting high-rise apartments with 80% WWR. A composite PCM system, comprised of two PCM products with melting temperatures of 21.7 °C and 25 °C is introduced to provide thermal energy storage across the year. The phase change cycle of the PCMs and their impact on indoor air and interior building surface temperatures are assessed. For this, two test cells were constructed, one acting as a baseline and another enhanced with the composite PCM system positioned on the walls and the ceiling. The results indicate improved performance of the test cell containing the composite PCM system in lowering peak indoor and surface temperatures up to 6 °C. The melting and solidification patterns of the PCMs showed a close correlation with peak solar heat gain and heat loss periods respectively. The benefits of the PCMs were more pronounced in stabilizing indoor cell temperatures in extreme conditions with sharp temperature variations. Aspects such as the effectiveness of night natural ventilation and shading design optimization were also assessed.&quot;,&quot;publisher&quot;:&quot;Elsevier&quot;,&quot;volume&quot;:&quot;185&quot;},&quot;isTemporary&quot;:false},{&quot;id&quot;:&quot;8b53f068-80b1-3fd5-ac2c-ee18ca2b27a0&quot;,&quot;itemData&quot;:{&quot;type&quot;:&quot;article-journal&quot;,&quot;id&quot;:&quot;8b53f068-80b1-3fd5-ac2c-ee18ca2b27a0&quot;,&quot;title&quot;:&quot;Improving the energy efficiency of passive PCM system using controlled natural ventilation&quot;,&quot;author&quot;:[{&quot;family&quot;:&quot;Prabhakar&quot;,&quot;given&quot;:&quot;Mohit&quot;,&quot;parse-names&quot;:false,&quot;dropping-particle&quot;:&quot;&quot;,&quot;non-dropping-particle&quot;:&quot;&quot;},{&quot;family&quot;:&quot;Saffari&quot;,&quot;given&quot;:&quot;Mohammad&quot;,&quot;parse-names&quot;:false,&quot;dropping-particle&quot;:&quot;&quot;,&quot;non-dropping-particle&quot;:&quot;&quot;},{&quot;family&quot;:&quot;Gracia&quot;,&quot;given&quot;:&quot;Alvaro&quot;,&quot;parse-names&quot;:false,&quot;dropping-particle&quot;:&quot;&quot;,&quot;non-dropping-particle&quot;:&quot;de&quot;},{&quot;family&quot;:&quot;Cabeza&quot;,&quot;given&quot;:&quot;Luisa F.&quot;,&quot;parse-names&quot;:false,&quot;dropping-particle&quot;:&quot;&quot;,&quot;non-dropping-particle&quot;:&quot;&quot;}],&quot;container-title&quot;:&quot;Energy and Buildings&quot;,&quot;container-title-short&quot;:&quot;Energy Build&quot;,&quot;accessed&quot;:{&quot;date-parts&quot;:[[2021,9,2]]},&quot;DOI&quot;:&quot;10.1016/j.enbuild.2020.110483&quot;,&quot;ISSN&quot;:&quot;03787788&quot;,&quot;issued&quot;:{&quot;date-parts&quot;:[[2020,12,1]]},&quot;page&quot;:&quot;110483&quot;,&quot;abstract&quot;:&quot;In recent years, the building sector has been responsible for continuous increase in energy consumption in the world. Space heating and cooling accounts for 34% of this energy consumption in buildings. In this context, using thermal energy storage (TES) can reduce energy consumption for space air conditioning. The use of phase change materials (PCM) as latent heat thermal energy storage (LHTES) system in the building envelope has been of great interest for passive cooling applications due to the high energy storage capacity of this technology. However, in order to utilize the full potential of a PCM, it needs to be fully charged at each cycle. Ventilation during the night is an effective method which can be used in PCM-enhanced office buildings with the aim of charging the PCM every required cycle. In the present study, PCM melting temperature of office building in various climate conditions was optimized using a simulation-based optimization and coupled with free cooling operation. Ventilation control strategies were used to improve the cooling energy performance of the PCM enhanced building integrated into envelopes. It was found that charging PCM with night ventilation, especially when using some specific control strategies of natural ventilation operated by external windows opening results in considerable cooling energy savings. The study was conducted for 15 different cities around the world. It was found that, in hot arid conditions, PCM passive cooling system was ineffective. Although, the energy savings were improved by coupling PCM and natural ventilation in these climate conditions. But the benefits were more or less similar to using natural ventilation only. On the other hand, in temperate condition, the effectiveness of PCM was increased from 3.32% to 25.62% by coupling a PCM passive system with night ventilation. It was further improved to 40% when using PCM with temperature-controlled ventilation. Moreover, it can be said that smart control of ventilation can lead to considerable energy savings.&quot;,&quot;publisher&quot;:&quot;Elsevier&quot;,&quot;volume&quot;:&quot;228&quot;},&quot;isTemporary&quot;:false},{&quot;id&quot;:&quot;bf08b171-e77b-345f-ac1c-8d8992a94b75&quot;,&quot;itemData&quot;:{&quot;type&quot;:&quot;article-journal&quot;,&quot;id&quot;:&quot;bf08b171-e77b-345f-ac1c-8d8992a94b75&quot;,&quot;title&quot;:&quot;PCM integrated to external building walls: An optimization study on maximum activation of latent heat&quot;,&quot;author&quot;:[{&quot;family&quot;:&quot;Arıcı&quot;,&quot;given&quot;:&quot;Müslüm&quot;,&quot;parse-names&quot;:false,&quot;dropping-particle&quot;:&quot;&quot;,&quot;non-dropping-particle&quot;:&quot;&quot;},{&quot;family&quot;:&quot;Bilgin&quot;,&quot;given&quot;:&quot;Feyza&quot;,&quot;parse-names&quot;:false,&quot;dropping-particle&quot;:&quot;&quot;,&quot;non-dropping-particle&quot;:&quot;&quot;},{&quot;family&quot;:&quot;Nižetić&quot;,&quot;given&quot;:&quot;Sandro&quot;,&quot;parse-names&quot;:false,&quot;dropping-particle&quot;:&quot;&quot;,&quot;non-dropping-particle&quot;:&quot;&quot;},{&quot;family&quot;:&quot;Karabay&quot;,&quot;given&quot;:&quot;Hasan&quot;,&quot;parse-names&quot;:false,&quot;dropping-particle&quot;:&quot;&quot;,&quot;non-dropping-particle&quot;:&quot;&quot;}],&quot;container-title&quot;:&quot;Applied Thermal Engineering&quot;,&quot;container-title-short&quot;:&quot;Appl Therm Eng&quot;,&quot;accessed&quot;:{&quot;date-parts&quot;:[[2021,9,2]]},&quot;DOI&quot;:&quot;10.1016/j.applthermaleng.2019.114560&quot;,&quot;ISSN&quot;:&quot;13594311&quot;,&quot;issued&quot;:{&quot;date-parts&quot;:[[2020,1,25]]},&quot;page&quot;:&quot;114560&quot;,&quot;abstract&quot;:&quot;Integration of the phase change materials (PCM) into the external building walls is an efficient method for reduction of energy consumption and regulation of energy demands due to increasing thermal inertia of the walls. This study aims to reveal the contribution of latent heat to the thermal performance of the wall and to determine the location, thickness and melting temperature of PCM for the maximum exploitation of latent heat for different climatic conditions. A comparative study is carried out for the wall coupled with PCM and the wall with Phase Stabilized PCM (PSM) to reveal the improvement provided by the latent heat. The influence of location, fusion temperature and layer thickness of PCM on energy saving, decrement factor and time lag was examined. The annually optimized PCM fusion temperature and layer thickness which utilizes the latent heat at maximum level considering both heating and cooling loads are determined for three cities of Turkey. The computed results show that the monthly optimized PCM melting temperature and PCM layer thickness vary from 6 to 34 °C, from 1 to 20 mm depending on climatic conditions. It was concluded that an optimization study should be conducted in order to prevent PCM behaves like PSM.&quot;,&quot;publisher&quot;:&quot;Pergamon&quot;,&quot;volume&quot;:&quot;165&quot;},&quot;isTemporary&quot;:false}]},{&quot;citationID&quot;:&quot;MENDELEY_CITATION_72f8658a-ae44-41ab-9ac2-c20465267619&quot;,&quot;properties&quot;:{&quot;noteIndex&quot;:0},&quot;isEdited&quot;:false,&quot;manualOverride&quot;:{&quot;isManuallyOverridden&quot;:false,&quot;citeprocText&quot;:&quot;[23]&quot;,&quot;manualOverrideText&quot;:&quot;&quot;},&quot;citationTag&quot;:&quot;MENDELEY_CITATION_v3_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&quot;,&quot;citationItems&quot;:[{&quot;id&quot;:&quot;a99d46fa-950a-3fd3-904d-7caca65d5bdc&quot;,&quot;itemData&quot;:{&quot;type&quot;:&quot;article-magazine&quot;,&quot;id&quot;:&quot;a99d46fa-950a-3fd3-904d-7caca65d5bdc&quot;,&quot;title&quot;:&quot;The State of Art of Heat-Pump integrated Thermal Energy Storage for Demand Response&quot;,&quot;author&quot;:[{&quot;family&quot;:&quot;Sultan&quot;,&quot;given&quot;:&quot;Sara&quot;,&quot;parse-names&quot;:false,&quot;dropping-particle&quot;:&quot;&quot;,&quot;non-dropping-particle&quot;:&quot;&quot;},{&quot;family&quot;:&quot;Gluesenkamp&quot;,&quot;given&quot;:&quot;Kyle R&quot;,&quot;parse-names&quot;:false,&quot;dropping-particle&quot;:&quot;&quot;,&quot;non-dropping-particle&quot;:&quot;&quot;},{&quot;family&quot;:&quot;States&quot;,&quot;given&quot;:&quot;United&quot;,&quot;parse-names&quot;:false,&quot;dropping-particle&quot;:&quot;&quot;,&quot;non-dropping-particle&quot;:&quot;&quot;}],&quot;container-title&quot;:&quot;IEA Heat Pump Technologies Magazine&quot;,&quot;DOI&quot;:&quot;https://doi.org/10.23697/62tr-nt79&quot;,&quot;URL&quot;:&quot;https://heatpumpingtechnologies.org/publications/the-state-of-art-of-heat-pump-integrated-thermal-energy-storage-for-demand-response/&quot;,&quot;issued&quot;:{&quot;date-parts&quot;:[[2021]]},&quot;page&quot;:&quot;27-30&quot;,&quot;issue&quot;:&quot;2&quot;,&quot;volume&quot;:&quot;40&quot;,&quot;container-title-short&quot;:&quot;&quot;},&quot;isTemporary&quot;:false}]},{&quot;citationID&quot;:&quot;MENDELEY_CITATION_58ee7ac3-3dab-4fa0-b5e9-68ded254b1f8&quot;,&quot;properties&quot;:{&quot;noteIndex&quot;:0},&quot;isEdited&quot;:false,&quot;manualOverride&quot;:{&quot;isManuallyOverridden&quot;:false,&quot;citeprocText&quot;:&quot;[161]&quot;,&quot;manualOverrideText&quot;:&quot;&quot;},&quot;citationTag&quot;:&quot;MENDELEY_CITATION_v3_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&quot;,&quot;citationItems&quot;:[{&quot;id&quot;:&quot;3526a1ec-6afd-3172-b57c-8eba8709ad48&quot;,&quot;itemData&quot;:{&quot;type&quot;:&quot;article-journal&quot;,&quot;id&quot;:&quot;3526a1ec-6afd-3172-b57c-8eba8709ad48&quot;,&quot;title&quot;:&quot;A methodology for investigating the effectiveness of PCM wallboards for summer thermal comfort in buildings&quot;,&quot;author&quot;:[{&quot;family&quot;:&quot;Evola&quot;,&quot;given&quot;:&quot;G.&quot;,&quot;parse-names&quot;:false,&quot;dropping-particle&quot;:&quot;&quot;,&quot;non-dropping-particle&quot;:&quot;&quot;},{&quot;family&quot;:&quot;Marletta&quot;,&quot;given&quot;:&quot;L.&quot;,&quot;parse-names&quot;:false,&quot;dropping-particle&quot;:&quot;&quot;,&quot;non-dropping-particle&quot;:&quot;&quot;},{&quot;family&quot;:&quot;Sicurella&quot;,&quot;given&quot;:&quot;F.&quot;,&quot;parse-names&quot;:false,&quot;dropping-particle&quot;:&quot;&quot;,&quot;non-dropping-particle&quot;:&quot;&quot;}],&quot;container-title&quot;:&quot;Building and Environment&quot;,&quot;container-title-short&quot;:&quot;Build Environ&quot;,&quot;accessed&quot;:{&quot;date-parts&quot;:[[2021,9,2]]},&quot;DOI&quot;:&quot;10.1016/j.buildenv.2012.09.021&quot;,&quot;ISSN&quot;:&quot;03601323&quot;,&quot;issued&quot;:{&quot;date-parts&quot;:[[2013,1,1]]},&quot;page&quot;:&quot;517-527&quot;,&quot;abstract&quot;:&quot;The present paper describes a methodology for the comprehensive evaluation of the effectiveness of Phase Change Materials (PCMs) for the improvement of summer thermal comfort in lightweight buildings. To this aim, a series of indicators is firstly introduced, that allow a precise description of both the PCM behaviour (frequency of melting, storage efficiency) and the intensity and duration of the thermal comfort perceived by the occupants. Then a case study is proposed, based on simulations, that consists in the application of newly developed wallboards, containing organic PCMs, on the partition walls of a lightweight office building. The approach presented in the study can be useful for assisting the detection of the most appropriate PCM and its installation pattern as a function of the climatic operating conditions and of the comfort requirements. © 2012 Elsevier Ltd.&quot;,&quot;publisher&quot;:&quot;Pergamon&quot;,&quot;volume&quot;:&quot;59&quot;},&quot;isTemporary&quot;:false}]},{&quot;citationID&quot;:&quot;MENDELEY_CITATION_1a8dbbcd-053a-4071-a17e-f7db0448de37&quot;,&quot;properties&quot;:{&quot;noteIndex&quot;:0},&quot;isEdited&quot;:false,&quot;manualOverride&quot;:{&quot;isManuallyOverridden&quot;:false,&quot;citeprocText&quot;:&quot;[162]&quot;,&quot;manualOverrideText&quot;:&quot;&quot;},&quot;citationTag&quot;:&quot;MENDELEY_CITATION_v3_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&quot;,&quot;citationItems&quot;:[{&quot;id&quot;:&quot;a1654460-9dc6-3427-b9b3-4071c048b03a&quot;,&quot;itemData&quot;:{&quot;type&quot;:&quot;article-journal&quot;,&quot;id&quot;:&quot;a1654460-9dc6-3427-b9b3-4071c048b03a&quot;,&quot;title&quot;:&quot;Energy saving potential of phase change materials in major Australian cities&quot;,&quot;author&quot;:[{&quot;family&quot;:&quot;Alam&quot;,&quot;given&quot;:&quot;Morshed&quot;,&quot;parse-names&quot;:false,&quot;dropping-particle&quot;:&quot;&quot;,&quot;non-dropping-particle&quot;:&quot;&quot;},{&quot;family&quot;:&quot;Jamil&quot;,&quot;given&quot;:&quot;Hasnat&quot;,&quot;parse-names&quot;:false,&quot;dropping-particle&quot;:&quot;&quot;,&quot;non-dropping-particle&quot;:&quot;&quot;},{&quot;family&quot;:&quot;Sanjayan&quot;,&quot;given&quot;:&quot;Jay&quot;,&quot;parse-names&quot;:false,&quot;dropping-particle&quot;:&quot;&quot;,&quot;non-dropping-particle&quot;:&quot;&quot;},{&quot;family&quot;:&quot;Wilson&quot;,&quot;given&quot;:&quot;John&quot;,&quot;parse-names&quot;:false,&quot;dropping-particle&quot;:&quot;&quot;,&quot;non-dropping-particle&quot;:&quot;&quot;}],&quot;container-title&quot;:&quot;Energy and Buildings&quot;,&quot;container-title-short&quot;:&quot;Energy Build&quot;,&quot;accessed&quot;:{&quot;date-parts&quot;:[[2021,9,2]]},&quot;DOI&quot;:&quot;10.1016/j.enbuild.2014.04.027&quot;,&quot;ISSN&quot;:&quot;03787788&quot;,&quot;issued&quot;:{&quot;date-parts&quot;:[[2014,8,1]]},&quot;page&quot;:&quot;192-201&quot;,&quot;abstract&quot;:&quot;The potential of phase change materials (PCM) in reducing the heating/cooling energy consumption of residential houses along with several factors influencing the effectiveness of PCM were investigated using EnergyPlus. Simulations were carried out using five different phase change temperature ranges at eight Australian cities which represent six climate zones. It was found that the effectiveness of PCM strongly depends on local weather, thermostat range, PCM layer thickness and surface area. The optimum PCM melting range for lowest energy consumption in each month of the year was found to be far from unique. Different PCM was found to be effective in different times of the year. Depending on local weather, the integration of PCM resulted in 17-23% annual energy savings in the studied house except hot and humid cities like Darwin. For a given amount of PCM, energy saving potential was found to improve further with the increase of applied surface area and decrease of PCM layer thickness up to certain limit beyond which the potential started to decline. The energy saving potential was also found to decrease when the PCM melting point was outside the thermostat range of the corresponding city. The paper also presented the potential effect of climate change on the effectiveness of PCM. © 2014 Elsevier B.V.&quot;,&quot;publisher&quot;:&quot;Elsevier&quot;,&quot;volume&quot;:&quot;78&quot;},&quot;isTemporary&quot;:false}]},{&quot;citationID&quot;:&quot;MENDELEY_CITATION_42482e06-fff1-40c7-953d-1216c575ea27&quot;,&quot;properties&quot;:{&quot;noteIndex&quot;:0},&quot;isEdited&quot;:false,&quot;manualOverride&quot;:{&quot;isManuallyOverridden&quot;:false,&quot;citeprocText&quot;:&quot;[163]&quot;,&quot;manualOverrideText&quot;:&quot;&quot;},&quot;citationTag&quot;:&quot;MENDELEY_CITATION_v3_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&quot;,&quot;citationItems&quot;:[{&quot;id&quot;:&quot;a7e6fcd5-90cd-30a0-90d2-bafda0494ea8&quot;,&quot;itemData&quot;:{&quot;type&quot;:&quot;article-journal&quot;,&quot;id&quot;:&quot;a7e6fcd5-90cd-30a0-90d2-bafda0494ea8&quot;,&quot;title&quot;:&quot;Energy performance of building envelopes integrated with phase change materials for cooling load reduction in tropical Singapore&quot;,&quot;author&quot;:[{&quot;family&quot;:&quot;Lei&quot;,&quot;given&quot;:&quot;Jiawei&quot;,&quot;parse-names&quot;:false,&quot;dropping-particle&quot;:&quot;&quot;,&quot;non-dropping-particle&quot;:&quot;&quot;},{&quot;family&quot;:&quot;Yang&quot;,&quot;given&quot;:&quot;Jinglei&quot;,&quot;parse-names&quot;:false,&quot;dropping-particle&quot;:&quot;&quot;,&quot;non-dropping-particle&quot;:&quot;&quot;},{&quot;family&quot;:&quot;Yang&quot;,&quot;given&quot;:&quot;En Hua&quot;,&quot;parse-names&quot;:false,&quot;dropping-particle&quot;:&quot;&quot;,&quot;non-dropping-particle&quot;:&quot;&quot;}],&quot;container-title&quot;:&quot;Applied Energy&quot;,&quot;container-title-short&quot;:&quot;Appl Energy&quot;,&quot;accessed&quot;:{&quot;date-parts&quot;:[[2021,9,2]]},&quot;DOI&quot;:&quot;10.1016/j.apenergy.2015.10.031&quot;,&quot;ISSN&quot;:&quot;03062619&quot;,&quot;issued&quot;:{&quot;date-parts&quot;:[[2016,1,15]]},&quot;page&quot;:&quot;207-217&quot;,&quot;abstract&quot;:&quot;Phase change materials (PCMs) are capable to absorb massive heat during a phase transition in a narrow temperature range, which have great potential to be incorporated into building envelopes to prevent heat penetration into buildings and reduce cooling loads. The efficiency and selection of PCMs, however, are highly subject to the climate where they are applied. This study focused on the energy performance of building envelopes integrated with PCMs for cooling load reduction in tropical climate through numerical simulations. Studies were carried out to reveal the efficacy and factors that govern the performance of the PCM addition for cooling load reduction in Singapore. The results showed that PCM can effectively reduce heat gains through building envelopes throughout the whole year, indicating the significant advantage of the use of PCMs in tropics over other regions where PCMs are only effective in certain seasons. The selection of PCM with suitable phase change temperature is critical. PCMs applied to the exterior surfaces of walls showed better performance and the optimum phase change temperature is the lowest temperature allowing the full melting-solidification cycle of the entire PCM layer. A larger phase change temperature range improves the adaptivity of the PCMs to temperature variations, but may compromise the largest energy savings that the PCMs can achieve. While thicker PCM layer reduces heat gains through building envelope, thinner PCM layer shows higher efficiency and cost benefits.&quot;,&quot;publisher&quot;:&quot;Elsevier&quot;,&quot;volume&quot;:&quot;162&quot;},&quot;isTemporary&quot;:false}]},{&quot;citationID&quot;:&quot;MENDELEY_CITATION_aed26338-98fd-48c4-95db-f382a5d89b9c&quot;,&quot;properties&quot;:{&quot;noteIndex&quot;:0},&quot;isEdited&quot;:false,&quot;manualOverride&quot;:{&quot;isManuallyOverridden&quot;:false,&quot;citeprocText&quot;:&quot;[164]&quot;,&quot;manualOverrideText&quot;:&quot;&quot;},&quot;citationTag&quot;:&quot;MENDELEY_CITATION_v3_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&quot;,&quot;citationItems&quot;:[{&quot;id&quot;:&quot;a78f813f-d9aa-36f3-b6aa-b8f6b2a3bba4&quot;,&quot;itemData&quot;:{&quot;type&quot;:&quot;article-journal&quot;,&quot;id&quot;:&quot;a78f813f-d9aa-36f3-b6aa-b8f6b2a3bba4&quot;,&quot;title&quot;:&quot;Simulation-based optimization of PCM melting temperature to improve the energy performance in buildings&quot;,&quot;author&quot;:[{&quot;family&quot;:&quot;Saffari&quot;,&quot;given&quot;:&quot;Mohammad&quot;,&quot;parse-names&quot;:false,&quot;dropping-particle&quot;:&quot;&quot;,&quot;non-dropping-particle&quot;:&quot;&quot;},{&quot;family&quot;:&quot;Gracia&quot;,&quot;given&quot;:&quot;Alvaro&quot;,&quot;parse-names&quot;:false,&quot;dropping-particle&quot;:&quot;&quot;,&quot;non-dropping-particle&quot;:&quot;de&quot;},{&quot;family&quot;:&quot;Fernández&quot;,&quot;given&quot;:&quot;Cèsar&quot;,&quot;parse-names&quot;:false,&quot;dropping-particle&quot;:&quot;&quot;,&quot;non-dropping-particle&quot;:&quot;&quot;},{&quot;family&quot;:&quot;Cabeza&quot;,&quot;given&quot;:&quot;Luisa F.&quot;,&quot;parse-names&quot;:false,&quot;dropping-particle&quot;:&quot;&quot;,&quot;non-dropping-particle&quot;:&quot;&quot;}],&quot;container-title&quot;:&quot;Applied Energy&quot;,&quot;container-title-short&quot;:&quot;Appl Energy&quot;,&quot;accessed&quot;:{&quot;date-parts&quot;:[[2021,8,31]]},&quot;DOI&quot;:&quot;10.1016/j.apenergy.2017.05.107&quot;,&quot;ISSN&quot;:&quot;03062619&quot;,&quot;issued&quot;:{&quot;date-parts&quot;:[[2017,9,15]]},&quot;page&quot;:&quot;420-434&quot;,&quot;abstract&quot;:&quot;Globally, a considerable amount of energy is consumed by the building sector. The building envelope can highly influence the energy consumption in buildings. In this regard, innovative technologies such as thermal energy storage (TES) can help to boost the energy efficiency and to reduce the CO2 emissions in this sector. The use of phase change materials (PCM), due to its high heat capacity, has been the centre of attention of many researchers. A considerable number of papers have been published on the application of PCM as passive system in building envelopes. Researches have shown that choosing the PCM melting temperature in different climate conditions is a key factor to improve the energy performance in buildings. In the present paper, a simulation-based optimization methodology will be presented by coupling EnergyPlus and GenOpt with an innovative enthalpy-temperature (h-T) function to define the optimum PCM peak melting temperature to enhance the cooling, heating, and the annual total heating and cooling energy performance of a residential building in various climate conditions based on Köppen-Geiger classification. Results show that in a cooling dominant climate the best PCM melting temperature to reduce the annual energy consumption is close to the maximum of 26 °C (melting range of 24–28 °C), whereas in heating dominant climates PCM with lower melting temperature of 20 °C (melting range of 18–22 °C) yields higher annual energy benefits. Moreover, it was found that the proper selection of PCM melting temperature in each climate zone can lead to notable energy savings for cooling energy consumption, heating energy consumption, and total annual energy consumption.&quot;,&quot;publisher&quot;:&quot;Elsevier&quot;,&quot;volume&quot;:&quot;202&quot;},&quot;isTemporary&quot;:false}]},{&quot;citationID&quot;:&quot;MENDELEY_CITATION_8389eed2-e5c0-47cc-b398-8f24337a2d89&quot;,&quot;properties&quot;:{&quot;noteIndex&quot;:0},&quot;isEdited&quot;:false,&quot;manualOverride&quot;:{&quot;isManuallyOverridden&quot;:false,&quot;citeprocText&quot;:&quot;[194]&quot;,&quot;manualOverrideText&quot;:&quot;&quot;},&quot;citationTag&quot;:&quot;MENDELEY_CITATION_v3_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&quot;,&quot;citationItems&quot;:[{&quot;id&quot;:&quot;92ae012f-4933-39f0-9f20-1b911bd19964&quot;,&quot;itemData&quot;:{&quot;type&quot;:&quot;article-journal&quot;,&quot;id&quot;:&quot;92ae012f-4933-39f0-9f20-1b911bd19964&quot;,&quot;title&quot;:&quot;Multi-objective optimization of energy performance of a building considering different configurations and types of PCM&quot;,&quot;author&quot;:[{&quot;family&quot;:&quot;Markarian&quot;,&quot;given&quot;:&quot;Elin&quot;,&quot;parse-names&quot;:false,&quot;dropping-particle&quot;:&quot;&quot;,&quot;non-dropping-particle&quot;:&quot;&quot;},{&quot;family&quot;:&quot;Fazelpour&quot;,&quot;given&quot;:&quot;Farivar&quot;,&quot;parse-names&quot;:false,&quot;dropping-particle&quot;:&quot;&quot;,&quot;non-dropping-particle&quot;:&quot;&quot;}],&quot;container-title&quot;:&quot;Solar Energy&quot;,&quot;accessed&quot;:{&quot;date-parts&quot;:[[2022,4,19]]},&quot;DOI&quot;:&quot;10.1016/J.SOLENER.2019.09.003&quot;,&quot;ISSN&quot;:&quot;0038-092X&quot;,&quot;issued&quot;:{&quot;date-parts&quot;:[[2019,10,1]]},&quot;page&quot;:&quot;481-496&quot;,&quot;abstract&quot;:&quot;Phase change materials (PCM) can be outfitted in building envelopes to not only provide thermal comfort for occupants but also trim heating, ventilation and air conditioning (HVAC) loads. However, the efficacy of PCMs depends highly on its thermo-physical properties and climatic condition. In this regard, a multi-objective optimization technique is adopted to unearth the optimal type and location of PCM that can minimize heating and cooling loads considering five cities of Iran namely Tehran, Tabriz, Bandar Abas, Shiraz and Yazd with distinctive climates. Then, the optimal PCMs are environmentally and economically assessed. The study showed that the PCM with a melting temperature of 25 °C outperforms in terms of cooling load while the PCM with a melting temperature of 21 °C favors the heating performance. Moreover, the utilization of PCM results in electricity saving of 4.5–5.5% for all the climates. On average, the annual carbon footprint is reduced by 1297 kg, 1420 kg, 2040 kg, 1027 kg, and 1248 kg for Tehran, Tabriz, Bandar Abas, Shiraz, and Yazd, respectively. The payback period was found to be more than 70 years for all the cities considering current economic conditions. However, the energy subsidies are projected to fall in the near future that may make PCM integration economically feasible.&quot;,&quot;publisher&quot;:&quot;Pergamon&quot;,&quot;volume&quot;:&quot;191&quot;,&quot;container-title-short&quot;:&quot;&quot;},&quot;isTemporary&quot;:false}]},{&quot;citationID&quot;:&quot;MENDELEY_CITATION_0388c577-8940-4dd9-87d9-eb4d317f543d&quot;,&quot;properties&quot;:{&quot;noteIndex&quot;:0},&quot;isEdited&quot;:false,&quot;manualOverride&quot;:{&quot;isManuallyOverridden&quot;:false,&quot;citeprocText&quot;:&quot;[168]&quot;,&quot;manualOverrideText&quot;:&quot;&quot;},&quot;citationTag&quot;:&quot;MENDELEY_CITATION_v3_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&quot;,&quot;citationItems&quot;:[{&quot;id&quot;:&quot;6052fad5-23c0-32ea-a740-aa6ebad5c9a2&quot;,&quot;itemData&quot;:{&quot;type&quot;:&quot;article-journal&quot;,&quot;id&quot;:&quot;6052fad5-23c0-32ea-a740-aa6ebad5c9a2&quot;,&quot;title&quot;:&quot;Optimal control of natural ventilation as passive cooling strategy for improving the energy performance of building envelope with PCM integration&quot;,&quot;author&quot;:[{&quot;family&quot;:&quot;Piselli&quot;,&quot;given&quot;:&quot;Cristina&quot;,&quot;parse-names&quot;:false,&quot;dropping-particle&quot;:&quot;&quot;,&quot;non-dropping-particle&quot;:&quot;&quot;},{&quot;family&quot;:&quot;Prabhakar&quot;,&quot;given&quot;:&quot;Mohit&quot;,&quot;parse-names&quot;:false,&quot;dropping-particle&quot;:&quot;&quot;,&quot;non-dropping-particle&quot;:&quot;&quot;},{&quot;family&quot;:&quot;Gracia&quot;,&quot;given&quot;:&quot;Alvaro&quot;,&quot;parse-names&quot;:false,&quot;dropping-particle&quot;:&quot;&quot;,&quot;non-dropping-particle&quot;:&quot;de&quot;},{&quot;family&quot;:&quot;Saffari&quot;,&quot;given&quot;:&quot;Mohammad&quot;,&quot;parse-names&quot;:false,&quot;dropping-particle&quot;:&quot;&quot;,&quot;non-dropping-particle&quot;:&quot;&quot;},{&quot;family&quot;:&quot;Pisello&quot;,&quot;given&quot;:&quot;Anna Laura&quot;,&quot;parse-names&quot;:false,&quot;dropping-particle&quot;:&quot;&quot;,&quot;non-dropping-particle&quot;:&quot;&quot;},{&quot;family&quot;:&quot;Cabeza&quot;,&quot;given&quot;:&quot;Luisa F.&quot;,&quot;parse-names&quot;:false,&quot;dropping-particle&quot;:&quot;&quot;,&quot;non-dropping-particle&quot;:&quot;&quot;}],&quot;container-title&quot;:&quot;Renewable Energy&quot;,&quot;container-title-short&quot;:&quot;Renew Energy&quot;,&quot;accessed&quot;:{&quot;date-parts&quot;:[[2021,9,2]]},&quot;DOI&quot;:&quot;10.1016/j.renene.2020.07.043&quot;,&quot;ISSN&quot;:&quot;18790682&quot;,&quot;issued&quot;:{&quot;date-parts&quot;:[[2020,12,1]]},&quot;page&quot;:&quot;171-181&quot;,&quot;abstract&quot;:&quot;Phase Change Materials have been acknowledged for their potential to be used as passive strategy for improving energy efficiency and occupants’ thermal comfort in buildings. However, their performance still needs to be enhanced to have them effectively used. In this view, this study investigates the potential improvement of PCMs performance for passive cooling application by efficient natural ventilation in residential building stock. Therefore, coupled dynamic simulation and optimization analysis is performed to explore the optimum melting temperature of PCM integrated in the external building envelope to minimize cooling loads in different Italian climate zones. Moreover, various natural ventilation control strategies are implemented to assess their influence on the process of PCM charge-discharge cycle. Results show that PCM inclusion in the building envelope provides significant cooling savings, up to about 300 kWh/year in mild climates. Furthermore, both night and temperature controlled natural ventilation are able to enhance the efficiency of PCMs thermal energy storage charge-discharge cycle. However, the optimum performance is obtained by coupling PCMs with natural ventilation controlled by indoor/outdoor temperature difference in all considered climate contexts. Accordingly, considerable building cooling energy need reduction is achievable through the optimum combination of PCMs and natural ventilation control, especially in milder climates.&quot;,&quot;publisher&quot;:&quot;Pergamon&quot;,&quot;volume&quot;:&quot;162&quot;},&quot;isTemporary&quot;:false}]},{&quot;citationID&quot;:&quot;MENDELEY_CITATION_b9ea214f-ffeb-426b-8c5c-2d958f9e72fc&quot;,&quot;properties&quot;:{&quot;noteIndex&quot;:0},&quot;isEdited&quot;:false,&quot;manualOverride&quot;:{&quot;isManuallyOverridden&quot;:false,&quot;citeprocText&quot;:&quot;[170]&quot;,&quot;manualOverrideText&quot;:&quot;&quot;},&quot;citationTag&quot;:&quot;MENDELEY_CITATION_v3_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&quot;,&quot;citationItems&quot;:[{&quot;id&quot;:&quot;c95ed18c-f458-3283-834e-f59e1e3ae5b5&quot;,&quot;itemData&quot;:{&quot;type&quot;:&quot;article-journal&quot;,&quot;id&quot;:&quot;c95ed18c-f458-3283-834e-f59e1e3ae5b5&quot;,&quot;title&quot;:&quot;Coupling optimization study of key influencing factors on PCM trombe wall for year thermal management&quot;,&quot;author&quot;:[{&quot;family&quot;:&quot;Zhu&quot;,&quot;given&quot;:&quot;Na&quot;,&quot;parse-names&quot;:false,&quot;dropping-particle&quot;:&quot;&quot;,&quot;non-dropping-particle&quot;:&quot;&quot;},{&quot;family&quot;:&quot;Deng&quot;,&quot;given&quot;:&quot;Renjie&quot;,&quot;parse-names&quot;:false,&quot;dropping-particle&quot;:&quot;&quot;,&quot;non-dropping-particle&quot;:&quot;&quot;},{&quot;family&quot;:&quot;Hu&quot;,&quot;given&quot;:&quot;Pingfang&quot;,&quot;parse-names&quot;:false,&quot;dropping-particle&quot;:&quot;&quot;,&quot;non-dropping-particle&quot;:&quot;&quot;},{&quot;family&quot;:&quot;Lei&quot;,&quot;given&quot;:&quot;Fei&quot;,&quot;parse-names&quot;:false,&quot;dropping-particle&quot;:&quot;&quot;,&quot;non-dropping-particle&quot;:&quot;&quot;},{&quot;family&quot;:&quot;Xu&quot;,&quot;given&quot;:&quot;Linghong&quot;,&quot;parse-names&quot;:false,&quot;dropping-particle&quot;:&quot;&quot;,&quot;non-dropping-particle&quot;:&quot;&quot;},{&quot;family&quot;:&quot;Jiang&quot;,&quot;given&quot;:&quot;Zhangning&quot;,&quot;parse-names&quot;:false,&quot;dropping-particle&quot;:&quot;&quot;,&quot;non-dropping-particle&quot;:&quot;&quot;}],&quot;container-title&quot;:&quot;Energy&quot;,&quot;accessed&quot;:{&quot;date-parts&quot;:[[2021,9,2]]},&quot;DOI&quot;:&quot;10.1016/j.energy.2021.121470&quot;,&quot;ISSN&quot;:&quot;03605442&quot;,&quot;issued&quot;:{&quot;date-parts&quot;:[[2021,12,1]]},&quot;page&quot;:&quot;121470&quot;,&quot;abstract&quot;:&quot;The proposed environment-interactive novel Trombe wall system was a passive building envelope integrated with phase change material (PCM) based on traditional Trombe wall. Compared with traditional Trombe wall system, this system can make full use of solar energy and nature ventilation, improving indoor thermal comfort. The dynamic heat transfer model of PCM Trombe room was established, and six key factors influencing thermal performance of PCM Trombe wall system were analyzed. Through the coupled operation of TRNSYS heat transfer model and GenOpt optimization software, the energy consumption characteristics of the system and the optimal value of the key influencing factors were analyzed and obtained. The optimal air gap thickness was 0.05 m, the optimal external sun-shading length was 0.78 m, the optimal thermal storage wall thickness was 0.68 m, the optimal vents area was 0.6 m2, the optimal melting temperature of lower temperature PCM layer was 16.5 °C, and the optimal melting temperature of higher temperature PCM layer was 27.75 °C. The annual total building load was reduced by 7.56% in optimized reference Trombe room compared with traditional Trombe wall, and the annual total building load was reduced by 13.52% in optimized PCM Trombe compared with reference Trombe wall.&quot;,&quot;publisher&quot;:&quot;Pergamon&quot;,&quot;volume&quot;:&quot;236&quot;,&quot;container-title-short&quot;:&quot;&quot;},&quot;isTemporary&quot;:false}]},{&quot;citationID&quot;:&quot;MENDELEY_CITATION_5c58a1b1-747b-4b62-85ac-42b596ca6e76&quot;,&quot;properties&quot;:{&quot;noteIndex&quot;:0},&quot;isEdited&quot;:false,&quot;manualOverride&quot;:{&quot;isManuallyOverridden&quot;:false,&quot;citeprocText&quot;:&quot;[195]&quot;,&quot;manualOverrideText&quot;:&quot;&quot;},&quot;citationTag&quot;:&quot;MENDELEY_CITATION_v3_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&quot;,&quot;citationItems&quot;:[{&quot;id&quot;:&quot;ee80310c-cb38-34f2-9402-599c0302ff6b&quot;,&quot;itemData&quot;:{&quot;type&quot;:&quot;report&quot;,&quot;id&quot;:&quot;ee80310c-cb38-34f2-9402-599c0302ff6b&quot;,&quot;title&quot;:&quot;Guide to determining climate regions by county&quot;,&quot;author&quot;:[{&quot;family&quot;:&quot;Baecheler&quot;,&quot;given&quot;:&quot;M.C.&quot;,&quot;parse-names&quot;:false,&quot;dropping-particle&quot;:&quot;&quot;,&quot;non-dropping-particle&quot;:&quot;&quot;},{&quot;family&quot;:&quot;Williamson&quot;,&quot;given&quot;:&quot;J.&quot;,&quot;parse-names&quot;:false,&quot;dropping-particle&quot;:&quot;&quot;,&quot;non-dropping-particle&quot;:&quot;&quot;},{&quot;family&quot;:&quot;Gilbride&quot;,&quot;given&quot;:&quot;T.&quot;,&quot;parse-names&quot;:false,&quot;dropping-particle&quot;:&quot;&quot;,&quot;non-dropping-particle&quot;:&quot;&quot;},{&quot;family&quot;:&quot;Cole&quot;,&quot;given&quot;:&quot;P.&quot;,&quot;parse-names&quot;:false,&quot;dropping-particle&quot;:&quot;&quot;,&quot;non-dropping-particle&quot;:&quot;&quot;},{&quot;family&quot;:&quot;Hefty&quot;,&quot;given&quot;:&quot;M.&quot;,&quot;parse-names&quot;:false,&quot;dropping-particle&quot;:&quot;&quot;,&quot;non-dropping-particle&quot;:&quot;&quot;},{&quot;family&quot;:&quot;Love&quot;,&quot;given&quot;:&quot;P.M.&quot;,&quot;parse-names&quot;:false,&quot;dropping-particle&quot;:&quot;&quot;,&quot;non-dropping-particle&quot;:&quot;&quot;}],&quot;container-title&quot;:&quot;Pacific Northwest National Laboratory &amp; Oak Ridge National Laboratory&quot;,&quot;accessed&quot;:{&quot;date-parts&quot;:[[2022,1,12]]},&quot;ISBN&quot;:&quot;PNNL-17211&quot;,&quot;URL&quot;:&quot;www.buildingamerica.gov&quot;,&quot;issued&quot;:{&quot;date-parts&quot;:[[2010]]},&quot;number-of-pages&quot;:&quot;1-34&quot;,&quot;abstract&quot;:&quot;This guide to climate zones is an update to Volume 7 in the Best Practices series of guides for home builders produced by the U.S. Department of Energy’s Building America Program. This guide describes the climate zone designations used by Building America and compares them with the climate zone designations used in the International Energy Conservation Code (IECC).&quot;,&quot;issue&quot;:&quot;August&quot;,&quot;volume&quot;:&quot;7&quot;,&quot;container-title-short&quot;:&quot;&quot;},&quot;isTemporary&quot;:false}]},{&quot;citationID&quot;:&quot;MENDELEY_CITATION_29c5655b-613b-43c6-ba4e-a80c5a02d9f4&quot;,&quot;properties&quot;:{&quot;noteIndex&quot;:0},&quot;isEdited&quot;:false,&quot;manualOverride&quot;:{&quot;isManuallyOverridden&quot;:false,&quot;citeprocText&quot;:&quot;[154]&quot;,&quot;manualOverrideText&quot;:&quot;&quot;},&quot;citationTag&quot;:&quot;MENDELEY_CITATION_v3_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&quot;,&quot;citationItems&quot;:[{&quot;id&quot;:&quot;aad07b45-f5e8-3a1b-9f6e-4305e44d0e90&quot;,&quot;itemData&quot;:{&quot;type&quot;:&quot;paper-conference&quot;,&quot;id&quot;:&quot;aad07b45-f5e8-3a1b-9f6e-4305e44d0e90&quot;,&quot;title&quot;:&quot;Analysis of Residential Time-of-Use Utility Rate Structures and Economic Implications for Thermal Energy Storage&quot;,&quot;author&quot;:[{&quot;family&quot;:&quot;Sultan&quot;,&quot;given&quot;:&quot;S&quot;,&quot;parse-names&quot;:false,&quot;dropping-particle&quot;:&quot;&quot;,&quot;non-dropping-particle&quot;:&quot;&quot;},{&quot;family&quot;:&quot;Hirschey&quot;,&quot;given&quot;:&quot;J&quot;,&quot;parse-names&quot;:false,&quot;dropping-particle&quot;:&quot;&quot;,&quot;non-dropping-particle&quot;:&quot;&quot;},{&quot;family&quot;:&quot;Gluesenkamp&quot;,&quot;given&quot;:&quot;KR&quot;,&quot;parse-names&quot;:false,&quot;dropping-particle&quot;:&quot;&quot;,&quot;non-dropping-particle&quot;:&quot;&quot;},{&quot;family&quot;:&quot;Graham&quot;,&quot;given&quot;:&quot;S&quot;,&quot;parse-names&quot;:false,&quot;dropping-particle&quot;:&quot;&quot;,&quot;non-dropping-particle&quot;:&quot;&quot;}],&quot;accessed&quot;:{&quot;date-parts&quot;:[[2021,8,31]]},&quot;URL&quot;:&quot;https://docs.lib.purdue.edu/cgi/viewcontent.cgi?article=1369&amp;context=ihpbc&quot;,&quot;issued&quot;:{&quot;date-parts&quot;:[[2021]]},&quot;page&quot;:&quot;1-10&quot;,&quot;abstract&quot;:&quot;Thermal energy storage (TES) is an increasingly popular tool to level out the daily electrical demand and add stability to the electrical grid as more intermittent renewable energy sources are installed. TES systems can locally decouple high thermal loads from the operation of a heat pump or reduce the electrical energy demand of the heat pump by providing a more favorable temperature gradient. In addition, many policy makers and utility providers have introduced time-of-use (TOU) rate schedules for residential customers to better reflect the price of electricity generation and demand for specific times. TOU rate schedules price grid-provided electricity differently throughout the day depending on the region's climate, time of year, and electrical production portfolio. Large differences between on-peak and off-peak electrical prices may create an economic advantage for a residential customer to install a TES system. In this work, the economic and energy savings are calculated for a modeled 223 square foot residential building with water/ice-based TES using a TOU rate structure. The weather data is from Fresno County, CA, ASHRAE climate zone 3B, and a representative residential TOU utility rate structure from a utility provider in California was used. The simulation was carried out for cooling only during a week of extreme hot summer daytime temperature and the results showed that total energy consumption could be reduced by 14.5% with an 87.5% reduction in on-peak energy usage when the TES is installed. The cost of operating this system for space cooling was reduced by nearly 20% using the sample utility rate plan.&quot;,&quot;container-title-short&quot;:&quot;&quot;},&quot;isTemporary&quot;:false}]},{&quot;citationID&quot;:&quot;MENDELEY_CITATION_7402fbca-0ce6-4eba-ba3c-c072c06d46e0&quot;,&quot;properties&quot;:{&quot;noteIndex&quot;:0},&quot;isEdited&quot;:false,&quot;manualOverride&quot;:{&quot;isManuallyOverridden&quot;:false,&quot;citeprocText&quot;:&quot;[154]&quot;,&quot;manualOverrideText&quot;:&quot;&quot;},&quot;citationTag&quot;:&quot;MENDELEY_CITATION_v3_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&quot;,&quot;citationItems&quot;:[{&quot;id&quot;:&quot;aad07b45-f5e8-3a1b-9f6e-4305e44d0e90&quot;,&quot;itemData&quot;:{&quot;type&quot;:&quot;paper-conference&quot;,&quot;id&quot;:&quot;aad07b45-f5e8-3a1b-9f6e-4305e44d0e90&quot;,&quot;title&quot;:&quot;Analysis of Residential Time-of-Use Utility Rate Structures and Economic Implications for Thermal Energy Storage&quot;,&quot;author&quot;:[{&quot;family&quot;:&quot;Sultan&quot;,&quot;given&quot;:&quot;S&quot;,&quot;parse-names&quot;:false,&quot;dropping-particle&quot;:&quot;&quot;,&quot;non-dropping-particle&quot;:&quot;&quot;},{&quot;family&quot;:&quot;Hirschey&quot;,&quot;given&quot;:&quot;J&quot;,&quot;parse-names&quot;:false,&quot;dropping-particle&quot;:&quot;&quot;,&quot;non-dropping-particle&quot;:&quot;&quot;},{&quot;family&quot;:&quot;Gluesenkamp&quot;,&quot;given&quot;:&quot;KR&quot;,&quot;parse-names&quot;:false,&quot;dropping-particle&quot;:&quot;&quot;,&quot;non-dropping-particle&quot;:&quot;&quot;},{&quot;family&quot;:&quot;Graham&quot;,&quot;given&quot;:&quot;S&quot;,&quot;parse-names&quot;:false,&quot;dropping-particle&quot;:&quot;&quot;,&quot;non-dropping-particle&quot;:&quot;&quot;}],&quot;accessed&quot;:{&quot;date-parts&quot;:[[2021,8,31]]},&quot;URL&quot;:&quot;https://docs.lib.purdue.edu/cgi/viewcontent.cgi?article=1369&amp;context=ihpbc&quot;,&quot;issued&quot;:{&quot;date-parts&quot;:[[2021]]},&quot;page&quot;:&quot;1-10&quot;,&quot;abstract&quot;:&quot;Thermal energy storage (TES) is an increasingly popular tool to level out the daily electrical demand and add stability to the electrical grid as more intermittent renewable energy sources are installed. TES systems can locally decouple high thermal loads from the operation of a heat pump or reduce the electrical energy demand of the heat pump by providing a more favorable temperature gradient. In addition, many policy makers and utility providers have introduced time-of-use (TOU) rate schedules for residential customers to better reflect the price of electricity generation and demand for specific times. TOU rate schedules price grid-provided electricity differently throughout the day depending on the region's climate, time of year, and electrical production portfolio. Large differences between on-peak and off-peak electrical prices may create an economic advantage for a residential customer to install a TES system. In this work, the economic and energy savings are calculated for a modeled 223 square foot residential building with water/ice-based TES using a TOU rate structure. The weather data is from Fresno County, CA, ASHRAE climate zone 3B, and a representative residential TOU utility rate structure from a utility provider in California was used. The simulation was carried out for cooling only during a week of extreme hot summer daytime temperature and the results showed that total energy consumption could be reduced by 14.5% with an 87.5% reduction in on-peak energy usage when the TES is installed. The cost of operating this system for space cooling was reduced by nearly 20% using the sample utility rate plan.&quot;,&quot;container-title-short&quot;:&quot;&quot;},&quot;isTemporary&quot;:false}]},{&quot;citationID&quot;:&quot;MENDELEY_CITATION_33980a15-f07a-4ce3-bd99-57d2a5bd7129&quot;,&quot;properties&quot;:{&quot;noteIndex&quot;:0},&quot;isEdited&quot;:false,&quot;manualOverride&quot;:{&quot;isManuallyOverridden&quot;:false,&quot;citeprocText&quot;:&quot;[196]&quot;,&quot;manualOverrideText&quot;:&quot;&quot;},&quot;citationTag&quot;:&quot;MENDELEY_CITATION_v3_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&quot;,&quot;citationItems&quot;:[{&quot;id&quot;:&quot;9cff4a1e-0d12-3405-852c-8bf2680a2206&quot;,&quot;itemData&quot;:{&quot;type&quot;:&quot;webpage&quot;,&quot;id&quot;:&quot;9cff4a1e-0d12-3405-852c-8bf2680a2206&quot;,&quot;title&quot;:&quot;NSRDB | TMY&quot;,&quot;accessed&quot;:{&quot;date-parts&quot;:[[2022,8,9]]},&quot;URL&quot;:&quot;https://nsrdb.nrel.gov/data-sets/tmy&quot;,&quot;container-title-short&quot;:&quot;&quot;},&quot;isTemporary&quot;:false}]},{&quot;citationID&quot;:&quot;MENDELEY_CITATION_1a28239e-d8df-4a99-a1fe-1fcc45895089&quot;,&quot;properties&quot;:{&quot;noteIndex&quot;:0},&quot;isEdited&quot;:false,&quot;manualOverride&quot;:{&quot;isManuallyOverridden&quot;:false,&quot;citeprocText&quot;:&quot;[195]&quot;,&quot;manualOverrideText&quot;:&quot;&quot;},&quot;citationTag&quot;:&quot;MENDELEY_CITATION_v3_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&quot;,&quot;citationItems&quot;:[{&quot;id&quot;:&quot;ee80310c-cb38-34f2-9402-599c0302ff6b&quot;,&quot;itemData&quot;:{&quot;type&quot;:&quot;report&quot;,&quot;id&quot;:&quot;ee80310c-cb38-34f2-9402-599c0302ff6b&quot;,&quot;title&quot;:&quot;Guide to determining climate regions by county&quot;,&quot;author&quot;:[{&quot;family&quot;:&quot;Baecheler&quot;,&quot;given&quot;:&quot;M.C.&quot;,&quot;parse-names&quot;:false,&quot;dropping-particle&quot;:&quot;&quot;,&quot;non-dropping-particle&quot;:&quot;&quot;},{&quot;family&quot;:&quot;Williamson&quot;,&quot;given&quot;:&quot;J.&quot;,&quot;parse-names&quot;:false,&quot;dropping-particle&quot;:&quot;&quot;,&quot;non-dropping-particle&quot;:&quot;&quot;},{&quot;family&quot;:&quot;Gilbride&quot;,&quot;given&quot;:&quot;T.&quot;,&quot;parse-names&quot;:false,&quot;dropping-particle&quot;:&quot;&quot;,&quot;non-dropping-particle&quot;:&quot;&quot;},{&quot;family&quot;:&quot;Cole&quot;,&quot;given&quot;:&quot;P.&quot;,&quot;parse-names&quot;:false,&quot;dropping-particle&quot;:&quot;&quot;,&quot;non-dropping-particle&quot;:&quot;&quot;},{&quot;family&quot;:&quot;Hefty&quot;,&quot;given&quot;:&quot;M.&quot;,&quot;parse-names&quot;:false,&quot;dropping-particle&quot;:&quot;&quot;,&quot;non-dropping-particle&quot;:&quot;&quot;},{&quot;family&quot;:&quot;Love&quot;,&quot;given&quot;:&quot;P.M.&quot;,&quot;parse-names&quot;:false,&quot;dropping-particle&quot;:&quot;&quot;,&quot;non-dropping-particle&quot;:&quot;&quot;}],&quot;container-title&quot;:&quot;Pacific Northwest National Laboratory &amp; Oak Ridge National Laboratory&quot;,&quot;accessed&quot;:{&quot;date-parts&quot;:[[2022,1,12]]},&quot;ISBN&quot;:&quot;PNNL-17211&quot;,&quot;URL&quot;:&quot;www.buildingamerica.gov&quot;,&quot;issued&quot;:{&quot;date-parts&quot;:[[2010]]},&quot;number-of-pages&quot;:&quot;1-34&quot;,&quot;abstract&quot;:&quot;This guide to climate zones is an update to Volume 7 in the Best Practices series of guides for home builders produced by the U.S. Department of Energy’s Building America Program. This guide describes the climate zone designations used by Building America and compares them with the climate zone designations used in the International Energy Conservation Code (IECC).&quot;,&quot;issue&quot;:&quot;August&quot;,&quot;volume&quot;:&quot;7&quot;,&quot;container-title-short&quot;:&quot;&quot;},&quot;isTemporary&quot;:false}]},{&quot;citationID&quot;:&quot;MENDELEY_CITATION_5a256d15-9aca-4e5b-923f-a96789ebeb54&quot;,&quot;properties&quot;:{&quot;noteIndex&quot;:0},&quot;isEdited&quot;:false,&quot;manualOverride&quot;:{&quot;isManuallyOverridden&quot;:true,&quot;citeprocText&quot;:&quot;[197], [198]&quot;,&quot;manualOverrideText&quot;:&quot;[45, 46]&quot;},&quot;citationTag&quot;:&quot;MENDELEY_CITATION_v3_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&quot;,&quot;citationItems&quot;:[{&quot;id&quot;:&quot;2891b1da-e572-396d-9b55-586dba196497&quot;,&quot;itemData&quot;:{&quot;type&quot;:&quot;article-journal&quot;,&quot;id&quot;:&quot;2891b1da-e572-396d-9b55-586dba196497&quot;,&quot;title&quot;:&quot;Crystallization and prevention of supercooling of microencapsulated n-alkanes&quot;,&quot;author&quot;:[{&quot;family&quot;:&quot;Zhang&quot;,&quot;given&quot;:&quot;Xing Xiang&quot;,&quot;parse-names&quot;:false,&quot;dropping-particle&quot;:&quot;&quot;,&quot;non-dropping-particle&quot;:&quot;&quot;},{&quot;family&quot;:&quot;Fan&quot;,&quot;given&quot;:&quot;Yao Feng&quot;,&quot;parse-names&quot;:false,&quot;dropping-particle&quot;:&quot;&quot;,&quot;non-dropping-particle&quot;:&quot;&quot;},{&quot;family&quot;:&quot;Tao&quot;,&quot;given&quot;:&quot;Xiao Ming&quot;,&quot;parse-names&quot;:false,&quot;dropping-particle&quot;:&quot;&quot;,&quot;non-dropping-particle&quot;:&quot;&quot;},{&quot;family&quot;:&quot;Yick&quot;,&quot;given&quot;:&quot;Kit Lun&quot;,&quot;parse-names&quot;:false,&quot;dropping-particle&quot;:&quot;&quot;,&quot;non-dropping-particle&quot;:&quot;&quot;}],&quot;container-title&quot;:&quot;Journal of Colloid and Interface Science&quot;,&quot;container-title-short&quot;:&quot;J Colloid Interface Sci&quot;,&quot;accessed&quot;:{&quot;date-parts&quot;:[[2023,4,24]]},&quot;DOI&quot;:&quot;10.1016/J.JCIS.2004.08.046&quot;,&quot;ISSN&quot;:&quot;0021-9797&quot;,&quot;issued&quot;:{&quot;date-parts&quot;:[[2005,1,15]]},&quot;page&quot;:&quot;299-306&quot;,&quot;abstract&quot;:&quot;Microencapsulated n-alkanes (n-octadecane, n-nonadecane, and n-eicosane) were synthesized by in situ polymerization using urea-melamine-formaldehyde polymer as shells. Microcapsules 5.0 and 10.0 wt% of 1-tetradecanol, paraffin, and 1-octadecanol were used as nucleating agents. The fabrication was characterized using Fourier transform infrared, light microscopy, and scanning electron microscopy. The crystallization and prevention of supercooling of the microcapsules are studied using differential scanning calorimetry (DSC) and wide-angle X-ray diffraction. The crystal system of the microencapsulated n-alkane is the same as that of the bulk. The enthalpies of the microcapsules containing 70 wt% n-alkanes are approximately 160 J/g. The melting temperature of the n-alkanes in the microcapsule is the same as that in the bulk. There are multiple peaks on the DSC cooling curves that are attributed to liquid-rotator, rotator-crystal, and liquid-crystal transitions. The DSC cooling behavior of microencapsulated n-octadecane is affected by the average diameters. The measured maximum degree of supercooling of the microencapsulated n-octadecane is approximately 26.0°C at a heating and cooling rate of 10.0°C/min. The degree of supercooling of microencapsulated n-octadecane is decreased by adding 10.0 wt% of 1-octadecanol as a nucleating agent. © 2004 Elsevier Inc. All rights reserved.&quot;,&quot;publisher&quot;:&quot;Academic Press&quot;,&quot;issue&quot;:&quot;2&quot;,&quot;volume&quot;:&quot;281&quot;},&quot;isTemporary&quot;:false},{&quot;id&quot;:&quot;2ccfb3a8-bb64-3eaa-b911-376fae106fd6&quot;,&quot;itemData&quot;:{&quot;type&quot;:&quot;article-journal&quot;,&quot;id&quot;:&quot;2ccfb3a8-bb64-3eaa-b911-376fae106fd6&quot;,&quot;title&quot;:&quot;Analysis of micro-dispersed PCM-composite boards behavior in a building's wall for different seasons&quot;,&quot;author&quot;:[{&quot;family&quot;:&quot;Omari&quot;,&quot;given&quot;:&quot;Kamal&quot;,&quot;parse-names&quot;:false,&quot;dropping-particle&quot;:&quot;&quot;,&quot;non-dropping-particle&quot;:&quot;El&quot;},{&quot;family&quot;:&quot;Guer&quot;,&quot;given&quot;:&quot;Yves&quot;,&quot;parse-names&quot;:false,&quot;dropping-particle&quot;:&quot;&quot;,&quot;non-dropping-particle&quot;:&quot;Le&quot;},{&quot;family&quot;:&quot;Bruel&quot;,&quot;given&quot;:&quot;Pascal&quot;,&quot;parse-names&quot;:false,&quot;dropping-particle&quot;:&quot;&quot;,&quot;non-dropping-particle&quot;:&quot;&quot;}],&quot;container-title&quot;:&quot;Journal of Building Engineering&quot;,&quot;accessed&quot;:{&quot;date-parts&quot;:[[2023,4,24]]},&quot;DOI&quot;:&quot;10.1016/J.JOBE.2016.07.013&quot;,&quot;ISSN&quot;:&quot;2352-7102&quot;,&quot;issued&quot;:{&quot;date-parts&quot;:[[2016,9,1]]},&quot;page&quot;:&quot;361-371&quot;,&quot;abstract&quot;:&quot;The integration of phase change materials (PCMs) in buildings especially in their walls is the subject of more than a decade of growing interest due to their potentialities for energy saving and enhancement of thermal comfort. The present investigation concerns the applications related to thermal insulation. The idealized composite wall considered here numerically can be thought of as resulting from the incorporation of shape-stabilized PCM particles in a polymer matrix. A novel model is developed to study the thermal behavior of this PCM-composite when used as a planar insulating material submitted to variable thermal modulations on one of its faces. The numerical model couples the heat transfer in the wall with the heat transfer and the crystallization/melting process within PCM inclusions considered as spherical. Both processes are modeled by a finite volume approach combined with the enthalpy method to account for the phase change. Simulation results are used to monitor the temperatures in the wall and quantify the energy exchanges between its two sides. The thickness of the wall and the volume fraction of the incorporated PCM were varied in this study. This analysis permits to point out the configurations for which the negative effect of the higher thermal conductivity of the PCM outweighs the benefits related to its latent heat. The analysis is extended to different external temperature modulations representing different typical seasons/climates. The results show the impact of the choice of the PCM phase change temperature on the wall thermal efficiency over the year. For the case investigated, it was shown that a PCM composite board with increased performances during a summer day exhibits a degraded behavior during a winter day when compared to a pure (without PCM) insulation material.&quot;,&quot;publisher&quot;:&quot;Elsevier&quot;,&quot;volume&quot;:&quot;7&quot;,&quot;container-title-short&quot;:&quot;&quot;},&quot;isTemporary&quot;:false}]},{&quot;citationID&quot;:&quot;MENDELEY_CITATION_a5fbeac2-5a91-46a4-b442-b69c30ce98d1&quot;,&quot;properties&quot;:{&quot;noteIndex&quot;:0},&quot;isEdited&quot;:false,&quot;manualOverride&quot;:{&quot;isManuallyOverridden&quot;:false,&quot;citeprocText&quot;:&quot;[154], [199]&quot;,&quot;manualOverrideText&quot;:&quot;&quot;},&quot;citationTag&quot;:&quot;MENDELEY_CITATION_v3_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&quot;,&quot;citationItems&quot;:[{&quot;id&quot;:&quot;aad07b45-f5e8-3a1b-9f6e-4305e44d0e90&quot;,&quot;itemData&quot;:{&quot;type&quot;:&quot;paper-conference&quot;,&quot;id&quot;:&quot;aad07b45-f5e8-3a1b-9f6e-4305e44d0e90&quot;,&quot;title&quot;:&quot;Analysis of Residential Time-of-Use Utility Rate Structures and Economic Implications for Thermal Energy Storage&quot;,&quot;author&quot;:[{&quot;family&quot;:&quot;Sultan&quot;,&quot;given&quot;:&quot;S&quot;,&quot;parse-names&quot;:false,&quot;dropping-particle&quot;:&quot;&quot;,&quot;non-dropping-particle&quot;:&quot;&quot;},{&quot;family&quot;:&quot;Hirschey&quot;,&quot;given&quot;:&quot;J&quot;,&quot;parse-names&quot;:false,&quot;dropping-particle&quot;:&quot;&quot;,&quot;non-dropping-particle&quot;:&quot;&quot;},{&quot;family&quot;:&quot;Gluesenkamp&quot;,&quot;given&quot;:&quot;KR&quot;,&quot;parse-names&quot;:false,&quot;dropping-particle&quot;:&quot;&quot;,&quot;non-dropping-particle&quot;:&quot;&quot;},{&quot;family&quot;:&quot;Graham&quot;,&quot;given&quot;:&quot;S&quot;,&quot;parse-names&quot;:false,&quot;dropping-particle&quot;:&quot;&quot;,&quot;non-dropping-particle&quot;:&quot;&quot;}],&quot;accessed&quot;:{&quot;date-parts&quot;:[[2021,8,31]]},&quot;URL&quot;:&quot;https://docs.lib.purdue.edu/cgi/viewcontent.cgi?article=1369&amp;context=ihpbc&quot;,&quot;issued&quot;:{&quot;date-parts&quot;:[[2021]]},&quot;page&quot;:&quot;1-10&quot;,&quot;abstract&quot;:&quot;Thermal energy storage (TES) is an increasingly popular tool to level out the daily electrical demand and add stability to the electrical grid as more intermittent renewable energy sources are installed. TES systems can locally decouple high thermal loads from the operation of a heat pump or reduce the electrical energy demand of the heat pump by providing a more favorable temperature gradient. In addition, many policy makers and utility providers have introduced time-of-use (TOU) rate schedules for residential customers to better reflect the price of electricity generation and demand for specific times. TOU rate schedules price grid-provided electricity differently throughout the day depending on the region's climate, time of year, and electrical production portfolio. Large differences between on-peak and off-peak electrical prices may create an economic advantage for a residential customer to install a TES system. In this work, the economic and energy savings are calculated for a modeled 223 square foot residential building with water/ice-based TES using a TOU rate structure. The weather data is from Fresno County, CA, ASHRAE climate zone 3B, and a representative residential TOU utility rate structure from a utility provider in California was used. The simulation was carried out for cooling only during a week of extreme hot summer daytime temperature and the results showed that total energy consumption could be reduced by 14.5% with an 87.5% reduction in on-peak energy usage when the TES is installed. The cost of operating this system for space cooling was reduced by nearly 20% using the sample utility rate plan.&quot;,&quot;container-title-short&quot;:&quot;&quot;},&quot;isTemporary&quot;:false},{&quot;id&quot;:&quot;ec412ba9-e6a9-38e6-9dcf-d4d15a9cc2cb&quot;,&quot;itemData&quot;:{&quot;type&quot;:&quot;article-journal&quot;,&quot;id&quot;:&quot;ec412ba9-e6a9-38e6-9dcf-d4d15a9cc2cb&quot;,&quot;title&quot;:&quot;A simplified regression building thermal model of detached two-floor house in U.S. for virtual energy storage control&quot;,&quot;author&quot;:[{&quot;family&quot;:&quot;Cui&quot;,&quot;given&quot;:&quot;Borui&quot;,&quot;parse-names&quot;:false,&quot;dropping-particle&quot;:&quot;&quot;,&quot;non-dropping-particle&quot;:&quot;&quot;},{&quot;family&quot;:&quot;Dong&quot;,&quot;given&quot;:&quot;Jin&quot;,&quot;parse-names&quot;:false,&quot;dropping-particle&quot;:&quot;&quot;,&quot;non-dropping-particle&quot;:&quot;&quot;},{&quot;family&quot;:&quot;Munk&quot;,&quot;given&quot;:&quot;Jeffrey&quot;,&quot;parse-names&quot;:false,&quot;dropping-particle&quot;:&quot;&quot;,&quot;non-dropping-particle&quot;:&quot;&quot;},{&quot;family&quot;:&quot;Mao&quot;,&quot;given&quot;:&quot;Ning&quot;,&quot;parse-names&quot;:false,&quot;dropping-particle&quot;:&quot;&quot;,&quot;non-dropping-particle&quot;:&quot;&quot;},{&quot;family&quot;:&quot;Kuruganti&quot;,&quot;given&quot;:&quot;Teja&quot;,&quot;parse-names&quot;:false,&quot;dropping-particle&quot;:&quot;&quot;,&quot;non-dropping-particle&quot;:&quot;&quot;}],&quot;container-title&quot;:&quot;International High Performance Buildings Conference&quot;,&quot;accessed&quot;:{&quot;date-parts&quot;:[[2023,3,7]]},&quot;URL&quot;:&quot;https://docs.lib.purdue.edu/ihpbc/284&quot;,&quot;issued&quot;:{&quot;date-parts&quot;:[[2018,7,12]]},&quot;container-title-short&quot;:&quot;&quot;},&quot;isTemporary&quot;:false}]},{&quot;citationID&quot;:&quot;MENDELEY_CITATION_10a39c1d-0e57-41cf-b856-7f030cd083a2&quot;,&quot;properties&quot;:{&quot;noteIndex&quot;:0},&quot;isEdited&quot;:false,&quot;manualOverride&quot;:{&quot;isManuallyOverridden&quot;:false,&quot;citeprocText&quot;:&quot;[200]&quot;,&quot;manualOverrideText&quot;:&quot;&quot;},&quot;citationTag&quot;:&quot;MENDELEY_CITATION_v3_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&quot;,&quot;citationItems&quot;:[{&quot;id&quot;:&quot;c1816975-1c55-3b0a-8a3a-5f56a145ca03&quot;,&quot;itemData&quot;:{&quot;type&quot;:&quot;webpage&quot;,&quot;id&quot;:&quot;c1816975-1c55-3b0a-8a3a-5f56a145ca03&quot;,&quot;title&quot;:&quot;Prototype Building Models | Building Energy Codes Program&quot;,&quot;accessed&quot;:{&quot;date-parts&quot;:[[2023,3,7]]},&quot;URL&quot;:&quot;https://www.energycodes.gov/prototype-building-models#Residential&quot;,&quot;container-title-short&quot;:&quot;&quot;},&quot;isTemporary&quot;:false}]},{&quot;citationID&quot;:&quot;MENDELEY_CITATION_b48ebc86-bafb-47a2-9604-1844bbffc6e7&quot;,&quot;properties&quot;:{&quot;noteIndex&quot;:0},&quot;isEdited&quot;:false,&quot;manualOverride&quot;:{&quot;isManuallyOverridden&quot;:false,&quot;citeprocText&quot;:&quot;[201]&quot;,&quot;manualOverrideText&quot;:&quot;&quot;},&quot;citationTag&quot;:&quot;MENDELEY_CITATION_v3_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&quot;,&quot;citationItems&quot;:[{&quot;id&quot;:&quot;4e271998-46a5-35c3-a117-4d942edef4f8&quot;,&quot;itemData&quot;:{&quot;type&quot;:&quot;webpage&quot;,&quot;id&quot;:&quot;4e271998-46a5-35c3-a117-4d942edef4f8&quot;,&quot;title&quot;:&quot;Climate and Average Weather Year Round in Houston, Texas, United States&quot;,&quot;accessed&quot;:{&quot;date-parts&quot;:[[2023,1,24]]},&quot;URL&quot;:&quot;https://weatherspark.com/y/9247/Average-Weather-in-Houston-Texas-United-States-Year-Round&quot;,&quot;container-title-short&quot;:&quot;&quot;},&quot;isTemporary&quot;:false}]},{&quot;citationID&quot;:&quot;MENDELEY_CITATION_a400d7b2-497a-4bb6-b0dc-820ba4028d6e&quot;,&quot;properties&quot;:{&quot;noteIndex&quot;:0},&quot;isEdited&quot;:false,&quot;manualOverride&quot;:{&quot;isManuallyOverridden&quot;:false,&quot;citeprocText&quot;:&quot;[154]&quot;,&quot;manualOverrideText&quot;:&quot;&quot;},&quot;citationTag&quot;:&quot;MENDELEY_CITATION_v3_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&quot;,&quot;citationItems&quot;:[{&quot;id&quot;:&quot;aad07b45-f5e8-3a1b-9f6e-4305e44d0e90&quot;,&quot;itemData&quot;:{&quot;type&quot;:&quot;paper-conference&quot;,&quot;id&quot;:&quot;aad07b45-f5e8-3a1b-9f6e-4305e44d0e90&quot;,&quot;title&quot;:&quot;Analysis of Residential Time-of-Use Utility Rate Structures and Economic Implications for Thermal Energy Storage&quot;,&quot;author&quot;:[{&quot;family&quot;:&quot;Sultan&quot;,&quot;given&quot;:&quot;S&quot;,&quot;parse-names&quot;:false,&quot;dropping-particle&quot;:&quot;&quot;,&quot;non-dropping-particle&quot;:&quot;&quot;},{&quot;family&quot;:&quot;Hirschey&quot;,&quot;given&quot;:&quot;J&quot;,&quot;parse-names&quot;:false,&quot;dropping-particle&quot;:&quot;&quot;,&quot;non-dropping-particle&quot;:&quot;&quot;},{&quot;family&quot;:&quot;Gluesenkamp&quot;,&quot;given&quot;:&quot;KR&quot;,&quot;parse-names&quot;:false,&quot;dropping-particle&quot;:&quot;&quot;,&quot;non-dropping-particle&quot;:&quot;&quot;},{&quot;family&quot;:&quot;Graham&quot;,&quot;given&quot;:&quot;S&quot;,&quot;parse-names&quot;:false,&quot;dropping-particle&quot;:&quot;&quot;,&quot;non-dropping-particle&quot;:&quot;&quot;}],&quot;accessed&quot;:{&quot;date-parts&quot;:[[2021,8,31]]},&quot;URL&quot;:&quot;https://docs.lib.purdue.edu/cgi/viewcontent.cgi?article=1369&amp;context=ihpbc&quot;,&quot;issued&quot;:{&quot;date-parts&quot;:[[2021]]},&quot;page&quot;:&quot;1-10&quot;,&quot;abstract&quot;:&quot;Thermal energy storage (TES) is an increasingly popular tool to level out the daily electrical demand and add stability to the electrical grid as more intermittent renewable energy sources are installed. TES systems can locally decouple high thermal loads from the operation of a heat pump or reduce the electrical energy demand of the heat pump by providing a more favorable temperature gradient. In addition, many policy makers and utility providers have introduced time-of-use (TOU) rate schedules for residential customers to better reflect the price of electricity generation and demand for specific times. TOU rate schedules price grid-provided electricity differently throughout the day depending on the region's climate, time of year, and electrical production portfolio. Large differences between on-peak and off-peak electrical prices may create an economic advantage for a residential customer to install a TES system. In this work, the economic and energy savings are calculated for a modeled 223 square foot residential building with water/ice-based TES using a TOU rate structure. The weather data is from Fresno County, CA, ASHRAE climate zone 3B, and a representative residential TOU utility rate structure from a utility provider in California was used. The simulation was carried out for cooling only during a week of extreme hot summer daytime temperature and the results showed that total energy consumption could be reduced by 14.5% with an 87.5% reduction in on-peak energy usage when the TES is installed. The cost of operating this system for space cooling was reduced by nearly 20% using the sample utility rate plan.&quot;,&quot;container-title-short&quot;:&quot;&quot;},&quot;isTemporary&quot;:false}]},{&quot;citationID&quot;:&quot;MENDELEY_CITATION_29f6f6bc-16c8-424f-8de0-6ad29b985a44&quot;,&quot;properties&quot;:{&quot;noteIndex&quot;:0},&quot;isEdited&quot;:false,&quot;manualOverride&quot;:{&quot;isManuallyOverridden&quot;:false,&quot;citeprocText&quot;:&quot;[154]&quot;,&quot;manualOverrideText&quot;:&quot;&quot;},&quot;citationTag&quot;:&quot;MENDELEY_CITATION_v3_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&quot;,&quot;citationItems&quot;:[{&quot;id&quot;:&quot;aad07b45-f5e8-3a1b-9f6e-4305e44d0e90&quot;,&quot;itemData&quot;:{&quot;type&quot;:&quot;paper-conference&quot;,&quot;id&quot;:&quot;aad07b45-f5e8-3a1b-9f6e-4305e44d0e90&quot;,&quot;title&quot;:&quot;Analysis of Residential Time-of-Use Utility Rate Structures and Economic Implications for Thermal Energy Storage&quot;,&quot;author&quot;:[{&quot;family&quot;:&quot;Sultan&quot;,&quot;given&quot;:&quot;S&quot;,&quot;parse-names&quot;:false,&quot;dropping-particle&quot;:&quot;&quot;,&quot;non-dropping-particle&quot;:&quot;&quot;},{&quot;family&quot;:&quot;Hirschey&quot;,&quot;given&quot;:&quot;J&quot;,&quot;parse-names&quot;:false,&quot;dropping-particle&quot;:&quot;&quot;,&quot;non-dropping-particle&quot;:&quot;&quot;},{&quot;family&quot;:&quot;Gluesenkamp&quot;,&quot;given&quot;:&quot;KR&quot;,&quot;parse-names&quot;:false,&quot;dropping-particle&quot;:&quot;&quot;,&quot;non-dropping-particle&quot;:&quot;&quot;},{&quot;family&quot;:&quot;Graham&quot;,&quot;given&quot;:&quot;S&quot;,&quot;parse-names&quot;:false,&quot;dropping-particle&quot;:&quot;&quot;,&quot;non-dropping-particle&quot;:&quot;&quot;}],&quot;accessed&quot;:{&quot;date-parts&quot;:[[2021,8,31]]},&quot;URL&quot;:&quot;https://docs.lib.purdue.edu/cgi/viewcontent.cgi?article=1369&amp;context=ihpbc&quot;,&quot;issued&quot;:{&quot;date-parts&quot;:[[2021]]},&quot;page&quot;:&quot;1-10&quot;,&quot;abstract&quot;:&quot;Thermal energy storage (TES) is an increasingly popular tool to level out the daily electrical demand and add stability to the electrical grid as more intermittent renewable energy sources are installed. TES systems can locally decouple high thermal loads from the operation of a heat pump or reduce the electrical energy demand of the heat pump by providing a more favorable temperature gradient. In addition, many policy makers and utility providers have introduced time-of-use (TOU) rate schedules for residential customers to better reflect the price of electricity generation and demand for specific times. TOU rate schedules price grid-provided electricity differently throughout the day depending on the region's climate, time of year, and electrical production portfolio. Large differences between on-peak and off-peak electrical prices may create an economic advantage for a residential customer to install a TES system. In this work, the economic and energy savings are calculated for a modeled 223 square foot residential building with water/ice-based TES using a TOU rate structure. The weather data is from Fresno County, CA, ASHRAE climate zone 3B, and a representative residential TOU utility rate structure from a utility provider in California was used. The simulation was carried out for cooling only during a week of extreme hot summer daytime temperature and the results showed that total energy consumption could be reduced by 14.5% with an 87.5% reduction in on-peak energy usage when the TES is installed. The cost of operating this system for space cooling was reduced by nearly 20% using the sample utility rate plan.&quot;,&quot;container-title-short&quot;:&quot;&quot;},&quot;isTemporary&quot;:false}]},{&quot;citationID&quot;:&quot;MENDELEY_CITATION_f1daa50a-197d-48b9-8eab-ff71c6d455c3&quot;,&quot;properties&quot;:{&quot;noteIndex&quot;:0},&quot;isEdited&quot;:false,&quot;manualOverride&quot;:{&quot;isManuallyOverridden&quot;:false,&quot;citeprocText&quot;:&quot;[1]–[3]&quot;,&quot;manualOverrideText&quot;:&quot;&quot;},&quot;citationTag&quot;:&quot;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&quot;,&quot;citationItems&quot;:[{&quot;id&quot;:&quot;120b1b1d-d017-3375-9e86-adfedb999be9&quot;,&quot;itemData&quot;:{&quot;type&quot;:&quot;report&quot;,&quot;id&quot;:&quot;120b1b1d-d017-3375-9e86-adfedb999be9&quot;,&quot;title&quot;:&quot;Annual Energy Outlook 2020&quot;,&quot;author&quot;:[{&quot;family&quot;:&quot;U.S. EIA&quot;,&quot;given&quot;:&quot;&quot;,&quot;parse-names&quot;:false,&quot;dropping-particle&quot;:&quot;&quot;,&quot;non-dropping-particle&quot;:&quot;&quot;}],&quot;accessed&quot;:{&quot;date-parts&quot;:[[2020,4,19]]},&quot;URL&quot;:&quot;https://www.eia.gov/outlooks/aeo/&quot;,&quot;issued&quot;:{&quot;date-parts&quot;:[[2020]]},&quot;number-of-pages&quot;:&quot;1-161&quot;,&quot;container-title-short&quot;:&quot;&quot;},&quot;isTemporary&quot;:false},{&quot;id&quot;:&quot;a9b5d851-2126-3a57-b292-1b1efa907dcd&quot;,&quot;itemData&quot;:{&quot;type&quot;:&quot;article-journal&quot;,&quot;id&quot;:&quot;a9b5d851-2126-3a57-b292-1b1efa907dcd&quot;,&quot;title&quot;:&quot;Addressing energy storage needs at lower cost via on-site thermal energy storage in buildings&quot;,&quot;author&quot;:[{&quot;family&quot;:&quot;Odukomaiya&quot;,&quot;given&quot;:&quot;Adewale&quot;,&quot;parse-names&quot;:false,&quot;dropping-particle&quot;:&quot;&quot;,&quot;non-dropping-particle&quot;:&quot;&quot;},{&quot;family&quot;:&quot;Woods&quot;,&quot;given&quot;:&quot;Jason&quot;,&quot;parse-names&quot;:false,&quot;dropping-particle&quot;:&quot;&quot;,&quot;non-dropping-particle&quot;:&quot;&quot;},{&quot;family&quot;:&quot;James&quot;,&quot;given&quot;:&quot;Nelson&quot;,&quot;parse-names&quot;:false,&quot;dropping-particle&quot;:&quot;&quot;,&quot;non-dropping-particle&quot;:&quot;&quot;},{&quot;family&quot;:&quot;Kaur&quot;,&quot;given&quot;:&quot;Sumanjeet&quot;,&quot;parse-names&quot;:false,&quot;dropping-particle&quot;:&quot;&quot;,&quot;non-dropping-particle&quot;:&quot;&quot;},{&quot;family&quot;:&quot;Gluesenkamp&quot;,&quot;given&quot;:&quot;Kyle R.&quot;,&quot;parse-names&quot;:false,&quot;dropping-particle&quot;:&quot;&quot;,&quot;non-dropping-particle&quot;:&quot;&quot;},{&quot;family&quot;:&quot;Kumar&quot;,&quot;given&quot;:&quot;Navin&quot;,&quot;parse-names&quot;:false,&quot;dropping-particle&quot;:&quot;&quot;,&quot;non-dropping-particle&quot;:&quot;&quot;},{&quot;family&quot;:&quot;Mumme&quot;,&quot;given&quot;:&quot;Sven&quot;,&quot;parse-names&quot;:false,&quot;dropping-particle&quot;:&quot;&quot;,&quot;non-dropping-particle&quot;:&quot;&quot;},{&quot;family&quot;:&quot;Jackson&quot;,&quot;given&quot;:&quot;Roderick&quot;,&quot;parse-names&quot;:false,&quot;dropping-particle&quot;:&quot;&quot;,&quot;non-dropping-particle&quot;:&quot;&quot;},{&quot;family&quot;:&quot;Prasher&quot;,&quot;given&quot;:&quot;Ravi&quot;,&quot;parse-names&quot;:false,&quot;dropping-particle&quot;:&quot;&quot;,&quot;non-dropping-particle&quot;:&quot;&quot;}],&quot;container-title&quot;:&quot;Energy &amp; Environmental Science&quot;,&quot;accessed&quot;:{&quot;date-parts&quot;:[[2022,4,18]]},&quot;DOI&quot;:&quot;10.1039/D1EE01992A&quot;,&quot;ISSN&quot;:&quot;17545706&quot;,&quot;URL&quot;:&quot;https://pubs.rsc.org/en/content/articlehtml/2021/ee/d1ee01992a&quot;,&quot;issued&quot;:{&quot;date-parts&quot;:[[2021,10,13]]},&quot;page&quot;:&quot;5315-5329&quot;,&quot;abstract&quot;:&quot;Cost-effective energy storage is a critical enabler for the large-scale deployment of renewable electricity. Significant resources have been directed toward developing cost-effective energy storage, with research and development efforts dominated by work on lithium ion (Li-ion) battery technology. Though Li-ion batteries have many attractive qualities, it is not clear whether they can provide an affordable levelized cost of storage (LCOS) for certain applications, such as buildings. Buildings consume most of the world's electricity, and as much as 50% of their consumption goes toward meeting thermal loads. Thermal energy storage (TES) can provide a cost-effective alternative to Li-ion batteries for buildings; however, two questions remain to be answered. First, how much of total building energy storage requirements can be met via thermal storage for building loads? Second, can the LCOS for TES be favorable compared with Li-ion batteries? In this perspective, using the United States as a case study, we show that the total requirement for TES in buildings is in the range of ∼1200-4500 electrical GW h, depending on the fraction of solar versus wind in the generation mix. Furthermore, we show that with at least 25% wind generation, all of the storage needed by buildings to support the grid can be met by TES. We also introduce a framework to calculate LCOS for on-site TES in buildings to enable a direct comparison with electrical storage technologies such as Li-ion batteries. This is not trivial, because the input energy type for TES (electricity) differs from the output energy type (thermal energy), and the efficiency can depend on ambient conditions. Our LCOS analysis shows that in many situations, TES can be more cost-effective for buildings than Li-ion batteries. We conclude our perspective by discussing future research and development opportunities that can significantly advance the deployment of TES for buildings to help enable a renewable electricity-dependent grid.&quot;,&quot;publisher&quot;:&quot;Royal Society of Chemistry&quot;,&quot;issue&quot;:&quot;10&quot;,&quot;volume&quot;:&quot;14&quot;,&quot;container-title-short&quot;:&quot;Energy Environ Sci&quot;},&quot;isTemporary&quot;:false},{&quot;id&quot;:&quot;d58303d9-4049-3b21-b4ce-c77cfc399f52&quot;,&quot;itemData&quot;:{&quot;type&quot;:&quot;paper-conference&quot;,&quot;id&quot;:&quot;d58303d9-4049-3b21-b4ce-c77cfc399f52&quot;,&quot;title&quot;:&quot;Novel PCM Integration with Electrical Heat Pump for Demand Response&quot;,&quot;author&quot;:[{&quot;family&quot;:&quot;Dong&quot;,&quot;given&quot;:&quot;Jin&quot;,&quot;parse-names&quot;:false,&quot;dropping-particle&quot;:&quot;&quot;,&quot;non-dropping-particle&quot;:&quot;&quot;},{&quot;family&quot;:&quot;Shen&quot;,&quot;given&quot;:&quot;Bo&quot;,&quot;parse-names&quot;:false,&quot;dropping-particle&quot;:&quot;&quot;,&quot;non-dropping-particle&quot;:&quot;&quot;},{&quot;family&quot;:&quot;Munk&quot;,&quot;given&quot;:&quot;Jeffrey&quot;,&quot;parse-names&quot;:false,&quot;dropping-particle&quot;:&quot;&quot;,&quot;non-dropping-particle&quot;:&quot;&quot;},{&quot;family&quot;:&quot;Gluesenkamp&quot;,&quot;given&quot;:&quot;Kyle R.&quot;,&quot;parse-names&quot;:false,&quot;dropping-particle&quot;:&quot;&quot;,&quot;non-dropping-particle&quot;:&quot;&quot;},{&quot;family&quot;:&quot;Laclair&quot;,&quot;given&quot;:&quot;Tim&quot;,&quot;parse-names&quot;:false,&quot;dropping-particle&quot;:&quot;&quot;,&quot;non-dropping-particle&quot;:&quot;&quot;},{&quot;family&quot;:&quot;Kuruganti&quot;,&quot;given&quot;:&quot;Teja&quot;,&quot;parse-names&quot;:false,&quot;dropping-particle&quot;:&quot;&quot;,&quot;non-dropping-particle&quot;:&quot;&quot;}],&quot;container-title&quot;:&quot;IEEE Power and Energy Society General Meeting&quot;,&quot;DOI&quot;:&quot;10.1109/PESGM40551.2019.8973936&quot;,&quot;ISBN&quot;:&quot;9781728119816&quot;,&quot;ISSN&quot;:&quot;19449933&quot;,&quot;issued&quot;:{&quot;date-parts&quot;:[[2019]]},&quot;abstract&quot;:&quot;In this paper, we examine the potential for using phase change material (PCM) as a thermal storage medium for improving the efficiency as well as enabling grid-responsive control of heat pump (HP) systems. Previous research in PCM integration in buildings has primarily been focused on integration with building envelopes. An objective of our research is to design a novel and practical PCM integration with existing HP systems. High-fidelity models for building, HP and PCM are developed to facilitate the model-based predictive control (MPC) design. To optimize the operation of HP and PCM, we introduce an optimization problem considering various constraints for both comfort and hardware constraints. We include experimental results in which a house fleet are optimized to minimize their power consumption or electricity cost. We numerically demonstrate the designs potential for reducing power consumption or electricity cost by 13% or 19%, respectively.&quot;,&quot;container-title-short&quot;:&quot;&quot;},&quot;isTemporary&quot;:false}]},{&quot;citationID&quot;:&quot;MENDELEY_CITATION_864a049a-4c6e-4df6-86a1-0d2490ea975c&quot;,&quot;properties&quot;:{&quot;noteIndex&quot;:0},&quot;isEdited&quot;:false,&quot;manualOverride&quot;:{&quot;isManuallyOverridden&quot;:false,&quot;citeprocText&quot;:&quot;[2]&quot;,&quot;manualOverrideText&quot;:&quot;&quot;},&quot;citationTag&quot;:&quot;MENDELEY_CITATION_v3_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&quot;,&quot;citationItems&quot;:[{&quot;id&quot;:&quot;a9b5d851-2126-3a57-b292-1b1efa907dcd&quot;,&quot;itemData&quot;:{&quot;type&quot;:&quot;article-journal&quot;,&quot;id&quot;:&quot;a9b5d851-2126-3a57-b292-1b1efa907dcd&quot;,&quot;title&quot;:&quot;Addressing energy storage needs at lower cost via on-site thermal energy storage in buildings&quot;,&quot;author&quot;:[{&quot;family&quot;:&quot;Odukomaiya&quot;,&quot;given&quot;:&quot;Adewale&quot;,&quot;parse-names&quot;:false,&quot;dropping-particle&quot;:&quot;&quot;,&quot;non-dropping-particle&quot;:&quot;&quot;},{&quot;family&quot;:&quot;Woods&quot;,&quot;given&quot;:&quot;Jason&quot;,&quot;parse-names&quot;:false,&quot;dropping-particle&quot;:&quot;&quot;,&quot;non-dropping-particle&quot;:&quot;&quot;},{&quot;family&quot;:&quot;James&quot;,&quot;given&quot;:&quot;Nelson&quot;,&quot;parse-names&quot;:false,&quot;dropping-particle&quot;:&quot;&quot;,&quot;non-dropping-particle&quot;:&quot;&quot;},{&quot;family&quot;:&quot;Kaur&quot;,&quot;given&quot;:&quot;Sumanjeet&quot;,&quot;parse-names&quot;:false,&quot;dropping-particle&quot;:&quot;&quot;,&quot;non-dropping-particle&quot;:&quot;&quot;},{&quot;family&quot;:&quot;Gluesenkamp&quot;,&quot;given&quot;:&quot;Kyle R.&quot;,&quot;parse-names&quot;:false,&quot;dropping-particle&quot;:&quot;&quot;,&quot;non-dropping-particle&quot;:&quot;&quot;},{&quot;family&quot;:&quot;Kumar&quot;,&quot;given&quot;:&quot;Navin&quot;,&quot;parse-names&quot;:false,&quot;dropping-particle&quot;:&quot;&quot;,&quot;non-dropping-particle&quot;:&quot;&quot;},{&quot;family&quot;:&quot;Mumme&quot;,&quot;given&quot;:&quot;Sven&quot;,&quot;parse-names&quot;:false,&quot;dropping-particle&quot;:&quot;&quot;,&quot;non-dropping-particle&quot;:&quot;&quot;},{&quot;family&quot;:&quot;Jackson&quot;,&quot;given&quot;:&quot;Roderick&quot;,&quot;parse-names&quot;:false,&quot;dropping-particle&quot;:&quot;&quot;,&quot;non-dropping-particle&quot;:&quot;&quot;},{&quot;family&quot;:&quot;Prasher&quot;,&quot;given&quot;:&quot;Ravi&quot;,&quot;parse-names&quot;:false,&quot;dropping-particle&quot;:&quot;&quot;,&quot;non-dropping-particle&quot;:&quot;&quot;}],&quot;container-title&quot;:&quot;Energy &amp; Environmental Science&quot;,&quot;accessed&quot;:{&quot;date-parts&quot;:[[2022,4,18]]},&quot;DOI&quot;:&quot;10.1039/D1EE01992A&quot;,&quot;ISSN&quot;:&quot;17545706&quot;,&quot;URL&quot;:&quot;https://pubs.rsc.org/en/content/articlehtml/2021/ee/d1ee01992a&quot;,&quot;issued&quot;:{&quot;date-parts&quot;:[[2021,10,13]]},&quot;page&quot;:&quot;5315-5329&quot;,&quot;abstract&quot;:&quot;Cost-effective energy storage is a critical enabler for the large-scale deployment of renewable electricity. Significant resources have been directed toward developing cost-effective energy storage, with research and development efforts dominated by work on lithium ion (Li-ion) battery technology. Though Li-ion batteries have many attractive qualities, it is not clear whether they can provide an affordable levelized cost of storage (LCOS) for certain applications, such as buildings. Buildings consume most of the world's electricity, and as much as 50% of their consumption goes toward meeting thermal loads. Thermal energy storage (TES) can provide a cost-effective alternative to Li-ion batteries for buildings; however, two questions remain to be answered. First, how much of total building energy storage requirements can be met via thermal storage for building loads? Second, can the LCOS for TES be favorable compared with Li-ion batteries? In this perspective, using the United States as a case study, we show that the total requirement for TES in buildings is in the range of ∼1200-4500 electrical GW h, depending on the fraction of solar versus wind in the generation mix. Furthermore, we show that with at least 25% wind generation, all of the storage needed by buildings to support the grid can be met by TES. We also introduce a framework to calculate LCOS for on-site TES in buildings to enable a direct comparison with electrical storage technologies such as Li-ion batteries. This is not trivial, because the input energy type for TES (electricity) differs from the output energy type (thermal energy), and the efficiency can depend on ambient conditions. Our LCOS analysis shows that in many situations, TES can be more cost-effective for buildings than Li-ion batteries. We conclude our perspective by discussing future research and development opportunities that can significantly advance the deployment of TES for buildings to help enable a renewable electricity-dependent grid.&quot;,&quot;publisher&quot;:&quot;Royal Society of Chemistry&quot;,&quot;issue&quot;:&quot;10&quot;,&quot;volume&quot;:&quot;14&quot;,&quot;container-title-short&quot;:&quot;Energy Environ Sci&quot;},&quot;isTemporary&quot;:false}]},{&quot;citationID&quot;:&quot;MENDELEY_CITATION_ee191a2f-14ea-4f4e-b6ca-eb76b2266060&quot;,&quot;properties&quot;:{&quot;noteIndex&quot;:0},&quot;isEdited&quot;:false,&quot;manualOverride&quot;:{&quot;isManuallyOverridden&quot;:false,&quot;citeprocText&quot;:&quot;[2], [137], [154], [202]&quot;,&quot;manualOverrideText&quot;:&quot;&quot;},&quot;citationTag&quot;:&quot;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&quot;,&quot;citationItems&quot;:[{&quot;id&quot;:&quot;a9b5d851-2126-3a57-b292-1b1efa907dcd&quot;,&quot;itemData&quot;:{&quot;type&quot;:&quot;article-journal&quot;,&quot;id&quot;:&quot;a9b5d851-2126-3a57-b292-1b1efa907dcd&quot;,&quot;title&quot;:&quot;Addressing energy storage needs at lower cost via on-site thermal energy storage in buildings&quot;,&quot;author&quot;:[{&quot;family&quot;:&quot;Odukomaiya&quot;,&quot;given&quot;:&quot;Adewale&quot;,&quot;parse-names&quot;:false,&quot;dropping-particle&quot;:&quot;&quot;,&quot;non-dropping-particle&quot;:&quot;&quot;},{&quot;family&quot;:&quot;Woods&quot;,&quot;given&quot;:&quot;Jason&quot;,&quot;parse-names&quot;:false,&quot;dropping-particle&quot;:&quot;&quot;,&quot;non-dropping-particle&quot;:&quot;&quot;},{&quot;family&quot;:&quot;James&quot;,&quot;given&quot;:&quot;Nelson&quot;,&quot;parse-names&quot;:false,&quot;dropping-particle&quot;:&quot;&quot;,&quot;non-dropping-particle&quot;:&quot;&quot;},{&quot;family&quot;:&quot;Kaur&quot;,&quot;given&quot;:&quot;Sumanjeet&quot;,&quot;parse-names&quot;:false,&quot;dropping-particle&quot;:&quot;&quot;,&quot;non-dropping-particle&quot;:&quot;&quot;},{&quot;family&quot;:&quot;Gluesenkamp&quot;,&quot;given&quot;:&quot;Kyle R.&quot;,&quot;parse-names&quot;:false,&quot;dropping-particle&quot;:&quot;&quot;,&quot;non-dropping-particle&quot;:&quot;&quot;},{&quot;family&quot;:&quot;Kumar&quot;,&quot;given&quot;:&quot;Navin&quot;,&quot;parse-names&quot;:false,&quot;dropping-particle&quot;:&quot;&quot;,&quot;non-dropping-particle&quot;:&quot;&quot;},{&quot;family&quot;:&quot;Mumme&quot;,&quot;given&quot;:&quot;Sven&quot;,&quot;parse-names&quot;:false,&quot;dropping-particle&quot;:&quot;&quot;,&quot;non-dropping-particle&quot;:&quot;&quot;},{&quot;family&quot;:&quot;Jackson&quot;,&quot;given&quot;:&quot;Roderick&quot;,&quot;parse-names&quot;:false,&quot;dropping-particle&quot;:&quot;&quot;,&quot;non-dropping-particle&quot;:&quot;&quot;},{&quot;family&quot;:&quot;Prasher&quot;,&quot;given&quot;:&quot;Ravi&quot;,&quot;parse-names&quot;:false,&quot;dropping-particle&quot;:&quot;&quot;,&quot;non-dropping-particle&quot;:&quot;&quot;}],&quot;container-title&quot;:&quot;Energy &amp; Environmental Science&quot;,&quot;accessed&quot;:{&quot;date-parts&quot;:[[2022,4,18]]},&quot;DOI&quot;:&quot;10.1039/D1EE01992A&quot;,&quot;ISSN&quot;:&quot;17545706&quot;,&quot;URL&quot;:&quot;https://pubs.rsc.org/en/content/articlehtml/2021/ee/d1ee01992a&quot;,&quot;issued&quot;:{&quot;date-parts&quot;:[[2021,10,13]]},&quot;page&quot;:&quot;5315-5329&quot;,&quot;abstract&quot;:&quot;Cost-effective energy storage is a critical enabler for the large-scale deployment of renewable electricity. Significant resources have been directed toward developing cost-effective energy storage, with research and development efforts dominated by work on lithium ion (Li-ion) battery technology. Though Li-ion batteries have many attractive qualities, it is not clear whether they can provide an affordable levelized cost of storage (LCOS) for certain applications, such as buildings. Buildings consume most of the world's electricity, and as much as 50% of their consumption goes toward meeting thermal loads. Thermal energy storage (TES) can provide a cost-effective alternative to Li-ion batteries for buildings; however, two questions remain to be answered. First, how much of total building energy storage requirements can be met via thermal storage for building loads? Second, can the LCOS for TES be favorable compared with Li-ion batteries? In this perspective, using the United States as a case study, we show that the total requirement for TES in buildings is in the range of ∼1200-4500 electrical GW h, depending on the fraction of solar versus wind in the generation mix. Furthermore, we show that with at least 25% wind generation, all of the storage needed by buildings to support the grid can be met by TES. We also introduce a framework to calculate LCOS for on-site TES in buildings to enable a direct comparison with electrical storage technologies such as Li-ion batteries. This is not trivial, because the input energy type for TES (electricity) differs from the output energy type (thermal energy), and the efficiency can depend on ambient conditions. Our LCOS analysis shows that in many situations, TES can be more cost-effective for buildings than Li-ion batteries. We conclude our perspective by discussing future research and development opportunities that can significantly advance the deployment of TES for buildings to help enable a renewable electricity-dependent grid.&quot;,&quot;publisher&quot;:&quot;Royal Society of Chemistry&quot;,&quot;issue&quot;:&quot;10&quot;,&quot;volume&quot;:&quot;14&quot;,&quot;container-title-short&quot;:&quot;Energy Environ Sci&quot;},&quot;isTemporary&quot;:false},{&quot;id&quot;:&quot;c5a3ee0f-7291-3242-9619-dc4036755ccc&quot;,&quot;itemData&quot;:{&quot;type&quot;:&quot;article-journal&quot;,&quot;id&quot;:&quot;c5a3ee0f-7291-3242-9619-dc4036755ccc&quot;,&quot;title&quot;:&quot;A hybrid optimization-based scheduling strategy for combined cooling, heating, and power system with thermal energy storage&quot;,&quot;author&quot;:[{&quot;family&quot;:&quot;Li&quot;,&quot;given&quot;:&quot;Fan&quot;,&quot;parse-names&quot;:false,&quot;dropping-particle&quot;:&quot;&quot;,&quot;non-dropping-particle&quot;:&quot;&quot;},{&quot;family&quot;:&quot;Sun&quot;,&quot;given&quot;:&quot;Bo&quot;,&quot;parse-names&quot;:false,&quot;dropping-particle&quot;:&quot;&quot;,&quot;non-dropping-particle&quot;:&quot;&quot;},{&quot;family&quot;:&quot;Zhang&quot;,&quot;given&quot;:&quot;Chenghui&quot;,&quot;parse-names&quot;:false,&quot;dropping-particle&quot;:&quot;&quot;,&quot;non-dropping-particle&quot;:&quot;&quot;},{&quot;family&quot;:&quot;Liu&quot;,&quot;given&quot;:&quot;Che&quot;,&quot;parse-names&quot;:false,&quot;dropping-particle&quot;:&quot;&quot;,&quot;non-dropping-particle&quot;:&quot;&quot;}],&quot;container-title&quot;:&quot;Energy&quot;,&quot;accessed&quot;:{&quot;date-parts&quot;:[[2022,4,18]]},&quot;DOI&quot;:&quot;10.1016/J.ENERGY.2019.115948&quot;,&quot;ISSN&quot;:&quot;0360-5442&quot;,&quot;issued&quot;:{&quot;date-parts&quot;:[[2019,12,1]]},&quot;page&quot;:&quot;115948&quot;,&quot;abstract&quot;:&quot;Energy storage can address the mismatch of the ratio of heat to electricity between a combined cooling, heating, and power (CCHP) system and its users, and thus, it can significantly improve energy efficiency. However, energy storage also increases the complexity of the operation optimization of the system. Existing heuristic optimization algorithms such as genetic algorithm (GA) and particle swarm optimization can hardly obtain the optimal scheduling scheme. In this paper, a hybrid optimization method that combines the GA and dynamic programming (DP) is proposed. The GA is the main optimization framework and is used to optimize the hourly set points of the power generation unit in a day. In the optimization process, the GA generates a feasible solution set, and calls the DP to calculate the optimal energy storage set points for each solution. The DP defines an hour as a decision step, and enumerates all energy storage states in each decision step. This process loops until the optimal solution is obtained. To reduce the computing time, the DP is implemented as a vectorized code. Case studies are conducted to verify the effectiveness of the proposed method. The results demonstrate that the overall performance using the proposed method increases by 1.92% in summer and by 1.91% in winter compared with that using the traditional GA method. Furthermore, the computing time is acceptable for the scheduling of the energy system. The proposed method can also be applied to the operation optimization of the CCHP system considering the demand side response.&quot;,&quot;publisher&quot;:&quot;Pergamon&quot;,&quot;volume&quot;:&quot;188&quot;,&quot;container-title-short&quot;:&quot;&quot;},&quot;isTemporary&quot;:false},{&quot;id&quot;:&quot;aad07b45-f5e8-3a1b-9f6e-4305e44d0e90&quot;,&quot;itemData&quot;:{&quot;type&quot;:&quot;paper-conference&quot;,&quot;id&quot;:&quot;aad07b45-f5e8-3a1b-9f6e-4305e44d0e90&quot;,&quot;title&quot;:&quot;Analysis of Residential Time-of-Use Utility Rate Structures and Economic Implications for Thermal Energy Storage&quot;,&quot;author&quot;:[{&quot;family&quot;:&quot;Sultan&quot;,&quot;given&quot;:&quot;S&quot;,&quot;parse-names&quot;:false,&quot;dropping-particle&quot;:&quot;&quot;,&quot;non-dropping-particle&quot;:&quot;&quot;},{&quot;family&quot;:&quot;Hirschey&quot;,&quot;given&quot;:&quot;J&quot;,&quot;parse-names&quot;:false,&quot;dropping-particle&quot;:&quot;&quot;,&quot;non-dropping-particle&quot;:&quot;&quot;},{&quot;family&quot;:&quot;Gluesenkamp&quot;,&quot;given&quot;:&quot;KR&quot;,&quot;parse-names&quot;:false,&quot;dropping-particle&quot;:&quot;&quot;,&quot;non-dropping-particle&quot;:&quot;&quot;},{&quot;family&quot;:&quot;Graham&quot;,&quot;given&quot;:&quot;S&quot;,&quot;parse-names&quot;:false,&quot;dropping-particle&quot;:&quot;&quot;,&quot;non-dropping-particle&quot;:&quot;&quot;}],&quot;accessed&quot;:{&quot;date-parts&quot;:[[2021,8,31]]},&quot;URL&quot;:&quot;https://docs.lib.purdue.edu/cgi/viewcontent.cgi?article=1369&amp;context=ihpbc&quot;,&quot;issued&quot;:{&quot;date-parts&quot;:[[2021]]},&quot;page&quot;:&quot;1-10&quot;,&quot;abstract&quot;:&quot;Thermal energy storage (TES) is an increasingly popular tool to level out the daily electrical demand and add stability to the electrical grid as more intermittent renewable energy sources are installed. TES systems can locally decouple high thermal loads from the operation of a heat pump or reduce the electrical energy demand of the heat pump by providing a more favorable temperature gradient. In addition, many policy makers and utility providers have introduced time-of-use (TOU) rate schedules for residential customers to better reflect the price of electricity generation and demand for specific times. TOU rate schedules price grid-provided electricity differently throughout the day depending on the region's climate, time of year, and electrical production portfolio. Large differences between on-peak and off-peak electrical prices may create an economic advantage for a residential customer to install a TES system. In this work, the economic and energy savings are calculated for a modeled 223 square foot residential building with water/ice-based TES using a TOU rate structure. The weather data is from Fresno County, CA, ASHRAE climate zone 3B, and a representative residential TOU utility rate structure from a utility provider in California was used. The simulation was carried out for cooling only during a week of extreme hot summer daytime temperature and the results showed that total energy consumption could be reduced by 14.5% with an 87.5% reduction in on-peak energy usage when the TES is installed. The cost of operating this system for space cooling was reduced by nearly 20% using the sample utility rate plan.&quot;,&quot;container-title-short&quot;:&quot;&quot;},&quot;isTemporary&quot;:false},{&quot;id&quot;:&quot;5fe76538-f179-3a02-8ba5-d6061256b0c7&quot;,&quot;itemData&quot;:{&quot;type&quot;:&quot;article-journal&quot;,&quot;id&quot;:&quot;5fe76538-f179-3a02-8ba5-d6061256b0c7&quot;,&quot;title&quot;:&quot;Energy performance and optimal control of air-conditioned buildings with envelopes enhanced by phase change materials&quot;,&quot;author&quot;:[{&quot;family&quot;:&quot;Zhu&quot;,&quot;given&quot;:&quot;Na&quot;,&quot;parse-names&quot;:false,&quot;dropping-particle&quot;:&quot;&quot;,&quot;non-dropping-particle&quot;:&quot;&quot;},{&quot;family&quot;:&quot;Wang&quot;,&quot;given&quot;:&quot;Shengwei&quot;,&quot;parse-names&quot;:false,&quot;dropping-particle&quot;:&quot;&quot;,&quot;non-dropping-particle&quot;:&quot;&quot;},{&quot;family&quot;:&quot;Ma&quot;,&quot;given&quot;:&quot;Zhenjun&quot;,&quot;parse-names&quot;:false,&quot;dropping-particle&quot;:&quot;&quot;,&quot;non-dropping-particle&quot;:&quot;&quot;},{&quot;family&quot;:&quot;Sun&quot;,&quot;given&quot;:&quot;Yongjun&quot;,&quot;parse-names&quot;:false,&quot;dropping-particle&quot;:&quot;&quot;,&quot;non-dropping-particle&quot;:&quot;&quot;}],&quot;container-title&quot;:&quot;Energy Conversion and Management&quot;,&quot;accessed&quot;:{&quot;date-parts&quot;:[[2020,4,29]]},&quot;DOI&quot;:&quot;10.1016/j.enconman.2011.05.011&quot;,&quot;ISSN&quot;:&quot;01968904&quot;,&quot;issued&quot;:{&quot;date-parts&quot;:[[2011,9,1]]},&quot;page&quot;:&quot;3197-3205&quot;,&quot;abstract&quot;:&quot;Studies are conducted to investigate the impacts of shape-stabilized phase change material (SSPCM) and different control strategies on the energy consumption and peak load demand as well as electricity cost of building air-conditioning systems at typical summer conditions in two climates (subtropical and dry continental climates). An office building using a typical variable air volume (VAV) air-conditioning system was selected and simulated as the reference building in this study. Its envelopes were enhanced by integrating the SSPCM layers into its walls while the air-conditioning system and other configurations of the building remained unchanged. The building system was tested under two typical weather conditions and two typical electricity pricing policies (i.e., time-based pricing and energy-plus-demand-based pricing). Test results show that the use of SSPCM in the building could reduce the building electricity cost significantly (over 11% in electricity cost reduction and over 20% in peak load reduction), under two pricing policies by using load shifting control and demand limiting control respectively. This paper presents the test results and the evaluation on the energy performance and the optimal control strategies of air-conditioned commercial buildings with envelopes enhanced by SSPCM. © 2011 Elsevier Ltd. All rights reserved.&quot;,&quot;publisher&quot;:&quot;Elsevier Ltd&quot;,&quot;issue&quot;:&quot;10&quot;,&quot;volume&quot;:&quot;52&quot;,&quot;container-title-short&quot;:&quot;Energy Convers Manag&quot;},&quot;isTemporary&quot;:false}]},{&quot;citationID&quot;:&quot;MENDELEY_CITATION_65108ebf-18fa-4361-87c0-aefdcc98e5f6&quot;,&quot;properties&quot;:{&quot;noteIndex&quot;:0},&quot;isEdited&quot;:false,&quot;manualOverride&quot;:{&quot;isManuallyOverridden&quot;:false,&quot;citeprocText&quot;:&quot;[34]–[36]&quot;,&quot;manualOverrideText&quot;:&quot;&quot;},&quot;citationTag&quot;:&quot;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&quot;,&quot;citationItems&quot;:[{&quot;id&quot;:&quot;514651b1-1ec8-3fc8-acf4-e4213dcba05f&quot;,&quot;itemData&quot;:{&quot;type&quot;:&quot;article-journal&quot;,&quot;id&quot;:&quot;514651b1-1ec8-3fc8-acf4-e4213dcba05f&quot;,&quot;title&quot;:&quot;Smart integration of photovoltaic production, heat pump and thermal energy storage in residential applications&quot;,&quot;author&quot;:[{&quot;family&quot;:&quot;Facci&quot;,&quot;given&quot;:&quot;Andrea L.&quot;,&quot;parse-names&quot;:false,&quot;dropping-particle&quot;:&quot;&quot;,&quot;non-dropping-particle&quot;:&quot;&quot;},{&quot;family&quot;:&quot;Krastev&quot;,&quot;given&quot;:&quot;Vesselin K.&quot;,&quot;parse-names&quot;:false,&quot;dropping-particle&quot;:&quot;&quot;,&quot;non-dropping-particle&quot;:&quot;&quot;},{&quot;family&quot;:&quot;Falcucci&quot;,&quot;given&quot;:&quot;Giacomo&quot;,&quot;parse-names&quot;:false,&quot;dropping-particle&quot;:&quot;&quot;,&quot;non-dropping-particle&quot;:&quot;&quot;},{&quot;family&quot;:&quot;Ubertini&quot;,&quot;given&quot;:&quot;Stefano&quot;,&quot;parse-names&quot;:false,&quot;dropping-particle&quot;:&quot;&quot;,&quot;non-dropping-particle&quot;:&quot;&quot;}],&quot;container-title&quot;:&quot;Solar Energy&quot;,&quot;accessed&quot;:{&quot;date-parts&quot;:[[2022,4,18]]},&quot;DOI&quot;:&quot;10.1016/J.SOLENER.2018.06.017&quot;,&quot;ISSN&quot;:&quot;0038-092X&quot;,&quot;issued&quot;:{&quot;date-parts&quot;:[[2019,11,1]]},&quot;page&quot;:&quot;133-143&quot;,&quot;abstract&quot;:&quot;The optimal design of distributed generation systems is of foremost importance to reduce fossil fuel consumption and mitigate the environmental impact of human activities in urban areas. Moreover, an efficient and integrated control strategy is needed for each of the components of a distributed generation plant, in order to reach the expected economic and environmental performances. In this paper, the transition from natural gas to electricity-based heating is evaluated for residential applications, considering the interplay between photovoltaic electricity produced on site and the thermal energy storage, to grant the optimal management of heating devices. The energy demand of an apartment building, under different climatic conditions, is taken as a reference and four power plant solutions are assessed in terms of energy cost and pollution reduction potential, compared to a baseline plant configuration. The performance of each power plant is analyzed assuming an optimized control strategy, which is determined through a graph-based methodology that was previously developed and validated by the authors. Outcomes from our study show that, if heat pumps are used instead of natural gas boilers, energy costs are reduced up to 41%, while CO2 emissions are reduced up to 73%, depending on the climatic conditions. Our results provide a sound basis for considering the larger penetration of photovoltaic plants as an effective solution towards cleaner and more efficient heating technologies for civil applications. The simultaneous utilization of heat pumps (as substitutes of boilers) and photovoltaic panels yields a positive synergy that nullifies the local pollution, drastically cuts the CO2 emission, and guarantees the economical sustainability of the investment in renewable energy sources without subsidiary mechanisms.&quot;,&quot;publisher&quot;:&quot;Pergamon&quot;,&quot;volume&quot;:&quot;192&quot;,&quot;container-title-short&quot;:&quot;&quot;},&quot;isTemporary&quot;:false},{&quot;id&quot;:&quot;feba1992-a290-3c10-9ce8-57daf58e9288&quot;,&quot;itemData&quot;:{&quot;type&quot;:&quot;article-journal&quot;,&quot;id&quot;:&quot;feba1992-a290-3c10-9ce8-57daf58e9288&quot;,&quot;title&quot;:&quot;Techno-economic analysis of decarbonizing building heating in Upstate New York using seasonal borehole thermal energy storage&quot;,&quot;author&quot;:[{&quot;family&quot;:&quot;Durga&quot;,&quot;given&quot;:&quot;Siddarth&quot;,&quot;parse-names&quot;:false,&quot;dropping-particle&quot;:&quot;&quot;,&quot;non-dropping-particle&quot;:&quot;&quot;},{&quot;family&quot;:&quot;Beckers&quot;,&quot;given&quot;:&quot;Koenraad F.&quot;,&quot;parse-names&quot;:false,&quot;dropping-particle&quot;:&quot;&quot;,&quot;non-dropping-particle&quot;:&quot;&quot;},{&quot;family&quot;:&quot;Taam&quot;,&quot;given&quot;:&quot;Milton&quot;,&quot;parse-names&quot;:false,&quot;dropping-particle&quot;:&quot;&quot;,&quot;non-dropping-particle&quot;:&quot;&quot;},{&quot;family&quot;:&quot;Horowitz&quot;,&quot;given&quot;:&quot;Frank&quot;,&quot;parse-names&quot;:false,&quot;dropping-particle&quot;:&quot;&quot;,&quot;non-dropping-particle&quot;:&quot;&quot;},{&quot;family&quot;:&quot;Cathles&quot;,&quot;given&quot;:&quot;Lawrence M.&quot;,&quot;parse-names&quot;:false,&quot;dropping-particle&quot;:&quot;&quot;,&quot;non-dropping-particle&quot;:&quot;&quot;},{&quot;family&quot;:&quot;Tester&quot;,&quot;given&quot;:&quot;Jefferson W.&quot;,&quot;parse-names&quot;:false,&quot;dropping-particle&quot;:&quot;&quot;,&quot;non-dropping-particle&quot;:&quot;&quot;}],&quot;container-title&quot;:&quot;Energy and Buildings&quot;,&quot;accessed&quot;:{&quot;date-parts&quot;:[[2022,4,18]]},&quot;DOI&quot;:&quot;10.1016/J.ENBUILD.2021.110890&quot;,&quot;ISSN&quot;:&quot;0378-7788&quot;,&quot;issued&quot;:{&quot;date-parts&quot;:[[2021,6,15]]},&quot;page&quot;:&quot;110890&quot;,&quot;abstract&quot;:&quot;On average, fossil fuel space heating constitutes 56% of a building's total energy usage in Upstate New York due to the cold winter climate. Similar levels of fossil fuel heating pertain in at least 15 states in the U.S. northern tier. To meet aggressive carbon reduction goals in this tier, decarbonizing the heat supply in the residential and commercial sector must be pursued. Using Borehole Thermal Energy Storage (BTES) to seasonally store excess thermal energy in the subsurface for later heating use is an innovative way to increase heating efficiency and lower carbon emissions. This paper investigates the technical and economic feasibility of heating Snee Hall on Cornell campus with unused summer steam from Cornell's Combined Heat and Power Plant stored in an optimized BTES array. Snee Hall is a 6855 m2 building with an annual total heating load of 3040 GJ. A standard 2-D transient subsurface conductive heat transfer model is coupled to a high temperature heat pump (delivering &gt; 60 °C) that can supply Snee Hall's existing radiators with 70 °C water. For local geological parameters, 94% of Snee Hall's winter space heating demand can be supplied by a 37-borehole array (90 m depth, 3 m spacing) and a 250-kW high temperature heat pump capacity with average coefficient of performance of 3.85. The calculated storage efficiency is 68.7% and the system has a 30-year net present value of about $526,400, an internal rate of return of 13%, and a payback period of 10 to 11 years. The system offsets about 6900 MMBTU (7280 GJ) of natural gas combustion and saves 250 MT CO2 emissions annually. The results of the single building analysis can be applied to other buildings on campus or in similar geologic settings in the U.S northern tier.&quot;,&quot;publisher&quot;:&quot;Elsevier&quot;,&quot;volume&quot;:&quot;241&quot;,&quot;container-title-short&quot;:&quot;Energy Build&quot;},&quot;isTemporary&quot;:false},{&quot;id&quot;:&quot;830f609c-b085-3030-ba2a-1bb310561073&quot;,&quot;itemData&quot;:{&quot;type&quot;:&quot;article-journal&quot;,&quot;id&quot;:&quot;830f609c-b085-3030-ba2a-1bb310561073&quot;,&quot;title&quot;:&quot;Towards low carbon homes – A simulation analysis of building-integrated air-source heat pump systems&quot;,&quot;author&quot;:[{&quot;family&quot;:&quot;Cabrol&quot;,&quot;given&quot;:&quot;Loïc&quot;,&quot;parse-names&quot;:false,&quot;dropping-particle&quot;:&quot;&quot;,&quot;non-dropping-particle&quot;:&quot;&quot;},{&quot;family&quot;:&quot;Rowley&quot;,&quot;given&quot;:&quot;Paul&quot;,&quot;parse-names&quot;:false,&quot;dropping-particle&quot;:&quot;&quot;,&quot;non-dropping-particle&quot;:&quot;&quot;}],&quot;container-title&quot;:&quot;Energy and Buildings&quot;,&quot;accessed&quot;:{&quot;date-parts&quot;:[[2022,4,19]]},&quot;DOI&quot;:&quot;10.1016/J.ENBUILD.2012.01.019&quot;,&quot;ISSN&quot;:&quot;0378-7788&quot;,&quot;issued&quot;:{&quot;date-parts&quot;:[[2012,5,1]]},&quot;page&quot;:&quot;127-136&quot;,&quot;abstract&quot;:&quot;A comparative transient simulation analysis for domestic buildings with a floor-embedded heating system coupled to a modern air source heat-pump (ASHP) has been carried out using the TRNSYS numerical modeling environment for various UK locations. The effects of heat-pump control during off-peak electricity tariff periods in conjunction with varying building fabric characteristics were analysed and the results show that for the locations investigated, running costs and CO 2 emissions were lower for the ASHP platform than for a comparative gas boiler heating system. It was also found that by utilizing the thermal mass of a concrete floor slab or by integrating external insulation, acceptable comfort levels during the heating season were maintained when operating the ASHP solely during off-peak tariff periods. A thinner concrete floor slab containing phase change material (PCM) provided a slightly improved comfort level during winter and also reduced overheating during summer in buildings with a high level of insulation. Finally, when utilising a floor-embedded PCM material, it was found that the thermal properties of the PCM material must be carefully matched with case-specific building fabric thermal performance parameters in order to ensure effective internal environmental control. © 2011 Elsevier B.V. All rights reserved.&quot;,&quot;publisher&quot;:&quot;Elsevier&quot;,&quot;volume&quot;:&quot;48&quot;,&quot;container-title-short&quot;:&quot;Energy Build&quot;},&quot;isTemporary&quot;:false}]},{&quot;citationID&quot;:&quot;MENDELEY_CITATION_12b04125-df0d-408e-b4ca-9e678b7bb907&quot;,&quot;properties&quot;:{&quot;noteIndex&quot;:0},&quot;isEdited&quot;:false,&quot;manualOverride&quot;:{&quot;isManuallyOverridden&quot;:false,&quot;citeprocText&quot;:&quot;[203], [204]&quot;,&quot;manualOverrideText&quot;:&quot;&quot;},&quot;citationTag&quot;:&quot;MENDELEY_CITATION_v3_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&quot;,&quot;citationItems&quot;:[{&quot;id&quot;:&quot;aaac7224-b43d-3cb9-ba03-e12f1f945a27&quot;,&quot;itemData&quot;:{&quot;type&quot;:&quot;article-journal&quot;,&quot;id&quot;:&quot;aaac7224-b43d-3cb9-ba03-e12f1f945a27&quot;,&quot;title&quot;:&quot;Carbon dioxide reduction using passive technique of incorporating phase change materials into envelopes: A case study of climate data from Saudi Arabia&quot;,&quot;author&quot;:[{&quot;family&quot;:&quot;Abu-Hamdeh&quot;,&quot;given&quot;:&quot;Nidal H.&quot;,&quot;parse-names&quot;:false,&quot;dropping-particle&quot;:&quot;&quot;,&quot;non-dropping-particle&quot;:&quot;&quot;},{&quot;family&quot;:&quot;Bantan&quot;,&quot;given&quot;:&quot;Rashad A.R.&quot;,&quot;parse-names&quot;:false,&quot;dropping-particle&quot;:&quot;&quot;,&quot;non-dropping-particle&quot;:&quot;&quot;},{&quot;family&quot;:&quot;Hatamleh&quot;,&quot;given&quot;:&quot;Randa I.&quot;,&quot;parse-names&quot;:false,&quot;dropping-particle&quot;:&quot;&quot;,&quot;non-dropping-particle&quot;:&quot;&quot;}],&quot;container-title&quot;:&quot;Journal of Energy Storage&quot;,&quot;accessed&quot;:{&quot;date-parts&quot;:[[2022,4,19]]},&quot;DOI&quot;:&quot;10.1016/J.EST.2022.104153&quot;,&quot;ISSN&quot;:&quot;2352-152X&quot;,&quot;issued&quot;:{&quot;date-parts&quot;:[[2022,5,1]]},&quot;page&quot;:&quot;104153&quot;,&quot;abstract&quot;:&quot;Buildings have been studied by researchers from the perspectives of energy consumption and Carbon dioxide (CO2) production. From the former perspective, they have a share of 40% and from the latter one, their share reaches over 35%. Focusing on reducing the building share of 35%, three phase change materials were injected into the envelopes. The phase change range of the first material was between 17-19∘C, the second material was 22-24 °C and the third one was 24-26 °C. The phase change material performance under constant indoor temperature conditions (24-26 °C), was discussed. It can change the positive effect of phase change material (CO2 saving) to a negative effect (CO2 emission intensification). The first PCM (phase transition of 17-19∘C) in all conditions reduced the emission of CO2. But the annual reduction was limited to 4 to 6.8%. For the second substance, different behavior was observed on hot and cool days. On cool days, the positive effects were small but the negative effects were greater. However, the positive effect of this substance on hot days caused this substance (except 26 °C) up to 35.7%, condensed CO2 emission. At setpoint 26 °C, the second substance increases CO2 production by 2.22 kg.m−2 if it is installed inside envelopes. The third phase change material showed the best performance in all conditions and is introduced as an obstacle to the release of CO2.&quot;,&quot;publisher&quot;:&quot;Elsevier&quot;,&quot;volume&quot;:&quot;49&quot;,&quot;container-title-short&quot;:&quot;J Energy Storage&quot;},&quot;isTemporary&quot;:false},{&quot;id&quot;:&quot;afc00785-5e2b-3d6b-a702-f1406c35e84f&quot;,&quot;itemData&quot;:{&quot;type&quot;:&quot;article-journal&quot;,&quot;id&quot;:&quot;afc00785-5e2b-3d6b-a702-f1406c35e84f&quot;,&quot;title&quot;:&quot;Energy, comfort, and environmental assessment of passive techniques integrated into low-energy residential buildings in semi-arid climate&quot;,&quot;author&quot;:[{&quot;family&quot;:&quot;Mousavi&quot;,&quot;given&quot;:&quot;Seyedehniloufar&quot;,&quot;parse-names&quot;:false,&quot;dropping-particle&quot;:&quot;&quot;,&quot;non-dropping-particle&quot;:&quot;&quot;},{&quot;family&quot;:&quot;Gijón-Rivera&quot;,&quot;given&quot;:&quot;M.&quot;,&quot;parse-names&quot;:false,&quot;dropping-particle&quot;:&quot;&quot;,&quot;non-dropping-particle&quot;:&quot;&quot;},{&quot;family&quot;:&quot;Rivera-Solorio&quot;,&quot;given&quot;:&quot;C.I.&quot;,&quot;parse-names&quot;:false,&quot;dropping-particle&quot;:&quot;&quot;,&quot;non-dropping-particle&quot;:&quot;&quot;},{&quot;family&quot;:&quot;Godoy Rangel&quot;,&quot;given&quot;:&quot;Caribay&quot;,&quot;parse-names&quot;:false,&quot;dropping-particle&quot;:&quot;&quot;,&quot;non-dropping-particle&quot;:&quot;&quot;}],&quot;container-title&quot;:&quot;Energy and Buildings&quot;,&quot;accessed&quot;:{&quot;date-parts&quot;:[[2022,4,19]]},&quot;DOI&quot;:&quot;10.1016/J.ENBUILD.2022.112053&quot;,&quot;ISSN&quot;:&quot;0378-7788&quot;,&quot;issued&quot;:{&quot;date-parts&quot;:[[2022,5,15]]},&quot;page&quot;:&quot;112053&quot;,&quot;abstract&quot;:&quot;Residential buildings consume a lot of energy, particularly after the recent pandemic and remote working lifestyle. Thus, it is crucial to design energy-efficient buildings that reduce energy consumption without losing indoor thermal comfort. In this regard, integrating affordable passive strategies can improve thermal comfort, energy efficiency, and other environmental setbacks. In this study, several passive techniques were parametrically analyzed and tested in real semi-arid conditions using building simulation tools. The analyzed passive strategies include a phase change material (PCM), reflective paint, insulation, double-clear glazing, double low-E glazing, reflective glazing, and shading. Three of Monterrey's major energy-consuming typical houses were analyzed, and the optimum configuration was selected based on annual energy saving and initial material cost-effectiveness. Although the PCM was thermally effective when integrated into walls and roofs, as well as in terms of total energy reduction, the results showed that it was not cost effective. Therefore, insulation and reflective paint in walls and roofs were applied in conjunction with low-E glazing and shading in all cases to save more than 50% of energy annually. The use of these energy-saving techniques increased the hours of comfort by up to 45%, resulting in a reduction of up to 3000 kgCO2e.&quot;,&quot;publisher&quot;:&quot;Elsevier&quot;,&quot;volume&quot;:&quot;263&quot;,&quot;container-title-short&quot;:&quot;Energy Build&quot;},&quot;isTemporary&quot;:false}]},{&quot;citationID&quot;:&quot;MENDELEY_CITATION_2605eb85-63f2-4e8a-93ba-ec7caebe2083&quot;,&quot;properties&quot;:{&quot;noteIndex&quot;:0},&quot;isEdited&quot;:false,&quot;manualOverride&quot;:{&quot;isManuallyOverridden&quot;:false,&quot;citeprocText&quot;:&quot;[205], [206]&quot;,&quot;manualOverrideText&quot;:&quot;&quot;},&quot;citationTag&quot;:&quot;MENDELEY_CITATION_v3_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&quot;,&quot;citationItems&quot;:[{&quot;id&quot;:&quot;8b7a5064-3cde-3f41-8e8f-3bddf4bc6026&quot;,&quot;itemData&quot;:{&quot;type&quot;:&quot;article-journal&quot;,&quot;id&quot;:&quot;8b7a5064-3cde-3f41-8e8f-3bddf4bc6026&quot;,&quot;title&quot;:&quot;Energy saving and CO2 reduction potential of external building walls containing two layers of phase change material&quot;,&quot;author&quot;:[{&quot;family&quot;:&quot;Arıcı&quot;,&quot;given&quot;:&quot;Müslüm&quot;,&quot;parse-names&quot;:false,&quot;dropping-particle&quot;:&quot;&quot;,&quot;non-dropping-particle&quot;:&quot;&quot;},{&quot;family&quot;:&quot;Bilgin&quot;,&quot;given&quot;:&quot;Feyza&quot;,&quot;parse-names&quot;:false,&quot;dropping-particle&quot;:&quot;&quot;,&quot;non-dropping-particle&quot;:&quot;&quot;},{&quot;family&quot;:&quot;Krajčík&quot;,&quot;given&quot;:&quot;Michal&quot;,&quot;parse-names&quot;:false,&quot;dropping-particle&quot;:&quot;&quot;,&quot;non-dropping-particle&quot;:&quot;&quot;},{&quot;family&quot;:&quot;Nižetić&quot;,&quot;given&quot;:&quot;Sandro&quot;,&quot;parse-names&quot;:false,&quot;dropping-particle&quot;:&quot;&quot;,&quot;non-dropping-particle&quot;:&quot;&quot;},{&quot;family&quot;:&quot;Karabay&quot;,&quot;given&quot;:&quot;Hasan&quot;,&quot;parse-names&quot;:false,&quot;dropping-particle&quot;:&quot;&quot;,&quot;non-dropping-particle&quot;:&quot;&quot;}],&quot;container-title&quot;:&quot;Energy&quot;,&quot;accessed&quot;:{&quot;date-parts&quot;:[[2022,4,19]]},&quot;DOI&quot;:&quot;10.1016/J.ENERGY.2022.124010&quot;,&quot;ISSN&quot;:&quot;0360-5442&quot;,&quot;URL&quot;:&quot;https://linkinghub.elsevier.com/retrieve/pii/S0360544222009136&quot;,&quot;issued&quot;:{&quot;date-parts&quot;:[[2022,4,16]]},&quot;page&quot;:&quot;124010&quot;,&quot;publisher&quot;:&quot;Pergamon&quot;,&quot;container-title-short&quot;:&quot;&quot;},&quot;isTemporary&quot;:false},{&quot;id&quot;:&quot;aeb9ad65-ba77-3c5b-9946-6606c6a1ca4b&quot;,&quot;itemData&quot;:{&quot;type&quot;:&quot;article-journal&quot;,&quot;id&quot;:&quot;aeb9ad65-ba77-3c5b-9946-6606c6a1ca4b&quot;,&quot;title&quot;:&quot;Assessment of CO2 emissions associated with HVAC system in buildings equipped with phase change materials&quot;,&quot;author&quot;:[{&quot;family&quot;:&quot;Farouk&quot;,&quot;given&quot;:&quot;Naeim&quot;,&quot;parse-names&quot;:false,&quot;dropping-particle&quot;:&quot;&quot;,&quot;non-dropping-particle&quot;:&quot;&quot;},{&quot;family&quot;:&quot;El-Rahman&quot;,&quot;given&quot;:&quot;Magda Abd&quot;,&quot;parse-names&quot;:false,&quot;dropping-particle&quot;:&quot;&quot;,&quot;non-dropping-particle&quot;:&quot;&quot;},{&quot;family&quot;:&quot;Sharifpur&quot;,&quot;given&quot;:&quot;Mohsen&quot;,&quot;parse-names&quot;:false,&quot;dropping-particle&quot;:&quot;&quot;,&quot;non-dropping-particle&quot;:&quot;&quot;},{&quot;family&quot;:&quot;Guo&quot;,&quot;given&quot;:&quot;Wei&quot;,&quot;parse-names&quot;:false,&quot;dropping-particle&quot;:&quot;&quot;,&quot;non-dropping-particle&quot;:&quot;&quot;}],&quot;container-title&quot;:&quot;Journal of Building Engineering&quot;,&quot;accessed&quot;:{&quot;date-parts&quot;:[[2022,4,19]]},&quot;DOI&quot;:&quot;10.1016/J.JOBE.2022.104236&quot;,&quot;ISSN&quot;:&quot;2352-7102&quot;,&quot;issued&quot;:{&quot;date-parts&quot;:[[2022,7,1]]},&quot;page&quot;:&quot;104236&quot;,&quot;abstract&quot;:&quot;In this study, the effect of PCM on reducing carbon dioxide emissions from the building associated with heating ventilation and air conditioning sector (HVAC) was investigated. Studies showed that a thickness of 8 cm of Polystyrene insulation is optimal for buildings in Riyadh. Therefore, in three cases, five different PCM types were added to the walls. In the first and second cases, the insulation thickness was 8 and 4 cm, respectively, and in the third case, the insulation was completely removed. The effect of PCM was assessed by evaluating the reduction in carbon dioxide emissions. PCM25HC was selected as the best candidate to reduce carbon dioxide emissions by recording 61.3%, 60.1%, and 65% in all cases. The presence of insulation with PCM reduced carbon dioxide emissions associated with the HVAC section. The effect of PCM reached its maximum in the third case, where there was no insulation. In the third case, for PCM18HC, PCM21HC, PCM24HC, PCM25HC, PCM26 and PCM28HC, as much as 13780, 22734, 23737, 24963, 16310 and 13780 kg, less CO2 was released.&quot;,&quot;publisher&quot;:&quot;Elsevier&quot;,&quot;volume&quot;:&quot;51&quot;,&quot;container-title-short&quot;:&quot;&quot;},&quot;isTemporary&quot;:false}]},{&quot;citationID&quot;:&quot;MENDELEY_CITATION_9d0411e4-abf7-4986-8730-6bfc34f6e60a&quot;,&quot;properties&quot;:{&quot;noteIndex&quot;:0},&quot;isEdited&quot;:false,&quot;manualOverride&quot;:{&quot;isManuallyOverridden&quot;:false,&quot;citeprocText&quot;:&quot;[23]&quot;,&quot;manualOverrideText&quot;:&quot;&quot;},&quot;citationTag&quot;:&quot;MENDELEY_CITATION_v3_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&quot;,&quot;citationItems&quot;:[{&quot;id&quot;:&quot;a99d46fa-950a-3fd3-904d-7caca65d5bdc&quot;,&quot;itemData&quot;:{&quot;type&quot;:&quot;article-magazine&quot;,&quot;id&quot;:&quot;a99d46fa-950a-3fd3-904d-7caca65d5bdc&quot;,&quot;title&quot;:&quot;The State of Art of Heat-Pump integrated Thermal Energy Storage for Demand Response&quot;,&quot;author&quot;:[{&quot;family&quot;:&quot;Sultan&quot;,&quot;given&quot;:&quot;Sara&quot;,&quot;parse-names&quot;:false,&quot;dropping-particle&quot;:&quot;&quot;,&quot;non-dropping-particle&quot;:&quot;&quot;},{&quot;family&quot;:&quot;Gluesenkamp&quot;,&quot;given&quot;:&quot;Kyle R&quot;,&quot;parse-names&quot;:false,&quot;dropping-particle&quot;:&quot;&quot;,&quot;non-dropping-particle&quot;:&quot;&quot;},{&quot;family&quot;:&quot;States&quot;,&quot;given&quot;:&quot;United&quot;,&quot;parse-names&quot;:false,&quot;dropping-particle&quot;:&quot;&quot;,&quot;non-dropping-particle&quot;:&quot;&quot;}],&quot;container-title&quot;:&quot;IEA Heat Pump Technologies Magazine&quot;,&quot;DOI&quot;:&quot;https://doi.org/10.23697/62tr-nt79&quot;,&quot;URL&quot;:&quot;https://heatpumpingtechnologies.org/publications/the-state-of-art-of-heat-pump-integrated-thermal-energy-storage-for-demand-response/&quot;,&quot;issued&quot;:{&quot;date-parts&quot;:[[2021]]},&quot;page&quot;:&quot;27-30&quot;,&quot;issue&quot;:&quot;2&quot;,&quot;volume&quot;:&quot;40&quot;,&quot;container-title-short&quot;:&quot;&quot;},&quot;isTemporary&quot;:false}]},{&quot;citationID&quot;:&quot;MENDELEY_CITATION_df5bad2a-cc84-4920-9c13-675535ce63b3&quot;,&quot;properties&quot;:{&quot;noteIndex&quot;:0},&quot;isEdited&quot;:false,&quot;manualOverride&quot;:{&quot;isManuallyOverridden&quot;:false,&quot;citeprocText&quot;:&quot;[207]&quot;,&quot;manualOverrideText&quot;:&quot;&quot;},&quot;citationTag&quot;:&quot;MENDELEY_CITATION_v3_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&quot;,&quot;citationItems&quot;:[{&quot;id&quot;:&quot;c32cdd38-b88b-3c85-ae09-2ced23f7c47a&quot;,&quot;itemData&quot;:{&quot;type&quot;:&quot;article-journal&quot;,&quot;id&quot;:&quot;c32cdd38-b88b-3c85-ae09-2ced23f7c47a&quot;,&quot;title&quot;:&quot;An optimisation framework for thermal energy storage integration in a residential heat pump heating system&quot;,&quot;author&quot;:[{&quot;family&quot;:&quot;Renaldi&quot;,&quot;given&quot;:&quot;R.&quot;,&quot;parse-names&quot;:false,&quot;dropping-particle&quot;:&quot;&quot;,&quot;non-dropping-particle&quot;:&quot;&quot;},{&quot;family&quot;:&quot;Kiprakis&quot;,&quot;given&quot;:&quot;A.&quot;,&quot;parse-names&quot;:false,&quot;dropping-particle&quot;:&quot;&quot;,&quot;non-dropping-particle&quot;:&quot;&quot;},{&quot;family&quot;:&quot;Friedrich&quot;,&quot;given&quot;:&quot;D.&quot;,&quot;parse-names&quot;:false,&quot;dropping-particle&quot;:&quot;&quot;,&quot;non-dropping-particle&quot;:&quot;&quot;}],&quot;container-title&quot;:&quot;Applied Energy&quot;,&quot;accessed&quot;:{&quot;date-parts&quot;:[[2022,4,18]]},&quot;DOI&quot;:&quot;10.1016/J.APENERGY.2016.02.067&quot;,&quot;ISSN&quot;:&quot;0306-2619&quot;,&quot;issued&quot;:{&quot;date-parts&quot;:[[2017,1,15]]},&quot;page&quot;:&quot;520-529&quot;,&quot;abstract&quot;:&quot;Domestic heating has a large share in the UK total energy consumption and significant contribution to the greenhouse gas emissions since it is mainly fulfilled by fossil fuels. Therefore, decarbonising the heating system is essential and an option to achieve this is by heating system electrification through heat pumps (HP) installation in combination with renewable power generation. A potential increase in performance and flexibility can be achieved by pairing HP with thermal energy storage (TES), which allows the shifting of heat demand to off peak periods or periods with surplus renewable electricity. We present a design and operational optimisation model which is able to assess the performance of HP–TES relative to conventional heating systems. The optimisation is performed on a synthetic heat demand model which requires only the annual heat demand, temperature and occupancy profiles. The results show that the equipment and operational cost of a HP system without TES are significantly higher than for a conventional system. However, the integration of TES and time-of-use tariffs reduce the operational cost of the HP systems and in combination with the Renewable Heating Incentive make the HP systems cost competitive with conventional systems. The presented demand model and optimisation procedure will enable the design of low carbon district heating systems which integrate the heating system with the variable renewable electricity supply.&quot;,&quot;publisher&quot;:&quot;Elsevier&quot;,&quot;volume&quot;:&quot;186&quot;,&quot;container-title-short&quot;:&quot;Appl Energy&quot;},&quot;isTemporary&quot;:false}]},{&quot;citationID&quot;:&quot;MENDELEY_CITATION_93470f75-68f2-4341-b8e4-3956e7f25f17&quot;,&quot;properties&quot;:{&quot;noteIndex&quot;:0},&quot;isEdited&quot;:false,&quot;manualOverride&quot;:{&quot;isManuallyOverridden&quot;:false,&quot;citeprocText&quot;:&quot;[203]&quot;,&quot;manualOverrideText&quot;:&quot;&quot;},&quot;citationTag&quot;:&quot;MENDELEY_CITATION_v3_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&quot;,&quot;citationItems&quot;:[{&quot;id&quot;:&quot;aaac7224-b43d-3cb9-ba03-e12f1f945a27&quot;,&quot;itemData&quot;:{&quot;type&quot;:&quot;article-journal&quot;,&quot;id&quot;:&quot;aaac7224-b43d-3cb9-ba03-e12f1f945a27&quot;,&quot;title&quot;:&quot;Carbon dioxide reduction using passive technique of incorporating phase change materials into envelopes: A case study of climate data from Saudi Arabia&quot;,&quot;author&quot;:[{&quot;family&quot;:&quot;Abu-Hamdeh&quot;,&quot;given&quot;:&quot;Nidal H.&quot;,&quot;parse-names&quot;:false,&quot;dropping-particle&quot;:&quot;&quot;,&quot;non-dropping-particle&quot;:&quot;&quot;},{&quot;family&quot;:&quot;Bantan&quot;,&quot;given&quot;:&quot;Rashad A.R.&quot;,&quot;parse-names&quot;:false,&quot;dropping-particle&quot;:&quot;&quot;,&quot;non-dropping-particle&quot;:&quot;&quot;},{&quot;family&quot;:&quot;Hatamleh&quot;,&quot;given&quot;:&quot;Randa I.&quot;,&quot;parse-names&quot;:false,&quot;dropping-particle&quot;:&quot;&quot;,&quot;non-dropping-particle&quot;:&quot;&quot;}],&quot;container-title&quot;:&quot;Journal of Energy Storage&quot;,&quot;accessed&quot;:{&quot;date-parts&quot;:[[2022,4,19]]},&quot;DOI&quot;:&quot;10.1016/J.EST.2022.104153&quot;,&quot;ISSN&quot;:&quot;2352-152X&quot;,&quot;issued&quot;:{&quot;date-parts&quot;:[[2022,5,1]]},&quot;page&quot;:&quot;104153&quot;,&quot;abstract&quot;:&quot;Buildings have been studied by researchers from the perspectives of energy consumption and Carbon dioxide (CO2) production. From the former perspective, they have a share of 40% and from the latter one, their share reaches over 35%. Focusing on reducing the building share of 35%, three phase change materials were injected into the envelopes. The phase change range of the first material was between 17-19∘C, the second material was 22-24 °C and the third one was 24-26 °C. The phase change material performance under constant indoor temperature conditions (24-26 °C), was discussed. It can change the positive effect of phase change material (CO2 saving) to a negative effect (CO2 emission intensification). The first PCM (phase transition of 17-19∘C) in all conditions reduced the emission of CO2. But the annual reduction was limited to 4 to 6.8%. For the second substance, different behavior was observed on hot and cool days. On cool days, the positive effects were small but the negative effects were greater. However, the positive effect of this substance on hot days caused this substance (except 26 °C) up to 35.7%, condensed CO2 emission. At setpoint 26 °C, the second substance increases CO2 production by 2.22 kg.m−2 if it is installed inside envelopes. The third phase change material showed the best performance in all conditions and is introduced as an obstacle to the release of CO2.&quot;,&quot;publisher&quot;:&quot;Elsevier&quot;,&quot;volume&quot;:&quot;49&quot;,&quot;container-title-short&quot;:&quot;J Energy Storage&quot;},&quot;isTemporary&quot;:false}]},{&quot;citationID&quot;:&quot;MENDELEY_CITATION_f3f7da76-acc6-425d-ab68-081c6a73afaf&quot;,&quot;properties&quot;:{&quot;noteIndex&quot;:0},&quot;isEdited&quot;:false,&quot;manualOverride&quot;:{&quot;isManuallyOverridden&quot;:false,&quot;citeprocText&quot;:&quot;[208]&quot;,&quot;manualOverrideText&quot;:&quot;&quot;},&quot;citationTag&quot;:&quot;MENDELEY_CITATION_v3_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&quot;,&quot;citationItems&quot;:[{&quot;id&quot;:&quot;265c7698-82af-38c2-8465-aab37dbf69da&quot;,&quot;itemData&quot;:{&quot;type&quot;:&quot;article-journal&quot;,&quot;id&quot;:&quot;265c7698-82af-38c2-8465-aab37dbf69da&quot;,&quot;title&quot;:&quot;Overview of thermal energy storage (TES) potential energy savings and climate change mitigation in Spain and Europe&quot;,&quot;author&quot;:[{&quot;family&quot;:&quot;Arce&quot;,&quot;given&quot;:&quot;Pablo&quot;,&quot;parse-names&quot;:false,&quot;dropping-particle&quot;:&quot;&quot;,&quot;non-dropping-particle&quot;:&quot;&quot;},{&quot;family&quot;:&quot;Medrano&quot;,&quot;given&quot;:&quot;Marc&quot;,&quot;parse-names&quot;:false,&quot;dropping-particle&quot;:&quot;&quot;,&quot;non-dropping-particle&quot;:&quot;&quot;},{&quot;family&quot;:&quot;Gil&quot;,&quot;given&quot;:&quot;Antoni&quot;,&quot;parse-names&quot;:false,&quot;dropping-particle&quot;:&quot;&quot;,&quot;non-dropping-particle&quot;:&quot;&quot;},{&quot;family&quot;:&quot;Oró&quot;,&quot;given&quot;:&quot;Eduard&quot;,&quot;parse-names&quot;:false,&quot;dropping-particle&quot;:&quot;&quot;,&quot;non-dropping-particle&quot;:&quot;&quot;},{&quot;family&quot;:&quot;Cabeza&quot;,&quot;given&quot;:&quot;Luisa F.&quot;,&quot;parse-names&quot;:false,&quot;dropping-particle&quot;:&quot;&quot;,&quot;non-dropping-particle&quot;:&quot;&quot;}],&quot;container-title&quot;:&quot;Applied Energy&quot;,&quot;accessed&quot;:{&quot;date-parts&quot;:[[2022,4,18]]},&quot;DOI&quot;:&quot;10.1016/J.APENERGY.2011.01.067&quot;,&quot;ISSN&quot;:&quot;0306-2619&quot;,&quot;issued&quot;:{&quot;date-parts&quot;:[[2011,8,1]]},&quot;page&quot;:&quot;2764-2774&quot;,&quot;abstract&quot;:&quot;Thermal energy storage (TES) is nowadays presented as one of the most feasible solutions in achieving energy savings and environmentally correct behaviors. Its potential applications have led to R&amp;D activities and to the development of various technology types. However, so far there is no available data on a national scale in Spain and on a continental level in Europe, to corroborate the associated energetic and environmental benefits derived from TES. This is why, based on a previous potential calculation initiative model performed in Germany, this work intends to provide a first overview of the Spanish TES potential as well as an European overview. Load reductions, energy savings, and CO2 emissions reductions are tackled for the buildings and industrial sector. Results depend on the amount of implementation and show that, in the case of Europe for instance, yearly CO2 emissions may get to be cut down up to around 6% in reference to 1990 emission levels. © 2011 Elsevier Ltd.&quot;,&quot;publisher&quot;:&quot;Elsevier&quot;,&quot;issue&quot;:&quot;8&quot;,&quot;volume&quot;:&quot;88&quot;,&quot;container-title-short&quot;:&quot;Appl Energy&quot;},&quot;isTemporary&quot;:false}]},{&quot;citationID&quot;:&quot;MENDELEY_CITATION_1a29203f-e6b5-417f-8025-65f5e004719e&quot;,&quot;properties&quot;:{&quot;noteIndex&quot;:0},&quot;isEdited&quot;:false,&quot;manualOverride&quot;:{&quot;isManuallyOverridden&quot;:false,&quot;citeprocText&quot;:&quot;[33]&quot;,&quot;manualOverrideText&quot;:&quot;&quot;},&quot;citationTag&quot;:&quot;MENDELEY_CITATION_v3_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&quot;,&quot;citationItems&quot;:[{&quot;id&quot;:&quot;584f68b6-0669-36aa-a670-a4f320dcc735&quot;,&quot;itemData&quot;:{&quot;type&quot;:&quot;article-journal&quot;,&quot;id&quot;:&quot;584f68b6-0669-36aa-a670-a4f320dcc735&quot;,&quot;title&quot;:&quot;CO2 mitigation accounting for Thermal Energy Storage (TES) case studies&quot;,&quot;author&quot;:[{&quot;family&quot;:&quot;Cabeza&quot;,&quot;given&quot;:&quot;Luisa F.&quot;,&quot;parse-names&quot;:false,&quot;dropping-particle&quot;:&quot;&quot;,&quot;non-dropping-particle&quot;:&quot;&quot;},{&quot;family&quot;:&quot;Miró&quot;,&quot;given&quot;:&quot;Laia&quot;,&quot;parse-names&quot;:false,&quot;dropping-particle&quot;:&quot;&quot;,&quot;non-dropping-particle&quot;:&quot;&quot;},{&quot;family&quot;:&quot;Oró&quot;,&quot;given&quot;:&quot;Eduard&quot;,&quot;parse-names&quot;:false,&quot;dropping-particle&quot;:&quot;&quot;,&quot;non-dropping-particle&quot;:&quot;&quot;},{&quot;family&quot;:&quot;Gracia&quot;,&quot;given&quot;:&quot;Alvaro&quot;,&quot;parse-names&quot;:false,&quot;dropping-particle&quot;:&quot;&quot;,&quot;non-dropping-particle&quot;:&quot;de&quot;},{&quot;family&quot;:&quot;Martin&quot;,&quot;given&quot;:&quot;Viktoria&quot;,&quot;parse-names&quot;:false,&quot;dropping-particle&quot;:&quot;&quot;,&quot;non-dropping-particle&quot;:&quot;&quot;},{&quot;family&quot;:&quot;Krönauer&quot;,&quot;given&quot;:&quot;Andreas&quot;,&quot;parse-names&quot;:false,&quot;dropping-particle&quot;:&quot;&quot;,&quot;non-dropping-particle&quot;:&quot;&quot;},{&quot;family&quot;:&quot;Rathgeber&quot;,&quot;given&quot;:&quot;Christoph&quot;,&quot;parse-names&quot;:false,&quot;dropping-particle&quot;:&quot;&quot;,&quot;non-dropping-particle&quot;:&quot;&quot;},{&quot;family&quot;:&quot;Farid&quot;,&quot;given&quot;:&quot;Mohammed M.&quot;,&quot;parse-names&quot;:false,&quot;dropping-particle&quot;:&quot;&quot;,&quot;non-dropping-particle&quot;:&quot;&quot;},{&quot;family&quot;:&quot;Paksoy&quot;,&quot;given&quot;:&quot;Halime O.&quot;,&quot;parse-names&quot;:false,&quot;dropping-particle&quot;:&quot;&quot;,&quot;non-dropping-particle&quot;:&quot;&quot;},{&quot;family&quot;:&quot;Martínez&quot;,&quot;given&quot;:&quot;Mònica&quot;,&quot;parse-names&quot;:false,&quot;dropping-particle&quot;:&quot;&quot;,&quot;non-dropping-particle&quot;:&quot;&quot;},{&quot;family&quot;:&quot;Fernández&quot;,&quot;given&quot;:&quot;A. Inés&quot;,&quot;parse-names&quot;:false,&quot;dropping-particle&quot;:&quot;&quot;,&quot;non-dropping-particle&quot;:&quot;&quot;}],&quot;container-title&quot;:&quot;Applied Energy&quot;,&quot;accessed&quot;:{&quot;date-parts&quot;:[[2022,4,18]]},&quot;DOI&quot;:&quot;10.1016/J.APENERGY.2015.05.121&quot;,&quot;ISSN&quot;:&quot;0306-2619&quot;,&quot;issued&quot;:{&quot;date-parts&quot;:[[2015,10,1]]},&quot;page&quot;:&quot;365-377&quot;,&quot;abstract&quot;:&quot;According to the IPCC, societies can respond to climate changes by adapting to its impacts and by mitigation, that is, by reducing GHG emissions. No single technology can provide all of the mitigation potential in any sector, but many technologies have been acknowledged in being able to contribute to such potential. Among the technologies that can contribute in such potential, Thermal Energy Storage (TES) is not included explicitly, but implicitly as part of technologies such as energy supply, buildings, and industry. To enable a more detailed assessment of the CO2 mitigation potential of TES across many sectors, the group Annex 25 \&quot;Surplus heat management using advanced TES for CO2 mitigation\&quot; of the Energy Conservation through Energy Storage Implementing Agreement (ECES IA) of the International Energy Agency (AEI) present in this article the CO2 mitigation potential of different case studies with integrated TES. This potential is shown using operational and embodied CO2 parameters. Results are difficult to compare since TES is always designed in relation to its application, and each technology impacts the energy system as a whole to different extents. The applications analyzed for operational CO2 are refrigeration, solar power plants, mobile heat storage in industrial waste heat recovery, passive systems in buildings, ATES for a supermarket, greenhouse applications, and dishwasher with zeolite in Germany. The paper shows that the reason for mitigation is different in each application, from energy savings to larger solar share or lowering energy consumption from appliances. The mitigation potential dues to integrated TES is quantified in kg/MWh energy produced or heat delivered. Embodied CO2 in two TES case studies is presented, buildings and solar power plants.&quot;,&quot;publisher&quot;:&quot;Elsevier&quot;,&quot;volume&quot;:&quot;155&quot;,&quot;container-title-short&quot;:&quot;Appl Energy&quot;},&quot;isTemporary&quot;:false}]},{&quot;citationID&quot;:&quot;MENDELEY_CITATION_fceda804-7b65-4243-bdc2-2be56e08ddbc&quot;,&quot;properties&quot;:{&quot;noteIndex&quot;:0},&quot;isEdited&quot;:false,&quot;manualOverride&quot;:{&quot;isManuallyOverridden&quot;:false,&quot;citeprocText&quot;:&quot;[33]&quot;,&quot;manualOverrideText&quot;:&quot;&quot;},&quot;citationTag&quot;:&quot;MENDELEY_CITATION_v3_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&quot;,&quot;citationItems&quot;:[{&quot;id&quot;:&quot;584f68b6-0669-36aa-a670-a4f320dcc735&quot;,&quot;itemData&quot;:{&quot;type&quot;:&quot;article-journal&quot;,&quot;id&quot;:&quot;584f68b6-0669-36aa-a670-a4f320dcc735&quot;,&quot;title&quot;:&quot;CO2 mitigation accounting for Thermal Energy Storage (TES) case studies&quot;,&quot;author&quot;:[{&quot;family&quot;:&quot;Cabeza&quot;,&quot;given&quot;:&quot;Luisa F.&quot;,&quot;parse-names&quot;:false,&quot;dropping-particle&quot;:&quot;&quot;,&quot;non-dropping-particle&quot;:&quot;&quot;},{&quot;family&quot;:&quot;Miró&quot;,&quot;given&quot;:&quot;Laia&quot;,&quot;parse-names&quot;:false,&quot;dropping-particle&quot;:&quot;&quot;,&quot;non-dropping-particle&quot;:&quot;&quot;},{&quot;family&quot;:&quot;Oró&quot;,&quot;given&quot;:&quot;Eduard&quot;,&quot;parse-names&quot;:false,&quot;dropping-particle&quot;:&quot;&quot;,&quot;non-dropping-particle&quot;:&quot;&quot;},{&quot;family&quot;:&quot;Gracia&quot;,&quot;given&quot;:&quot;Alvaro&quot;,&quot;parse-names&quot;:false,&quot;dropping-particle&quot;:&quot;&quot;,&quot;non-dropping-particle&quot;:&quot;de&quot;},{&quot;family&quot;:&quot;Martin&quot;,&quot;given&quot;:&quot;Viktoria&quot;,&quot;parse-names&quot;:false,&quot;dropping-particle&quot;:&quot;&quot;,&quot;non-dropping-particle&quot;:&quot;&quot;},{&quot;family&quot;:&quot;Krönauer&quot;,&quot;given&quot;:&quot;Andreas&quot;,&quot;parse-names&quot;:false,&quot;dropping-particle&quot;:&quot;&quot;,&quot;non-dropping-particle&quot;:&quot;&quot;},{&quot;family&quot;:&quot;Rathgeber&quot;,&quot;given&quot;:&quot;Christoph&quot;,&quot;parse-names&quot;:false,&quot;dropping-particle&quot;:&quot;&quot;,&quot;non-dropping-particle&quot;:&quot;&quot;},{&quot;family&quot;:&quot;Farid&quot;,&quot;given&quot;:&quot;Mohammed M.&quot;,&quot;parse-names&quot;:false,&quot;dropping-particle&quot;:&quot;&quot;,&quot;non-dropping-particle&quot;:&quot;&quot;},{&quot;family&quot;:&quot;Paksoy&quot;,&quot;given&quot;:&quot;Halime O.&quot;,&quot;parse-names&quot;:false,&quot;dropping-particle&quot;:&quot;&quot;,&quot;non-dropping-particle&quot;:&quot;&quot;},{&quot;family&quot;:&quot;Martínez&quot;,&quot;given&quot;:&quot;Mònica&quot;,&quot;parse-names&quot;:false,&quot;dropping-particle&quot;:&quot;&quot;,&quot;non-dropping-particle&quot;:&quot;&quot;},{&quot;family&quot;:&quot;Fernández&quot;,&quot;given&quot;:&quot;A. Inés&quot;,&quot;parse-names&quot;:false,&quot;dropping-particle&quot;:&quot;&quot;,&quot;non-dropping-particle&quot;:&quot;&quot;}],&quot;container-title&quot;:&quot;Applied Energy&quot;,&quot;accessed&quot;:{&quot;date-parts&quot;:[[2022,4,18]]},&quot;DOI&quot;:&quot;10.1016/J.APENERGY.2015.05.121&quot;,&quot;ISSN&quot;:&quot;0306-2619&quot;,&quot;issued&quot;:{&quot;date-parts&quot;:[[2015,10,1]]},&quot;page&quot;:&quot;365-377&quot;,&quot;abstract&quot;:&quot;According to the IPCC, societies can respond to climate changes by adapting to its impacts and by mitigation, that is, by reducing GHG emissions. No single technology can provide all of the mitigation potential in any sector, but many technologies have been acknowledged in being able to contribute to such potential. Among the technologies that can contribute in such potential, Thermal Energy Storage (TES) is not included explicitly, but implicitly as part of technologies such as energy supply, buildings, and industry. To enable a more detailed assessment of the CO2 mitigation potential of TES across many sectors, the group Annex 25 \&quot;Surplus heat management using advanced TES for CO2 mitigation\&quot; of the Energy Conservation through Energy Storage Implementing Agreement (ECES IA) of the International Energy Agency (AEI) present in this article the CO2 mitigation potential of different case studies with integrated TES. This potential is shown using operational and embodied CO2 parameters. Results are difficult to compare since TES is always designed in relation to its application, and each technology impacts the energy system as a whole to different extents. The applications analyzed for operational CO2 are refrigeration, solar power plants, mobile heat storage in industrial waste heat recovery, passive systems in buildings, ATES for a supermarket, greenhouse applications, and dishwasher with zeolite in Germany. The paper shows that the reason for mitigation is different in each application, from energy savings to larger solar share or lowering energy consumption from appliances. The mitigation potential dues to integrated TES is quantified in kg/MWh energy produced or heat delivered. Embodied CO2 in two TES case studies is presented, buildings and solar power plants.&quot;,&quot;publisher&quot;:&quot;Elsevier&quot;,&quot;volume&quot;:&quot;155&quot;,&quot;container-title-short&quot;:&quot;Appl Energy&quot;},&quot;isTemporary&quot;:false}]},{&quot;citationID&quot;:&quot;MENDELEY_CITATION_7f31be77-5782-496f-842d-0918bf5a8f2f&quot;,&quot;properties&quot;:{&quot;noteIndex&quot;:0},&quot;isEdited&quot;:false,&quot;manualOverride&quot;:{&quot;isManuallyOverridden&quot;:false,&quot;citeprocText&quot;:&quot;[34]&quot;,&quot;manualOverrideText&quot;:&quot;&quot;},&quot;citationTag&quot;:&quot;MENDELEY_CITATION_v3_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&quot;,&quot;citationItems&quot;:[{&quot;id&quot;:&quot;feba1992-a290-3c10-9ce8-57daf58e9288&quot;,&quot;itemData&quot;:{&quot;type&quot;:&quot;article-journal&quot;,&quot;id&quot;:&quot;feba1992-a290-3c10-9ce8-57daf58e9288&quot;,&quot;title&quot;:&quot;Techno-economic analysis of decarbonizing building heating in Upstate New York using seasonal borehole thermal energy storage&quot;,&quot;author&quot;:[{&quot;family&quot;:&quot;Durga&quot;,&quot;given&quot;:&quot;Siddarth&quot;,&quot;parse-names&quot;:false,&quot;dropping-particle&quot;:&quot;&quot;,&quot;non-dropping-particle&quot;:&quot;&quot;},{&quot;family&quot;:&quot;Beckers&quot;,&quot;given&quot;:&quot;Koenraad F.&quot;,&quot;parse-names&quot;:false,&quot;dropping-particle&quot;:&quot;&quot;,&quot;non-dropping-particle&quot;:&quot;&quot;},{&quot;family&quot;:&quot;Taam&quot;,&quot;given&quot;:&quot;Milton&quot;,&quot;parse-names&quot;:false,&quot;dropping-particle&quot;:&quot;&quot;,&quot;non-dropping-particle&quot;:&quot;&quot;},{&quot;family&quot;:&quot;Horowitz&quot;,&quot;given&quot;:&quot;Frank&quot;,&quot;parse-names&quot;:false,&quot;dropping-particle&quot;:&quot;&quot;,&quot;non-dropping-particle&quot;:&quot;&quot;},{&quot;family&quot;:&quot;Cathles&quot;,&quot;given&quot;:&quot;Lawrence M.&quot;,&quot;parse-names&quot;:false,&quot;dropping-particle&quot;:&quot;&quot;,&quot;non-dropping-particle&quot;:&quot;&quot;},{&quot;family&quot;:&quot;Tester&quot;,&quot;given&quot;:&quot;Jefferson W.&quot;,&quot;parse-names&quot;:false,&quot;dropping-particle&quot;:&quot;&quot;,&quot;non-dropping-particle&quot;:&quot;&quot;}],&quot;container-title&quot;:&quot;Energy and Buildings&quot;,&quot;accessed&quot;:{&quot;date-parts&quot;:[[2022,4,18]]},&quot;DOI&quot;:&quot;10.1016/J.ENBUILD.2021.110890&quot;,&quot;ISSN&quot;:&quot;0378-7788&quot;,&quot;issued&quot;:{&quot;date-parts&quot;:[[2021,6,15]]},&quot;page&quot;:&quot;110890&quot;,&quot;abstract&quot;:&quot;On average, fossil fuel space heating constitutes 56% of a building's total energy usage in Upstate New York due to the cold winter climate. Similar levels of fossil fuel heating pertain in at least 15 states in the U.S. northern tier. To meet aggressive carbon reduction goals in this tier, decarbonizing the heat supply in the residential and commercial sector must be pursued. Using Borehole Thermal Energy Storage (BTES) to seasonally store excess thermal energy in the subsurface for later heating use is an innovative way to increase heating efficiency and lower carbon emissions. This paper investigates the technical and economic feasibility of heating Snee Hall on Cornell campus with unused summer steam from Cornell's Combined Heat and Power Plant stored in an optimized BTES array. Snee Hall is a 6855 m2 building with an annual total heating load of 3040 GJ. A standard 2-D transient subsurface conductive heat transfer model is coupled to a high temperature heat pump (delivering &gt; 60 °C) that can supply Snee Hall's existing radiators with 70 °C water. For local geological parameters, 94% of Snee Hall's winter space heating demand can be supplied by a 37-borehole array (90 m depth, 3 m spacing) and a 250-kW high temperature heat pump capacity with average coefficient of performance of 3.85. The calculated storage efficiency is 68.7% and the system has a 30-year net present value of about $526,400, an internal rate of return of 13%, and a payback period of 10 to 11 years. The system offsets about 6900 MMBTU (7280 GJ) of natural gas combustion and saves 250 MT CO2 emissions annually. The results of the single building analysis can be applied to other buildings on campus or in similar geologic settings in the U.S northern tier.&quot;,&quot;publisher&quot;:&quot;Elsevier&quot;,&quot;volume&quot;:&quot;241&quot;,&quot;container-title-short&quot;:&quot;Energy Build&quot;},&quot;isTemporary&quot;:false}]},{&quot;citationID&quot;:&quot;MENDELEY_CITATION_4e9af610-2216-4112-9fa4-a3de020f4fd6&quot;,&quot;properties&quot;:{&quot;noteIndex&quot;:0},&quot;isEdited&quot;:false,&quot;manualOverride&quot;:{&quot;isManuallyOverridden&quot;:false,&quot;citeprocText&quot;:&quot;[208]&quot;,&quot;manualOverrideText&quot;:&quot;&quot;},&quot;citationTag&quot;:&quot;MENDELEY_CITATION_v3_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&quot;,&quot;citationItems&quot;:[{&quot;id&quot;:&quot;265c7698-82af-38c2-8465-aab37dbf69da&quot;,&quot;itemData&quot;:{&quot;type&quot;:&quot;article-journal&quot;,&quot;id&quot;:&quot;265c7698-82af-38c2-8465-aab37dbf69da&quot;,&quot;title&quot;:&quot;Overview of thermal energy storage (TES) potential energy savings and climate change mitigation in Spain and Europe&quot;,&quot;author&quot;:[{&quot;family&quot;:&quot;Arce&quot;,&quot;given&quot;:&quot;Pablo&quot;,&quot;parse-names&quot;:false,&quot;dropping-particle&quot;:&quot;&quot;,&quot;non-dropping-particle&quot;:&quot;&quot;},{&quot;family&quot;:&quot;Medrano&quot;,&quot;given&quot;:&quot;Marc&quot;,&quot;parse-names&quot;:false,&quot;dropping-particle&quot;:&quot;&quot;,&quot;non-dropping-particle&quot;:&quot;&quot;},{&quot;family&quot;:&quot;Gil&quot;,&quot;given&quot;:&quot;Antoni&quot;,&quot;parse-names&quot;:false,&quot;dropping-particle&quot;:&quot;&quot;,&quot;non-dropping-particle&quot;:&quot;&quot;},{&quot;family&quot;:&quot;Oró&quot;,&quot;given&quot;:&quot;Eduard&quot;,&quot;parse-names&quot;:false,&quot;dropping-particle&quot;:&quot;&quot;,&quot;non-dropping-particle&quot;:&quot;&quot;},{&quot;family&quot;:&quot;Cabeza&quot;,&quot;given&quot;:&quot;Luisa F.&quot;,&quot;parse-names&quot;:false,&quot;dropping-particle&quot;:&quot;&quot;,&quot;non-dropping-particle&quot;:&quot;&quot;}],&quot;container-title&quot;:&quot;Applied Energy&quot;,&quot;accessed&quot;:{&quot;date-parts&quot;:[[2022,4,18]]},&quot;DOI&quot;:&quot;10.1016/J.APENERGY.2011.01.067&quot;,&quot;ISSN&quot;:&quot;0306-2619&quot;,&quot;issued&quot;:{&quot;date-parts&quot;:[[2011,8,1]]},&quot;page&quot;:&quot;2764-2774&quot;,&quot;abstract&quot;:&quot;Thermal energy storage (TES) is nowadays presented as one of the most feasible solutions in achieving energy savings and environmentally correct behaviors. Its potential applications have led to R&amp;D activities and to the development of various technology types. However, so far there is no available data on a national scale in Spain and on a continental level in Europe, to corroborate the associated energetic and environmental benefits derived from TES. This is why, based on a previous potential calculation initiative model performed in Germany, this work intends to provide a first overview of the Spanish TES potential as well as an European overview. Load reductions, energy savings, and CO2 emissions reductions are tackled for the buildings and industrial sector. Results depend on the amount of implementation and show that, in the case of Europe for instance, yearly CO2 emissions may get to be cut down up to around 6% in reference to 1990 emission levels. © 2011 Elsevier Ltd.&quot;,&quot;publisher&quot;:&quot;Elsevier&quot;,&quot;issue&quot;:&quot;8&quot;,&quot;volume&quot;:&quot;88&quot;,&quot;container-title-short&quot;:&quot;Appl Energy&quot;},&quot;isTemporary&quot;:false}]},{&quot;citationID&quot;:&quot;MENDELEY_CITATION_4b149bd9-836d-4208-ace0-a09adb8c4758&quot;,&quot;properties&quot;:{&quot;noteIndex&quot;:0},&quot;isEdited&quot;:false,&quot;manualOverride&quot;:{&quot;isManuallyOverridden&quot;:false,&quot;citeprocText&quot;:&quot;[35]&quot;,&quot;manualOverrideText&quot;:&quot;&quot;},&quot;citationTag&quot;:&quot;MENDELEY_CITATION_v3_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&quot;,&quot;citationItems&quot;:[{&quot;id&quot;:&quot;514651b1-1ec8-3fc8-acf4-e4213dcba05f&quot;,&quot;itemData&quot;:{&quot;type&quot;:&quot;article-journal&quot;,&quot;id&quot;:&quot;514651b1-1ec8-3fc8-acf4-e4213dcba05f&quot;,&quot;title&quot;:&quot;Smart integration of photovoltaic production, heat pump and thermal energy storage in residential applications&quot;,&quot;author&quot;:[{&quot;family&quot;:&quot;Facci&quot;,&quot;given&quot;:&quot;Andrea L.&quot;,&quot;parse-names&quot;:false,&quot;dropping-particle&quot;:&quot;&quot;,&quot;non-dropping-particle&quot;:&quot;&quot;},{&quot;family&quot;:&quot;Krastev&quot;,&quot;given&quot;:&quot;Vesselin K.&quot;,&quot;parse-names&quot;:false,&quot;dropping-particle&quot;:&quot;&quot;,&quot;non-dropping-particle&quot;:&quot;&quot;},{&quot;family&quot;:&quot;Falcucci&quot;,&quot;given&quot;:&quot;Giacomo&quot;,&quot;parse-names&quot;:false,&quot;dropping-particle&quot;:&quot;&quot;,&quot;non-dropping-particle&quot;:&quot;&quot;},{&quot;family&quot;:&quot;Ubertini&quot;,&quot;given&quot;:&quot;Stefano&quot;,&quot;parse-names&quot;:false,&quot;dropping-particle&quot;:&quot;&quot;,&quot;non-dropping-particle&quot;:&quot;&quot;}],&quot;container-title&quot;:&quot;Solar Energy&quot;,&quot;accessed&quot;:{&quot;date-parts&quot;:[[2022,4,18]]},&quot;DOI&quot;:&quot;10.1016/J.SOLENER.2018.06.017&quot;,&quot;ISSN&quot;:&quot;0038-092X&quot;,&quot;issued&quot;:{&quot;date-parts&quot;:[[2019,11,1]]},&quot;page&quot;:&quot;133-143&quot;,&quot;abstract&quot;:&quot;The optimal design of distributed generation systems is of foremost importance to reduce fossil fuel consumption and mitigate the environmental impact of human activities in urban areas. Moreover, an efficient and integrated control strategy is needed for each of the components of a distributed generation plant, in order to reach the expected economic and environmental performances. In this paper, the transition from natural gas to electricity-based heating is evaluated for residential applications, considering the interplay between photovoltaic electricity produced on site and the thermal energy storage, to grant the optimal management of heating devices. The energy demand of an apartment building, under different climatic conditions, is taken as a reference and four power plant solutions are assessed in terms of energy cost and pollution reduction potential, compared to a baseline plant configuration. The performance of each power plant is analyzed assuming an optimized control strategy, which is determined through a graph-based methodology that was previously developed and validated by the authors. Outcomes from our study show that, if heat pumps are used instead of natural gas boilers, energy costs are reduced up to 41%, while CO2 emissions are reduced up to 73%, depending on the climatic conditions. Our results provide a sound basis for considering the larger penetration of photovoltaic plants as an effective solution towards cleaner and more efficient heating technologies for civil applications. The simultaneous utilization of heat pumps (as substitutes of boilers) and photovoltaic panels yields a positive synergy that nullifies the local pollution, drastically cuts the CO2 emission, and guarantees the economical sustainability of the investment in renewable energy sources without subsidiary mechanisms.&quot;,&quot;publisher&quot;:&quot;Pergamon&quot;,&quot;volume&quot;:&quot;192&quot;,&quot;container-title-short&quot;:&quot;&quot;},&quot;isTemporary&quot;:false}]},{&quot;citationID&quot;:&quot;MENDELEY_CITATION_f3b7ba6d-eadb-445c-ba1b-3499ffabadca&quot;,&quot;properties&quot;:{&quot;noteIndex&quot;:0},&quot;isEdited&quot;:false,&quot;manualOverride&quot;:{&quot;isManuallyOverridden&quot;:false,&quot;citeprocText&quot;:&quot;[194]&quot;,&quot;manualOverrideText&quot;:&quot;&quot;},&quot;citationTag&quot;:&quot;MENDELEY_CITATION_v3_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&quot;,&quot;citationItems&quot;:[{&quot;id&quot;:&quot;92ae012f-4933-39f0-9f20-1b911bd19964&quot;,&quot;itemData&quot;:{&quot;type&quot;:&quot;article-journal&quot;,&quot;id&quot;:&quot;92ae012f-4933-39f0-9f20-1b911bd19964&quot;,&quot;title&quot;:&quot;Multi-objective optimization of energy performance of a building considering different configurations and types of PCM&quot;,&quot;author&quot;:[{&quot;family&quot;:&quot;Markarian&quot;,&quot;given&quot;:&quot;Elin&quot;,&quot;parse-names&quot;:false,&quot;dropping-particle&quot;:&quot;&quot;,&quot;non-dropping-particle&quot;:&quot;&quot;},{&quot;family&quot;:&quot;Fazelpour&quot;,&quot;given&quot;:&quot;Farivar&quot;,&quot;parse-names&quot;:false,&quot;dropping-particle&quot;:&quot;&quot;,&quot;non-dropping-particle&quot;:&quot;&quot;}],&quot;container-title&quot;:&quot;Solar Energy&quot;,&quot;accessed&quot;:{&quot;date-parts&quot;:[[2022,4,19]]},&quot;DOI&quot;:&quot;10.1016/J.SOLENER.2019.09.003&quot;,&quot;ISSN&quot;:&quot;0038-092X&quot;,&quot;issued&quot;:{&quot;date-parts&quot;:[[2019,10,1]]},&quot;page&quot;:&quot;481-496&quot;,&quot;abstract&quot;:&quot;Phase change materials (PCM) can be outfitted in building envelopes to not only provide thermal comfort for occupants but also trim heating, ventilation and air conditioning (HVAC) loads. However, the efficacy of PCMs depends highly on its thermo-physical properties and climatic condition. In this regard, a multi-objective optimization technique is adopted to unearth the optimal type and location of PCM that can minimize heating and cooling loads considering five cities of Iran namely Tehran, Tabriz, Bandar Abas, Shiraz and Yazd with distinctive climates. Then, the optimal PCMs are environmentally and economically assessed. The study showed that the PCM with a melting temperature of 25 °C outperforms in terms of cooling load while the PCM with a melting temperature of 21 °C favors the heating performance. Moreover, the utilization of PCM results in electricity saving of 4.5–5.5% for all the climates. On average, the annual carbon footprint is reduced by 1297 kg, 1420 kg, 2040 kg, 1027 kg, and 1248 kg for Tehran, Tabriz, Bandar Abas, Shiraz, and Yazd, respectively. The payback period was found to be more than 70 years for all the cities considering current economic conditions. However, the energy subsidies are projected to fall in the near future that may make PCM integration economically feasible.&quot;,&quot;publisher&quot;:&quot;Pergamon&quot;,&quot;volume&quot;:&quot;191&quot;,&quot;container-title-short&quot;:&quot;&quot;},&quot;isTemporary&quot;:false}]},{&quot;citationID&quot;:&quot;MENDELEY_CITATION_2d4ed265-d77a-430d-9354-14f216f4575d&quot;,&quot;properties&quot;:{&quot;noteIndex&quot;:0},&quot;isEdited&quot;:false,&quot;manualOverride&quot;:{&quot;isManuallyOverridden&quot;:false,&quot;citeprocText&quot;:&quot;[203]&quot;,&quot;manualOverrideText&quot;:&quot;&quot;},&quot;citationTag&quot;:&quot;MENDELEY_CITATION_v3_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&quot;,&quot;citationItems&quot;:[{&quot;id&quot;:&quot;aaac7224-b43d-3cb9-ba03-e12f1f945a27&quot;,&quot;itemData&quot;:{&quot;type&quot;:&quot;article-journal&quot;,&quot;id&quot;:&quot;aaac7224-b43d-3cb9-ba03-e12f1f945a27&quot;,&quot;title&quot;:&quot;Carbon dioxide reduction using passive technique of incorporating phase change materials into envelopes: A case study of climate data from Saudi Arabia&quot;,&quot;author&quot;:[{&quot;family&quot;:&quot;Abu-Hamdeh&quot;,&quot;given&quot;:&quot;Nidal H.&quot;,&quot;parse-names&quot;:false,&quot;dropping-particle&quot;:&quot;&quot;,&quot;non-dropping-particle&quot;:&quot;&quot;},{&quot;family&quot;:&quot;Bantan&quot;,&quot;given&quot;:&quot;Rashad A.R.&quot;,&quot;parse-names&quot;:false,&quot;dropping-particle&quot;:&quot;&quot;,&quot;non-dropping-particle&quot;:&quot;&quot;},{&quot;family&quot;:&quot;Hatamleh&quot;,&quot;given&quot;:&quot;Randa I.&quot;,&quot;parse-names&quot;:false,&quot;dropping-particle&quot;:&quot;&quot;,&quot;non-dropping-particle&quot;:&quot;&quot;}],&quot;container-title&quot;:&quot;Journal of Energy Storage&quot;,&quot;accessed&quot;:{&quot;date-parts&quot;:[[2022,4,19]]},&quot;DOI&quot;:&quot;10.1016/J.EST.2022.104153&quot;,&quot;ISSN&quot;:&quot;2352-152X&quot;,&quot;issued&quot;:{&quot;date-parts&quot;:[[2022,5,1]]},&quot;page&quot;:&quot;104153&quot;,&quot;abstract&quot;:&quot;Buildings have been studied by researchers from the perspectives of energy consumption and Carbon dioxide (CO2) production. From the former perspective, they have a share of 40% and from the latter one, their share reaches over 35%. Focusing on reducing the building share of 35%, three phase change materials were injected into the envelopes. The phase change range of the first material was between 17-19∘C, the second material was 22-24 °C and the third one was 24-26 °C. The phase change material performance under constant indoor temperature conditions (24-26 °C), was discussed. It can change the positive effect of phase change material (CO2 saving) to a negative effect (CO2 emission intensification). The first PCM (phase transition of 17-19∘C) in all conditions reduced the emission of CO2. But the annual reduction was limited to 4 to 6.8%. For the second substance, different behavior was observed on hot and cool days. On cool days, the positive effects were small but the negative effects were greater. However, the positive effect of this substance on hot days caused this substance (except 26 °C) up to 35.7%, condensed CO2 emission. At setpoint 26 °C, the second substance increases CO2 production by 2.22 kg.m−2 if it is installed inside envelopes. The third phase change material showed the best performance in all conditions and is introduced as an obstacle to the release of CO2.&quot;,&quot;publisher&quot;:&quot;Elsevier&quot;,&quot;volume&quot;:&quot;49&quot;,&quot;container-title-short&quot;:&quot;J Energy Storage&quot;},&quot;isTemporary&quot;:false}]},{&quot;citationID&quot;:&quot;MENDELEY_CITATION_b4b8c49a-e5d3-492a-91a0-dfdffd392c9b&quot;,&quot;properties&quot;:{&quot;noteIndex&quot;:0},&quot;isEdited&quot;:false,&quot;manualOverride&quot;:{&quot;isManuallyOverridden&quot;:false,&quot;citeprocText&quot;:&quot;[36]&quot;,&quot;manualOverrideText&quot;:&quot;&quot;},&quot;citationTag&quot;:&quot;MENDELEY_CITATION_v3_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&quot;,&quot;citationItems&quot;:[{&quot;id&quot;:&quot;830f609c-b085-3030-ba2a-1bb310561073&quot;,&quot;itemData&quot;:{&quot;type&quot;:&quot;article-journal&quot;,&quot;id&quot;:&quot;830f609c-b085-3030-ba2a-1bb310561073&quot;,&quot;title&quot;:&quot;Towards low carbon homes – A simulation analysis of building-integrated air-source heat pump systems&quot;,&quot;author&quot;:[{&quot;family&quot;:&quot;Cabrol&quot;,&quot;given&quot;:&quot;Loïc&quot;,&quot;parse-names&quot;:false,&quot;dropping-particle&quot;:&quot;&quot;,&quot;non-dropping-particle&quot;:&quot;&quot;},{&quot;family&quot;:&quot;Rowley&quot;,&quot;given&quot;:&quot;Paul&quot;,&quot;parse-names&quot;:false,&quot;dropping-particle&quot;:&quot;&quot;,&quot;non-dropping-particle&quot;:&quot;&quot;}],&quot;container-title&quot;:&quot;Energy and Buildings&quot;,&quot;accessed&quot;:{&quot;date-parts&quot;:[[2022,4,19]]},&quot;DOI&quot;:&quot;10.1016/J.ENBUILD.2012.01.019&quot;,&quot;ISSN&quot;:&quot;0378-7788&quot;,&quot;issued&quot;:{&quot;date-parts&quot;:[[2012,5,1]]},&quot;page&quot;:&quot;127-136&quot;,&quot;abstract&quot;:&quot;A comparative transient simulation analysis for domestic buildings with a floor-embedded heating system coupled to a modern air source heat-pump (ASHP) has been carried out using the TRNSYS numerical modeling environment for various UK locations. The effects of heat-pump control during off-peak electricity tariff periods in conjunction with varying building fabric characteristics were analysed and the results show that for the locations investigated, running costs and CO 2 emissions were lower for the ASHP platform than for a comparative gas boiler heating system. It was also found that by utilizing the thermal mass of a concrete floor slab or by integrating external insulation, acceptable comfort levels during the heating season were maintained when operating the ASHP solely during off-peak tariff periods. A thinner concrete floor slab containing phase change material (PCM) provided a slightly improved comfort level during winter and also reduced overheating during summer in buildings with a high level of insulation. Finally, when utilising a floor-embedded PCM material, it was found that the thermal properties of the PCM material must be carefully matched with case-specific building fabric thermal performance parameters in order to ensure effective internal environmental control. © 2011 Elsevier B.V. All rights reserved.&quot;,&quot;publisher&quot;:&quot;Elsevier&quot;,&quot;volume&quot;:&quot;48&quot;,&quot;container-title-short&quot;:&quot;Energy Build&quot;},&quot;isTemporary&quot;:false}]},{&quot;citationID&quot;:&quot;MENDELEY_CITATION_90fe59ad-fa7b-46d0-a5c7-3f83727c6a39&quot;,&quot;properties&quot;:{&quot;noteIndex&quot;:0},&quot;isEdited&quot;:false,&quot;manualOverride&quot;:{&quot;isManuallyOverridden&quot;:false,&quot;citeprocText&quot;:&quot;[206]&quot;,&quot;manualOverrideText&quot;:&quot;&quot;},&quot;citationTag&quot;:&quot;MENDELEY_CITATION_v3_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&quot;,&quot;citationItems&quot;:[{&quot;id&quot;:&quot;aeb9ad65-ba77-3c5b-9946-6606c6a1ca4b&quot;,&quot;itemData&quot;:{&quot;type&quot;:&quot;article-journal&quot;,&quot;id&quot;:&quot;aeb9ad65-ba77-3c5b-9946-6606c6a1ca4b&quot;,&quot;title&quot;:&quot;Assessment of CO2 emissions associated with HVAC system in buildings equipped with phase change materials&quot;,&quot;author&quot;:[{&quot;family&quot;:&quot;Farouk&quot;,&quot;given&quot;:&quot;Naeim&quot;,&quot;parse-names&quot;:false,&quot;dropping-particle&quot;:&quot;&quot;,&quot;non-dropping-particle&quot;:&quot;&quot;},{&quot;family&quot;:&quot;El-Rahman&quot;,&quot;given&quot;:&quot;Magda Abd&quot;,&quot;parse-names&quot;:false,&quot;dropping-particle&quot;:&quot;&quot;,&quot;non-dropping-particle&quot;:&quot;&quot;},{&quot;family&quot;:&quot;Sharifpur&quot;,&quot;given&quot;:&quot;Mohsen&quot;,&quot;parse-names&quot;:false,&quot;dropping-particle&quot;:&quot;&quot;,&quot;non-dropping-particle&quot;:&quot;&quot;},{&quot;family&quot;:&quot;Guo&quot;,&quot;given&quot;:&quot;Wei&quot;,&quot;parse-names&quot;:false,&quot;dropping-particle&quot;:&quot;&quot;,&quot;non-dropping-particle&quot;:&quot;&quot;}],&quot;container-title&quot;:&quot;Journal of Building Engineering&quot;,&quot;accessed&quot;:{&quot;date-parts&quot;:[[2022,4,19]]},&quot;DOI&quot;:&quot;10.1016/J.JOBE.2022.104236&quot;,&quot;ISSN&quot;:&quot;2352-7102&quot;,&quot;issued&quot;:{&quot;date-parts&quot;:[[2022,7,1]]},&quot;page&quot;:&quot;104236&quot;,&quot;abstract&quot;:&quot;In this study, the effect of PCM on reducing carbon dioxide emissions from the building associated with heating ventilation and air conditioning sector (HVAC) was investigated. Studies showed that a thickness of 8 cm of Polystyrene insulation is optimal for buildings in Riyadh. Therefore, in three cases, five different PCM types were added to the walls. In the first and second cases, the insulation thickness was 8 and 4 cm, respectively, and in the third case, the insulation was completely removed. The effect of PCM was assessed by evaluating the reduction in carbon dioxide emissions. PCM25HC was selected as the best candidate to reduce carbon dioxide emissions by recording 61.3%, 60.1%, and 65% in all cases. The presence of insulation with PCM reduced carbon dioxide emissions associated with the HVAC section. The effect of PCM reached its maximum in the third case, where there was no insulation. In the third case, for PCM18HC, PCM21HC, PCM24HC, PCM25HC, PCM26 and PCM28HC, as much as 13780, 22734, 23737, 24963, 16310 and 13780 kg, less CO2 was released.&quot;,&quot;publisher&quot;:&quot;Elsevier&quot;,&quot;volume&quot;:&quot;51&quot;,&quot;container-title-short&quot;:&quot;&quot;},&quot;isTemporary&quot;:false}]},{&quot;citationID&quot;:&quot;MENDELEY_CITATION_23e30856-da7e-45da-8ab7-6fa3d90dad76&quot;,&quot;properties&quot;:{&quot;noteIndex&quot;:0},&quot;isEdited&quot;:false,&quot;manualOverride&quot;:{&quot;isManuallyOverridden&quot;:false,&quot;citeprocText&quot;:&quot;[204]&quot;,&quot;manualOverrideText&quot;:&quot;&quot;},&quot;citationTag&quot;:&quot;MENDELEY_CITATION_v3_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&quot;,&quot;citationItems&quot;:[{&quot;id&quot;:&quot;afc00785-5e2b-3d6b-a702-f1406c35e84f&quot;,&quot;itemData&quot;:{&quot;type&quot;:&quot;article-journal&quot;,&quot;id&quot;:&quot;afc00785-5e2b-3d6b-a702-f1406c35e84f&quot;,&quot;title&quot;:&quot;Energy, comfort, and environmental assessment of passive techniques integrated into low-energy residential buildings in semi-arid climate&quot;,&quot;author&quot;:[{&quot;family&quot;:&quot;Mousavi&quot;,&quot;given&quot;:&quot;Seyedehniloufar&quot;,&quot;parse-names&quot;:false,&quot;dropping-particle&quot;:&quot;&quot;,&quot;non-dropping-particle&quot;:&quot;&quot;},{&quot;family&quot;:&quot;Gijón-Rivera&quot;,&quot;given&quot;:&quot;M.&quot;,&quot;parse-names&quot;:false,&quot;dropping-particle&quot;:&quot;&quot;,&quot;non-dropping-particle&quot;:&quot;&quot;},{&quot;family&quot;:&quot;Rivera-Solorio&quot;,&quot;given&quot;:&quot;C.I.&quot;,&quot;parse-names&quot;:false,&quot;dropping-particle&quot;:&quot;&quot;,&quot;non-dropping-particle&quot;:&quot;&quot;},{&quot;family&quot;:&quot;Godoy Rangel&quot;,&quot;given&quot;:&quot;Caribay&quot;,&quot;parse-names&quot;:false,&quot;dropping-particle&quot;:&quot;&quot;,&quot;non-dropping-particle&quot;:&quot;&quot;}],&quot;container-title&quot;:&quot;Energy and Buildings&quot;,&quot;accessed&quot;:{&quot;date-parts&quot;:[[2022,4,19]]},&quot;DOI&quot;:&quot;10.1016/J.ENBUILD.2022.112053&quot;,&quot;ISSN&quot;:&quot;0378-7788&quot;,&quot;issued&quot;:{&quot;date-parts&quot;:[[2022,5,15]]},&quot;page&quot;:&quot;112053&quot;,&quot;abstract&quot;:&quot;Residential buildings consume a lot of energy, particularly after the recent pandemic and remote working lifestyle. Thus, it is crucial to design energy-efficient buildings that reduce energy consumption without losing indoor thermal comfort. In this regard, integrating affordable passive strategies can improve thermal comfort, energy efficiency, and other environmental setbacks. In this study, several passive techniques were parametrically analyzed and tested in real semi-arid conditions using building simulation tools. The analyzed passive strategies include a phase change material (PCM), reflective paint, insulation, double-clear glazing, double low-E glazing, reflective glazing, and shading. Three of Monterrey's major energy-consuming typical houses were analyzed, and the optimum configuration was selected based on annual energy saving and initial material cost-effectiveness. Although the PCM was thermally effective when integrated into walls and roofs, as well as in terms of total energy reduction, the results showed that it was not cost effective. Therefore, insulation and reflective paint in walls and roofs were applied in conjunction with low-E glazing and shading in all cases to save more than 50% of energy annually. The use of these energy-saving techniques increased the hours of comfort by up to 45%, resulting in a reduction of up to 3000 kgCO2e.&quot;,&quot;publisher&quot;:&quot;Elsevier&quot;,&quot;volume&quot;:&quot;263&quot;,&quot;container-title-short&quot;:&quot;Energy Build&quot;},&quot;isTemporary&quot;:false}]},{&quot;citationID&quot;:&quot;MENDELEY_CITATION_0ef4585e-3324-4a78-abfc-b5effab1148b&quot;,&quot;properties&quot;:{&quot;noteIndex&quot;:0},&quot;isEdited&quot;:false,&quot;manualOverride&quot;:{&quot;isManuallyOverridden&quot;:false,&quot;citeprocText&quot;:&quot;[205]&quot;,&quot;manualOverrideText&quot;:&quot;&quot;},&quot;citationTag&quot;:&quot;MENDELEY_CITATION_v3_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&quot;,&quot;citationItems&quot;:[{&quot;id&quot;:&quot;8b7a5064-3cde-3f41-8e8f-3bddf4bc6026&quot;,&quot;itemData&quot;:{&quot;type&quot;:&quot;article-journal&quot;,&quot;id&quot;:&quot;8b7a5064-3cde-3f41-8e8f-3bddf4bc6026&quot;,&quot;title&quot;:&quot;Energy saving and CO2 reduction potential of external building walls containing two layers of phase change material&quot;,&quot;author&quot;:[{&quot;family&quot;:&quot;Arıcı&quot;,&quot;given&quot;:&quot;Müslüm&quot;,&quot;parse-names&quot;:false,&quot;dropping-particle&quot;:&quot;&quot;,&quot;non-dropping-particle&quot;:&quot;&quot;},{&quot;family&quot;:&quot;Bilgin&quot;,&quot;given&quot;:&quot;Feyza&quot;,&quot;parse-names&quot;:false,&quot;dropping-particle&quot;:&quot;&quot;,&quot;non-dropping-particle&quot;:&quot;&quot;},{&quot;family&quot;:&quot;Krajčík&quot;,&quot;given&quot;:&quot;Michal&quot;,&quot;parse-names&quot;:false,&quot;dropping-particle&quot;:&quot;&quot;,&quot;non-dropping-particle&quot;:&quot;&quot;},{&quot;family&quot;:&quot;Nižetić&quot;,&quot;given&quot;:&quot;Sandro&quot;,&quot;parse-names&quot;:false,&quot;dropping-particle&quot;:&quot;&quot;,&quot;non-dropping-particle&quot;:&quot;&quot;},{&quot;family&quot;:&quot;Karabay&quot;,&quot;given&quot;:&quot;Hasan&quot;,&quot;parse-names&quot;:false,&quot;dropping-particle&quot;:&quot;&quot;,&quot;non-dropping-particle&quot;:&quot;&quot;}],&quot;container-title&quot;:&quot;Energy&quot;,&quot;accessed&quot;:{&quot;date-parts&quot;:[[2022,4,19]]},&quot;DOI&quot;:&quot;10.1016/J.ENERGY.2022.124010&quot;,&quot;ISSN&quot;:&quot;0360-5442&quot;,&quot;URL&quot;:&quot;https://linkinghub.elsevier.com/retrieve/pii/S0360544222009136&quot;,&quot;issued&quot;:{&quot;date-parts&quot;:[[2022,4,16]]},&quot;page&quot;:&quot;124010&quot;,&quot;publisher&quot;:&quot;Pergamon&quot;,&quot;container-title-short&quot;:&quot;&quot;},&quot;isTemporary&quot;:false}]},{&quot;citationID&quot;:&quot;MENDELEY_CITATION_58107b15-9f27-4fe5-97fc-7fb0a1a6dcb8&quot;,&quot;properties&quot;:{&quot;noteIndex&quot;:0},&quot;isEdited&quot;:false,&quot;manualOverride&quot;:{&quot;isManuallyOverridden&quot;:false,&quot;citeprocText&quot;:&quot;[33]&quot;,&quot;manualOverrideText&quot;:&quot;&quot;},&quot;citationTag&quot;:&quot;MENDELEY_CITATION_v3_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&quot;,&quot;citationItems&quot;:[{&quot;id&quot;:&quot;584f68b6-0669-36aa-a670-a4f320dcc735&quot;,&quot;itemData&quot;:{&quot;type&quot;:&quot;article-journal&quot;,&quot;id&quot;:&quot;584f68b6-0669-36aa-a670-a4f320dcc735&quot;,&quot;title&quot;:&quot;CO2 mitigation accounting for Thermal Energy Storage (TES) case studies&quot;,&quot;author&quot;:[{&quot;family&quot;:&quot;Cabeza&quot;,&quot;given&quot;:&quot;Luisa F.&quot;,&quot;parse-names&quot;:false,&quot;dropping-particle&quot;:&quot;&quot;,&quot;non-dropping-particle&quot;:&quot;&quot;},{&quot;family&quot;:&quot;Miró&quot;,&quot;given&quot;:&quot;Laia&quot;,&quot;parse-names&quot;:false,&quot;dropping-particle&quot;:&quot;&quot;,&quot;non-dropping-particle&quot;:&quot;&quot;},{&quot;family&quot;:&quot;Oró&quot;,&quot;given&quot;:&quot;Eduard&quot;,&quot;parse-names&quot;:false,&quot;dropping-particle&quot;:&quot;&quot;,&quot;non-dropping-particle&quot;:&quot;&quot;},{&quot;family&quot;:&quot;Gracia&quot;,&quot;given&quot;:&quot;Alvaro&quot;,&quot;parse-names&quot;:false,&quot;dropping-particle&quot;:&quot;&quot;,&quot;non-dropping-particle&quot;:&quot;de&quot;},{&quot;family&quot;:&quot;Martin&quot;,&quot;given&quot;:&quot;Viktoria&quot;,&quot;parse-names&quot;:false,&quot;dropping-particle&quot;:&quot;&quot;,&quot;non-dropping-particle&quot;:&quot;&quot;},{&quot;family&quot;:&quot;Krönauer&quot;,&quot;given&quot;:&quot;Andreas&quot;,&quot;parse-names&quot;:false,&quot;dropping-particle&quot;:&quot;&quot;,&quot;non-dropping-particle&quot;:&quot;&quot;},{&quot;family&quot;:&quot;Rathgeber&quot;,&quot;given&quot;:&quot;Christoph&quot;,&quot;parse-names&quot;:false,&quot;dropping-particle&quot;:&quot;&quot;,&quot;non-dropping-particle&quot;:&quot;&quot;},{&quot;family&quot;:&quot;Farid&quot;,&quot;given&quot;:&quot;Mohammed M.&quot;,&quot;parse-names&quot;:false,&quot;dropping-particle&quot;:&quot;&quot;,&quot;non-dropping-particle&quot;:&quot;&quot;},{&quot;family&quot;:&quot;Paksoy&quot;,&quot;given&quot;:&quot;Halime O.&quot;,&quot;parse-names&quot;:false,&quot;dropping-particle&quot;:&quot;&quot;,&quot;non-dropping-particle&quot;:&quot;&quot;},{&quot;family&quot;:&quot;Martínez&quot;,&quot;given&quot;:&quot;Mònica&quot;,&quot;parse-names&quot;:false,&quot;dropping-particle&quot;:&quot;&quot;,&quot;non-dropping-particle&quot;:&quot;&quot;},{&quot;family&quot;:&quot;Fernández&quot;,&quot;given&quot;:&quot;A. Inés&quot;,&quot;parse-names&quot;:false,&quot;dropping-particle&quot;:&quot;&quot;,&quot;non-dropping-particle&quot;:&quot;&quot;}],&quot;container-title&quot;:&quot;Applied Energy&quot;,&quot;accessed&quot;:{&quot;date-parts&quot;:[[2022,4,18]]},&quot;DOI&quot;:&quot;10.1016/J.APENERGY.2015.05.121&quot;,&quot;ISSN&quot;:&quot;0306-2619&quot;,&quot;issued&quot;:{&quot;date-parts&quot;:[[2015,10,1]]},&quot;page&quot;:&quot;365-377&quot;,&quot;abstract&quot;:&quot;According to the IPCC, societies can respond to climate changes by adapting to its impacts and by mitigation, that is, by reducing GHG emissions. No single technology can provide all of the mitigation potential in any sector, but many technologies have been acknowledged in being able to contribute to such potential. Among the technologies that can contribute in such potential, Thermal Energy Storage (TES) is not included explicitly, but implicitly as part of technologies such as energy supply, buildings, and industry. To enable a more detailed assessment of the CO2 mitigation potential of TES across many sectors, the group Annex 25 \&quot;Surplus heat management using advanced TES for CO2 mitigation\&quot; of the Energy Conservation through Energy Storage Implementing Agreement (ECES IA) of the International Energy Agency (AEI) present in this article the CO2 mitigation potential of different case studies with integrated TES. This potential is shown using operational and embodied CO2 parameters. Results are difficult to compare since TES is always designed in relation to its application, and each technology impacts the energy system as a whole to different extents. The applications analyzed for operational CO2 are refrigeration, solar power plants, mobile heat storage in industrial waste heat recovery, passive systems in buildings, ATES for a supermarket, greenhouse applications, and dishwasher with zeolite in Germany. The paper shows that the reason for mitigation is different in each application, from energy savings to larger solar share or lowering energy consumption from appliances. The mitigation potential dues to integrated TES is quantified in kg/MWh energy produced or heat delivered. Embodied CO2 in two TES case studies is presented, buildings and solar power plants.&quot;,&quot;publisher&quot;:&quot;Elsevier&quot;,&quot;volume&quot;:&quot;155&quot;,&quot;container-title-short&quot;:&quot;Appl Energy&quot;},&quot;isTemporary&quot;:false}]},{&quot;citationID&quot;:&quot;MENDELEY_CITATION_1aab690c-a29f-42a8-8eb6-9b3650dee965&quot;,&quot;properties&quot;:{&quot;noteIndex&quot;:0},&quot;isEdited&quot;:false,&quot;manualOverride&quot;:{&quot;isManuallyOverridden&quot;:false,&quot;citeprocText&quot;:&quot;[34]&quot;,&quot;manualOverrideText&quot;:&quot;&quot;},&quot;citationTag&quot;:&quot;MENDELEY_CITATION_v3_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&quot;,&quot;citationItems&quot;:[{&quot;id&quot;:&quot;feba1992-a290-3c10-9ce8-57daf58e9288&quot;,&quot;itemData&quot;:{&quot;type&quot;:&quot;article-journal&quot;,&quot;id&quot;:&quot;feba1992-a290-3c10-9ce8-57daf58e9288&quot;,&quot;title&quot;:&quot;Techno-economic analysis of decarbonizing building heating in Upstate New York using seasonal borehole thermal energy storage&quot;,&quot;author&quot;:[{&quot;family&quot;:&quot;Durga&quot;,&quot;given&quot;:&quot;Siddarth&quot;,&quot;parse-names&quot;:false,&quot;dropping-particle&quot;:&quot;&quot;,&quot;non-dropping-particle&quot;:&quot;&quot;},{&quot;family&quot;:&quot;Beckers&quot;,&quot;given&quot;:&quot;Koenraad F.&quot;,&quot;parse-names&quot;:false,&quot;dropping-particle&quot;:&quot;&quot;,&quot;non-dropping-particle&quot;:&quot;&quot;},{&quot;family&quot;:&quot;Taam&quot;,&quot;given&quot;:&quot;Milton&quot;,&quot;parse-names&quot;:false,&quot;dropping-particle&quot;:&quot;&quot;,&quot;non-dropping-particle&quot;:&quot;&quot;},{&quot;family&quot;:&quot;Horowitz&quot;,&quot;given&quot;:&quot;Frank&quot;,&quot;parse-names&quot;:false,&quot;dropping-particle&quot;:&quot;&quot;,&quot;non-dropping-particle&quot;:&quot;&quot;},{&quot;family&quot;:&quot;Cathles&quot;,&quot;given&quot;:&quot;Lawrence M.&quot;,&quot;parse-names&quot;:false,&quot;dropping-particle&quot;:&quot;&quot;,&quot;non-dropping-particle&quot;:&quot;&quot;},{&quot;family&quot;:&quot;Tester&quot;,&quot;given&quot;:&quot;Jefferson W.&quot;,&quot;parse-names&quot;:false,&quot;dropping-particle&quot;:&quot;&quot;,&quot;non-dropping-particle&quot;:&quot;&quot;}],&quot;container-title&quot;:&quot;Energy and Buildings&quot;,&quot;accessed&quot;:{&quot;date-parts&quot;:[[2022,4,18]]},&quot;DOI&quot;:&quot;10.1016/J.ENBUILD.2021.110890&quot;,&quot;ISSN&quot;:&quot;0378-7788&quot;,&quot;issued&quot;:{&quot;date-parts&quot;:[[2021,6,15]]},&quot;page&quot;:&quot;110890&quot;,&quot;abstract&quot;:&quot;On average, fossil fuel space heating constitutes 56% of a building's total energy usage in Upstate New York due to the cold winter climate. Similar levels of fossil fuel heating pertain in at least 15 states in the U.S. northern tier. To meet aggressive carbon reduction goals in this tier, decarbonizing the heat supply in the residential and commercial sector must be pursued. Using Borehole Thermal Energy Storage (BTES) to seasonally store excess thermal energy in the subsurface for later heating use is an innovative way to increase heating efficiency and lower carbon emissions. This paper investigates the technical and economic feasibility of heating Snee Hall on Cornell campus with unused summer steam from Cornell's Combined Heat and Power Plant stored in an optimized BTES array. Snee Hall is a 6855 m2 building with an annual total heating load of 3040 GJ. A standard 2-D transient subsurface conductive heat transfer model is coupled to a high temperature heat pump (delivering &gt; 60 °C) that can supply Snee Hall's existing radiators with 70 °C water. For local geological parameters, 94% of Snee Hall's winter space heating demand can be supplied by a 37-borehole array (90 m depth, 3 m spacing) and a 250-kW high temperature heat pump capacity with average coefficient of performance of 3.85. The calculated storage efficiency is 68.7% and the system has a 30-year net present value of about $526,400, an internal rate of return of 13%, and a payback period of 10 to 11 years. The system offsets about 6900 MMBTU (7280 GJ) of natural gas combustion and saves 250 MT CO2 emissions annually. The results of the single building analysis can be applied to other buildings on campus or in similar geologic settings in the U.S northern tier.&quot;,&quot;publisher&quot;:&quot;Elsevier&quot;,&quot;volume&quot;:&quot;241&quot;,&quot;container-title-short&quot;:&quot;Energy Build&quot;},&quot;isTemporary&quot;:false}]},{&quot;citationID&quot;:&quot;MENDELEY_CITATION_6a0f1e32-2351-4d2f-a736-277f2743ae5b&quot;,&quot;properties&quot;:{&quot;noteIndex&quot;:0},&quot;isEdited&quot;:false,&quot;manualOverride&quot;:{&quot;isManuallyOverridden&quot;:false,&quot;citeprocText&quot;:&quot;[208]&quot;,&quot;manualOverrideText&quot;:&quot;&quot;},&quot;citationTag&quot;:&quot;MENDELEY_CITATION_v3_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&quot;,&quot;citationItems&quot;:[{&quot;id&quot;:&quot;265c7698-82af-38c2-8465-aab37dbf69da&quot;,&quot;itemData&quot;:{&quot;type&quot;:&quot;article-journal&quot;,&quot;id&quot;:&quot;265c7698-82af-38c2-8465-aab37dbf69da&quot;,&quot;title&quot;:&quot;Overview of thermal energy storage (TES) potential energy savings and climate change mitigation in Spain and Europe&quot;,&quot;author&quot;:[{&quot;family&quot;:&quot;Arce&quot;,&quot;given&quot;:&quot;Pablo&quot;,&quot;parse-names&quot;:false,&quot;dropping-particle&quot;:&quot;&quot;,&quot;non-dropping-particle&quot;:&quot;&quot;},{&quot;family&quot;:&quot;Medrano&quot;,&quot;given&quot;:&quot;Marc&quot;,&quot;parse-names&quot;:false,&quot;dropping-particle&quot;:&quot;&quot;,&quot;non-dropping-particle&quot;:&quot;&quot;},{&quot;family&quot;:&quot;Gil&quot;,&quot;given&quot;:&quot;Antoni&quot;,&quot;parse-names&quot;:false,&quot;dropping-particle&quot;:&quot;&quot;,&quot;non-dropping-particle&quot;:&quot;&quot;},{&quot;family&quot;:&quot;Oró&quot;,&quot;given&quot;:&quot;Eduard&quot;,&quot;parse-names&quot;:false,&quot;dropping-particle&quot;:&quot;&quot;,&quot;non-dropping-particle&quot;:&quot;&quot;},{&quot;family&quot;:&quot;Cabeza&quot;,&quot;given&quot;:&quot;Luisa F.&quot;,&quot;parse-names&quot;:false,&quot;dropping-particle&quot;:&quot;&quot;,&quot;non-dropping-particle&quot;:&quot;&quot;}],&quot;container-title&quot;:&quot;Applied Energy&quot;,&quot;accessed&quot;:{&quot;date-parts&quot;:[[2022,4,18]]},&quot;DOI&quot;:&quot;10.1016/J.APENERGY.2011.01.067&quot;,&quot;ISSN&quot;:&quot;0306-2619&quot;,&quot;issued&quot;:{&quot;date-parts&quot;:[[2011,8,1]]},&quot;page&quot;:&quot;2764-2774&quot;,&quot;abstract&quot;:&quot;Thermal energy storage (TES) is nowadays presented as one of the most feasible solutions in achieving energy savings and environmentally correct behaviors. Its potential applications have led to R&amp;D activities and to the development of various technology types. However, so far there is no available data on a national scale in Spain and on a continental level in Europe, to corroborate the associated energetic and environmental benefits derived from TES. This is why, based on a previous potential calculation initiative model performed in Germany, this work intends to provide a first overview of the Spanish TES potential as well as an European overview. Load reductions, energy savings, and CO2 emissions reductions are tackled for the buildings and industrial sector. Results depend on the amount of implementation and show that, in the case of Europe for instance, yearly CO2 emissions may get to be cut down up to around 6% in reference to 1990 emission levels. © 2011 Elsevier Ltd.&quot;,&quot;publisher&quot;:&quot;Elsevier&quot;,&quot;issue&quot;:&quot;8&quot;,&quot;volume&quot;:&quot;88&quot;,&quot;container-title-short&quot;:&quot;Appl Energy&quot;},&quot;isTemporary&quot;:false}]},{&quot;citationID&quot;:&quot;MENDELEY_CITATION_48822f13-dfb4-43e2-a12d-e1bb0708337f&quot;,&quot;properties&quot;:{&quot;noteIndex&quot;:0},&quot;isEdited&quot;:false,&quot;manualOverride&quot;:{&quot;isManuallyOverridden&quot;:false,&quot;citeprocText&quot;:&quot;[35]&quot;,&quot;manualOverrideText&quot;:&quot;&quot;},&quot;citationTag&quot;:&quot;MENDELEY_CITATION_v3_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&quot;,&quot;citationItems&quot;:[{&quot;id&quot;:&quot;514651b1-1ec8-3fc8-acf4-e4213dcba05f&quot;,&quot;itemData&quot;:{&quot;type&quot;:&quot;article-journal&quot;,&quot;id&quot;:&quot;514651b1-1ec8-3fc8-acf4-e4213dcba05f&quot;,&quot;title&quot;:&quot;Smart integration of photovoltaic production, heat pump and thermal energy storage in residential applications&quot;,&quot;author&quot;:[{&quot;family&quot;:&quot;Facci&quot;,&quot;given&quot;:&quot;Andrea L.&quot;,&quot;parse-names&quot;:false,&quot;dropping-particle&quot;:&quot;&quot;,&quot;non-dropping-particle&quot;:&quot;&quot;},{&quot;family&quot;:&quot;Krastev&quot;,&quot;given&quot;:&quot;Vesselin K.&quot;,&quot;parse-names&quot;:false,&quot;dropping-particle&quot;:&quot;&quot;,&quot;non-dropping-particle&quot;:&quot;&quot;},{&quot;family&quot;:&quot;Falcucci&quot;,&quot;given&quot;:&quot;Giacomo&quot;,&quot;parse-names&quot;:false,&quot;dropping-particle&quot;:&quot;&quot;,&quot;non-dropping-particle&quot;:&quot;&quot;},{&quot;family&quot;:&quot;Ubertini&quot;,&quot;given&quot;:&quot;Stefano&quot;,&quot;parse-names&quot;:false,&quot;dropping-particle&quot;:&quot;&quot;,&quot;non-dropping-particle&quot;:&quot;&quot;}],&quot;container-title&quot;:&quot;Solar Energy&quot;,&quot;accessed&quot;:{&quot;date-parts&quot;:[[2022,4,18]]},&quot;DOI&quot;:&quot;10.1016/J.SOLENER.2018.06.017&quot;,&quot;ISSN&quot;:&quot;0038-092X&quot;,&quot;issued&quot;:{&quot;date-parts&quot;:[[2019,11,1]]},&quot;page&quot;:&quot;133-143&quot;,&quot;abstract&quot;:&quot;The optimal design of distributed generation systems is of foremost importance to reduce fossil fuel consumption and mitigate the environmental impact of human activities in urban areas. Moreover, an efficient and integrated control strategy is needed for each of the components of a distributed generation plant, in order to reach the expected economic and environmental performances. In this paper, the transition from natural gas to electricity-based heating is evaluated for residential applications, considering the interplay between photovoltaic electricity produced on site and the thermal energy storage, to grant the optimal management of heating devices. The energy demand of an apartment building, under different climatic conditions, is taken as a reference and four power plant solutions are assessed in terms of energy cost and pollution reduction potential, compared to a baseline plant configuration. The performance of each power plant is analyzed assuming an optimized control strategy, which is determined through a graph-based methodology that was previously developed and validated by the authors. Outcomes from our study show that, if heat pumps are used instead of natural gas boilers, energy costs are reduced up to 41%, while CO2 emissions are reduced up to 73%, depending on the climatic conditions. Our results provide a sound basis for considering the larger penetration of photovoltaic plants as an effective solution towards cleaner and more efficient heating technologies for civil applications. The simultaneous utilization of heat pumps (as substitutes of boilers) and photovoltaic panels yields a positive synergy that nullifies the local pollution, drastically cuts the CO2 emission, and guarantees the economical sustainability of the investment in renewable energy sources without subsidiary mechanisms.&quot;,&quot;publisher&quot;:&quot;Pergamon&quot;,&quot;volume&quot;:&quot;192&quot;,&quot;container-title-short&quot;:&quot;&quot;},&quot;isTemporary&quot;:false}]},{&quot;citationID&quot;:&quot;MENDELEY_CITATION_8ea4972f-e538-493f-b04d-cb81a9830111&quot;,&quot;properties&quot;:{&quot;noteIndex&quot;:0},&quot;isEdited&quot;:false,&quot;manualOverride&quot;:{&quot;isManuallyOverridden&quot;:false,&quot;citeprocText&quot;:&quot;[207]&quot;,&quot;manualOverrideText&quot;:&quot;&quot;},&quot;citationTag&quot;:&quot;MENDELEY_CITATION_v3_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&quot;,&quot;citationItems&quot;:[{&quot;id&quot;:&quot;c32cdd38-b88b-3c85-ae09-2ced23f7c47a&quot;,&quot;itemData&quot;:{&quot;type&quot;:&quot;article-journal&quot;,&quot;id&quot;:&quot;c32cdd38-b88b-3c85-ae09-2ced23f7c47a&quot;,&quot;title&quot;:&quot;An optimisation framework for thermal energy storage integration in a residential heat pump heating system&quot;,&quot;author&quot;:[{&quot;family&quot;:&quot;Renaldi&quot;,&quot;given&quot;:&quot;R.&quot;,&quot;parse-names&quot;:false,&quot;dropping-particle&quot;:&quot;&quot;,&quot;non-dropping-particle&quot;:&quot;&quot;},{&quot;family&quot;:&quot;Kiprakis&quot;,&quot;given&quot;:&quot;A.&quot;,&quot;parse-names&quot;:false,&quot;dropping-particle&quot;:&quot;&quot;,&quot;non-dropping-particle&quot;:&quot;&quot;},{&quot;family&quot;:&quot;Friedrich&quot;,&quot;given&quot;:&quot;D.&quot;,&quot;parse-names&quot;:false,&quot;dropping-particle&quot;:&quot;&quot;,&quot;non-dropping-particle&quot;:&quot;&quot;}],&quot;container-title&quot;:&quot;Applied Energy&quot;,&quot;accessed&quot;:{&quot;date-parts&quot;:[[2022,4,18]]},&quot;DOI&quot;:&quot;10.1016/J.APENERGY.2016.02.067&quot;,&quot;ISSN&quot;:&quot;0306-2619&quot;,&quot;issued&quot;:{&quot;date-parts&quot;:[[2017,1,15]]},&quot;page&quot;:&quot;520-529&quot;,&quot;abstract&quot;:&quot;Domestic heating has a large share in the UK total energy consumption and significant contribution to the greenhouse gas emissions since it is mainly fulfilled by fossil fuels. Therefore, decarbonising the heating system is essential and an option to achieve this is by heating system electrification through heat pumps (HP) installation in combination with renewable power generation. A potential increase in performance and flexibility can be achieved by pairing HP with thermal energy storage (TES), which allows the shifting of heat demand to off peak periods or periods with surplus renewable electricity. We present a design and operational optimisation model which is able to assess the performance of HP–TES relative to conventional heating systems. The optimisation is performed on a synthetic heat demand model which requires only the annual heat demand, temperature and occupancy profiles. The results show that the equipment and operational cost of a HP system without TES are significantly higher than for a conventional system. However, the integration of TES and time-of-use tariffs reduce the operational cost of the HP systems and in combination with the Renewable Heating Incentive make the HP systems cost competitive with conventional systems. The presented demand model and optimisation procedure will enable the design of low carbon district heating systems which integrate the heating system with the variable renewable electricity supply.&quot;,&quot;publisher&quot;:&quot;Elsevier&quot;,&quot;volume&quot;:&quot;186&quot;,&quot;container-title-short&quot;:&quot;Appl Energy&quot;},&quot;isTemporary&quot;:false}]},{&quot;citationID&quot;:&quot;MENDELEY_CITATION_e1f5f849-c645-4596-a64a-14f1ae795ad1&quot;,&quot;properties&quot;:{&quot;noteIndex&quot;:0},&quot;isEdited&quot;:false,&quot;manualOverride&quot;:{&quot;isManuallyOverridden&quot;:false,&quot;citeprocText&quot;:&quot;[194]&quot;,&quot;manualOverrideText&quot;:&quot;&quot;},&quot;citationTag&quot;:&quot;MENDELEY_CITATION_v3_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&quot;,&quot;citationItems&quot;:[{&quot;id&quot;:&quot;92ae012f-4933-39f0-9f20-1b911bd19964&quot;,&quot;itemData&quot;:{&quot;type&quot;:&quot;article-journal&quot;,&quot;id&quot;:&quot;92ae012f-4933-39f0-9f20-1b911bd19964&quot;,&quot;title&quot;:&quot;Multi-objective optimization of energy performance of a building considering different configurations and types of PCM&quot;,&quot;author&quot;:[{&quot;family&quot;:&quot;Markarian&quot;,&quot;given&quot;:&quot;Elin&quot;,&quot;parse-names&quot;:false,&quot;dropping-particle&quot;:&quot;&quot;,&quot;non-dropping-particle&quot;:&quot;&quot;},{&quot;family&quot;:&quot;Fazelpour&quot;,&quot;given&quot;:&quot;Farivar&quot;,&quot;parse-names&quot;:false,&quot;dropping-particle&quot;:&quot;&quot;,&quot;non-dropping-particle&quot;:&quot;&quot;}],&quot;container-title&quot;:&quot;Solar Energy&quot;,&quot;accessed&quot;:{&quot;date-parts&quot;:[[2022,4,19]]},&quot;DOI&quot;:&quot;10.1016/J.SOLENER.2019.09.003&quot;,&quot;ISSN&quot;:&quot;0038-092X&quot;,&quot;issued&quot;:{&quot;date-parts&quot;:[[2019,10,1]]},&quot;page&quot;:&quot;481-496&quot;,&quot;abstract&quot;:&quot;Phase change materials (PCM) can be outfitted in building envelopes to not only provide thermal comfort for occupants but also trim heating, ventilation and air conditioning (HVAC) loads. However, the efficacy of PCMs depends highly on its thermo-physical properties and climatic condition. In this regard, a multi-objective optimization technique is adopted to unearth the optimal type and location of PCM that can minimize heating and cooling loads considering five cities of Iran namely Tehran, Tabriz, Bandar Abas, Shiraz and Yazd with distinctive climates. Then, the optimal PCMs are environmentally and economically assessed. The study showed that the PCM with a melting temperature of 25 °C outperforms in terms of cooling load while the PCM with a melting temperature of 21 °C favors the heating performance. Moreover, the utilization of PCM results in electricity saving of 4.5–5.5% for all the climates. On average, the annual carbon footprint is reduced by 1297 kg, 1420 kg, 2040 kg, 1027 kg, and 1248 kg for Tehran, Tabriz, Bandar Abas, Shiraz, and Yazd, respectively. The payback period was found to be more than 70 years for all the cities considering current economic conditions. However, the energy subsidies are projected to fall in the near future that may make PCM integration economically feasible.&quot;,&quot;publisher&quot;:&quot;Pergamon&quot;,&quot;volume&quot;:&quot;191&quot;,&quot;container-title-short&quot;:&quot;&quot;},&quot;isTemporary&quot;:false}]},{&quot;citationID&quot;:&quot;MENDELEY_CITATION_2d09b349-b8ae-4f55-bd61-3209bd5df23f&quot;,&quot;properties&quot;:{&quot;noteIndex&quot;:0},&quot;isEdited&quot;:false,&quot;manualOverride&quot;:{&quot;isManuallyOverridden&quot;:false,&quot;citeprocText&quot;:&quot;[203]&quot;,&quot;manualOverrideText&quot;:&quot;&quot;},&quot;citationTag&quot;:&quot;MENDELEY_CITATION_v3_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&quot;,&quot;citationItems&quot;:[{&quot;id&quot;:&quot;aaac7224-b43d-3cb9-ba03-e12f1f945a27&quot;,&quot;itemData&quot;:{&quot;type&quot;:&quot;article-journal&quot;,&quot;id&quot;:&quot;aaac7224-b43d-3cb9-ba03-e12f1f945a27&quot;,&quot;title&quot;:&quot;Carbon dioxide reduction using passive technique of incorporating phase change materials into envelopes: A case study of climate data from Saudi Arabia&quot;,&quot;author&quot;:[{&quot;family&quot;:&quot;Abu-Hamdeh&quot;,&quot;given&quot;:&quot;Nidal H.&quot;,&quot;parse-names&quot;:false,&quot;dropping-particle&quot;:&quot;&quot;,&quot;non-dropping-particle&quot;:&quot;&quot;},{&quot;family&quot;:&quot;Bantan&quot;,&quot;given&quot;:&quot;Rashad A.R.&quot;,&quot;parse-names&quot;:false,&quot;dropping-particle&quot;:&quot;&quot;,&quot;non-dropping-particle&quot;:&quot;&quot;},{&quot;family&quot;:&quot;Hatamleh&quot;,&quot;given&quot;:&quot;Randa I.&quot;,&quot;parse-names&quot;:false,&quot;dropping-particle&quot;:&quot;&quot;,&quot;non-dropping-particle&quot;:&quot;&quot;}],&quot;container-title&quot;:&quot;Journal of Energy Storage&quot;,&quot;accessed&quot;:{&quot;date-parts&quot;:[[2022,4,19]]},&quot;DOI&quot;:&quot;10.1016/J.EST.2022.104153&quot;,&quot;ISSN&quot;:&quot;2352-152X&quot;,&quot;issued&quot;:{&quot;date-parts&quot;:[[2022,5,1]]},&quot;page&quot;:&quot;104153&quot;,&quot;abstract&quot;:&quot;Buildings have been studied by researchers from the perspectives of energy consumption and Carbon dioxide (CO2) production. From the former perspective, they have a share of 40% and from the latter one, their share reaches over 35%. Focusing on reducing the building share of 35%, three phase change materials were injected into the envelopes. The phase change range of the first material was between 17-19∘C, the second material was 22-24 °C and the third one was 24-26 °C. The phase change material performance under constant indoor temperature conditions (24-26 °C), was discussed. It can change the positive effect of phase change material (CO2 saving) to a negative effect (CO2 emission intensification). The first PCM (phase transition of 17-19∘C) in all conditions reduced the emission of CO2. But the annual reduction was limited to 4 to 6.8%. For the second substance, different behavior was observed on hot and cool days. On cool days, the positive effects were small but the negative effects were greater. However, the positive effect of this substance on hot days caused this substance (except 26 °C) up to 35.7%, condensed CO2 emission. At setpoint 26 °C, the second substance increases CO2 production by 2.22 kg.m−2 if it is installed inside envelopes. The third phase change material showed the best performance in all conditions and is introduced as an obstacle to the release of CO2.&quot;,&quot;publisher&quot;:&quot;Elsevier&quot;,&quot;volume&quot;:&quot;49&quot;,&quot;container-title-short&quot;:&quot;J Energy Storage&quot;},&quot;isTemporary&quot;:false}]},{&quot;citationID&quot;:&quot;MENDELEY_CITATION_d8f74d38-17ed-404d-a3de-52492f2c6b80&quot;,&quot;properties&quot;:{&quot;noteIndex&quot;:0},&quot;isEdited&quot;:false,&quot;manualOverride&quot;:{&quot;isManuallyOverridden&quot;:false,&quot;citeprocText&quot;:&quot;[36]&quot;,&quot;manualOverrideText&quot;:&quot;&quot;},&quot;citationTag&quot;:&quot;MENDELEY_CITATION_v3_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&quot;,&quot;citationItems&quot;:[{&quot;id&quot;:&quot;830f609c-b085-3030-ba2a-1bb310561073&quot;,&quot;itemData&quot;:{&quot;type&quot;:&quot;article-journal&quot;,&quot;id&quot;:&quot;830f609c-b085-3030-ba2a-1bb310561073&quot;,&quot;title&quot;:&quot;Towards low carbon homes – A simulation analysis of building-integrated air-source heat pump systems&quot;,&quot;author&quot;:[{&quot;family&quot;:&quot;Cabrol&quot;,&quot;given&quot;:&quot;Loïc&quot;,&quot;parse-names&quot;:false,&quot;dropping-particle&quot;:&quot;&quot;,&quot;non-dropping-particle&quot;:&quot;&quot;},{&quot;family&quot;:&quot;Rowley&quot;,&quot;given&quot;:&quot;Paul&quot;,&quot;parse-names&quot;:false,&quot;dropping-particle&quot;:&quot;&quot;,&quot;non-dropping-particle&quot;:&quot;&quot;}],&quot;container-title&quot;:&quot;Energy and Buildings&quot;,&quot;accessed&quot;:{&quot;date-parts&quot;:[[2022,4,19]]},&quot;DOI&quot;:&quot;10.1016/J.ENBUILD.2012.01.019&quot;,&quot;ISSN&quot;:&quot;0378-7788&quot;,&quot;issued&quot;:{&quot;date-parts&quot;:[[2012,5,1]]},&quot;page&quot;:&quot;127-136&quot;,&quot;abstract&quot;:&quot;A comparative transient simulation analysis for domestic buildings with a floor-embedded heating system coupled to a modern air source heat-pump (ASHP) has been carried out using the TRNSYS numerical modeling environment for various UK locations. The effects of heat-pump control during off-peak electricity tariff periods in conjunction with varying building fabric characteristics were analysed and the results show that for the locations investigated, running costs and CO 2 emissions were lower for the ASHP platform than for a comparative gas boiler heating system. It was also found that by utilizing the thermal mass of a concrete floor slab or by integrating external insulation, acceptable comfort levels during the heating season were maintained when operating the ASHP solely during off-peak tariff periods. A thinner concrete floor slab containing phase change material (PCM) provided a slightly improved comfort level during winter and also reduced overheating during summer in buildings with a high level of insulation. Finally, when utilising a floor-embedded PCM material, it was found that the thermal properties of the PCM material must be carefully matched with case-specific building fabric thermal performance parameters in order to ensure effective internal environmental control. © 2011 Elsevier B.V. All rights reserved.&quot;,&quot;publisher&quot;:&quot;Elsevier&quot;,&quot;volume&quot;:&quot;48&quot;,&quot;container-title-short&quot;:&quot;Energy Build&quot;},&quot;isTemporary&quot;:false}]},{&quot;citationID&quot;:&quot;MENDELEY_CITATION_db74a5ef-be8f-4381-9bc6-9165e23e57d2&quot;,&quot;properties&quot;:{&quot;noteIndex&quot;:0},&quot;isEdited&quot;:false,&quot;manualOverride&quot;:{&quot;citeprocText&quot;:&quot;[3]&quot;,&quot;isManuallyOverridden&quot;:false,&quot;manualOverrideText&quot;:&quot;&quot;},&quot;citationTag&quot;:&quot;MENDELEY_CITATION_v3_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&quot;,&quot;citationItems&quot;:[{&quot;id&quot;:&quot;d58303d9-4049-3b21-b4ce-c77cfc399f52&quot;,&quot;itemData&quot;:{&quot;type&quot;:&quot;paper-conference&quot;,&quot;id&quot;:&quot;d58303d9-4049-3b21-b4ce-c77cfc399f52&quot;,&quot;title&quot;:&quot;Novel PCM Integration with Electrical Heat Pump for Demand Response&quot;,&quot;author&quot;:[{&quot;family&quot;:&quot;Dong&quot;,&quot;given&quot;:&quot;Jin&quot;,&quot;parse-names&quot;:false,&quot;dropping-particle&quot;:&quot;&quot;,&quot;non-dropping-particle&quot;:&quot;&quot;},{&quot;family&quot;:&quot;Shen&quot;,&quot;given&quot;:&quot;Bo&quot;,&quot;parse-names&quot;:false,&quot;dropping-particle&quot;:&quot;&quot;,&quot;non-dropping-particle&quot;:&quot;&quot;},{&quot;family&quot;:&quot;Munk&quot;,&quot;given&quot;:&quot;Jeffrey&quot;,&quot;parse-names&quot;:false,&quot;dropping-particle&quot;:&quot;&quot;,&quot;non-dropping-particle&quot;:&quot;&quot;},{&quot;family&quot;:&quot;Gluesenkamp&quot;,&quot;given&quot;:&quot;Kyle R.&quot;,&quot;parse-names&quot;:false,&quot;dropping-particle&quot;:&quot;&quot;,&quot;non-dropping-particle&quot;:&quot;&quot;},{&quot;family&quot;:&quot;Laclair&quot;,&quot;given&quot;:&quot;Tim&quot;,&quot;parse-names&quot;:false,&quot;dropping-particle&quot;:&quot;&quot;,&quot;non-dropping-particle&quot;:&quot;&quot;},{&quot;family&quot;:&quot;Kuruganti&quot;,&quot;given&quot;:&quot;Teja&quot;,&quot;parse-names&quot;:false,&quot;dropping-particle&quot;:&quot;&quot;,&quot;non-dropping-particle&quot;:&quot;&quot;}],&quot;container-title&quot;:&quot;IEEE Power and Energy Society General Meeting&quot;,&quot;DOI&quot;:&quot;10.1109/PESGM40551.2019.8973936&quot;,&quot;ISBN&quot;:&quot;9781728119816&quot;,&quot;ISSN&quot;:&quot;19449933&quot;,&quot;issued&quot;:{&quot;date-parts&quot;:[[2019]]},&quot;abstract&quot;:&quot;In this paper, we examine the potential for using phase change material (PCM) as a thermal storage medium for improving the efficiency as well as enabling grid-responsive control of heat pump (HP) systems. Previous research in PCM integration in buildings has primarily been focused on integration with building envelopes. An objective of our research is to design a novel and practical PCM integration with existing HP systems. High-fidelity models for building, HP and PCM are developed to facilitate the model-based predictive control (MPC) design. To optimize the operation of HP and PCM, we introduce an optimization problem considering various constraints for both comfort and hardware constraints. We include experimental results in which a house fleet are optimized to minimize their power consumption or electricity cost. We numerically demonstrate the designs potential for reducing power consumption or electricity cost by 13% or 19%, respectively.&quot;,&quot;container-title-short&quot;:&quot;&quot;},&quot;uris&quot;:[&quot;http://www.mendeley.com/documents/?uuid=a85cbfa5-0df7-4e10-9431-26967e90678b&quot;],&quot;isTemporary&quot;:false,&quot;legacyDesktopId&quot;:&quot;a85cbfa5-0df7-4e10-9431-26967e90678b&quot;}]},{&quot;citationID&quot;:&quot;MENDELEY_CITATION_30a3f422-f353-46bb-9d2f-4aa27ce641ac&quot;,&quot;properties&quot;:{&quot;noteIndex&quot;:0},&quot;isEdited&quot;:false,&quot;manualOverride&quot;:{&quot;isManuallyOverridden&quot;:false,&quot;citeprocText&quot;:&quot;[59]&quot;,&quot;manualOverrideText&quot;:&quot;&quot;},&quot;citationTag&quot;:&quot;MENDELEY_CITATION_v3_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&quot;,&quot;citationItems&quot;:[{&quot;id&quot;:&quot;c71dfecd-b8e9-35ea-9927-019faac468c0&quot;,&quot;itemData&quot;:{&quot;type&quot;:&quot;article-journal&quot;,&quot;id&quot;:&quot;c71dfecd-b8e9-35ea-9927-019faac468c0&quot;,&quot;title&quot;:&quot;Demand response and smart grids—A survey&quot;,&quot;author&quot;:[{&quot;family&quot;:&quot;Siano&quot;,&quot;given&quot;:&quot;Pierluigi&quot;,&quot;parse-names&quot;:false,&quot;dropping-particle&quot;:&quot;&quot;,&quot;non-dropping-particle&quot;:&quot;&quot;}],&quot;container-title&quot;:&quot;Renewable and Sustainable Energy Reviews&quot;,&quot;accessed&quot;:{&quot;date-parts&quot;:[[2022,11,21]]},&quot;DOI&quot;:&quot;10.1016/J.RSER.2013.10.022&quot;,&quot;ISSN&quot;:&quot;1364-0321&quot;,&quot;issued&quot;:{&quot;date-parts&quot;:[[2014,2,1]]},&quot;page&quot;:&quot;461-478&quot;,&quot;abstract&quot;:&quot;The smart grid is conceived of as an electric grid that can deliver electricity in a controlled, smart way from points of generation to active consumers. Demand response (DR), by promoting the interaction and responsiveness of the customers, may offer a broad range of potential benefits on system operation and expansion and on market efficiency. Moreover, by improving the reliability of the power system and, in the long term, lowering peak demand, DR reduces overall plant and capital cost investments and postpones the need for network upgrades. In this paper a survey of DR potentials and benefits in smart grids is presented. Innovative enabling technologies and systems, such as smart meters, energy controllers, communication systems, decisive to facilitate the coordination of efficiency and DR in a smart grid, are described and discussed with reference to real industrial case studies and research projects. © 2013 Elsevier Ltd. All rights reserved.&quot;,&quot;publisher&quot;:&quot;Pergamon&quot;,&quot;volume&quot;:&quot;30&quot;,&quot;container-title-short&quot;:&quot;&quot;},&quot;isTemporary&quot;:false}]},{&quot;citationID&quot;:&quot;MENDELEY_CITATION_95908cfb-7d0b-43bd-ab9f-5aec628dc396&quot;,&quot;properties&quot;:{&quot;noteIndex&quot;:0},&quot;isEdited&quot;:false,&quot;manualOverride&quot;:{&quot;isManuallyOverridden&quot;:false,&quot;citeprocText&quot;:&quot;[209]&quot;,&quot;manualOverrideText&quot;:&quot;&quot;},&quot;citationTag&quot;:&quot;MENDELEY_CITATION_v3_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&quot;,&quot;citationItems&quot;:[{&quot;id&quot;:&quot;95893470-1b93-3351-b9b5-60ef2a210af9&quot;,&quot;itemData&quot;:{&quot;type&quot;:&quot;article-journal&quot;,&quot;id&quot;:&quot;95893470-1b93-3351-b9b5-60ef2a210af9&quot;,&quot;title&quot;:&quot;On heat pumps in smart grids: A review&quot;,&quot;author&quot;:[{&quot;family&quot;:&quot;Fischer&quot;,&quot;given&quot;:&quot;D&quot;,&quot;parse-names&quot;:false,&quot;dropping-particle&quot;:&quot;&quot;,&quot;non-dropping-particle&quot;:&quot;&quot;},{&quot;family&quot;:&quot;Reviews&quot;,&quot;given&quot;:&quot;H Madani - Renewable and Sustainable Energy&quot;,&quot;parse-names&quot;:false,&quot;dropping-particle&quot;:&quot;&quot;,&quot;non-dropping-particle&quot;:&quot;&quot;},{&quot;family&quot;:&quot;2017&quot;,&quot;given&quot;:&quot;undefined&quot;,&quot;parse-names&quot;:false,&quot;dropping-particle&quot;:&quot;&quot;,&quot;non-dropping-particle&quot;:&quot;&quot;}],&quot;container-title&quot;:&quot;Elsevier&quot;,&quot;accessed&quot;:{&quot;date-parts&quot;:[[2022,11,21]]},&quot;URL&quot;:&quot;https://www.sciencedirect.com/science/article/pii/S1364032116309418?casa_token=Qh18EGJLZLwAAAAA:vpcm3J1pwdEV8U5QYm_IU7cE3i4I6Wuv_Zp3WoY2Sf95l1BAIPqXKo95rW9jIkSZs6zNmasuGQ&quot;,&quot;container-title-short&quot;:&quot;&quot;},&quot;isTemporary&quot;:false}]},{&quot;citationID&quot;:&quot;MENDELEY_CITATION_390f3e83-1890-4454-92b9-04289dad937b&quot;,&quot;properties&quot;:{&quot;noteIndex&quot;:0},&quot;isEdited&quot;:false,&quot;manualOverride&quot;:{&quot;isManuallyOverridden&quot;:false,&quot;citeprocText&quot;:&quot;[59]&quot;,&quot;manualOverrideText&quot;:&quot;&quot;},&quot;citationTag&quot;:&quot;MENDELEY_CITATION_v3_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&quot;,&quot;citationItems&quot;:[{&quot;id&quot;:&quot;c71dfecd-b8e9-35ea-9927-019faac468c0&quot;,&quot;itemData&quot;:{&quot;type&quot;:&quot;article-journal&quot;,&quot;id&quot;:&quot;c71dfecd-b8e9-35ea-9927-019faac468c0&quot;,&quot;title&quot;:&quot;Demand response and smart grids—A survey&quot;,&quot;author&quot;:[{&quot;family&quot;:&quot;Siano&quot;,&quot;given&quot;:&quot;Pierluigi&quot;,&quot;parse-names&quot;:false,&quot;dropping-particle&quot;:&quot;&quot;,&quot;non-dropping-particle&quot;:&quot;&quot;}],&quot;container-title&quot;:&quot;Renewable and Sustainable Energy Reviews&quot;,&quot;accessed&quot;:{&quot;date-parts&quot;:[[2022,11,21]]},&quot;DOI&quot;:&quot;10.1016/J.RSER.2013.10.022&quot;,&quot;ISSN&quot;:&quot;1364-0321&quot;,&quot;issued&quot;:{&quot;date-parts&quot;:[[2014,2,1]]},&quot;page&quot;:&quot;461-478&quot;,&quot;abstract&quot;:&quot;The smart grid is conceived of as an electric grid that can deliver electricity in a controlled, smart way from points of generation to active consumers. Demand response (DR), by promoting the interaction and responsiveness of the customers, may offer a broad range of potential benefits on system operation and expansion and on market efficiency. Moreover, by improving the reliability of the power system and, in the long term, lowering peak demand, DR reduces overall plant and capital cost investments and postpones the need for network upgrades. In this paper a survey of DR potentials and benefits in smart grids is presented. Innovative enabling technologies and systems, such as smart meters, energy controllers, communication systems, decisive to facilitate the coordination of efficiency and DR in a smart grid, are described and discussed with reference to real industrial case studies and research projects. © 2013 Elsevier Ltd. All rights reserved.&quot;,&quot;publisher&quot;:&quot;Pergamon&quot;,&quot;volume&quot;:&quot;30&quot;,&quot;container-title-short&quot;:&quot;&quot;},&quot;isTemporary&quot;:false}]},{&quot;citationID&quot;:&quot;MENDELEY_CITATION_e92c8997-d575-4018-87aa-2d933d74a732&quot;,&quot;properties&quot;:{&quot;noteIndex&quot;:0},&quot;isEdited&quot;:false,&quot;manualOverride&quot;:{&quot;isManuallyOverridden&quot;:false,&quot;citeprocText&quot;:&quot;[210]&quot;,&quot;manualOverrideText&quot;:&quot;&quot;},&quot;citationTag&quot;:&quot;MENDELEY_CITATION_v3_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&quot;,&quot;citationItems&quot;:[{&quot;id&quot;:&quot;cbec1b2c-9e57-3f85-85da-9dc899127831&quot;,&quot;itemData&quot;:{&quot;type&quot;:&quot;article-journal&quot;,&quot;id&quot;:&quot;cbec1b2c-9e57-3f85-85da-9dc899127831&quot;,&quot;title&quot;:&quot;Regional variations in the health, environmental, and climate benefits of wind and solar generation&quot;,&quot;author&quot;:[{&quot;family&quot;:&quot;Siler-Evans&quot;,&quot;given&quot;:&quot;Kyle&quot;,&quot;parse-names&quot;:false,&quot;dropping-particle&quot;:&quot;&quot;,&quot;non-dropping-particle&quot;:&quot;&quot;},{&quot;family&quot;:&quot;Azevedo&quot;,&quot;given&quot;:&quot;Ines Lima&quot;,&quot;parse-names&quot;:false,&quot;dropping-particle&quot;:&quot;&quot;,&quot;non-dropping-particle&quot;:&quot;&quot;},{&quot;family&quot;:&quot;Morgan&quot;,&quot;given&quot;:&quot;M. Granger&quot;,&quot;parse-names&quot;:false,&quot;dropping-particle&quot;:&quot;&quot;,&quot;non-dropping-particle&quot;:&quot;&quot;},{&quot;family&quot;:&quot;Apt&quot;,&quot;given&quot;:&quot;Jay&quot;,&quot;parse-names&quot;:false,&quot;dropping-particle&quot;:&quot;&quot;,&quot;non-dropping-particle&quot;:&quot;&quot;}],&quot;container-title&quot;:&quot;Proceedings of the National Academy of Sciences of the United States of America&quot;,&quot;container-title-short&quot;:&quot;Proc Natl Acad Sci U S A&quot;,&quot;accessed&quot;:{&quot;date-parts&quot;:[[2022,11,22]]},&quot;DOI&quot;:&quot;10.1073/PNAS.1221978110&quot;,&quot;ISSN&quot;:&quot;00278424&quot;,&quot;PMID&quot;:&quot;23798431&quot;,&quot;issued&quot;:{&quot;date-parts&quot;:[[2013,7,16]]},&quot;page&quot;:&quot;11768-11773&quot;,&quot;abstract&quot;:&quot;When wind or solar energy displace conventional generation, the reduction in emissions varies dramatically across the United States. Although the Southwest has the greatest solar resource, a solar panel in New Jersey displaces significantly more sulfur dioxide, nitrogen oxides, and particulatematter than a panel in Arizona, resulting in 15 times more health and environmental benefits. A wind turbine in West Virginia displaces twice as much carbon dioxide as the same turbine in California. Depending on location, we estimate that the combined health, environmental, and climate benefits from wind or solar range from $10/MWh to $100/MWh, and the sites with the highest energy output do not yield the greatest social benefits in many cases. We estimate that the social benefits from existing wind farms are roughly 60% higher than the cost of the Production Tax Credit, an important federal subsidy for wind energy. However, that same investment could achieve greater health, environmental, and climate benefits if it were differentiated by region.&quot;,&quot;issue&quot;:&quot;29&quot;,&quot;volume&quot;:&quot;110&quot;},&quot;isTemporary&quot;:false}]},{&quot;citationID&quot;:&quot;MENDELEY_CITATION_68b2aee6-3676-4cab-a433-e7f4dd1e9f0d&quot;,&quot;properties&quot;:{&quot;noteIndex&quot;:0},&quot;isEdited&quot;:false,&quot;manualOverride&quot;:{&quot;isManuallyOverridden&quot;:false,&quot;citeprocText&quot;:&quot;[210]&quot;,&quot;manualOverrideText&quot;:&quot;&quot;},&quot;citationTag&quot;:&quot;MENDELEY_CITATION_v3_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&quot;,&quot;citationItems&quot;:[{&quot;id&quot;:&quot;cbec1b2c-9e57-3f85-85da-9dc899127831&quot;,&quot;itemData&quot;:{&quot;type&quot;:&quot;article-journal&quot;,&quot;id&quot;:&quot;cbec1b2c-9e57-3f85-85da-9dc899127831&quot;,&quot;title&quot;:&quot;Regional variations in the health, environmental, and climate benefits of wind and solar generation&quot;,&quot;author&quot;:[{&quot;family&quot;:&quot;Siler-Evans&quot;,&quot;given&quot;:&quot;Kyle&quot;,&quot;parse-names&quot;:false,&quot;dropping-particle&quot;:&quot;&quot;,&quot;non-dropping-particle&quot;:&quot;&quot;},{&quot;family&quot;:&quot;Azevedo&quot;,&quot;given&quot;:&quot;Ines Lima&quot;,&quot;parse-names&quot;:false,&quot;dropping-particle&quot;:&quot;&quot;,&quot;non-dropping-particle&quot;:&quot;&quot;},{&quot;family&quot;:&quot;Morgan&quot;,&quot;given&quot;:&quot;M. Granger&quot;,&quot;parse-names&quot;:false,&quot;dropping-particle&quot;:&quot;&quot;,&quot;non-dropping-particle&quot;:&quot;&quot;},{&quot;family&quot;:&quot;Apt&quot;,&quot;given&quot;:&quot;Jay&quot;,&quot;parse-names&quot;:false,&quot;dropping-particle&quot;:&quot;&quot;,&quot;non-dropping-particle&quot;:&quot;&quot;}],&quot;container-title&quot;:&quot;Proceedings of the National Academy of Sciences of the United States of America&quot;,&quot;container-title-short&quot;:&quot;Proc Natl Acad Sci U S A&quot;,&quot;accessed&quot;:{&quot;date-parts&quot;:[[2022,11,22]]},&quot;DOI&quot;:&quot;10.1073/PNAS.1221978110&quot;,&quot;ISSN&quot;:&quot;00278424&quot;,&quot;PMID&quot;:&quot;23798431&quot;,&quot;issued&quot;:{&quot;date-parts&quot;:[[2013,7,16]]},&quot;page&quot;:&quot;11768-11773&quot;,&quot;abstract&quot;:&quot;When wind or solar energy displace conventional generation, the reduction in emissions varies dramatically across the United States. Although the Southwest has the greatest solar resource, a solar panel in New Jersey displaces significantly more sulfur dioxide, nitrogen oxides, and particulatematter than a panel in Arizona, resulting in 15 times more health and environmental benefits. A wind turbine in West Virginia displaces twice as much carbon dioxide as the same turbine in California. Depending on location, we estimate that the combined health, environmental, and climate benefits from wind or solar range from $10/MWh to $100/MWh, and the sites with the highest energy output do not yield the greatest social benefits in many cases. We estimate that the social benefits from existing wind farms are roughly 60% higher than the cost of the Production Tax Credit, an important federal subsidy for wind energy. However, that same investment could achieve greater health, environmental, and climate benefits if it were differentiated by region.&quot;,&quot;issue&quot;:&quot;29&quot;,&quot;volume&quot;:&quot;110&quot;},&quot;isTemporary&quot;:false}]},{&quot;citationID&quot;:&quot;MENDELEY_CITATION_59924f7b-9054-4971-8dd5-5a572449ac87&quot;,&quot;properties&quot;:{&quot;noteIndex&quot;:0},&quot;isEdited&quot;:false,&quot;manualOverride&quot;:{&quot;isManuallyOverridden&quot;:false,&quot;citeprocText&quot;:&quot;[211]&quot;,&quot;manualOverrideText&quot;:&quot;&quot;},&quot;citationTag&quot;:&quot;MENDELEY_CITATION_v3_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&quot;,&quot;citationItems&quot;:[{&quot;id&quot;:&quot;f743a142-fecf-3b5f-b084-7ee2259ab4ed&quot;,&quot;itemData&quot;:{&quot;type&quot;:&quot;article-journal&quot;,&quot;id&quot;:&quot;f743a142-fecf-3b5f-b084-7ee2259ab4ed&quot;,&quot;title&quot;:&quot;Location, location, location: The variable value of renewable energy and demand-side efficiency resources&quot;,&quot;author&quot;:[{&quot;family&quot;:&quot;Callaway&quot;,&quot;given&quot;:&quot;Duncan S.&quot;,&quot;parse-names&quot;:false,&quot;dropping-particle&quot;:&quot;&quot;,&quot;non-dropping-particle&quot;:&quot;&quot;},{&quot;family&quot;:&quot;Fowlie&quot;,&quot;given&quot;:&quot;Meredith&quot;,&quot;parse-names&quot;:false,&quot;dropping-particle&quot;:&quot;&quot;,&quot;non-dropping-particle&quot;:&quot;&quot;},{&quot;family&quot;:&quot;McCormick&quot;,&quot;given&quot;:&quot;Gavin&quot;,&quot;parse-names&quot;:false,&quot;dropping-particle&quot;:&quot;&quot;,&quot;non-dropping-particle&quot;:&quot;&quot;}],&quot;container-title&quot;:&quot;Journal of the Association of Environmental and Resource Economists&quot;,&quot;container-title-short&quot;:&quot;J Assoc Environ Resour Econ&quot;,&quot;accessed&quot;:{&quot;date-parts&quot;:[[2022,11,21]]},&quot;DOI&quot;:&quot;10.1086/694179&quot;,&quot;ISSN&quot;:&quot;23335963&quot;,&quot;issued&quot;:{&quot;date-parts&quot;:[[2018,1,1]]},&quot;page&quot;:&quot;39-75&quot;,&quot;abstract&quot;:&quot;Greenhouse gas mitigation efforts in the electricity sector have emphasized accelerated deployment of energy efficiency (EE) measures and renewable energy (RE) resources. We evaluate renewable energy and energy efficiency technologies across regional power systems in the United States in terms of carbon dioxide emissions displaced, operating costs avoided, and capacity value generated. We use data on hourly emissions and electricity generation, simulated hourly production across thousands of wind and solar sites, wholesale electricity prices, and technology costs. We find that variation in the quantity of emissions displaced by wind, solar, and efficiency resources is significant across regions but limited across resources within a region. Comparing our estimates of emissions-related benefits against technology costs, we document substantial variation in the net cost per ton of CO2 avoided. This variation has not been reflected in the prevailing policy incentives that guide investments in RE and EE resources.&quot;,&quot;publisher&quot;:&quot;University of Chicago Press&quot;,&quot;issue&quot;:&quot;1&quot;,&quot;volume&quot;:&quot;5&quot;},&quot;isTemporary&quot;:false}]},{&quot;citationID&quot;:&quot;MENDELEY_CITATION_94a14187-f698-4d17-bdbd-9aafd263996b&quot;,&quot;properties&quot;:{&quot;noteIndex&quot;:0},&quot;isEdited&quot;:false,&quot;manualOverride&quot;:{&quot;isManuallyOverridden&quot;:false,&quot;citeprocText&quot;:&quot;[154]&quot;,&quot;manualOverrideText&quot;:&quot;&quot;},&quot;citationTag&quot;:&quot;MENDELEY_CITATION_v3_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&quot;,&quot;citationItems&quot;:[{&quot;id&quot;:&quot;aad07b45-f5e8-3a1b-9f6e-4305e44d0e90&quot;,&quot;itemData&quot;:{&quot;type&quot;:&quot;paper-conference&quot;,&quot;id&quot;:&quot;aad07b45-f5e8-3a1b-9f6e-4305e44d0e90&quot;,&quot;title&quot;:&quot;Analysis of Residential Time-of-Use Utility Rate Structures and Economic Implications for Thermal Energy Storage&quot;,&quot;author&quot;:[{&quot;family&quot;:&quot;Sultan&quot;,&quot;given&quot;:&quot;S&quot;,&quot;parse-names&quot;:false,&quot;dropping-particle&quot;:&quot;&quot;,&quot;non-dropping-particle&quot;:&quot;&quot;},{&quot;family&quot;:&quot;Hirschey&quot;,&quot;given&quot;:&quot;J&quot;,&quot;parse-names&quot;:false,&quot;dropping-particle&quot;:&quot;&quot;,&quot;non-dropping-particle&quot;:&quot;&quot;},{&quot;family&quot;:&quot;Gluesenkamp&quot;,&quot;given&quot;:&quot;KR&quot;,&quot;parse-names&quot;:false,&quot;dropping-particle&quot;:&quot;&quot;,&quot;non-dropping-particle&quot;:&quot;&quot;},{&quot;family&quot;:&quot;Graham&quot;,&quot;given&quot;:&quot;S&quot;,&quot;parse-names&quot;:false,&quot;dropping-particle&quot;:&quot;&quot;,&quot;non-dropping-particle&quot;:&quot;&quot;}],&quot;accessed&quot;:{&quot;date-parts&quot;:[[2021,8,31]]},&quot;URL&quot;:&quot;https://docs.lib.purdue.edu/cgi/viewcontent.cgi?article=1369&amp;context=ihpbc&quot;,&quot;issued&quot;:{&quot;date-parts&quot;:[[2021]]},&quot;page&quot;:&quot;1-10&quot;,&quot;abstract&quot;:&quot;Thermal energy storage (TES) is an increasingly popular tool to level out the daily electrical demand and add stability to the electrical grid as more intermittent renewable energy sources are installed. TES systems can locally decouple high thermal loads from the operation of a heat pump or reduce the electrical energy demand of the heat pump by providing a more favorable temperature gradient. In addition, many policy makers and utility providers have introduced time-of-use (TOU) rate schedules for residential customers to better reflect the price of electricity generation and demand for specific times. TOU rate schedules price grid-provided electricity differently throughout the day depending on the region's climate, time of year, and electrical production portfolio. Large differences between on-peak and off-peak electrical prices may create an economic advantage for a residential customer to install a TES system. In this work, the economic and energy savings are calculated for a modeled 223 square foot residential building with water/ice-based TES using a TOU rate structure. The weather data is from Fresno County, CA, ASHRAE climate zone 3B, and a representative residential TOU utility rate structure from a utility provider in California was used. The simulation was carried out for cooling only during a week of extreme hot summer daytime temperature and the results showed that total energy consumption could be reduced by 14.5% with an 87.5% reduction in on-peak energy usage when the TES is installed. The cost of operating this system for space cooling was reduced by nearly 20% using the sample utility rate plan.&quot;,&quot;container-title-short&quot;:&quot;&quot;},&quot;isTemporary&quot;:false}]},{&quot;citationID&quot;:&quot;MENDELEY_CITATION_179bca0b-4bf0-40b4-95da-47766232eca0&quot;,&quot;properties&quot;:{&quot;noteIndex&quot;:0},&quot;isEdited&quot;:false,&quot;manualOverride&quot;:{&quot;isManuallyOverridden&quot;:false,&quot;citeprocText&quot;:&quot;[154]&quot;,&quot;manualOverrideText&quot;:&quot;&quot;},&quot;citationTag&quot;:&quot;MENDELEY_CITATION_v3_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&quot;,&quot;citationItems&quot;:[{&quot;id&quot;:&quot;aad07b45-f5e8-3a1b-9f6e-4305e44d0e90&quot;,&quot;itemData&quot;:{&quot;type&quot;:&quot;paper-conference&quot;,&quot;id&quot;:&quot;aad07b45-f5e8-3a1b-9f6e-4305e44d0e90&quot;,&quot;title&quot;:&quot;Analysis of Residential Time-of-Use Utility Rate Structures and Economic Implications for Thermal Energy Storage&quot;,&quot;author&quot;:[{&quot;family&quot;:&quot;Sultan&quot;,&quot;given&quot;:&quot;S&quot;,&quot;parse-names&quot;:false,&quot;dropping-particle&quot;:&quot;&quot;,&quot;non-dropping-particle&quot;:&quot;&quot;},{&quot;family&quot;:&quot;Hirschey&quot;,&quot;given&quot;:&quot;J&quot;,&quot;parse-names&quot;:false,&quot;dropping-particle&quot;:&quot;&quot;,&quot;non-dropping-particle&quot;:&quot;&quot;},{&quot;family&quot;:&quot;Gluesenkamp&quot;,&quot;given&quot;:&quot;KR&quot;,&quot;parse-names&quot;:false,&quot;dropping-particle&quot;:&quot;&quot;,&quot;non-dropping-particle&quot;:&quot;&quot;},{&quot;family&quot;:&quot;Graham&quot;,&quot;given&quot;:&quot;S&quot;,&quot;parse-names&quot;:false,&quot;dropping-particle&quot;:&quot;&quot;,&quot;non-dropping-particle&quot;:&quot;&quot;}],&quot;accessed&quot;:{&quot;date-parts&quot;:[[2021,8,31]]},&quot;URL&quot;:&quot;https://docs.lib.purdue.edu/cgi/viewcontent.cgi?article=1369&amp;context=ihpbc&quot;,&quot;issued&quot;:{&quot;date-parts&quot;:[[2021]]},&quot;page&quot;:&quot;1-10&quot;,&quot;abstract&quot;:&quot;Thermal energy storage (TES) is an increasingly popular tool to level out the daily electrical demand and add stability to the electrical grid as more intermittent renewable energy sources are installed. TES systems can locally decouple high thermal loads from the operation of a heat pump or reduce the electrical energy demand of the heat pump by providing a more favorable temperature gradient. In addition, many policy makers and utility providers have introduced time-of-use (TOU) rate schedules for residential customers to better reflect the price of electricity generation and demand for specific times. TOU rate schedules price grid-provided electricity differently throughout the day depending on the region's climate, time of year, and electrical production portfolio. Large differences between on-peak and off-peak electrical prices may create an economic advantage for a residential customer to install a TES system. In this work, the economic and energy savings are calculated for a modeled 223 square foot residential building with water/ice-based TES using a TOU rate structure. The weather data is from Fresno County, CA, ASHRAE climate zone 3B, and a representative residential TOU utility rate structure from a utility provider in California was used. The simulation was carried out for cooling only during a week of extreme hot summer daytime temperature and the results showed that total energy consumption could be reduced by 14.5% with an 87.5% reduction in on-peak energy usage when the TES is installed. The cost of operating this system for space cooling was reduced by nearly 20% using the sample utility rate plan.&quot;,&quot;container-title-short&quot;:&quot;&quot;},&quot;isTemporary&quot;:false}]},{&quot;citationID&quot;:&quot;MENDELEY_CITATION_2bc5bea6-5c74-4a05-9d65-3f1aeb615a1c&quot;,&quot;properties&quot;:{&quot;noteIndex&quot;:0},&quot;isEdited&quot;:false,&quot;manualOverride&quot;:{&quot;isManuallyOverridden&quot;:false,&quot;citeprocText&quot;:&quot;[154]&quot;,&quot;manualOverrideText&quot;:&quot;&quot;},&quot;citationTag&quot;:&quot;MENDELEY_CITATION_v3_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&quot;,&quot;citationItems&quot;:[{&quot;id&quot;:&quot;aad07b45-f5e8-3a1b-9f6e-4305e44d0e90&quot;,&quot;itemData&quot;:{&quot;type&quot;:&quot;paper-conference&quot;,&quot;id&quot;:&quot;aad07b45-f5e8-3a1b-9f6e-4305e44d0e90&quot;,&quot;title&quot;:&quot;Analysis of Residential Time-of-Use Utility Rate Structures and Economic Implications for Thermal Energy Storage&quot;,&quot;author&quot;:[{&quot;family&quot;:&quot;Sultan&quot;,&quot;given&quot;:&quot;S&quot;,&quot;parse-names&quot;:false,&quot;dropping-particle&quot;:&quot;&quot;,&quot;non-dropping-particle&quot;:&quot;&quot;},{&quot;family&quot;:&quot;Hirschey&quot;,&quot;given&quot;:&quot;J&quot;,&quot;parse-names&quot;:false,&quot;dropping-particle&quot;:&quot;&quot;,&quot;non-dropping-particle&quot;:&quot;&quot;},{&quot;family&quot;:&quot;Gluesenkamp&quot;,&quot;given&quot;:&quot;KR&quot;,&quot;parse-names&quot;:false,&quot;dropping-particle&quot;:&quot;&quot;,&quot;non-dropping-particle&quot;:&quot;&quot;},{&quot;family&quot;:&quot;Graham&quot;,&quot;given&quot;:&quot;S&quot;,&quot;parse-names&quot;:false,&quot;dropping-particle&quot;:&quot;&quot;,&quot;non-dropping-particle&quot;:&quot;&quot;}],&quot;accessed&quot;:{&quot;date-parts&quot;:[[2021,8,31]]},&quot;URL&quot;:&quot;https://docs.lib.purdue.edu/cgi/viewcontent.cgi?article=1369&amp;context=ihpbc&quot;,&quot;issued&quot;:{&quot;date-parts&quot;:[[2021]]},&quot;page&quot;:&quot;1-10&quot;,&quot;abstract&quot;:&quot;Thermal energy storage (TES) is an increasingly popular tool to level out the daily electrical demand and add stability to the electrical grid as more intermittent renewable energy sources are installed. TES systems can locally decouple high thermal loads from the operation of a heat pump or reduce the electrical energy demand of the heat pump by providing a more favorable temperature gradient. In addition, many policy makers and utility providers have introduced time-of-use (TOU) rate schedules for residential customers to better reflect the price of electricity generation and demand for specific times. TOU rate schedules price grid-provided electricity differently throughout the day depending on the region's climate, time of year, and electrical production portfolio. Large differences between on-peak and off-peak electrical prices may create an economic advantage for a residential customer to install a TES system. In this work, the economic and energy savings are calculated for a modeled 223 square foot residential building with water/ice-based TES using a TOU rate structure. The weather data is from Fresno County, CA, ASHRAE climate zone 3B, and a representative residential TOU utility rate structure from a utility provider in California was used. The simulation was carried out for cooling only during a week of extreme hot summer daytime temperature and the results showed that total energy consumption could be reduced by 14.5% with an 87.5% reduction in on-peak energy usage when the TES is installed. The cost of operating this system for space cooling was reduced by nearly 20% using the sample utility rate plan.&quot;,&quot;container-title-short&quot;:&quot;&quot;},&quot;isTemporary&quot;:false}]},{&quot;citationID&quot;:&quot;MENDELEY_CITATION_64bf3cd4-ebdc-40e1-9232-6299972828a6&quot;,&quot;properties&quot;:{&quot;noteIndex&quot;:0},&quot;isEdited&quot;:false,&quot;manualOverride&quot;:{&quot;isManuallyOverridden&quot;:false,&quot;citeprocText&quot;:&quot;[212]–[214]&quot;,&quot;manualOverrideText&quot;:&quot;&quot;},&quot;citationTag&quot;:&quot;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&quot;,&quot;citationItems&quot;:[{&quot;id&quot;:&quot;21ae0845-f805-3ad2-9a83-88a0a17cf35e&quot;,&quot;itemData&quot;:{&quot;type&quot;:&quot;paper-conference&quot;,&quot;id&quot;:&quot;21ae0845-f805-3ad2-9a83-88a0a17cf35e&quot;,&quot;title&quot;:&quot;A simplified regression building thermal modelling method for detached two-\nfloor house in U.S.&quot;,&quot;author&quot;:[{&quot;family&quot;:&quot;Cui&quot;,&quot;given&quot;:&quot;Borui&quot;,&quot;parse-names&quot;:false,&quot;dropping-particle&quot;:&quot;&quot;,&quot;non-dropping-particle&quot;:&quot;&quot;},{&quot;family&quot;:&quot;Dong&quot;,&quot;given&quot;:&quot;Jin&quot;,&quot;parse-names&quot;:false,&quot;dropping-particle&quot;:&quot;&quot;,&quot;non-dropping-particle&quot;:&quot;&quot;},{&quot;family&quot;:&quot;Munk&quot;,&quot;given&quot;:&quot;Jeffrey&quot;,&quot;parse-names&quot;:false,&quot;dropping-particle&quot;:&quot;&quot;,&quot;non-dropping-particle&quot;:&quot;&quot;},{&quot;family&quot;:&quot;Mao&quot;,&quot;given&quot;:&quot;Ning&quot;,&quot;parse-names&quot;:false,&quot;dropping-particle&quot;:&quot;&quot;,&quot;non-dropping-particle&quot;:&quot;&quot;},{&quot;family&quot;:&quot;Kuruganti&quot;,&quot;given&quot;:&quot;Teja&quot;,&quot;parse-names&quot;:false,&quot;dropping-particle&quot;:&quot;&quot;,&quot;non-dropping-particle&quot;:&quot;&quot;},{&quot;family&quot;:&quot;Cui&quot;,&quot;given&quot;:&quot;Herrick /&quot;,&quot;parse-names&quot;:false,&quot;dropping-particle&quot;:&quot;&quot;,&quot;non-dropping-particle&quot;:&quot;&quot;},{&quot;family&quot;:&quot;Dong&quot;,&quot;given&quot;:&quot;Borui ;&quot;,&quot;parse-names&quot;:false,&quot;dropping-particle&quot;:&quot;&quot;,&quot;non-dropping-particle&quot;:&quot;&quot;},{&quot;family&quot;:&quot;Munk&quot;,&quot;given&quot;:&quot;Jin ;&quot;,&quot;parse-names&quot;:false,&quot;dropping-particle&quot;:&quot;&quot;,&quot;non-dropping-particle&quot;:&quot;&quot;},{&quot;family&quot;:&quot;Mao&quot;,&quot;given&quot;:&quot;Jeffrey ;&quot;,&quot;parse-names&quot;:false,&quot;dropping-particle&quot;:&quot;&quot;,&quot;non-dropping-particle&quot;:&quot;&quot;},{&quot;family&quot;:&quot;Kuruganti&quot;,&quot;given&quot;:&quot;Ning ;&quot;,&quot;parse-names&quot;:false,&quot;dropping-particle&quot;:&quot;&quot;,&quot;non-dropping-particle&quot;:&quot;&quot;}],&quot;container-title&quot;:&quot;International High Performance Buildings Conference&quot;,&quot;URL&quot;:&quot;https://docs.lib.purdue.edu/ihpbc/284&quot;,&quot;issued&quot;:{&quot;date-parts&quot;:[[2018]]},&quot;abstract&quot;:&quot;The residential building sector accounts for approximately 37% of total U.S. electricity consumption. Within the residential building sector, heating and cooling is the main target for peak load shifting/reduction since it is the largest contributor to peak demand. In fact, the flexibility of residential HVAC loads can provide continuous variation of demand to provide grid services by varying their demand over a baseline. The performance of HVAC load control to provide grid services relies heavily on the accuracy of indoor air temperature or cooling/heating demand predictions and therefore the quality of building model. Besides forward models, popular building models are data-driven models which can be broken down into two categories: gray-box model, e.g. Resistance-Capacitance (RC) model and black-box model. RC model, also called lumped capacitance or network model, which is constituted with electrical analogue pattern with resistance (R) and capacitance (C). In general, RC models require considerable computation burden and long periods of data to train limited number of model coefficients. Black-box models have gained increasing interest due to their capability in analyzing large-scale data and flexibility in practical applications. But, the data-mining based (machine learning algorithms/techniques based) models tend to have invisible model structures which poses a problem when trying to use the model for optimal control or model predictive control of the HVAC system. Hence, there is a continuing need for efficient online system identification techniques, which can provide explicit parameters for the model. Traditional regression models fit well for this specific purpose. This paper presents an innovative way to predict average indoor temperature in separate floors of typical detached residential house. A rolling horizon linear regression model, which includes online adaptive correction component, is proposed to predict the temperature difference between downstairs and upstairs. A RC model is used to predict the overall mean indoor air temperature. Since the adaptive algorithm needs to be implemented online, a less computation-demanding polynomial fitting algorithm is adopted. This kind of fitting problem can be cast as linear regression problem with multiple variables, parameters of which can be efficiently obtained by well-known gradient descent method. The validation is conducted by comparing the predicted results with the results from data-mining based models as well as measured data from a real typical detached two-floor house. The results show that the developed method has satisfactory performance in predicting the building indoor temperature in 1st and 2nd floors.&quot;,&quot;container-title-short&quot;:&quot;&quot;},&quot;isTemporary&quot;:false},{&quot;id&quot;:&quot;2b47d028-82e9-3ec2-9ad1-0824fb8b61d2&quot;,&quot;itemData&quot;:{&quot;type&quot;:&quot;paper-conference&quot;,&quot;id&quot;:&quot;2b47d028-82e9-3ec2-9ad1-0824fb8b61d2&quot;,&quot;title&quot;:&quot;Building thermal model development of typical house in U.S. for virtual storage control of aggregated building loads based on limited available information&quot;,&quot;author&quot;:[{&quot;family&quot;:&quot;Cui&quot;,&quot;given&quot;:&quot;Borui&quot;,&quot;parse-names&quot;:false,&quot;dropping-particle&quot;:&quot;&quot;,&quot;non-dropping-particle&quot;:&quot;&quot;},{&quot;family&quot;:&quot;Munk&quot;,&quot;given&quot;:&quot;Jeffrey&quot;,&quot;parse-names&quot;:false,&quot;dropping-particle&quot;:&quot;&quot;,&quot;non-dropping-particle&quot;:&quot;&quot;},{&quot;family&quot;:&quot;Jackson&quot;,&quot;given&quot;:&quot;Roderick&quot;,&quot;parse-names&quot;:false,&quot;dropping-particle&quot;:&quot;&quot;,&quot;non-dropping-particle&quot;:&quot;&quot;},{&quot;family&quot;:&quot;Fugate&quot;,&quot;given&quot;:&quot;David&quot;,&quot;parse-names&quot;:false,&quot;dropping-particle&quot;:&quot;&quot;,&quot;non-dropping-particle&quot;:&quot;&quot;},{&quot;family&quot;:&quot;Starke&quot;,&quot;given&quot;:&quot;Michael&quot;,&quot;parse-names&quot;:false,&quot;dropping-particle&quot;:&quot;&quot;,&quot;non-dropping-particle&quot;:&quot;&quot;}],&quot;container-title&quot;:&quot;PROCEEDINGS OF ECOS 2017 - THE 30TH INTERNATIONAL CONFERENCE ON EFFICIENCY, COST, OPTIMIZATION, SIMULATION AND ENVIRONMENTAL IMPACT OF ENERGY SYSTEMS&quot;,&quot;URL&quot;:&quot;http://energy.gov/downloads/doe-public-access-plan&quot;,&quot;issued&quot;:{&quot;date-parts&quot;:[[2012]]},&quot;abstract&quot;:&quot;A building thermal model is an essential component for achieving optimal control of a building's heating, ventilation, and air conditioning (HVAC). A self-learning grey-box model has been developed by implementing data-driven techniques and utilizing limited available information about the building. In previous research, detailed foreknown knowledge/information, e.g. physical and thermal properties of building materials, as well as sufficient number of observation points, e.g. indoor temperature sensors in different zones, are available for making the decision of model structure and parameters searching range easier. The availability of measured data and a narrowed searching range of model parameters, e.g. resistance and capacity for each wall, made the adopted algorithms quickly achieve near optimal values, which closely approximate the actual heat transfer of a building. Meanwhile, the details of pre-processing of the key inputs were seldom explained. Compared to the previous research, in this study, the available information is assumed to be limited which can fill the requirement for large scale virtual storage control of real residential community in near future, where it may be impractically or over time-consuming to acquire the detailed information for each single house. The developed model is validated by comparing the results to measured data in a recently-built home typical of the southeastern United States. Keywords: building thermal model; demand response; typical house in the U.S.; virtual storage;&quot;,&quot;container-title-short&quot;:&quot;&quot;},&quot;isTemporary&quot;:false},{&quot;id&quot;:&quot;2b7154e8-915a-3b9e-ab74-f94d6683b186&quot;,&quot;itemData&quot;:{&quot;type&quot;:&quot;article-journal&quot;,&quot;id&quot;:&quot;2b7154e8-915a-3b9e-ab74-f94d6683b186&quot;,&quot;title&quot;:&quot;A hybrid building thermal modeling approach for predicting temperatures in typical, detached, two-story houses&quot;,&quot;author&quot;:[{&quot;family&quot;:&quot;Cui&quot;,&quot;given&quot;:&quot;Borui&quot;,&quot;parse-names&quot;:false,&quot;dropping-particle&quot;:&quot;&quot;,&quot;non-dropping-particle&quot;:&quot;&quot;},{&quot;family&quot;:&quot;Fan&quot;,&quot;given&quot;:&quot;Cheng&quot;,&quot;parse-names&quot;:false,&quot;dropping-particle&quot;:&quot;&quot;,&quot;non-dropping-particle&quot;:&quot;&quot;},{&quot;family&quot;:&quot;Munk&quot;,&quot;given&quot;:&quot;Jeffrey&quot;,&quot;parse-names&quot;:false,&quot;dropping-particle&quot;:&quot;&quot;,&quot;non-dropping-particle&quot;:&quot;&quot;},{&quot;family&quot;:&quot;Mao&quot;,&quot;given&quot;:&quot;Ning&quot;,&quot;parse-names&quot;:false,&quot;dropping-particle&quot;:&quot;&quot;,&quot;non-dropping-particle&quot;:&quot;&quot;},{&quot;family&quot;:&quot;Xiao&quot;,&quot;given&quot;:&quot;Fu&quot;,&quot;parse-names&quot;:false,&quot;dropping-particle&quot;:&quot;&quot;,&quot;non-dropping-particle&quot;:&quot;&quot;},{&quot;family&quot;:&quot;Dong&quot;,&quot;given&quot;:&quot;Jin&quot;,&quot;parse-names&quot;:false,&quot;dropping-particle&quot;:&quot;&quot;,&quot;non-dropping-particle&quot;:&quot;&quot;},{&quot;family&quot;:&quot;Kuruganti&quot;,&quot;given&quot;:&quot;Teja&quot;,&quot;parse-names&quot;:false,&quot;dropping-particle&quot;:&quot;&quot;,&quot;non-dropping-particle&quot;:&quot;&quot;}],&quot;container-title&quot;:&quot;Applied Energy&quot;,&quot;container-title-short&quot;:&quot;Appl Energy&quot;,&quot;accessed&quot;:{&quot;date-parts&quot;:[[2023,5,4]]},&quot;DOI&quot;:&quot;10.1016/J.APENERGY.2018.11.077&quot;,&quot;ISSN&quot;:&quot;0306-2619&quot;,&quot;issued&quot;:{&quot;date-parts&quot;:[[2019,2,15]]},&quot;page&quot;:&quot;101-116&quot;,&quot;abstract&quot;:&quot;Within the residential building sector, the air-conditioning (AC) load is the main target for peak load shifting and reduction since it is the largest contributor to peak demand. By leveraging its power flexibility, residential AC is a good candidate to provide building demand response and peak load shifting. For realization of accurate and reliable control of AC loads, a building thermal model, which characterizes the properties of a building's envelope and its thermal mass, is an essential component for accurate indoor temperature or cooling/heating demand prediction. Building thermal models include two types: “Forward” and “Data-Driven”. Due to time-saving and cost-effective characteristics, different data-driven models have been developed in a number of research studies. However, few developed models can predict temperatures in respective zones of a multiple-zone building with an open air path between zones e.g., an open stairwell connecting two floors of a home. In this research, a novel hybrid modeling approach is proposed to predict the average indoor air temperatures of both the upstairs and downstairs. This “hybrid” solution integrates both gray-box, i.e. RC model and black-box models. A developed RC model is used to predict the building mean temperature, and black-box model, in which the supervised machine learning algorithms are leveraged, is used to predict the temperature difference between the downstairs and upstairs. Compared with the measured data from a real house, the results obtained have acceptable/satisfactory accuracy. The method proposed in this study integrates the advantages of black-box and gray-box modeling. It can be used as a reliable alternative to predict the average temperatures in respective floors of typical detached two-story houses.&quot;,&quot;publisher&quot;:&quot;Elsevier&quot;,&quot;volume&quot;:&quot;236&quot;},&quot;isTemporary&quot;:false}]},{&quot;citationID&quot;:&quot;MENDELEY_CITATION_a2ed6e51-61d6-4995-936a-19f67bbd921a&quot;,&quot;properties&quot;:{&quot;noteIndex&quot;:0},&quot;isEdited&quot;:false,&quot;manualOverride&quot;:{&quot;isManuallyOverridden&quot;:false,&quot;citeprocText&quot;:&quot;[212]–[214]&quot;,&quot;manualOverrideText&quot;:&quot;&quot;},&quot;citationTag&quot;:&quot;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&quot;,&quot;citationItems&quot;:[{&quot;id&quot;:&quot;21ae0845-f805-3ad2-9a83-88a0a17cf35e&quot;,&quot;itemData&quot;:{&quot;type&quot;:&quot;paper-conference&quot;,&quot;id&quot;:&quot;21ae0845-f805-3ad2-9a83-88a0a17cf35e&quot;,&quot;title&quot;:&quot;A simplified regression building thermal modelling method for detached two-\nfloor house in U.S.&quot;,&quot;author&quot;:[{&quot;family&quot;:&quot;Cui&quot;,&quot;given&quot;:&quot;Borui&quot;,&quot;parse-names&quot;:false,&quot;dropping-particle&quot;:&quot;&quot;,&quot;non-dropping-particle&quot;:&quot;&quot;},{&quot;family&quot;:&quot;Dong&quot;,&quot;given&quot;:&quot;Jin&quot;,&quot;parse-names&quot;:false,&quot;dropping-particle&quot;:&quot;&quot;,&quot;non-dropping-particle&quot;:&quot;&quot;},{&quot;family&quot;:&quot;Munk&quot;,&quot;given&quot;:&quot;Jeffrey&quot;,&quot;parse-names&quot;:false,&quot;dropping-particle&quot;:&quot;&quot;,&quot;non-dropping-particle&quot;:&quot;&quot;},{&quot;family&quot;:&quot;Mao&quot;,&quot;given&quot;:&quot;Ning&quot;,&quot;parse-names&quot;:false,&quot;dropping-particle&quot;:&quot;&quot;,&quot;non-dropping-particle&quot;:&quot;&quot;},{&quot;family&quot;:&quot;Kuruganti&quot;,&quot;given&quot;:&quot;Teja&quot;,&quot;parse-names&quot;:false,&quot;dropping-particle&quot;:&quot;&quot;,&quot;non-dropping-particle&quot;:&quot;&quot;},{&quot;family&quot;:&quot;Cui&quot;,&quot;given&quot;:&quot;Herrick /&quot;,&quot;parse-names&quot;:false,&quot;dropping-particle&quot;:&quot;&quot;,&quot;non-dropping-particle&quot;:&quot;&quot;},{&quot;family&quot;:&quot;Dong&quot;,&quot;given&quot;:&quot;Borui ;&quot;,&quot;parse-names&quot;:false,&quot;dropping-particle&quot;:&quot;&quot;,&quot;non-dropping-particle&quot;:&quot;&quot;},{&quot;family&quot;:&quot;Munk&quot;,&quot;given&quot;:&quot;Jin ;&quot;,&quot;parse-names&quot;:false,&quot;dropping-particle&quot;:&quot;&quot;,&quot;non-dropping-particle&quot;:&quot;&quot;},{&quot;family&quot;:&quot;Mao&quot;,&quot;given&quot;:&quot;Jeffrey ;&quot;,&quot;parse-names&quot;:false,&quot;dropping-particle&quot;:&quot;&quot;,&quot;non-dropping-particle&quot;:&quot;&quot;},{&quot;family&quot;:&quot;Kuruganti&quot;,&quot;given&quot;:&quot;Ning ;&quot;,&quot;parse-names&quot;:false,&quot;dropping-particle&quot;:&quot;&quot;,&quot;non-dropping-particle&quot;:&quot;&quot;}],&quot;container-title&quot;:&quot;International High Performance Buildings Conference&quot;,&quot;URL&quot;:&quot;https://docs.lib.purdue.edu/ihpbc/284&quot;,&quot;issued&quot;:{&quot;date-parts&quot;:[[2018]]},&quot;abstract&quot;:&quot;The residential building sector accounts for approximately 37% of total U.S. electricity consumption. Within the residential building sector, heating and cooling is the main target for peak load shifting/reduction since it is the largest contributor to peak demand. In fact, the flexibility of residential HVAC loads can provide continuous variation of demand to provide grid services by varying their demand over a baseline. The performance of HVAC load control to provide grid services relies heavily on the accuracy of indoor air temperature or cooling/heating demand predictions and therefore the quality of building model. Besides forward models, popular building models are data-driven models which can be broken down into two categories: gray-box model, e.g. Resistance-Capacitance (RC) model and black-box model. RC model, also called lumped capacitance or network model, which is constituted with electrical analogue pattern with resistance (R) and capacitance (C). In general, RC models require considerable computation burden and long periods of data to train limited number of model coefficients. Black-box models have gained increasing interest due to their capability in analyzing large-scale data and flexibility in practical applications. But, the data-mining based (machine learning algorithms/techniques based) models tend to have invisible model structures which poses a problem when trying to use the model for optimal control or model predictive control of the HVAC system. Hence, there is a continuing need for efficient online system identification techniques, which can provide explicit parameters for the model. Traditional regression models fit well for this specific purpose. This paper presents an innovative way to predict average indoor temperature in separate floors of typical detached residential house. A rolling horizon linear regression model, which includes online adaptive correction component, is proposed to predict the temperature difference between downstairs and upstairs. A RC model is used to predict the overall mean indoor air temperature. Since the adaptive algorithm needs to be implemented online, a less computation-demanding polynomial fitting algorithm is adopted. This kind of fitting problem can be cast as linear regression problem with multiple variables, parameters of which can be efficiently obtained by well-known gradient descent method. The validation is conducted by comparing the predicted results with the results from data-mining based models as well as measured data from a real typical detached two-floor house. The results show that the developed method has satisfactory performance in predicting the building indoor temperature in 1st and 2nd floors.&quot;,&quot;container-title-short&quot;:&quot;&quot;},&quot;isTemporary&quot;:false},{&quot;id&quot;:&quot;2b47d028-82e9-3ec2-9ad1-0824fb8b61d2&quot;,&quot;itemData&quot;:{&quot;type&quot;:&quot;paper-conference&quot;,&quot;id&quot;:&quot;2b47d028-82e9-3ec2-9ad1-0824fb8b61d2&quot;,&quot;title&quot;:&quot;Building thermal model development of typical house in U.S. for virtual storage control of aggregated building loads based on limited available information&quot;,&quot;author&quot;:[{&quot;family&quot;:&quot;Cui&quot;,&quot;given&quot;:&quot;Borui&quot;,&quot;parse-names&quot;:false,&quot;dropping-particle&quot;:&quot;&quot;,&quot;non-dropping-particle&quot;:&quot;&quot;},{&quot;family&quot;:&quot;Munk&quot;,&quot;given&quot;:&quot;Jeffrey&quot;,&quot;parse-names&quot;:false,&quot;dropping-particle&quot;:&quot;&quot;,&quot;non-dropping-particle&quot;:&quot;&quot;},{&quot;family&quot;:&quot;Jackson&quot;,&quot;given&quot;:&quot;Roderick&quot;,&quot;parse-names&quot;:false,&quot;dropping-particle&quot;:&quot;&quot;,&quot;non-dropping-particle&quot;:&quot;&quot;},{&quot;family&quot;:&quot;Fugate&quot;,&quot;given&quot;:&quot;David&quot;,&quot;parse-names&quot;:false,&quot;dropping-particle&quot;:&quot;&quot;,&quot;non-dropping-particle&quot;:&quot;&quot;},{&quot;family&quot;:&quot;Starke&quot;,&quot;given&quot;:&quot;Michael&quot;,&quot;parse-names&quot;:false,&quot;dropping-particle&quot;:&quot;&quot;,&quot;non-dropping-particle&quot;:&quot;&quot;}],&quot;container-title&quot;:&quot;PROCEEDINGS OF ECOS 2017 - THE 30TH INTERNATIONAL CONFERENCE ON EFFICIENCY, COST, OPTIMIZATION, SIMULATION AND ENVIRONMENTAL IMPACT OF ENERGY SYSTEMS&quot;,&quot;URL&quot;:&quot;http://energy.gov/downloads/doe-public-access-plan&quot;,&quot;issued&quot;:{&quot;date-parts&quot;:[[2012]]},&quot;abstract&quot;:&quot;A building thermal model is an essential component for achieving optimal control of a building's heating, ventilation, and air conditioning (HVAC). A self-learning grey-box model has been developed by implementing data-driven techniques and utilizing limited available information about the building. In previous research, detailed foreknown knowledge/information, e.g. physical and thermal properties of building materials, as well as sufficient number of observation points, e.g. indoor temperature sensors in different zones, are available for making the decision of model structure and parameters searching range easier. The availability of measured data and a narrowed searching range of model parameters, e.g. resistance and capacity for each wall, made the adopted algorithms quickly achieve near optimal values, which closely approximate the actual heat transfer of a building. Meanwhile, the details of pre-processing of the key inputs were seldom explained. Compared to the previous research, in this study, the available information is assumed to be limited which can fill the requirement for large scale virtual storage control of real residential community in near future, where it may be impractically or over time-consuming to acquire the detailed information for each single house. The developed model is validated by comparing the results to measured data in a recently-built home typical of the southeastern United States. Keywords: building thermal model; demand response; typical house in the U.S.; virtual storage;&quot;,&quot;container-title-short&quot;:&quot;&quot;},&quot;isTemporary&quot;:false},{&quot;id&quot;:&quot;2b7154e8-915a-3b9e-ab74-f94d6683b186&quot;,&quot;itemData&quot;:{&quot;type&quot;:&quot;article-journal&quot;,&quot;id&quot;:&quot;2b7154e8-915a-3b9e-ab74-f94d6683b186&quot;,&quot;title&quot;:&quot;A hybrid building thermal modeling approach for predicting temperatures in typical, detached, two-story houses&quot;,&quot;author&quot;:[{&quot;family&quot;:&quot;Cui&quot;,&quot;given&quot;:&quot;Borui&quot;,&quot;parse-names&quot;:false,&quot;dropping-particle&quot;:&quot;&quot;,&quot;non-dropping-particle&quot;:&quot;&quot;},{&quot;family&quot;:&quot;Fan&quot;,&quot;given&quot;:&quot;Cheng&quot;,&quot;parse-names&quot;:false,&quot;dropping-particle&quot;:&quot;&quot;,&quot;non-dropping-particle&quot;:&quot;&quot;},{&quot;family&quot;:&quot;Munk&quot;,&quot;given&quot;:&quot;Jeffrey&quot;,&quot;parse-names&quot;:false,&quot;dropping-particle&quot;:&quot;&quot;,&quot;non-dropping-particle&quot;:&quot;&quot;},{&quot;family&quot;:&quot;Mao&quot;,&quot;given&quot;:&quot;Ning&quot;,&quot;parse-names&quot;:false,&quot;dropping-particle&quot;:&quot;&quot;,&quot;non-dropping-particle&quot;:&quot;&quot;},{&quot;family&quot;:&quot;Xiao&quot;,&quot;given&quot;:&quot;Fu&quot;,&quot;parse-names&quot;:false,&quot;dropping-particle&quot;:&quot;&quot;,&quot;non-dropping-particle&quot;:&quot;&quot;},{&quot;family&quot;:&quot;Dong&quot;,&quot;given&quot;:&quot;Jin&quot;,&quot;parse-names&quot;:false,&quot;dropping-particle&quot;:&quot;&quot;,&quot;non-dropping-particle&quot;:&quot;&quot;},{&quot;family&quot;:&quot;Kuruganti&quot;,&quot;given&quot;:&quot;Teja&quot;,&quot;parse-names&quot;:false,&quot;dropping-particle&quot;:&quot;&quot;,&quot;non-dropping-particle&quot;:&quot;&quot;}],&quot;container-title&quot;:&quot;Applied Energy&quot;,&quot;container-title-short&quot;:&quot;Appl Energy&quot;,&quot;accessed&quot;:{&quot;date-parts&quot;:[[2023,5,4]]},&quot;DOI&quot;:&quot;10.1016/J.APENERGY.2018.11.077&quot;,&quot;ISSN&quot;:&quot;0306-2619&quot;,&quot;issued&quot;:{&quot;date-parts&quot;:[[2019,2,15]]},&quot;page&quot;:&quot;101-116&quot;,&quot;abstract&quot;:&quot;Within the residential building sector, the air-conditioning (AC) load is the main target for peak load shifting and reduction since it is the largest contributor to peak demand. By leveraging its power flexibility, residential AC is a good candidate to provide building demand response and peak load shifting. For realization of accurate and reliable control of AC loads, a building thermal model, which characterizes the properties of a building's envelope and its thermal mass, is an essential component for accurate indoor temperature or cooling/heating demand prediction. Building thermal models include two types: “Forward” and “Data-Driven”. Due to time-saving and cost-effective characteristics, different data-driven models have been developed in a number of research studies. However, few developed models can predict temperatures in respective zones of a multiple-zone building with an open air path between zones e.g., an open stairwell connecting two floors of a home. In this research, a novel hybrid modeling approach is proposed to predict the average indoor air temperatures of both the upstairs and downstairs. This “hybrid” solution integrates both gray-box, i.e. RC model and black-box models. A developed RC model is used to predict the building mean temperature, and black-box model, in which the supervised machine learning algorithms are leveraged, is used to predict the temperature difference between the downstairs and upstairs. Compared with the measured data from a real house, the results obtained have acceptable/satisfactory accuracy. The method proposed in this study integrates the advantages of black-box and gray-box modeling. It can be used as a reliable alternative to predict the average temperatures in respective floors of typical detached two-story houses.&quot;,&quot;publisher&quot;:&quot;Elsevier&quot;,&quot;volume&quot;:&quot;236&quot;},&quot;isTemporary&quot;:false}]},{&quot;citationID&quot;:&quot;MENDELEY_CITATION_920cc7a0-4cd7-4e57-84a1-825141f407b6&quot;,&quot;properties&quot;:{&quot;noteIndex&quot;:0},&quot;isEdited&quot;:false,&quot;manualOverride&quot;:{&quot;isManuallyOverridden&quot;:false,&quot;citeprocText&quot;:&quot;[215]&quot;,&quot;manualOverrideText&quot;:&quot;&quot;},&quot;citationTag&quot;:&quot;MENDELEY_CITATION_v3_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&quot;,&quot;citationItems&quot;:[{&quot;id&quot;:&quot;7b14072a-8272-376e-89cc-d42fc0666df4&quot;,&quot;itemData&quot;:{&quot;type&quot;:&quot;thesis&quot;,&quot;id&quot;:&quot;7b14072a-8272-376e-89cc-d42fc0666df4&quot;,&quot;title&quot;:&quot;Investigation of Inorganic Salt Hydrate Phase Change Materials for Thermal Energy Storage Integrated into Heat Pump Systems&quot;,&quot;author&quot;:[{&quot;family&quot;:&quot;Hirschey&quot;,&quot;given&quot;:&quot;Jason&quot;,&quot;parse-names&quot;:false,&quot;dropping-particle&quot;:&quot;&quot;,&quot;non-dropping-particle&quot;:&quot;&quot;}],&quot;accessed&quot;:{&quot;date-parts&quot;:[[2023,5,4]]},&quot;URL&quot;:&quot;https://smartech.gatech.edu/handle/1853/70179&quot;,&quot;issued&quot;:{&quot;date-parts&quot;:[[2022,12,9]]},&quot;abstract&quot;:&quot;Ph.D.&quot;,&quot;container-title-short&quot;:&quot;&quot;},&quot;isTemporary&quot;:false}]},{&quot;citationID&quot;:&quot;MENDELEY_CITATION_3d937ca3-9f37-4c1b-9604-2b1b27fbdcbe&quot;,&quot;properties&quot;:{&quot;noteIndex&quot;:0},&quot;isEdited&quot;:false,&quot;manualOverride&quot;:{&quot;isManuallyOverridden&quot;:false,&quot;citeprocText&quot;:&quot;[216]&quot;,&quot;manualOverrideText&quot;:&quot;&quot;},&quot;citationTag&quot;:&quot;MENDELEY_CITATION_v3_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&quot;,&quot;citationItems&quot;:[{&quot;id&quot;:&quot;d9df79bf-2c83-38ac-a5cd-c7ba2f084b45&quot;,&quot;itemData&quot;:{&quot;type&quot;:&quot;article-journal&quot;,&quot;id&quot;:&quot;d9df79bf-2c83-38ac-a5cd-c7ba2f084b45&quot;,&quot;title&quot;:&quot;Modelling, experimental test, and design of an active air permeable wall by utilizing the low-grade exhaust air&quot;,&quot;author&quot;:[{&quot;family&quot;:&quot;Zhang&quot;,&quot;given&quot;:&quot;Chong&quot;,&quot;parse-names&quot;:false,&quot;dropping-particle&quot;:&quot;&quot;,&quot;non-dropping-particle&quot;:&quot;&quot;},{&quot;family&quot;:&quot;Gang&quot;,&quot;given&quot;:&quot;Wenjie&quot;,&quot;parse-names&quot;:false,&quot;dropping-particle&quot;:&quot;&quot;,&quot;non-dropping-particle&quot;:&quot;&quot;},{&quot;family&quot;:&quot;Xu&quot;,&quot;given&quot;:&quot;Xinhua&quot;,&quot;parse-names&quot;:false,&quot;dropping-particle&quot;:&quot;&quot;,&quot;non-dropping-particle&quot;:&quot;&quot;},{&quot;family&quot;:&quot;Li&quot;,&quot;given&quot;:&quot;Liao&quot;,&quot;parse-names&quot;:false,&quot;dropping-particle&quot;:&quot;&quot;,&quot;non-dropping-particle&quot;:&quot;&quot;},{&quot;family&quot;:&quot;Wang&quot;,&quot;given&quot;:&quot;Jinbo&quot;,&quot;parse-names&quot;:false,&quot;dropping-particle&quot;:&quot;&quot;,&quot;non-dropping-particle&quot;:&quot;&quot;}],&quot;container-title&quot;:&quot;Applied Energy&quot;,&quot;accessed&quot;:{&quot;date-parts&quot;:[[2023,5,4]]},&quot;DOI&quot;:&quot;10.1016/J.APENERGY.2019.02.087&quot;,&quot;ISSN&quot;:&quot;0306-2619&quot;,&quot;issued&quot;:{&quot;date-parts&quot;:[[2019,4,15]]},&quot;page&quot;:&quot;730-743&quot;,&quot;abstract&quot;:&quot;The exhaust air insulation (EAI) wall is a novel type of air permeable wall that is characterized by a permeable porous layer. Such a wall design provides a solution to combine the building envelope with exhaust air heat recovery, and allows the exhaust air from a conditioned room to permeate through. The exfiltration process of the exhaust air across the porous layer can partly reduce the inward conductive heat flux through the wall. This makes the temperature at the innermost surface of the EAI wall close to the temperature of the indoor air, and leads to the reduction of cooling and heating loads through the wall. In this study, a comprehensive heat transfer model was developed to analyze the steady state thermal characteristics of the EAI wall. Forty different experiments were performed to verify the proposed model. A quantitative analysis was conducted on the differences when using the unsteady state model and proposed steady state model for the EAI wall with an outdoor thermal disturbance. A sensitivity analysis was carried out to investigate the impact of the design parameters on the thermal characteristics of the EAI wall. The results showed that using a porous material with relatively low thermal conductivity such as phenolic foam is beneficial to improve the heat recovery performance and thermal insulation of the EAI wall. The thermal insulation of the EAI wall is mainly due to the exfiltration process of exhaust air across the porous material. Considering the impact of the design parameters on the thermal characteristic, total thickness and pressure drop, a thickness of 30–50 mm is recommended for the porous material. At an exfiltration velocity of 0.003 m/s, the U-value of the EAI wall was lower than 0.1 W/(m2 K) for a porous material thickness of 30–50 mm. These results demonstrate that the EAI wall is applicable to both energy-efficient retrofitting of existing buildings and new buildings, and can potentially contribute to reduce the cooling and heating loads through the wall by the utilization of low-grade thermal energy in exhaust air.&quot;,&quot;publisher&quot;:&quot;Elsevier&quot;,&quot;volume&quot;:&quot;240&quot;,&quot;container-title-short&quot;:&quot;Appl Energy&quot;},&quot;isTemporary&quot;:false}]},{&quot;citationID&quot;:&quot;MENDELEY_CITATION_40fdc6ae-acdb-4c40-a73c-b916152a5116&quot;,&quot;properties&quot;:{&quot;noteIndex&quot;:0},&quot;isEdited&quot;:false,&quot;manualOverride&quot;:{&quot;isManuallyOverridden&quot;:false,&quot;citeprocText&quot;:&quot;[217]&quot;,&quot;manualOverrideText&quot;:&quot;&quot;},&quot;citationTag&quot;:&quot;MENDELEY_CITATION_v3_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&quot;,&quot;citationItems&quot;:[{&quot;id&quot;:&quot;8e99be04-17c2-3c94-b7e0-5e498d4fd58e&quot;,&quot;itemData&quot;:{&quot;type&quot;:&quot;article-journal&quot;,&quot;id&quot;:&quot;8e99be04-17c2-3c94-b7e0-5e498d4fd58e&quot;,&quot;title&quot;:&quot;Price-responsive model predictive control of floor heating systems for demand response using building thermal mass&quot;,&quot;author&quot;:[{&quot;family&quot;:&quot;Hu&quot;,&quot;given&quot;:&quot;Maomao&quot;,&quot;parse-names&quot;:false,&quot;dropping-particle&quot;:&quot;&quot;,&quot;non-dropping-particle&quot;:&quot;&quot;},{&quot;family&quot;:&quot;Xiao&quot;,&quot;given&quot;:&quot;Fu&quot;,&quot;parse-names&quot;:false,&quot;dropping-particle&quot;:&quot;&quot;,&quot;non-dropping-particle&quot;:&quot;&quot;},{&quot;family&quot;:&quot;Jørgensen&quot;,&quot;given&quot;:&quot;John Bagterp&quot;,&quot;parse-names&quot;:false,&quot;dropping-particle&quot;:&quot;&quot;,&quot;non-dropping-particle&quot;:&quot;&quot;},{&quot;family&quot;:&quot;Li&quot;,&quot;given&quot;:&quot;Rongling&quot;,&quot;parse-names&quot;:false,&quot;dropping-particle&quot;:&quot;&quot;,&quot;non-dropping-particle&quot;:&quot;&quot;}],&quot;container-title&quot;:&quot;Applied Thermal Engineering&quot;,&quot;accessed&quot;:{&quot;date-parts&quot;:[[2023,5,4]]},&quot;DOI&quot;:&quot;10.1016/J.APPLTHERMALENG.2019.02.107&quot;,&quot;ISSN&quot;:&quot;1359-4311&quot;,&quot;issued&quot;:{&quot;date-parts&quot;:[[2019,5,5]]},&quot;page&quot;:&quot;316-329&quot;,&quot;abstract&quot;:&quot;Floor heating (FH) system is a widely-used thermally active building system, which can take advantage of building thermal mass to shift energy demands to off-peak hours. Its ability of effective utilization of low-temperature energy resources also helps to increase energy efficiency and reduce greenhouse gas emissions. However, control of FH systems remains a challenge due to the large thermal inertia of the pipe-embedded concrete floor. In the context of smart grids, the control issue becomes more complicated because the dynamic electricity prices need to be taken into consideration to achieve economic benefits and encourage demand response participation. In this study, an advanced optimal control method, i.e., model predictive control (MPC), is developed for FH systems, which can simultaneously consider all the influential variables including weather conditions, occupancy and dynamic electricity prices. Considering the on-line computational efficiency, a control-oriented dynamic thermal model for a room integrated with FH system is developed and represented in a stochastic state-space form. An economic MPC controller, formulated as a mixed integer linear programming problem, is designed for FH systems. A TRNSYS-MATLAB co-simulation testbed is developed to test and compare different control methods under various operating conditions in terms of energy consumption, thermal comfort and operating costs. Test results show that, compared to the conventional on-off controller, the MPC controller is able to use building thermal mass to optimally shift energy consumption to low-price periods, improve thermal comfort at the beginning of occupancy, reduce energy demand during peak periods, and save electricity costs for residential end-users. The weather conditions and electricity prices have influences on the start-up time and duration of preheating, energy flexibility potential and electricity cost savings of FH systems.&quot;,&quot;publisher&quot;:&quot;Pergamon&quot;,&quot;volume&quot;:&quot;153&quot;,&quot;container-title-short&quot;:&quot;Appl Therm Eng&quot;},&quot;isTemporary&quot;:false}]},{&quot;citationID&quot;:&quot;MENDELEY_CITATION_35580c16-4789-41a3-9f27-32fd63fc1109&quot;,&quot;properties&quot;:{&quot;noteIndex&quot;:0},&quot;isEdited&quot;:false,&quot;manualOverride&quot;:{&quot;isManuallyOverridden&quot;:false,&quot;citeprocText&quot;:&quot;[218]&quot;,&quot;manualOverrideText&quot;:&quot;&quot;},&quot;citationTag&quot;:&quot;MENDELEY_CITATION_v3_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&quot;,&quot;citationItems&quot;:[{&quot;id&quot;:&quot;067d8269-9a97-35ac-b42e-fe5a2fe0ea97&quot;,&quot;itemData&quot;:{&quot;type&quot;:&quot;article-journal&quot;,&quot;id&quot;:&quot;067d8269-9a97-35ac-b42e-fe5a2fe0ea97&quot;,&quot;title&quot;:&quot;Frequency control of air conditioners in response to real-time dynamic electricity prices in smart grids&quot;,&quot;author&quot;:[{&quot;family&quot;:&quot;Hu&quot;,&quot;given&quot;:&quot;Maomao&quot;,&quot;parse-names&quot;:false,&quot;dropping-particle&quot;:&quot;&quot;,&quot;non-dropping-particle&quot;:&quot;&quot;},{&quot;family&quot;:&quot;Xiao&quot;,&quot;given&quot;:&quot;Fu&quot;,&quot;parse-names&quot;:false,&quot;dropping-particle&quot;:&quot;&quot;,&quot;non-dropping-particle&quot;:&quot;&quot;},{&quot;family&quot;:&quot;Jørgensen&quot;,&quot;given&quot;:&quot;John Bagterp&quot;,&quot;parse-names&quot;:false,&quot;dropping-particle&quot;:&quot;&quot;,&quot;non-dropping-particle&quot;:&quot;&quot;},{&quot;family&quot;:&quot;Wang&quot;,&quot;given&quot;:&quot;Shengwei&quot;,&quot;parse-names&quot;:false,&quot;dropping-particle&quot;:&quot;&quot;,&quot;non-dropping-particle&quot;:&quot;&quot;}],&quot;container-title&quot;:&quot;Applied Energy&quot;,&quot;accessed&quot;:{&quot;date-parts&quot;:[[2023,5,4]]},&quot;DOI&quot;:&quot;10.1016/J.APENERGY.2019.03.127&quot;,&quot;ISSN&quot;:&quot;0306-2619&quot;,&quot;issued&quot;:{&quot;date-parts&quot;:[[2019,5,15]]},&quot;page&quot;:&quot;92-106&quot;,&quot;abstract&quot;:&quot;In the context of smart grids, residential air conditioners, as the major contributors to home electricity bills and loads on electrical grids, need to be not only energy-efficient, but also grid-responsive to relieve power supply-demand imbalance. Existing demand response control strategies for residential air conditioners focus on single-speed type and mainly adopt temperature set point reset to respond to hourly day-ahead electricity prices. This study represents the first attempt to directly control the operating frequency of inverter air conditioners in response to high-granularity electricity price signals, i.e., 5-minute real-time electricity prices, using model predictive control method. A simplified room thermal model in the stochastic state-space representation and performance maps of an inverter air conditioner are developed and integrated for predicting the coupled thermal response of an air-conditioned room. A demand response-enabled model predictive controller is designed based on the coupled model to optimally control the operating frequency of the inverter air conditioner while taking account of all the influential variables including weather conditions, occupancy, and 5-min real-time electricity prices. A Kalman filter is adopted to estimate the unmeasurable variables and remove the noises in measurements. A TRNSYS-MATLAB co-simulation testbed is developed to test the thermal and energy performances of the model predictive controller. Results show that compared to the PID controller, the demand response-enabled model predictive controller can implement automatic and optimal precooling to improve occupant's thermal comfort at the beginning of occupancy. Moreover, it can also reduce average power consumption during peak demand periods by 17.31% to 38.86% compared with the PID controller and reduce all-day electricity costs by 0.42% to 22.16%. The frequency-based model predictive control method enables residential inverter air conditioners to be more grid-friendly and cost-efficient.&quot;,&quot;publisher&quot;:&quot;Elsevier&quot;,&quot;volume&quot;:&quot;242&quot;,&quot;container-title-short&quot;:&quot;Appl Energy&quot;},&quot;isTemporary&quot;:false}]},{&quot;citationID&quot;:&quot;MENDELEY_CITATION_f86bdad8-4c18-4881-ba6c-9e6ca7dbe64a&quot;,&quot;properties&quot;:{&quot;noteIndex&quot;:0},&quot;isEdited&quot;:false,&quot;manualOverride&quot;:{&quot;isManuallyOverridden&quot;:false,&quot;citeprocText&quot;:&quot;[219]&quot;,&quot;manualOverrideText&quot;:&quot;&quot;},&quot;citationTag&quot;:&quot;MENDELEY_CITATION_v3_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&quot;,&quot;citationItems&quot;:[{&quot;id&quot;:&quot;a8610264-e698-35cd-b5fa-882b922c3528&quot;,&quot;itemData&quot;:{&quot;type&quot;:&quot;article-journal&quot;,&quot;id&quot;:&quot;a8610264-e698-35cd-b5fa-882b922c3528&quot;,&quot;title&quot;:&quot;Model-based optimal design of active cool thermal energy storage for maximal life-cycle cost saving from demand management in commercial buildings&quot;,&quot;author&quot;:[{&quot;family&quot;:&quot;Cui&quot;,&quot;given&quot;:&quot;Borui&quot;,&quot;parse-names&quot;:false,&quot;dropping-particle&quot;:&quot;&quot;,&quot;non-dropping-particle&quot;:&quot;&quot;},{&quot;family&quot;:&quot;Gao&quot;,&quot;given&quot;:&quot;Dian ce&quot;,&quot;parse-names&quot;:false,&quot;dropping-particle&quot;:&quot;&quot;,&quot;non-dropping-particle&quot;:&quot;&quot;},{&quot;family&quot;:&quot;Xiao&quot;,&quot;given&quot;:&quot;Fu&quot;,&quot;parse-names&quot;:false,&quot;dropping-particle&quot;:&quot;&quot;,&quot;non-dropping-particle&quot;:&quot;&quot;},{&quot;family&quot;:&quot;Wang&quot;,&quot;given&quot;:&quot;Shengwei&quot;,&quot;parse-names&quot;:false,&quot;dropping-particle&quot;:&quot;&quot;,&quot;non-dropping-particle&quot;:&quot;&quot;}],&quot;container-title&quot;:&quot;Applied Energy&quot;,&quot;accessed&quot;:{&quot;date-parts&quot;:[[2023,5,4]]},&quot;DOI&quot;:&quot;10.1016/J.APENERGY.2016.12.035&quot;,&quot;ISSN&quot;:&quot;0306-2619&quot;,&quot;issued&quot;:{&quot;date-parts&quot;:[[2017,9,1]]},&quot;page&quot;:&quot;382-396&quot;,&quot;abstract&quot;:&quot;This paper provides a method to evaluate the cost-saving potential of active cool thermal energy storage (CTES) integrated with HVAC system for demand management in commercial building. Active storage is capable of shifting peak demand for peak load management (PLM) as well as providing longer duration and larger capacity for demand response (DR). In this research, a model-based optimal design method using genetic algorithm is developed to optimize the capacity of active CTES for maximizing the life-cycle cost saving including capital cost associated with storage capacity as well as incentives from both fast DR and PLM. In the method, the active CTES operates under a fast DR control strategy during DR events and under the storage-priority operation mode to shift peak demand during normal days. The optimal storage capacities, maximum annual net cost saving and corresponding power reduction set-points during DR events are obtained by using the proposed optimal design method. This research provides guidance in comprehensive evaluation of the cost-saving potential of active CTES integrated with HVAC system for building demand management including both fast DR and PLM.&quot;,&quot;publisher&quot;:&quot;Elsevier&quot;,&quot;volume&quot;:&quot;201&quot;,&quot;container-title-short&quot;:&quot;Appl Energy&quot;},&quot;isTemporary&quot;:false}]},{&quot;citationID&quot;:&quot;MENDELEY_CITATION_e65a64e6-a014-4c35-937f-11e7e87376a6&quot;,&quot;properties&quot;:{&quot;noteIndex&quot;:0},&quot;isEdited&quot;:false,&quot;manualOverride&quot;:{&quot;isManuallyOverridden&quot;:false,&quot;citeprocText&quot;:&quot;[220]&quot;,&quot;manualOverrideText&quot;:&quot;&quot;},&quot;citationTag&quot;:&quot;MENDELEY_CITATION_v3_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&quot;,&quot;citationItems&quot;:[{&quot;id&quot;:&quot;dc8bd9dd-6e04-3c17-ad06-36d4d15cd09f&quot;,&quot;itemData&quot;:{&quot;type&quot;:&quot;article-journal&quot;,&quot;id&quot;:&quot;dc8bd9dd-6e04-3c17-ad06-36d4d15cd09f&quot;,&quot;title&quot;:&quot;Thermal and Filtration Performance Assessment of a Dynamic Insulation System&quot;,&quot;author&quot;:[{&quot;family&quot;:&quot;Giuseppe&quot;,&quot;given&quot;:&quot;Elisa&quot;,&quot;parse-names&quot;:false,&quot;dropping-particle&quot;:&quot;&quot;,&quot;non-dropping-particle&quot;:&quot;Di&quot;},{&quot;family&quot;:&quot;D'Orazio&quot;,&quot;given&quot;:&quot;Marco&quot;,&quot;parse-names&quot;:false,&quot;dropping-particle&quot;:&quot;&quot;,&quot;non-dropping-particle&quot;:&quot;&quot;},{&quot;family&quot;:&quot;Perna&quot;,&quot;given&quot;:&quot;Costanzo&quot;,&quot;parse-names&quot;:false,&quot;dropping-particle&quot;:&quot;&quot;,&quot;non-dropping-particle&quot;:&quot;Di&quot;}],&quot;container-title&quot;:&quot;Energy Procedia&quot;,&quot;accessed&quot;:{&quot;date-parts&quot;:[[2023,5,4]]},&quot;DOI&quot;:&quot;10.1016/J.EGYPRO.2015.11.721&quot;,&quot;ISSN&quot;:&quot;1876-6102&quot;,&quot;issued&quot;:{&quot;date-parts&quot;:[[2015,11,1]]},&quot;page&quot;:&quot;513-518&quot;,&quot;abstract&quot;:&quot;Improvement in the thermal performance of the envelope in Nearly Zero Energy Buildings could lead to the paradoxical need for high energy consumption to handle the internal moisture load and pollutants by using mechanical equipments. An alternative passive strategy is related to the use of breathing envelopes integrating a \&quot;dynamic insulation\&quot;. In these systems, outdoor air is drawn into the building and passes through a porous insulation material being in this way pre-heated and filtered. This paper provides experimental and analytical results on the thermal and filtration performance of a dynamic insulation for building envelope for application in temperate climate.&quot;,&quot;publisher&quot;:&quot;Elsevier&quot;,&quot;volume&quot;:&quot;78&quot;,&quot;container-title-short&quot;:&quot;Energy Procedia&quot;},&quot;isTemporary&quot;:false}]},{&quot;citationID&quot;:&quot;MENDELEY_CITATION_94902bc5-f3f8-40ed-95b2-3211e34cc63f&quot;,&quot;properties&quot;:{&quot;noteIndex&quot;:0},&quot;isEdited&quot;:false,&quot;manualOverride&quot;:{&quot;isManuallyOverridden&quot;:false,&quot;citeprocText&quot;:&quot;[219]&quot;,&quot;manualOverrideText&quot;:&quot;&quot;},&quot;citationTag&quot;:&quot;MENDELEY_CITATION_v3_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&quot;,&quot;citationItems&quot;:[{&quot;id&quot;:&quot;a8610264-e698-35cd-b5fa-882b922c3528&quot;,&quot;itemData&quot;:{&quot;type&quot;:&quot;article-journal&quot;,&quot;id&quot;:&quot;a8610264-e698-35cd-b5fa-882b922c3528&quot;,&quot;title&quot;:&quot;Model-based optimal design of active cool thermal energy storage for maximal life-cycle cost saving from demand management in commercial buildings&quot;,&quot;author&quot;:[{&quot;family&quot;:&quot;Cui&quot;,&quot;given&quot;:&quot;Borui&quot;,&quot;parse-names&quot;:false,&quot;dropping-particle&quot;:&quot;&quot;,&quot;non-dropping-particle&quot;:&quot;&quot;},{&quot;family&quot;:&quot;Gao&quot;,&quot;given&quot;:&quot;Dian ce&quot;,&quot;parse-names&quot;:false,&quot;dropping-particle&quot;:&quot;&quot;,&quot;non-dropping-particle&quot;:&quot;&quot;},{&quot;family&quot;:&quot;Xiao&quot;,&quot;given&quot;:&quot;Fu&quot;,&quot;parse-names&quot;:false,&quot;dropping-particle&quot;:&quot;&quot;,&quot;non-dropping-particle&quot;:&quot;&quot;},{&quot;family&quot;:&quot;Wang&quot;,&quot;given&quot;:&quot;Shengwei&quot;,&quot;parse-names&quot;:false,&quot;dropping-particle&quot;:&quot;&quot;,&quot;non-dropping-particle&quot;:&quot;&quot;}],&quot;container-title&quot;:&quot;Applied Energy&quot;,&quot;accessed&quot;:{&quot;date-parts&quot;:[[2023,5,4]]},&quot;DOI&quot;:&quot;10.1016/J.APENERGY.2016.12.035&quot;,&quot;ISSN&quot;:&quot;0306-2619&quot;,&quot;issued&quot;:{&quot;date-parts&quot;:[[2017,9,1]]},&quot;page&quot;:&quot;382-396&quot;,&quot;abstract&quot;:&quot;This paper provides a method to evaluate the cost-saving potential of active cool thermal energy storage (CTES) integrated with HVAC system for demand management in commercial building. Active storage is capable of shifting peak demand for peak load management (PLM) as well as providing longer duration and larger capacity for demand response (DR). In this research, a model-based optimal design method using genetic algorithm is developed to optimize the capacity of active CTES for maximizing the life-cycle cost saving including capital cost associated with storage capacity as well as incentives from both fast DR and PLM. In the method, the active CTES operates under a fast DR control strategy during DR events and under the storage-priority operation mode to shift peak demand during normal days. The optimal storage capacities, maximum annual net cost saving and corresponding power reduction set-points during DR events are obtained by using the proposed optimal design method. This research provides guidance in comprehensive evaluation of the cost-saving potential of active CTES integrated with HVAC system for building demand management including both fast DR and PLM.&quot;,&quot;publisher&quot;:&quot;Elsevier&quot;,&quot;volume&quot;:&quot;201&quot;,&quot;container-title-short&quot;:&quot;Appl Energy&quot;},&quot;isTemporary&quot;:false}]},{&quot;citationID&quot;:&quot;MENDELEY_CITATION_06967357-6612-43cd-ae22-7ea45f8e6af8&quot;,&quot;properties&quot;:{&quot;noteIndex&quot;:0},&quot;isEdited&quot;:false,&quot;manualOverride&quot;:{&quot;isManuallyOverridden&quot;:false,&quot;citeprocText&quot;:&quot;[221]&quot;,&quot;manualOverrideText&quot;:&quot;&quot;},&quot;citationTag&quot;:&quot;MENDELEY_CITATION_v3_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&quot;,&quot;citationItems&quot;:[{&quot;id&quot;:&quot;3831f915-da35-3e68-8067-2812815cce51&quot;,&quot;itemData&quot;:{&quot;type&quot;:&quot;article-journal&quot;,&quot;id&quot;:&quot;3831f915-da35-3e68-8067-2812815cce51&quot;,&quot;title&quot;:&quot;Parameter estimation of internal thermal mass of building dynamic models using genetic algorithm&quot;,&quot;author&quot;:[{&quot;family&quot;:&quot;Wang&quot;,&quot;given&quot;:&quot;Shengwei&quot;,&quot;parse-names&quot;:false,&quot;dropping-particle&quot;:&quot;&quot;,&quot;non-dropping-particle&quot;:&quot;&quot;},{&quot;family&quot;:&quot;Xu&quot;,&quot;given&quot;:&quot;Xinhua&quot;,&quot;parse-names&quot;:false,&quot;dropping-particle&quot;:&quot;&quot;,&quot;non-dropping-particle&quot;:&quot;&quot;}],&quot;container-title&quot;:&quot;Energy Conversion and Management&quot;,&quot;accessed&quot;:{&quot;date-parts&quot;:[[2023,5,4]]},&quot;DOI&quot;:&quot;10.1016/J.ENCONMAN.2005.09.011&quot;,&quot;ISSN&quot;:&quot;0196-8904&quot;,&quot;issued&quot;:{&quot;date-parts&quot;:[[2006,8,1]]},&quot;page&quot;:&quot;1927-1941&quot;,&quot;abstract&quot;:&quot;Building thermal transfer models are essential to predict transient cooling or heating requirements for performance monitoring, diagnosis and control strategy analysis. Detailed physical models are time consuming and often not cost effective. Black box models require a significant amount of training data and may not always reflect the physical behaviors. In this study, a building is described using a simplified thermal network model. For the building envelope, the model parameters can be determined using easily available physical details. For building internal mass having thermal capacitance, including components such as furniture, partitions etc., it is very difficult to obtain detailed physical properties. To overcome this problem, this paper proposes to present the building internal mass with a thermal network structure of lumped thermal mass and estimate the lumped parameters using operation data. A genetic algorithm estimator is developed to estimate the lumped internal thermal parameters of the building thermal network model using the operation data collected from site monitoring. The simplified dynamic model of building internal mass is validated in different weather conditions. © 2005 Elsevier Ltd. All rights reserved.&quot;,&quot;publisher&quot;:&quot;Pergamon&quot;,&quot;issue&quot;:&quot;13-14&quot;,&quot;volume&quot;:&quot;47&quot;,&quot;container-title-short&quot;:&quot;Energy Convers Manag&quot;},&quot;isTemporary&quot;:false}]},{&quot;citationID&quot;:&quot;MENDELEY_CITATION_676f79f0-7fce-4f5f-b3a4-890036a19c72&quot;,&quot;properties&quot;:{&quot;noteIndex&quot;:0},&quot;isEdited&quot;:false,&quot;manualOverride&quot;:{&quot;isManuallyOverridden&quot;:false,&quot;citeprocText&quot;:&quot;[222]&quot;,&quot;manualOverrideText&quot;:&quot;&quot;},&quot;citationTag&quot;:&quot;MENDELEY_CITATION_v3_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&quot;,&quot;citationItems&quot;:[{&quot;id&quot;:&quot;5dc0bdc1-0353-351d-83c9-96ab7873be6d&quot;,&quot;itemData&quot;:{&quot;type&quot;:&quot;article-journal&quot;,&quot;id&quot;:&quot;5dc0bdc1-0353-351d-83c9-96ab7873be6d&quot;,&quot;title&quot;:&quot;A simplified dynamic model for existing buildings using CTF and thermal network models&quot;,&quot;author&quot;:[{&quot;family&quot;:&quot;Xu&quot;,&quot;given&quot;:&quot;Xinhua&quot;,&quot;parse-names&quot;:false,&quot;dropping-particle&quot;:&quot;&quot;,&quot;non-dropping-particle&quot;:&quot;&quot;},{&quot;family&quot;:&quot;Wang&quot;,&quot;given&quot;:&quot;Shengwei&quot;,&quot;parse-names&quot;:false,&quot;dropping-particle&quot;:&quot;&quot;,&quot;non-dropping-particle&quot;:&quot;&quot;}],&quot;container-title&quot;:&quot;International Journal of Thermal Sciences&quot;,&quot;accessed&quot;:{&quot;date-parts&quot;:[[2023,5,4]]},&quot;DOI&quot;:&quot;10.1016/J.IJTHERMALSCI.2007.10.011&quot;,&quot;ISSN&quot;:&quot;1290-0729&quot;,&quot;issued&quot;:{&quot;date-parts&quot;:[[2008,9,1]]},&quot;page&quot;:&quot;1249-1262&quot;,&quot;abstract&quot;:&quot;An alternative simplified building model is developed to describe existing building system aiming at providing performance benchmark for performance evaluation and diagnosis at building level and performance prediction for air-conditioning system optimal control. This model combines detailed physical models of building envelopes and a thermal network model of building internal mass. The detailed physical models are the CTF (Conduction Transfer Function) models of building envelopes based on the easily available detailed physical properties of exterior walls and roof. The thermal network model is the 2R2C model, and its parameters are estimated and optimized using genetic algorithm with short-term monitored operation data. The parameter optimization of the simplified building internal mass model (2R2C) and the simplified dynamic building model (i.e., CTF + 2R2C model) are validated in a high-rising commercial office building under various weather conditions. This CTF + 2R2C model is an alternative modeling approach for simulating the overall building dynamic thermal performance when CTF model is chosen to model the building envelope. © 2007 Elsevier Masson SAS. All rights reserved.&quot;,&quot;publisher&quot;:&quot;Elsevier Masson&quot;,&quot;issue&quot;:&quot;9&quot;,&quot;volume&quot;:&quot;47&quot;,&quot;container-title-short&quot;:&quot;&quot;},&quot;isTemporary&quot;:false}]},{&quot;citationID&quot;:&quot;MENDELEY_CITATION_bd87f457-85b4-45ea-9023-d935913ac4f3&quot;,&quot;properties&quot;:{&quot;noteIndex&quot;:0},&quot;isEdited&quot;:false,&quot;manualOverride&quot;:{&quot;isManuallyOverridden&quot;:false,&quot;citeprocText&quot;:&quot;[214]&quot;,&quot;manualOverrideText&quot;:&quot;&quot;},&quot;citationTag&quot;:&quot;MENDELEY_CITATION_v3_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&quot;,&quot;citationItems&quot;:[{&quot;id&quot;:&quot;2b7154e8-915a-3b9e-ab74-f94d6683b186&quot;,&quot;itemData&quot;:{&quot;type&quot;:&quot;article-journal&quot;,&quot;id&quot;:&quot;2b7154e8-915a-3b9e-ab74-f94d6683b186&quot;,&quot;title&quot;:&quot;A hybrid building thermal modeling approach for predicting temperatures in typical, detached, two-story houses&quot;,&quot;author&quot;:[{&quot;family&quot;:&quot;Cui&quot;,&quot;given&quot;:&quot;Borui&quot;,&quot;parse-names&quot;:false,&quot;dropping-particle&quot;:&quot;&quot;,&quot;non-dropping-particle&quot;:&quot;&quot;},{&quot;family&quot;:&quot;Fan&quot;,&quot;given&quot;:&quot;Cheng&quot;,&quot;parse-names&quot;:false,&quot;dropping-particle&quot;:&quot;&quot;,&quot;non-dropping-particle&quot;:&quot;&quot;},{&quot;family&quot;:&quot;Munk&quot;,&quot;given&quot;:&quot;Jeffrey&quot;,&quot;parse-names&quot;:false,&quot;dropping-particle&quot;:&quot;&quot;,&quot;non-dropping-particle&quot;:&quot;&quot;},{&quot;family&quot;:&quot;Mao&quot;,&quot;given&quot;:&quot;Ning&quot;,&quot;parse-names&quot;:false,&quot;dropping-particle&quot;:&quot;&quot;,&quot;non-dropping-particle&quot;:&quot;&quot;},{&quot;family&quot;:&quot;Xiao&quot;,&quot;given&quot;:&quot;Fu&quot;,&quot;parse-names&quot;:false,&quot;dropping-particle&quot;:&quot;&quot;,&quot;non-dropping-particle&quot;:&quot;&quot;},{&quot;family&quot;:&quot;Dong&quot;,&quot;given&quot;:&quot;Jin&quot;,&quot;parse-names&quot;:false,&quot;dropping-particle&quot;:&quot;&quot;,&quot;non-dropping-particle&quot;:&quot;&quot;},{&quot;family&quot;:&quot;Kuruganti&quot;,&quot;given&quot;:&quot;Teja&quot;,&quot;parse-names&quot;:false,&quot;dropping-particle&quot;:&quot;&quot;,&quot;non-dropping-particle&quot;:&quot;&quot;}],&quot;container-title&quot;:&quot;Applied Energy&quot;,&quot;accessed&quot;:{&quot;date-parts&quot;:[[2023,5,4]]},&quot;DOI&quot;:&quot;10.1016/J.APENERGY.2018.11.077&quot;,&quot;ISSN&quot;:&quot;0306-2619&quot;,&quot;issued&quot;:{&quot;date-parts&quot;:[[2019,2,15]]},&quot;page&quot;:&quot;101-116&quot;,&quot;abstract&quot;:&quot;Within the residential building sector, the air-conditioning (AC) load is the main target for peak load shifting and reduction since it is the largest contributor to peak demand. By leveraging its power flexibility, residential AC is a good candidate to provide building demand response and peak load shifting. For realization of accurate and reliable control of AC loads, a building thermal model, which characterizes the properties of a building's envelope and its thermal mass, is an essential component for accurate indoor temperature or cooling/heating demand prediction. Building thermal models include two types: “Forward” and “Data-Driven”. Due to time-saving and cost-effective characteristics, different data-driven models have been developed in a number of research studies. However, few developed models can predict temperatures in respective zones of a multiple-zone building with an open air path between zones e.g., an open stairwell connecting two floors of a home. In this research, a novel hybrid modeling approach is proposed to predict the average indoor air temperatures of both the upstairs and downstairs. This “hybrid” solution integrates both gray-box, i.e. RC model and black-box models. A developed RC model is used to predict the building mean temperature, and black-box model, in which the supervised machine learning algorithms are leveraged, is used to predict the temperature difference between the downstairs and upstairs. Compared with the measured data from a real house, the results obtained have acceptable/satisfactory accuracy. The method proposed in this study integrates the advantages of black-box and gray-box modeling. It can be used as a reliable alternative to predict the average temperatures in respective floors of typical detached two-story houses.&quot;,&quot;publisher&quot;:&quot;Elsevier&quot;,&quot;volume&quot;:&quot;236&quot;,&quot;container-title-short&quot;:&quot;Appl Energy&quot;},&quot;isTemporary&quot;:false}]},{&quot;citationID&quot;:&quot;MENDELEY_CITATION_736b0d8f-a521-4989-9601-f0d90832ea96&quot;,&quot;properties&quot;:{&quot;noteIndex&quot;:0},&quot;isEdited&quot;:false,&quot;manualOverride&quot;:{&quot;isManuallyOverridden&quot;:false,&quot;citeprocText&quot;:&quot;[223]&quot;,&quot;manualOverrideText&quot;:&quot;&quot;},&quot;citationTag&quot;:&quot;MENDELEY_CITATION_v3_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&quot;,&quot;citationItems&quot;:[{&quot;id&quot;:&quot;2136b9a3-b739-3942-b621-be8b1544bea6&quot;,&quot;itemData&quot;:{&quot;type&quot;:&quot;article-journal&quot;,&quot;id&quot;:&quot;2136b9a3-b739-3942-b621-be8b1544bea6&quot;,&quot;title&quot;:&quot;Modeling and optimization of HVAC energy consumption&quot;,&quot;author&quot;:[{&quot;family&quot;:&quot;Kusiak&quot;,&quot;given&quot;:&quot;Andrew&quot;,&quot;parse-names&quot;:false,&quot;dropping-particle&quot;:&quot;&quot;,&quot;non-dropping-particle&quot;:&quot;&quot;},{&quot;family&quot;:&quot;Li&quot;,&quot;given&quot;:&quot;Mingyang&quot;,&quot;parse-names&quot;:false,&quot;dropping-particle&quot;:&quot;&quot;,&quot;non-dropping-particle&quot;:&quot;&quot;},{&quot;family&quot;:&quot;Tang&quot;,&quot;given&quot;:&quot;Fan&quot;,&quot;parse-names&quot;:false,&quot;dropping-particle&quot;:&quot;&quot;,&quot;non-dropping-particle&quot;:&quot;&quot;}],&quot;container-title&quot;:&quot;Applied Energy&quot;,&quot;accessed&quot;:{&quot;date-parts&quot;:[[2023,5,4]]},&quot;DOI&quot;:&quot;10.1016/J.APENERGY.2010.04.008&quot;,&quot;ISSN&quot;:&quot;0306-2619&quot;,&quot;issued&quot;:{&quot;date-parts&quot;:[[2010,10,1]]},&quot;page&quot;:&quot;3092-3102&quot;,&quot;abstract&quot;:&quot;A data-driven approach for minimization of the energy to air condition a typical office-type facility is presented. Eight data-mining algorithms are applied to model the nonlinear relationship among energy consumption, control settings (supply air temperature and supply air static pressure), and a set of uncontrollable parameters. The multiple-linear perceptron (MLP) ensemble outperforms other models tested in this research, and therefore it is selected to model a chiller, a pump, a fan, and a reheat device. These four models are integrated into an energy optimization model with two decision variables, the setpoint of the supply air temperature and the static pressure in the air handling unit. The model is solved with a particle swarm optimization algorithm. The optimization results have demonstrated the total energy consumed by the heating, ventilation, and air-conditioning system is reduced by over 7%. © 2010 Elsevier Ltd. All rights reserved.&quot;,&quot;publisher&quot;:&quot;Elsevier&quot;,&quot;issue&quot;:&quot;10&quot;,&quot;volume&quot;:&quot;87&quot;,&quot;container-title-short&quot;:&quot;Appl Energy&quot;},&quot;isTemporary&quot;:false}]},{&quot;citationID&quot;:&quot;MENDELEY_CITATION_6cc8b0f2-5eac-4445-8c9a-897ab032d500&quot;,&quot;properties&quot;:{&quot;noteIndex&quot;:0},&quot;isEdited&quot;:false,&quot;manualOverride&quot;:{&quot;isManuallyOverridden&quot;:false,&quot;citeprocText&quot;:&quot;[224]&quot;,&quot;manualOverrideText&quot;:&quot;&quot;},&quot;citationTag&quot;:&quot;MENDELEY_CITATION_v3_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&quot;,&quot;citationItems&quot;:[{&quot;id&quot;:&quot;8cf1a711-1b89-347e-9c46-a2cdbb61d257&quot;,&quot;itemData&quot;:{&quot;type&quot;:&quot;webpage&quot;,&quot;id&quot;:&quot;8cf1a711-1b89-347e-9c46-a2cdbb61d257&quot;,&quot;title&quot;:&quot;Spyder | The Scientific Python Development Environment&quot;,&quot;author&quot;:[{&quot;family&quot;:&quot;Spyder&quot;,&quot;given&quot;:&quot;&quot;,&quot;parse-names&quot;:false,&quot;dropping-particle&quot;:&quot;&quot;,&quot;non-dropping-particle&quot;:&quot;&quot;}],&quot;accessed&quot;:{&quot;date-parts&quot;:[[2023,5,4]]},&quot;URL&quot;:&quot;https://www.spyder-ide.org&quot;,&quot;issued&quot;:{&quot;date-parts&quot;:[[2022]]},&quot;container-title-short&quot;:&quot;&quot;},&quot;isTemporary&quot;:false}]},{&quot;citationID&quot;:&quot;MENDELEY_CITATION_a46d67eb-b328-49e7-86bf-ae327e531608&quot;,&quot;properties&quot;:{&quot;noteIndex&quot;:0},&quot;isEdited&quot;:false,&quot;manualOverride&quot;:{&quot;isManuallyOverridden&quot;:false,&quot;citeprocText&quot;:&quot;[225]&quot;,&quot;manualOverrideText&quot;:&quot;&quot;},&quot;citationTag&quot;:&quot;MENDELEY_CITATION_v3_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&quot;,&quot;citationItems&quot;:[{&quot;id&quot;:&quot;6c823424-5cba-3315-87ed-52ce753072f0&quot;,&quot;itemData&quot;:{&quot;type&quot;:&quot;webpage&quot;,&quot;id&quot;:&quot;6c823424-5cba-3315-87ed-52ce753072f0&quot;,&quot;title&quot;:&quot;Benchmark Datasets for Buildings&quot;,&quot;accessed&quot;:{&quot;date-parts&quot;:[[2023,5,5]]},&quot;URL&quot;:&quot;https://bbd.labworks.org/project/bbd&quot;,&quot;container-title-short&quot;:&quot;&quot;},&quot;isTemporary&quot;:false}]},{&quot;citationID&quot;:&quot;MENDELEY_CITATION_90ae7933-3f78-479a-bbdc-575d60aabbd4&quot;,&quot;properties&quot;:{&quot;noteIndex&quot;:0},&quot;isEdited&quot;:false,&quot;manualOverride&quot;:{&quot;isManuallyOverridden&quot;:false,&quot;citeprocText&quot;:&quot;[226]&quot;,&quot;manualOverrideText&quot;:&quot;&quot;},&quot;citationTag&quot;:&quot;MENDELEY_CITATION_v3_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&quot;,&quot;citationItems&quot;:[{&quot;id&quot;:&quot;6b1f90d5-aaf2-33ed-a9dd-8349a0a6c67e&quot;,&quot;itemData&quot;:{&quot;type&quot;:&quot;article-journal&quot;,&quot;id&quot;:&quot;6b1f90d5-aaf2-33ed-a9dd-8349a0a6c67e&quot;,&quot;title&quot;:&quot;Thermal storage integrated into air-source heat pumps to leverage building electrification: A systematic literature review&quot;,&quot;author&quot;:[{&quot;family&quot;:&quot;Ermel&quot;,&quot;given&quot;:&quot;Conrado&quot;,&quot;parse-names&quot;:false,&quot;dropping-particle&quot;:&quot;&quot;,&quot;non-dropping-particle&quot;:&quot;&quot;},{&quot;family&quot;:&quot;Bianchi&quot;,&quot;given&quot;:&quot;Marcus V.A.&quot;,&quot;parse-names&quot;:false,&quot;dropping-particle&quot;:&quot;&quot;,&quot;non-dropping-particle&quot;:&quot;&quot;},{&quot;family&quot;:&quot;Cardoso&quot;,&quot;given&quot;:&quot;Ana Paula&quot;,&quot;parse-names&quot;:false,&quot;dropping-particle&quot;:&quot;&quot;,&quot;non-dropping-particle&quot;:&quot;&quot;},{&quot;family&quot;:&quot;Schneider&quot;,&quot;given&quot;:&quot;Paulo S.&quot;,&quot;parse-names&quot;:false,&quot;dropping-particle&quot;:&quot;&quot;,&quot;non-dropping-particle&quot;:&quot;&quot;}],&quot;container-title&quot;:&quot;Applied Thermal Engineering&quot;,&quot;accessed&quot;:{&quot;date-parts&quot;:[[2022,8,16]]},&quot;DOI&quot;:&quot;10.1016/J.APPLTHERMALENG.2022.118975&quot;,&quot;ISSN&quot;:&quot;1359-4311&quot;,&quot;URL&quot;:&quot;https://linkinghub.elsevier.com/retrieve/pii/S1359431122009103&quot;,&quot;issued&quot;:{&quot;date-parts&quot;:[[2022,10,1]]},&quot;page&quot;:&quot;118975&quot;,&quot;publisher&quot;:&quot;Pergamon&quot;,&quot;volume&quot;:&quot;215&quot;,&quot;container-title-short&quot;:&quot;Appl Therm Eng&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97742-0548-4767-8F5D-70395DAC9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C:\Users\asherm10\Documents\multipart-te.dotx</Template>
  <TotalTime>0</TotalTime>
  <Pages>193</Pages>
  <Words>56472</Words>
  <Characters>307776</Characters>
  <Application>Microsoft Office Word</Application>
  <DocSecurity>0</DocSecurity>
  <Lines>8793</Lines>
  <Paragraphs>3606</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360642</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2023-05-07T01:45:00Z</dcterms:created>
  <dcterms:modified xsi:type="dcterms:W3CDTF">2023-07-16T20:34:00Z</dcterms:modified>
</cp:coreProperties>
</file>