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34A11" w14:textId="1C8BE084" w:rsidR="00324C32" w:rsidRPr="009D2AA9" w:rsidRDefault="00084EE5" w:rsidP="00324C32">
      <w:pPr>
        <w:spacing w:line="480" w:lineRule="auto"/>
        <w:jc w:val="center"/>
        <w:rPr>
          <w:rFonts w:ascii="Times New Roman" w:hAnsi="Times New Roman" w:cs="Times New Roman"/>
        </w:rPr>
      </w:pPr>
      <w:bookmarkStart w:id="0" w:name="_Hlk211630685"/>
      <w:bookmarkEnd w:id="0"/>
      <w:r w:rsidRPr="00084EE5">
        <w:rPr>
          <w:rFonts w:ascii="Times New Roman" w:hAnsi="Times New Roman" w:cs="Times New Roman"/>
          <w:b/>
          <w:lang w:val="en-CA"/>
        </w:rPr>
        <w:t xml:space="preserve">ASSESSING THE RELIABILITY OF ENVIRONMENTAL </w:t>
      </w:r>
      <w:r w:rsidR="00D45564">
        <w:rPr>
          <w:rFonts w:ascii="Times New Roman" w:hAnsi="Times New Roman" w:cs="Times New Roman"/>
          <w:b/>
          <w:lang w:val="en-CA"/>
        </w:rPr>
        <w:br/>
      </w:r>
      <w:r w:rsidRPr="00084EE5">
        <w:rPr>
          <w:rFonts w:ascii="Times New Roman" w:hAnsi="Times New Roman" w:cs="Times New Roman"/>
          <w:b/>
          <w:lang w:val="en-CA"/>
        </w:rPr>
        <w:t xml:space="preserve">DNA AND RNA FOR FRESHWATER </w:t>
      </w:r>
      <w:r w:rsidR="00F847D1">
        <w:rPr>
          <w:rFonts w:ascii="Times New Roman" w:hAnsi="Times New Roman" w:cs="Times New Roman"/>
          <w:b/>
          <w:lang w:val="en-CA"/>
        </w:rPr>
        <w:br/>
      </w:r>
      <w:r w:rsidRPr="00084EE5">
        <w:rPr>
          <w:rFonts w:ascii="Times New Roman" w:hAnsi="Times New Roman" w:cs="Times New Roman"/>
          <w:b/>
          <w:lang w:val="en-CA"/>
        </w:rPr>
        <w:t>BIODIVERSITY MONITORING</w:t>
      </w:r>
      <w:r w:rsidR="00E65B4D">
        <w:rPr>
          <w:rFonts w:ascii="Times New Roman" w:hAnsi="Times New Roman" w:cs="Times New Roman"/>
          <w:b/>
          <w:lang w:val="en-CA"/>
        </w:rPr>
        <w:t>: A DAM STUDY</w:t>
      </w:r>
    </w:p>
    <w:p w14:paraId="226D48C4" w14:textId="77777777" w:rsidR="00324C32" w:rsidRPr="009D2AA9" w:rsidRDefault="00324C32" w:rsidP="00324C32">
      <w:pPr>
        <w:spacing w:line="480" w:lineRule="auto"/>
        <w:jc w:val="center"/>
        <w:rPr>
          <w:rFonts w:ascii="Times New Roman" w:hAnsi="Times New Roman" w:cs="Times New Roman"/>
        </w:rPr>
      </w:pPr>
    </w:p>
    <w:p w14:paraId="558D51D5" w14:textId="3D30E77E" w:rsidR="00324C32" w:rsidRPr="009D2AA9" w:rsidRDefault="00F847D1" w:rsidP="00324C32">
      <w:pPr>
        <w:spacing w:line="480" w:lineRule="auto"/>
        <w:jc w:val="center"/>
        <w:rPr>
          <w:rFonts w:ascii="Times New Roman" w:hAnsi="Times New Roman" w:cs="Times New Roman"/>
        </w:rPr>
      </w:pPr>
      <w:r>
        <w:rPr>
          <w:rFonts w:ascii="Times New Roman" w:hAnsi="Times New Roman" w:cs="Times New Roman"/>
        </w:rPr>
        <w:br/>
      </w:r>
    </w:p>
    <w:p w14:paraId="29892EEC" w14:textId="77777777" w:rsidR="00324C32" w:rsidRPr="009D2AA9" w:rsidRDefault="00324C32" w:rsidP="00324C32">
      <w:pPr>
        <w:spacing w:line="480" w:lineRule="auto"/>
        <w:jc w:val="center"/>
        <w:rPr>
          <w:rFonts w:ascii="Times New Roman" w:hAnsi="Times New Roman" w:cs="Times New Roman"/>
        </w:rPr>
      </w:pPr>
    </w:p>
    <w:p w14:paraId="0ED9E5B6" w14:textId="77777777" w:rsidR="00324C32" w:rsidRPr="009D2AA9" w:rsidRDefault="00324C32" w:rsidP="00324C32">
      <w:pPr>
        <w:spacing w:line="480" w:lineRule="auto"/>
        <w:jc w:val="center"/>
        <w:rPr>
          <w:rFonts w:ascii="Times New Roman" w:hAnsi="Times New Roman" w:cs="Times New Roman"/>
        </w:rPr>
      </w:pPr>
    </w:p>
    <w:p w14:paraId="584E1FA7" w14:textId="77777777" w:rsidR="00324C32" w:rsidRPr="009D2AA9" w:rsidRDefault="00324C32" w:rsidP="00324C32">
      <w:pPr>
        <w:spacing w:line="480" w:lineRule="auto"/>
        <w:jc w:val="center"/>
        <w:rPr>
          <w:rFonts w:ascii="Times New Roman" w:hAnsi="Times New Roman" w:cs="Times New Roman"/>
        </w:rPr>
      </w:pPr>
    </w:p>
    <w:p w14:paraId="48212DC6" w14:textId="77777777" w:rsidR="00324C32" w:rsidRPr="009D2AA9" w:rsidRDefault="00324C32" w:rsidP="00324C32">
      <w:pPr>
        <w:spacing w:line="480" w:lineRule="auto"/>
        <w:jc w:val="center"/>
        <w:rPr>
          <w:rFonts w:ascii="Times New Roman" w:hAnsi="Times New Roman" w:cs="Times New Roman"/>
        </w:rPr>
      </w:pPr>
      <w:r w:rsidRPr="009D2AA9">
        <w:rPr>
          <w:rFonts w:ascii="Times New Roman" w:hAnsi="Times New Roman" w:cs="Times New Roman"/>
        </w:rPr>
        <w:t>A Thesis Presented for the</w:t>
      </w:r>
    </w:p>
    <w:p w14:paraId="3BE5D22E" w14:textId="77777777" w:rsidR="00324C32" w:rsidRPr="009D2AA9" w:rsidRDefault="00324C32" w:rsidP="00324C32">
      <w:pPr>
        <w:spacing w:line="480" w:lineRule="auto"/>
        <w:jc w:val="center"/>
        <w:rPr>
          <w:rFonts w:ascii="Times New Roman" w:hAnsi="Times New Roman" w:cs="Times New Roman"/>
        </w:rPr>
      </w:pPr>
      <w:r w:rsidRPr="009D2AA9">
        <w:rPr>
          <w:rFonts w:ascii="Times New Roman" w:hAnsi="Times New Roman" w:cs="Times New Roman"/>
        </w:rPr>
        <w:t>Master of Science</w:t>
      </w:r>
    </w:p>
    <w:p w14:paraId="7ABD12F6" w14:textId="77777777" w:rsidR="00324C32" w:rsidRPr="009D2AA9" w:rsidRDefault="00324C32" w:rsidP="00324C32">
      <w:pPr>
        <w:spacing w:line="480" w:lineRule="auto"/>
        <w:jc w:val="center"/>
        <w:rPr>
          <w:rFonts w:ascii="Times New Roman" w:hAnsi="Times New Roman" w:cs="Times New Roman"/>
        </w:rPr>
      </w:pPr>
      <w:r w:rsidRPr="009D2AA9">
        <w:rPr>
          <w:rFonts w:ascii="Times New Roman" w:hAnsi="Times New Roman" w:cs="Times New Roman"/>
        </w:rPr>
        <w:t>Degree</w:t>
      </w:r>
    </w:p>
    <w:p w14:paraId="428D68EB" w14:textId="77777777" w:rsidR="00324C32" w:rsidRPr="009D2AA9" w:rsidRDefault="00324C32" w:rsidP="00324C32">
      <w:pPr>
        <w:spacing w:line="480" w:lineRule="auto"/>
        <w:jc w:val="center"/>
        <w:rPr>
          <w:rFonts w:ascii="Times New Roman" w:hAnsi="Times New Roman" w:cs="Times New Roman"/>
        </w:rPr>
      </w:pPr>
      <w:r w:rsidRPr="009D2AA9">
        <w:rPr>
          <w:rFonts w:ascii="Times New Roman" w:hAnsi="Times New Roman" w:cs="Times New Roman"/>
        </w:rPr>
        <w:t>The University of Tennessee, Knoxville</w:t>
      </w:r>
    </w:p>
    <w:p w14:paraId="45FEDB75" w14:textId="77777777" w:rsidR="00324C32" w:rsidRPr="009D2AA9" w:rsidRDefault="00324C32" w:rsidP="00324C32">
      <w:pPr>
        <w:spacing w:line="480" w:lineRule="auto"/>
        <w:jc w:val="center"/>
        <w:rPr>
          <w:rFonts w:ascii="Times New Roman" w:hAnsi="Times New Roman" w:cs="Times New Roman"/>
        </w:rPr>
      </w:pPr>
    </w:p>
    <w:p w14:paraId="5D35FA68" w14:textId="77777777" w:rsidR="00324C32" w:rsidRPr="009D2AA9" w:rsidRDefault="00324C32" w:rsidP="00324C32">
      <w:pPr>
        <w:spacing w:line="480" w:lineRule="auto"/>
        <w:jc w:val="center"/>
        <w:rPr>
          <w:rFonts w:ascii="Times New Roman" w:hAnsi="Times New Roman" w:cs="Times New Roman"/>
        </w:rPr>
      </w:pPr>
    </w:p>
    <w:p w14:paraId="7AD45EFD" w14:textId="182DA7D0" w:rsidR="00324C32" w:rsidRPr="009D2AA9" w:rsidRDefault="00F847D1" w:rsidP="00324C32">
      <w:pPr>
        <w:spacing w:line="480" w:lineRule="auto"/>
        <w:jc w:val="center"/>
        <w:rPr>
          <w:rFonts w:ascii="Times New Roman" w:hAnsi="Times New Roman" w:cs="Times New Roman"/>
        </w:rPr>
      </w:pPr>
      <w:r>
        <w:rPr>
          <w:rFonts w:ascii="Times New Roman" w:hAnsi="Times New Roman" w:cs="Times New Roman"/>
        </w:rPr>
        <w:br/>
      </w:r>
    </w:p>
    <w:p w14:paraId="404D0FBD" w14:textId="77777777" w:rsidR="00324C32" w:rsidRPr="009D2AA9" w:rsidRDefault="00324C32" w:rsidP="00324C32">
      <w:pPr>
        <w:spacing w:line="480" w:lineRule="auto"/>
        <w:jc w:val="center"/>
        <w:rPr>
          <w:rFonts w:ascii="Times New Roman" w:hAnsi="Times New Roman" w:cs="Times New Roman"/>
        </w:rPr>
      </w:pPr>
    </w:p>
    <w:p w14:paraId="67619B00" w14:textId="2A384112" w:rsidR="00324C32" w:rsidRPr="009D2AA9" w:rsidRDefault="00324C32" w:rsidP="00324C32">
      <w:pPr>
        <w:spacing w:line="480" w:lineRule="auto"/>
        <w:jc w:val="center"/>
        <w:rPr>
          <w:rFonts w:ascii="Times New Roman" w:hAnsi="Times New Roman" w:cs="Times New Roman"/>
        </w:rPr>
      </w:pPr>
    </w:p>
    <w:p w14:paraId="26844AEF" w14:textId="77777777" w:rsidR="00324C32" w:rsidRPr="009D2AA9" w:rsidRDefault="00324C32" w:rsidP="00324C32">
      <w:pPr>
        <w:spacing w:line="480" w:lineRule="auto"/>
        <w:jc w:val="center"/>
        <w:rPr>
          <w:rFonts w:ascii="Times New Roman" w:hAnsi="Times New Roman" w:cs="Times New Roman"/>
        </w:rPr>
      </w:pPr>
    </w:p>
    <w:p w14:paraId="3C3B76EF" w14:textId="3EE9D38D" w:rsidR="00324C32" w:rsidRPr="009D2AA9" w:rsidRDefault="00D45564" w:rsidP="00324C32">
      <w:pPr>
        <w:spacing w:line="480" w:lineRule="auto"/>
        <w:jc w:val="center"/>
        <w:rPr>
          <w:rFonts w:ascii="Times New Roman" w:hAnsi="Times New Roman" w:cs="Times New Roman"/>
        </w:rPr>
      </w:pPr>
      <w:r w:rsidRPr="00D45564">
        <w:rPr>
          <w:rFonts w:ascii="Times New Roman" w:hAnsi="Times New Roman" w:cs="Times New Roman"/>
        </w:rPr>
        <w:t>Alaa S. Ahmed</w:t>
      </w:r>
    </w:p>
    <w:p w14:paraId="504E8CEF" w14:textId="74EA52C6" w:rsidR="00324C32" w:rsidRPr="009D2AA9" w:rsidRDefault="00324C32" w:rsidP="00324C32">
      <w:pPr>
        <w:spacing w:line="480" w:lineRule="auto"/>
        <w:jc w:val="center"/>
        <w:rPr>
          <w:rFonts w:ascii="Times New Roman" w:hAnsi="Times New Roman" w:cs="Times New Roman"/>
        </w:rPr>
      </w:pPr>
      <w:r w:rsidRPr="009D2AA9">
        <w:rPr>
          <w:rFonts w:ascii="Times New Roman" w:hAnsi="Times New Roman" w:cs="Times New Roman"/>
        </w:rPr>
        <w:t xml:space="preserve">December </w:t>
      </w:r>
      <w:r>
        <w:rPr>
          <w:rFonts w:ascii="Times New Roman" w:hAnsi="Times New Roman" w:cs="Times New Roman"/>
        </w:rPr>
        <w:t>202</w:t>
      </w:r>
      <w:r w:rsidR="00D45564">
        <w:rPr>
          <w:rFonts w:ascii="Times New Roman" w:hAnsi="Times New Roman" w:cs="Times New Roman"/>
        </w:rPr>
        <w:t>5</w:t>
      </w:r>
    </w:p>
    <w:p w14:paraId="70818C0E" w14:textId="77777777" w:rsidR="00324C32" w:rsidRPr="009D2AA9" w:rsidRDefault="00324C32" w:rsidP="00324C32">
      <w:pPr>
        <w:spacing w:line="480" w:lineRule="auto"/>
        <w:jc w:val="center"/>
        <w:rPr>
          <w:rFonts w:ascii="Times New Roman" w:hAnsi="Times New Roman" w:cs="Times New Roman"/>
        </w:rPr>
      </w:pPr>
    </w:p>
    <w:p w14:paraId="50B59622" w14:textId="77777777" w:rsidR="00324C32" w:rsidRPr="004F08CE" w:rsidRDefault="00324C32" w:rsidP="00324C32">
      <w:pPr>
        <w:jc w:val="center"/>
        <w:rPr>
          <w:rFonts w:ascii="Times New Roman" w:hAnsi="Times New Roman" w:cs="Times New Roman"/>
          <w:b/>
        </w:rPr>
      </w:pPr>
      <w:r w:rsidRPr="004F08CE">
        <w:rPr>
          <w:rFonts w:ascii="Times New Roman" w:hAnsi="Times New Roman" w:cs="Times New Roman"/>
          <w:b/>
        </w:rPr>
        <w:lastRenderedPageBreak/>
        <w:t>ACKNOWLEDGEMENTS</w:t>
      </w:r>
    </w:p>
    <w:p w14:paraId="614D7BA7" w14:textId="77777777" w:rsidR="00324C32" w:rsidRPr="009D2AA9" w:rsidRDefault="00324C32" w:rsidP="00324C32">
      <w:pPr>
        <w:jc w:val="center"/>
        <w:rPr>
          <w:rFonts w:ascii="Times New Roman" w:hAnsi="Times New Roman" w:cs="Times New Roman"/>
        </w:rPr>
      </w:pPr>
    </w:p>
    <w:p w14:paraId="07733788" w14:textId="77777777" w:rsidR="002B2F98" w:rsidRDefault="00310E39" w:rsidP="00310E39">
      <w:pPr>
        <w:spacing w:line="480" w:lineRule="auto"/>
        <w:ind w:firstLine="720"/>
        <w:rPr>
          <w:rFonts w:ascii="Times New Roman" w:hAnsi="Times New Roman" w:cs="Times New Roman"/>
        </w:rPr>
      </w:pPr>
      <w:r w:rsidRPr="00310E39">
        <w:rPr>
          <w:rFonts w:ascii="Times New Roman" w:hAnsi="Times New Roman" w:cs="Times New Roman"/>
        </w:rPr>
        <w:t>First of all, I would like to sincerely thank Kristine for being an amazing, patient, and supportive supervisor. Thanks also to Steven Gardener, Nate Marshalls, and all my committee members for their invaluable help. To all the ORNL and UTK professors, colleagues, and cohorts, I’m so glad I crossed paths with such wonderful people.</w:t>
      </w:r>
    </w:p>
    <w:p w14:paraId="3C108233" w14:textId="3C274BA2" w:rsidR="002B2F98" w:rsidRDefault="00310E39" w:rsidP="00310E39">
      <w:pPr>
        <w:spacing w:line="480" w:lineRule="auto"/>
        <w:ind w:firstLine="720"/>
        <w:rPr>
          <w:rFonts w:ascii="Times New Roman" w:hAnsi="Times New Roman" w:cs="Times New Roman"/>
        </w:rPr>
      </w:pPr>
      <w:r w:rsidRPr="00310E39">
        <w:rPr>
          <w:rFonts w:ascii="Times New Roman" w:hAnsi="Times New Roman" w:cs="Times New Roman"/>
        </w:rPr>
        <w:t>To my friends Ghada, Fedaa, Najwa, Ruwaa, Yousry, and their little Layla, thank you for bringing so much joy and support into my everyday life. To Zahraa, my amazing study buddy, I’m truly grateful for the eight years I’ve known you. To Mariam, my best friend, I will miss you and Chicago, and I genuinely hope th</w:t>
      </w:r>
      <w:r w:rsidR="002B2F98">
        <w:rPr>
          <w:rFonts w:ascii="Times New Roman" w:hAnsi="Times New Roman" w:cs="Times New Roman"/>
        </w:rPr>
        <w:t>is</w:t>
      </w:r>
      <w:r w:rsidRPr="00310E39">
        <w:rPr>
          <w:rFonts w:ascii="Times New Roman" w:hAnsi="Times New Roman" w:cs="Times New Roman"/>
        </w:rPr>
        <w:t xml:space="preserve"> next chapter of your life will </w:t>
      </w:r>
      <w:r w:rsidR="002B2F98">
        <w:rPr>
          <w:rFonts w:ascii="Times New Roman" w:hAnsi="Times New Roman" w:cs="Times New Roman"/>
        </w:rPr>
        <w:t xml:space="preserve">only </w:t>
      </w:r>
      <w:r w:rsidRPr="00310E39">
        <w:rPr>
          <w:rFonts w:ascii="Times New Roman" w:hAnsi="Times New Roman" w:cs="Times New Roman"/>
        </w:rPr>
        <w:t>be your best one yet.</w:t>
      </w:r>
    </w:p>
    <w:p w14:paraId="33CDFE01" w14:textId="032B5573" w:rsidR="002B2F98" w:rsidRDefault="002B7095" w:rsidP="00310E39">
      <w:pPr>
        <w:spacing w:line="480" w:lineRule="auto"/>
        <w:ind w:firstLine="720"/>
        <w:rPr>
          <w:rFonts w:ascii="Times New Roman" w:hAnsi="Times New Roman" w:cs="Times New Roman"/>
        </w:rPr>
      </w:pPr>
      <w:r>
        <w:rPr>
          <w:rFonts w:ascii="Times New Roman" w:hAnsi="Times New Roman" w:cs="Times New Roman"/>
        </w:rPr>
        <w:t xml:space="preserve">As always, I </w:t>
      </w:r>
      <w:r w:rsidR="00310E39" w:rsidRPr="00310E39">
        <w:rPr>
          <w:rFonts w:ascii="Times New Roman" w:hAnsi="Times New Roman" w:cs="Times New Roman"/>
        </w:rPr>
        <w:t xml:space="preserve">owe very special thanks to </w:t>
      </w:r>
      <w:r w:rsidR="00072C88">
        <w:rPr>
          <w:rFonts w:ascii="Times New Roman" w:hAnsi="Times New Roman" w:cs="Times New Roman"/>
        </w:rPr>
        <w:t xml:space="preserve">my loving family: </w:t>
      </w:r>
      <w:r w:rsidR="00310E39" w:rsidRPr="00310E39">
        <w:rPr>
          <w:rFonts w:ascii="Times New Roman" w:hAnsi="Times New Roman" w:cs="Times New Roman"/>
        </w:rPr>
        <w:t>Mama, Baba, and all my dear siblings, who have always supported me in all my academic and personal decisions, even the questionable ones, and despite the pain of having me so far from home. To all my</w:t>
      </w:r>
      <w:r w:rsidR="00E40E9E">
        <w:rPr>
          <w:rFonts w:ascii="Times New Roman" w:hAnsi="Times New Roman" w:cs="Times New Roman"/>
        </w:rPr>
        <w:t xml:space="preserve"> dearest</w:t>
      </w:r>
      <w:r w:rsidR="00310E39" w:rsidRPr="00310E39">
        <w:rPr>
          <w:rFonts w:ascii="Times New Roman" w:hAnsi="Times New Roman" w:cs="Times New Roman"/>
        </w:rPr>
        <w:t xml:space="preserve"> nephews and nieces, I hope I inspire you to take any path you choose in life, even if you’re the first one you know to ever set foot on it.</w:t>
      </w:r>
    </w:p>
    <w:p w14:paraId="748DA5AF" w14:textId="231F48AB" w:rsidR="00324C32" w:rsidRDefault="00310E39" w:rsidP="00310E39">
      <w:pPr>
        <w:spacing w:line="480" w:lineRule="auto"/>
        <w:ind w:firstLine="720"/>
        <w:rPr>
          <w:rFonts w:ascii="Times New Roman" w:hAnsi="Times New Roman" w:cs="Times New Roman"/>
        </w:rPr>
      </w:pPr>
      <w:r w:rsidRPr="00310E39">
        <w:rPr>
          <w:rFonts w:ascii="Times New Roman" w:hAnsi="Times New Roman" w:cs="Times New Roman"/>
        </w:rPr>
        <w:t xml:space="preserve">Last but not least, I thank my husband, Kasem, to whom I owe so much for rekindling </w:t>
      </w:r>
      <w:r w:rsidR="002B2F98">
        <w:rPr>
          <w:rFonts w:ascii="Times New Roman" w:hAnsi="Times New Roman" w:cs="Times New Roman"/>
        </w:rPr>
        <w:t>a</w:t>
      </w:r>
      <w:r w:rsidRPr="00310E39">
        <w:rPr>
          <w:rFonts w:ascii="Times New Roman" w:hAnsi="Times New Roman" w:cs="Times New Roman"/>
        </w:rPr>
        <w:t xml:space="preserve"> childlike wonder </w:t>
      </w:r>
      <w:r w:rsidR="002B2F98">
        <w:rPr>
          <w:rFonts w:ascii="Times New Roman" w:hAnsi="Times New Roman" w:cs="Times New Roman"/>
        </w:rPr>
        <w:t xml:space="preserve">I thought I lost </w:t>
      </w:r>
      <w:r w:rsidRPr="00310E39">
        <w:rPr>
          <w:rFonts w:ascii="Times New Roman" w:hAnsi="Times New Roman" w:cs="Times New Roman"/>
        </w:rPr>
        <w:t xml:space="preserve">for so many things, including science. Thank you for your support, </w:t>
      </w:r>
      <w:r w:rsidR="00EE3CC8">
        <w:rPr>
          <w:rFonts w:ascii="Times New Roman" w:hAnsi="Times New Roman" w:cs="Times New Roman"/>
        </w:rPr>
        <w:t xml:space="preserve">despite </w:t>
      </w:r>
      <w:r w:rsidR="002B2F98">
        <w:rPr>
          <w:rFonts w:ascii="Times New Roman" w:hAnsi="Times New Roman" w:cs="Times New Roman"/>
        </w:rPr>
        <w:t>thinking</w:t>
      </w:r>
      <w:r w:rsidRPr="00310E39">
        <w:rPr>
          <w:rFonts w:ascii="Times New Roman" w:hAnsi="Times New Roman" w:cs="Times New Roman"/>
        </w:rPr>
        <w:t xml:space="preserve"> that Hellbender salamanders are “menacingly ugly”</w:t>
      </w:r>
      <w:r w:rsidR="00EE3CC8">
        <w:rPr>
          <w:rFonts w:ascii="Times New Roman" w:hAnsi="Times New Roman" w:cs="Times New Roman"/>
        </w:rPr>
        <w:t>.</w:t>
      </w:r>
      <w:r w:rsidR="00324C32" w:rsidRPr="009D2AA9">
        <w:rPr>
          <w:rFonts w:ascii="Times New Roman" w:hAnsi="Times New Roman" w:cs="Times New Roman"/>
        </w:rPr>
        <w:br w:type="page"/>
      </w:r>
    </w:p>
    <w:p w14:paraId="246C7EC8" w14:textId="77777777" w:rsidR="00324C32" w:rsidRDefault="00324C32" w:rsidP="00324C32">
      <w:pPr>
        <w:jc w:val="center"/>
        <w:rPr>
          <w:rFonts w:ascii="Times New Roman" w:hAnsi="Times New Roman" w:cs="Times New Roman"/>
        </w:rPr>
      </w:pPr>
    </w:p>
    <w:p w14:paraId="71488ED4" w14:textId="77777777" w:rsidR="00324C32" w:rsidRDefault="00324C32" w:rsidP="00324C32">
      <w:pPr>
        <w:jc w:val="center"/>
        <w:rPr>
          <w:rFonts w:ascii="Times New Roman" w:hAnsi="Times New Roman" w:cs="Times New Roman"/>
        </w:rPr>
      </w:pPr>
    </w:p>
    <w:p w14:paraId="079C427F" w14:textId="77777777" w:rsidR="00324C32" w:rsidRDefault="00324C32" w:rsidP="00324C32">
      <w:pPr>
        <w:jc w:val="center"/>
        <w:rPr>
          <w:rFonts w:ascii="Times New Roman" w:hAnsi="Times New Roman" w:cs="Times New Roman"/>
        </w:rPr>
      </w:pPr>
    </w:p>
    <w:p w14:paraId="6D760048" w14:textId="77777777" w:rsidR="0008188F" w:rsidRDefault="0008188F" w:rsidP="00324C32">
      <w:pPr>
        <w:jc w:val="center"/>
        <w:rPr>
          <w:rFonts w:ascii="Times New Roman" w:hAnsi="Times New Roman" w:cs="Times New Roman"/>
        </w:rPr>
      </w:pPr>
    </w:p>
    <w:p w14:paraId="10AFAFC5" w14:textId="77777777" w:rsidR="00324C32" w:rsidRDefault="00324C32" w:rsidP="00324C32">
      <w:pPr>
        <w:jc w:val="center"/>
        <w:rPr>
          <w:rFonts w:ascii="Times New Roman" w:hAnsi="Times New Roman" w:cs="Times New Roman"/>
        </w:rPr>
      </w:pPr>
    </w:p>
    <w:p w14:paraId="3EF6E3CB" w14:textId="77777777" w:rsidR="00324C32" w:rsidRDefault="00324C32" w:rsidP="00324C32">
      <w:pPr>
        <w:jc w:val="center"/>
        <w:rPr>
          <w:rFonts w:ascii="Times New Roman" w:hAnsi="Times New Roman" w:cs="Times New Roman"/>
        </w:rPr>
      </w:pPr>
    </w:p>
    <w:p w14:paraId="208DCAAD" w14:textId="77777777" w:rsidR="00324C32" w:rsidRDefault="00324C32" w:rsidP="00324C32">
      <w:pPr>
        <w:jc w:val="center"/>
        <w:rPr>
          <w:rFonts w:ascii="Times New Roman" w:hAnsi="Times New Roman" w:cs="Times New Roman"/>
        </w:rPr>
      </w:pPr>
    </w:p>
    <w:p w14:paraId="7AA4FFD9" w14:textId="77777777" w:rsidR="00324C32" w:rsidRDefault="00324C32" w:rsidP="00324C32">
      <w:pPr>
        <w:jc w:val="center"/>
        <w:rPr>
          <w:rFonts w:ascii="Times New Roman" w:hAnsi="Times New Roman" w:cs="Times New Roman"/>
        </w:rPr>
      </w:pPr>
    </w:p>
    <w:p w14:paraId="26F82018" w14:textId="77777777" w:rsidR="00324C32" w:rsidRDefault="00324C32" w:rsidP="00324C32">
      <w:pPr>
        <w:jc w:val="center"/>
        <w:rPr>
          <w:rFonts w:ascii="Times New Roman" w:hAnsi="Times New Roman" w:cs="Times New Roman"/>
        </w:rPr>
      </w:pPr>
    </w:p>
    <w:p w14:paraId="131F522F" w14:textId="77777777" w:rsidR="0008188F" w:rsidRDefault="0008188F" w:rsidP="00324C32">
      <w:pPr>
        <w:jc w:val="center"/>
        <w:rPr>
          <w:rFonts w:ascii="Times New Roman" w:hAnsi="Times New Roman" w:cs="Times New Roman"/>
        </w:rPr>
      </w:pPr>
    </w:p>
    <w:p w14:paraId="68C2F247" w14:textId="77777777" w:rsidR="0008188F" w:rsidRDefault="0008188F" w:rsidP="00324C32">
      <w:pPr>
        <w:jc w:val="center"/>
        <w:rPr>
          <w:rFonts w:ascii="Times New Roman" w:hAnsi="Times New Roman" w:cs="Times New Roman"/>
        </w:rPr>
      </w:pPr>
    </w:p>
    <w:p w14:paraId="320D8A9A" w14:textId="77777777" w:rsidR="0008188F" w:rsidRDefault="0008188F" w:rsidP="00324C32">
      <w:pPr>
        <w:jc w:val="center"/>
        <w:rPr>
          <w:rFonts w:ascii="Times New Roman" w:hAnsi="Times New Roman" w:cs="Times New Roman"/>
        </w:rPr>
      </w:pPr>
    </w:p>
    <w:p w14:paraId="2C4E7401" w14:textId="77777777" w:rsidR="0008188F" w:rsidRDefault="0008188F" w:rsidP="00324C32">
      <w:pPr>
        <w:jc w:val="center"/>
        <w:rPr>
          <w:rFonts w:ascii="Times New Roman" w:hAnsi="Times New Roman" w:cs="Times New Roman"/>
        </w:rPr>
      </w:pPr>
    </w:p>
    <w:p w14:paraId="1E9A6A19" w14:textId="77777777" w:rsidR="0008188F" w:rsidRDefault="0008188F" w:rsidP="00324C32">
      <w:pPr>
        <w:jc w:val="center"/>
        <w:rPr>
          <w:rFonts w:ascii="Times New Roman" w:hAnsi="Times New Roman" w:cs="Times New Roman"/>
        </w:rPr>
      </w:pPr>
    </w:p>
    <w:p w14:paraId="02133AC2" w14:textId="77777777" w:rsidR="0008188F" w:rsidRDefault="0008188F" w:rsidP="00324C32">
      <w:pPr>
        <w:jc w:val="center"/>
        <w:rPr>
          <w:rFonts w:ascii="Times New Roman" w:hAnsi="Times New Roman" w:cs="Times New Roman"/>
        </w:rPr>
      </w:pPr>
    </w:p>
    <w:p w14:paraId="45C5BA78" w14:textId="77777777" w:rsidR="0008188F" w:rsidRDefault="0008188F" w:rsidP="00324C32">
      <w:pPr>
        <w:jc w:val="center"/>
        <w:rPr>
          <w:rFonts w:ascii="Times New Roman" w:hAnsi="Times New Roman" w:cs="Times New Roman"/>
        </w:rPr>
      </w:pPr>
    </w:p>
    <w:p w14:paraId="17F400BA" w14:textId="77777777" w:rsidR="00324C32" w:rsidRDefault="00324C32" w:rsidP="00324C32">
      <w:pPr>
        <w:jc w:val="center"/>
        <w:rPr>
          <w:rFonts w:ascii="Times New Roman" w:hAnsi="Times New Roman" w:cs="Times New Roman"/>
        </w:rPr>
      </w:pPr>
    </w:p>
    <w:p w14:paraId="06CCA868" w14:textId="77777777" w:rsidR="00324C32" w:rsidRDefault="00324C32" w:rsidP="00324C32">
      <w:pPr>
        <w:jc w:val="center"/>
        <w:rPr>
          <w:rFonts w:ascii="Times New Roman" w:hAnsi="Times New Roman" w:cs="Times New Roman"/>
        </w:rPr>
      </w:pPr>
    </w:p>
    <w:p w14:paraId="7465402C" w14:textId="77777777" w:rsidR="00324C32" w:rsidRDefault="00324C32" w:rsidP="00324C32">
      <w:pPr>
        <w:jc w:val="center"/>
        <w:rPr>
          <w:rFonts w:ascii="Times New Roman" w:hAnsi="Times New Roman" w:cs="Times New Roman"/>
        </w:rPr>
      </w:pPr>
    </w:p>
    <w:p w14:paraId="6B5BC022" w14:textId="77777777" w:rsidR="00324C32" w:rsidRDefault="00324C32" w:rsidP="00324C32">
      <w:pPr>
        <w:jc w:val="center"/>
        <w:rPr>
          <w:rFonts w:ascii="Times New Roman" w:hAnsi="Times New Roman" w:cs="Times New Roman"/>
        </w:rPr>
      </w:pPr>
    </w:p>
    <w:p w14:paraId="3DB315B1" w14:textId="10BFA06B" w:rsidR="0008188F" w:rsidRPr="0008188F" w:rsidRDefault="0008188F" w:rsidP="0008188F">
      <w:pPr>
        <w:jc w:val="center"/>
        <w:rPr>
          <w:rFonts w:ascii="Times New Roman" w:hAnsi="Times New Roman" w:cs="Times New Roman"/>
          <w:i/>
          <w:iCs/>
        </w:rPr>
      </w:pPr>
      <w:r w:rsidRPr="0008188F">
        <w:rPr>
          <w:rFonts w:ascii="Times New Roman" w:hAnsi="Times New Roman" w:cs="Times New Roman"/>
          <w:i/>
          <w:iCs/>
        </w:rPr>
        <w:t>“Science and everyday life cannot and should not be separated.”</w:t>
      </w:r>
    </w:p>
    <w:p w14:paraId="39E6C4C6" w14:textId="1A53FB86" w:rsidR="00324C32" w:rsidRDefault="0008188F" w:rsidP="0008188F">
      <w:pPr>
        <w:jc w:val="center"/>
        <w:rPr>
          <w:rFonts w:ascii="Times New Roman" w:hAnsi="Times New Roman" w:cs="Times New Roman"/>
        </w:rPr>
      </w:pPr>
      <w:r w:rsidRPr="0008188F">
        <w:rPr>
          <w:rFonts w:ascii="Times New Roman" w:hAnsi="Times New Roman" w:cs="Times New Roman"/>
        </w:rPr>
        <w:t>— Rosalind Franklin</w:t>
      </w:r>
    </w:p>
    <w:p w14:paraId="61B2A055" w14:textId="77777777" w:rsidR="0008188F" w:rsidRDefault="0008188F" w:rsidP="0008188F">
      <w:pPr>
        <w:jc w:val="center"/>
        <w:rPr>
          <w:rFonts w:ascii="Times New Roman" w:hAnsi="Times New Roman" w:cs="Times New Roman"/>
        </w:rPr>
      </w:pPr>
    </w:p>
    <w:p w14:paraId="11E76D05" w14:textId="77777777" w:rsidR="00D65F84" w:rsidRDefault="00D65F84" w:rsidP="00D65F84">
      <w:pPr>
        <w:jc w:val="center"/>
        <w:rPr>
          <w:rFonts w:ascii="Times New Roman" w:hAnsi="Times New Roman" w:cs="Times New Roman"/>
        </w:rPr>
      </w:pPr>
    </w:p>
    <w:p w14:paraId="764E04CC" w14:textId="77777777" w:rsidR="00D65F84" w:rsidRDefault="00D65F84" w:rsidP="00D65F84">
      <w:pPr>
        <w:jc w:val="center"/>
        <w:rPr>
          <w:rFonts w:ascii="Times New Roman" w:hAnsi="Times New Roman" w:cs="Times New Roman"/>
        </w:rPr>
      </w:pPr>
    </w:p>
    <w:p w14:paraId="2A1AF7DA" w14:textId="77777777" w:rsidR="00D65F84" w:rsidRDefault="00D65F84" w:rsidP="00D65F84">
      <w:pPr>
        <w:jc w:val="center"/>
        <w:rPr>
          <w:rFonts w:ascii="Times New Roman" w:hAnsi="Times New Roman" w:cs="Times New Roman"/>
        </w:rPr>
      </w:pPr>
    </w:p>
    <w:p w14:paraId="67A335D8" w14:textId="77777777" w:rsidR="00D65F84" w:rsidRDefault="00D65F84" w:rsidP="00D65F84">
      <w:pPr>
        <w:jc w:val="center"/>
        <w:rPr>
          <w:rFonts w:ascii="Times New Roman" w:hAnsi="Times New Roman" w:cs="Times New Roman"/>
        </w:rPr>
      </w:pPr>
    </w:p>
    <w:p w14:paraId="7B557C87" w14:textId="77777777" w:rsidR="00D65F84" w:rsidRDefault="00D65F84" w:rsidP="00D65F84">
      <w:pPr>
        <w:jc w:val="center"/>
        <w:rPr>
          <w:rFonts w:ascii="Times New Roman" w:hAnsi="Times New Roman" w:cs="Times New Roman"/>
        </w:rPr>
      </w:pPr>
    </w:p>
    <w:p w14:paraId="199737D0" w14:textId="77777777" w:rsidR="00D65F84" w:rsidRDefault="00D65F84" w:rsidP="00D65F84">
      <w:pPr>
        <w:jc w:val="center"/>
        <w:rPr>
          <w:rFonts w:ascii="Times New Roman" w:hAnsi="Times New Roman" w:cs="Times New Roman"/>
        </w:rPr>
      </w:pPr>
    </w:p>
    <w:p w14:paraId="5944E846" w14:textId="77777777" w:rsidR="00D65F84" w:rsidRDefault="00D65F84" w:rsidP="00D65F84">
      <w:pPr>
        <w:jc w:val="center"/>
        <w:rPr>
          <w:rFonts w:ascii="Times New Roman" w:hAnsi="Times New Roman" w:cs="Times New Roman"/>
        </w:rPr>
      </w:pPr>
    </w:p>
    <w:p w14:paraId="438FAABC" w14:textId="77777777" w:rsidR="00D65F84" w:rsidRDefault="00D65F84" w:rsidP="00D65F84">
      <w:pPr>
        <w:jc w:val="center"/>
        <w:rPr>
          <w:rFonts w:ascii="Times New Roman" w:hAnsi="Times New Roman" w:cs="Times New Roman"/>
        </w:rPr>
      </w:pPr>
    </w:p>
    <w:p w14:paraId="7995B7F3" w14:textId="77777777" w:rsidR="00D65F84" w:rsidRDefault="00D65F84" w:rsidP="00D65F84">
      <w:pPr>
        <w:jc w:val="center"/>
        <w:rPr>
          <w:rFonts w:ascii="Times New Roman" w:hAnsi="Times New Roman" w:cs="Times New Roman"/>
        </w:rPr>
      </w:pPr>
    </w:p>
    <w:p w14:paraId="7FBED451" w14:textId="77777777" w:rsidR="00D65F84" w:rsidRDefault="00D65F84" w:rsidP="00D65F84">
      <w:pPr>
        <w:jc w:val="center"/>
        <w:rPr>
          <w:rFonts w:ascii="Times New Roman" w:hAnsi="Times New Roman" w:cs="Times New Roman"/>
        </w:rPr>
      </w:pPr>
    </w:p>
    <w:p w14:paraId="56E42F1F" w14:textId="77777777" w:rsidR="00D65F84" w:rsidRDefault="00D65F84" w:rsidP="00D65F84">
      <w:pPr>
        <w:jc w:val="center"/>
        <w:rPr>
          <w:rFonts w:ascii="Times New Roman" w:hAnsi="Times New Roman" w:cs="Times New Roman"/>
        </w:rPr>
      </w:pPr>
    </w:p>
    <w:p w14:paraId="0AF0904E" w14:textId="77777777" w:rsidR="00D65F84" w:rsidRDefault="00D65F84" w:rsidP="00D65F84">
      <w:pPr>
        <w:jc w:val="center"/>
        <w:rPr>
          <w:rFonts w:ascii="Times New Roman" w:hAnsi="Times New Roman" w:cs="Times New Roman"/>
        </w:rPr>
      </w:pPr>
    </w:p>
    <w:p w14:paraId="49DCC438" w14:textId="77777777" w:rsidR="00D65F84" w:rsidRDefault="00D65F84" w:rsidP="00D65F84">
      <w:pPr>
        <w:jc w:val="center"/>
        <w:rPr>
          <w:rFonts w:ascii="Times New Roman" w:hAnsi="Times New Roman" w:cs="Times New Roman"/>
        </w:rPr>
      </w:pPr>
    </w:p>
    <w:p w14:paraId="356087EA" w14:textId="77777777" w:rsidR="00D65F84" w:rsidRDefault="00D65F84" w:rsidP="00D65F84">
      <w:pPr>
        <w:jc w:val="center"/>
        <w:rPr>
          <w:rFonts w:ascii="Times New Roman" w:hAnsi="Times New Roman" w:cs="Times New Roman"/>
        </w:rPr>
      </w:pPr>
    </w:p>
    <w:p w14:paraId="534AE13E" w14:textId="77777777" w:rsidR="00D65F84" w:rsidRDefault="00D65F84" w:rsidP="00D65F84">
      <w:pPr>
        <w:jc w:val="center"/>
        <w:rPr>
          <w:rFonts w:ascii="Times New Roman" w:hAnsi="Times New Roman" w:cs="Times New Roman"/>
        </w:rPr>
      </w:pPr>
    </w:p>
    <w:p w14:paraId="7AAFDB11" w14:textId="77777777" w:rsidR="00D65F84" w:rsidRDefault="00D65F84" w:rsidP="00D65F84">
      <w:pPr>
        <w:jc w:val="center"/>
        <w:rPr>
          <w:rFonts w:ascii="Times New Roman" w:hAnsi="Times New Roman" w:cs="Times New Roman"/>
        </w:rPr>
      </w:pPr>
    </w:p>
    <w:p w14:paraId="47740952" w14:textId="77777777" w:rsidR="00D65F84" w:rsidRDefault="00D65F84" w:rsidP="00D65F84">
      <w:pPr>
        <w:jc w:val="center"/>
        <w:rPr>
          <w:rFonts w:ascii="Times New Roman" w:hAnsi="Times New Roman" w:cs="Times New Roman"/>
        </w:rPr>
      </w:pPr>
    </w:p>
    <w:p w14:paraId="4996693A" w14:textId="77777777" w:rsidR="00D65F84" w:rsidRDefault="00D65F84" w:rsidP="00D65F84">
      <w:pPr>
        <w:jc w:val="center"/>
        <w:rPr>
          <w:rFonts w:ascii="Times New Roman" w:hAnsi="Times New Roman" w:cs="Times New Roman"/>
        </w:rPr>
      </w:pPr>
    </w:p>
    <w:p w14:paraId="2A4FB921" w14:textId="77777777" w:rsidR="00D65F84" w:rsidRDefault="00D65F84" w:rsidP="00D65F84">
      <w:pPr>
        <w:jc w:val="center"/>
        <w:rPr>
          <w:rFonts w:ascii="Times New Roman" w:hAnsi="Times New Roman" w:cs="Times New Roman"/>
        </w:rPr>
      </w:pPr>
    </w:p>
    <w:p w14:paraId="4F7DDF69" w14:textId="77777777" w:rsidR="00D65F84" w:rsidRDefault="00D65F84" w:rsidP="00D65F84">
      <w:pPr>
        <w:jc w:val="center"/>
        <w:rPr>
          <w:rFonts w:ascii="Times New Roman" w:hAnsi="Times New Roman" w:cs="Times New Roman"/>
        </w:rPr>
      </w:pPr>
    </w:p>
    <w:p w14:paraId="3AF14580" w14:textId="77777777" w:rsidR="00324C32" w:rsidRDefault="00324C32" w:rsidP="0008188F">
      <w:pPr>
        <w:rPr>
          <w:rFonts w:ascii="Times New Roman" w:hAnsi="Times New Roman" w:cs="Times New Roman"/>
        </w:rPr>
      </w:pPr>
    </w:p>
    <w:p w14:paraId="5504196A" w14:textId="77777777" w:rsidR="00324C32" w:rsidRDefault="00324C32" w:rsidP="00324C32">
      <w:pPr>
        <w:jc w:val="center"/>
        <w:rPr>
          <w:rFonts w:ascii="Times New Roman" w:hAnsi="Times New Roman" w:cs="Times New Roman"/>
        </w:rPr>
      </w:pPr>
    </w:p>
    <w:p w14:paraId="194FD027" w14:textId="77777777" w:rsidR="00324C32" w:rsidRPr="009D2AA9" w:rsidRDefault="00324C32" w:rsidP="00324C32">
      <w:pPr>
        <w:jc w:val="center"/>
        <w:rPr>
          <w:rFonts w:ascii="Times New Roman" w:hAnsi="Times New Roman" w:cs="Times New Roman"/>
          <w:sz w:val="28"/>
          <w:szCs w:val="28"/>
        </w:rPr>
      </w:pPr>
      <w:r w:rsidRPr="004F08CE">
        <w:rPr>
          <w:rFonts w:ascii="Times New Roman" w:hAnsi="Times New Roman" w:cs="Times New Roman"/>
          <w:b/>
          <w:bCs/>
        </w:rPr>
        <w:t>ABSTRACT</w:t>
      </w:r>
    </w:p>
    <w:p w14:paraId="25F11713" w14:textId="77777777" w:rsidR="00324C32" w:rsidRPr="009D2AA9" w:rsidRDefault="00324C32" w:rsidP="00324C32">
      <w:pPr>
        <w:rPr>
          <w:rFonts w:ascii="Times New Roman" w:hAnsi="Times New Roman" w:cs="Times New Roman"/>
        </w:rPr>
      </w:pPr>
    </w:p>
    <w:p w14:paraId="5F9F1368" w14:textId="77777777" w:rsidR="00F30B7D" w:rsidRDefault="00F30B7D" w:rsidP="009A50A3">
      <w:pPr>
        <w:spacing w:line="480" w:lineRule="auto"/>
        <w:rPr>
          <w:rFonts w:ascii="Times New Roman" w:hAnsi="Times New Roman" w:cs="Times New Roman"/>
        </w:rPr>
      </w:pPr>
      <w:r w:rsidRPr="00F30B7D">
        <w:rPr>
          <w:rFonts w:ascii="Times New Roman" w:hAnsi="Times New Roman" w:cs="Times New Roman"/>
        </w:rPr>
        <w:t>Freshwater biodiversity has been declining at an alarming rate, largely due to anthropogenic impacts such as hydropower development. Rigorous monitoring systems are needed for timely mitigation, yet conventional survey methods rely on capturing individuals and identifying them morphologically, which can introduce several limitations and biases. Environmental DNA (eDNA) and environmental RNA (eRNA) offer promising, non-invasive tools for studying aquatic biodiversity; however, further research is still needed to develop and standardize these methods before they can be fully integrated into biomonitoring programs.</w:t>
      </w:r>
    </w:p>
    <w:p w14:paraId="0B0367D3" w14:textId="3539E3E0" w:rsidR="002F29AB" w:rsidRDefault="002F29AB" w:rsidP="009A50A3">
      <w:pPr>
        <w:spacing w:line="480" w:lineRule="auto"/>
        <w:rPr>
          <w:rFonts w:ascii="Times New Roman" w:hAnsi="Times New Roman" w:cs="Times New Roman"/>
        </w:rPr>
      </w:pPr>
      <w:r w:rsidRPr="002F29AB">
        <w:rPr>
          <w:rFonts w:ascii="Times New Roman" w:hAnsi="Times New Roman" w:cs="Times New Roman"/>
        </w:rPr>
        <w:t>This study tested eDNA and eRNA metabarcoding for detecting fish and mussel communities in the Apalachia Cutoff Reach (ACR) of the Hiwassee River, Tennessee, a 14.4-mile bypassed section between the Apalachia Dam and its powerhouse</w:t>
      </w:r>
      <w:r>
        <w:rPr>
          <w:rFonts w:ascii="Times New Roman" w:hAnsi="Times New Roman" w:cs="Times New Roman"/>
        </w:rPr>
        <w:t xml:space="preserve"> </w:t>
      </w:r>
      <w:r w:rsidR="005E0D18" w:rsidRPr="005D4C14">
        <w:rPr>
          <w:rFonts w:ascii="Times New Roman" w:hAnsi="Times New Roman" w:cs="Times New Roman"/>
        </w:rPr>
        <w:t>that is historically know</w:t>
      </w:r>
      <w:r w:rsidR="00D635A1" w:rsidRPr="005D4C14">
        <w:rPr>
          <w:rFonts w:ascii="Times New Roman" w:hAnsi="Times New Roman" w:cs="Times New Roman"/>
        </w:rPr>
        <w:t>n to harbor</w:t>
      </w:r>
      <w:r w:rsidR="001810C2">
        <w:rPr>
          <w:rFonts w:ascii="Times New Roman" w:hAnsi="Times New Roman" w:cs="Times New Roman"/>
        </w:rPr>
        <w:t xml:space="preserve"> </w:t>
      </w:r>
      <w:r w:rsidR="00D635A1" w:rsidRPr="005D4C14">
        <w:rPr>
          <w:rFonts w:ascii="Times New Roman" w:hAnsi="Times New Roman" w:cs="Times New Roman"/>
        </w:rPr>
        <w:t>endemic taxa</w:t>
      </w:r>
      <w:r w:rsidR="009A50A3" w:rsidRPr="005D4C14">
        <w:rPr>
          <w:rFonts w:ascii="Times New Roman" w:hAnsi="Times New Roman" w:cs="Times New Roman"/>
        </w:rPr>
        <w:t xml:space="preserve">. </w:t>
      </w:r>
      <w:r w:rsidRPr="002F29AB">
        <w:rPr>
          <w:rFonts w:ascii="Times New Roman" w:hAnsi="Times New Roman" w:cs="Times New Roman"/>
        </w:rPr>
        <w:t xml:space="preserve">Water samples were collected from 19 mainstem sites and three tributaries in 2023, and molecular detections were compared to </w:t>
      </w:r>
      <w:r w:rsidR="00797E2E">
        <w:rPr>
          <w:rFonts w:ascii="Times New Roman" w:hAnsi="Times New Roman" w:cs="Times New Roman"/>
        </w:rPr>
        <w:t>concurrent</w:t>
      </w:r>
      <w:r w:rsidRPr="002F29AB">
        <w:rPr>
          <w:rFonts w:ascii="Times New Roman" w:hAnsi="Times New Roman" w:cs="Times New Roman"/>
        </w:rPr>
        <w:t xml:space="preserve"> morphological surveys and historical records (1992–2016). Fish communities were analyzed using mitochondrial 12S rRNA markers from eDNA and eRNA, while mussels were assessed using cytochrome c oxidase I (COI) and 16S rRNA markers </w:t>
      </w:r>
      <w:r w:rsidR="00797E2E">
        <w:rPr>
          <w:rFonts w:ascii="Times New Roman" w:hAnsi="Times New Roman" w:cs="Times New Roman"/>
        </w:rPr>
        <w:t>using</w:t>
      </w:r>
      <w:r w:rsidRPr="002F29AB">
        <w:rPr>
          <w:rFonts w:ascii="Times New Roman" w:hAnsi="Times New Roman" w:cs="Times New Roman"/>
        </w:rPr>
        <w:t xml:space="preserve"> eDNA. </w:t>
      </w:r>
      <w:r w:rsidR="00FB5FEB">
        <w:rPr>
          <w:rFonts w:ascii="Times New Roman" w:hAnsi="Times New Roman" w:cs="Times New Roman"/>
        </w:rPr>
        <w:t xml:space="preserve">We also quantified the presence of the endangered </w:t>
      </w:r>
      <w:r w:rsidRPr="002F29AB">
        <w:rPr>
          <w:rFonts w:ascii="Times New Roman" w:hAnsi="Times New Roman" w:cs="Times New Roman"/>
        </w:rPr>
        <w:t>Hellbender</w:t>
      </w:r>
      <w:r w:rsidR="00FB5FEB">
        <w:rPr>
          <w:rFonts w:ascii="Times New Roman" w:hAnsi="Times New Roman" w:cs="Times New Roman"/>
        </w:rPr>
        <w:t>s</w:t>
      </w:r>
      <w:r w:rsidRPr="002F29AB">
        <w:rPr>
          <w:rFonts w:ascii="Times New Roman" w:hAnsi="Times New Roman" w:cs="Times New Roman"/>
        </w:rPr>
        <w:t xml:space="preserve"> (</w:t>
      </w:r>
      <w:proofErr w:type="spellStart"/>
      <w:r w:rsidRPr="00922669">
        <w:rPr>
          <w:rFonts w:ascii="Times New Roman" w:hAnsi="Times New Roman" w:cs="Times New Roman"/>
          <w:i/>
          <w:iCs/>
        </w:rPr>
        <w:t>Cryptobranchus</w:t>
      </w:r>
      <w:proofErr w:type="spellEnd"/>
      <w:r w:rsidRPr="00922669">
        <w:rPr>
          <w:rFonts w:ascii="Times New Roman" w:hAnsi="Times New Roman" w:cs="Times New Roman"/>
          <w:i/>
          <w:iCs/>
        </w:rPr>
        <w:t xml:space="preserve"> </w:t>
      </w:r>
      <w:proofErr w:type="spellStart"/>
      <w:r w:rsidRPr="00922669">
        <w:rPr>
          <w:rFonts w:ascii="Times New Roman" w:hAnsi="Times New Roman" w:cs="Times New Roman"/>
          <w:i/>
          <w:iCs/>
        </w:rPr>
        <w:t>alleganiensis</w:t>
      </w:r>
      <w:proofErr w:type="spellEnd"/>
      <w:r w:rsidRPr="00922669">
        <w:rPr>
          <w:rFonts w:ascii="Times New Roman" w:hAnsi="Times New Roman" w:cs="Times New Roman"/>
          <w:i/>
          <w:iCs/>
        </w:rPr>
        <w:t xml:space="preserve"> </w:t>
      </w:r>
      <w:proofErr w:type="spellStart"/>
      <w:r w:rsidRPr="00922669">
        <w:rPr>
          <w:rFonts w:ascii="Times New Roman" w:hAnsi="Times New Roman" w:cs="Times New Roman"/>
          <w:i/>
          <w:iCs/>
        </w:rPr>
        <w:t>alleganiensis</w:t>
      </w:r>
      <w:proofErr w:type="spellEnd"/>
      <w:r w:rsidRPr="002F29AB">
        <w:rPr>
          <w:rFonts w:ascii="Times New Roman" w:hAnsi="Times New Roman" w:cs="Times New Roman"/>
        </w:rPr>
        <w:t xml:space="preserve">) </w:t>
      </w:r>
      <w:r w:rsidR="00FB5FEB">
        <w:rPr>
          <w:rFonts w:ascii="Times New Roman" w:hAnsi="Times New Roman" w:cs="Times New Roman"/>
        </w:rPr>
        <w:t xml:space="preserve">using qPCR </w:t>
      </w:r>
      <w:r w:rsidR="000C5F11">
        <w:rPr>
          <w:rFonts w:ascii="Times New Roman" w:hAnsi="Times New Roman" w:cs="Times New Roman"/>
        </w:rPr>
        <w:t xml:space="preserve">on the </w:t>
      </w:r>
      <w:r w:rsidRPr="002F29AB">
        <w:rPr>
          <w:rFonts w:ascii="Times New Roman" w:hAnsi="Times New Roman" w:cs="Times New Roman"/>
        </w:rPr>
        <w:t>Cytochrome b (</w:t>
      </w:r>
      <w:proofErr w:type="spellStart"/>
      <w:r w:rsidRPr="002F29AB">
        <w:rPr>
          <w:rFonts w:ascii="Times New Roman" w:hAnsi="Times New Roman" w:cs="Times New Roman"/>
        </w:rPr>
        <w:t>Cytb</w:t>
      </w:r>
      <w:proofErr w:type="spellEnd"/>
      <w:r w:rsidRPr="002F29AB">
        <w:rPr>
          <w:rFonts w:ascii="Times New Roman" w:hAnsi="Times New Roman" w:cs="Times New Roman"/>
        </w:rPr>
        <w:t>)</w:t>
      </w:r>
      <w:r w:rsidR="000C5F11">
        <w:rPr>
          <w:rFonts w:ascii="Times New Roman" w:hAnsi="Times New Roman" w:cs="Times New Roman"/>
        </w:rPr>
        <w:t xml:space="preserve"> </w:t>
      </w:r>
      <w:r w:rsidRPr="002F29AB">
        <w:rPr>
          <w:rFonts w:ascii="Times New Roman" w:hAnsi="Times New Roman" w:cs="Times New Roman"/>
        </w:rPr>
        <w:t>gene</w:t>
      </w:r>
      <w:r w:rsidR="000C5F11">
        <w:rPr>
          <w:rFonts w:ascii="Times New Roman" w:hAnsi="Times New Roman" w:cs="Times New Roman"/>
        </w:rPr>
        <w:t>.</w:t>
      </w:r>
    </w:p>
    <w:p w14:paraId="72977D9F" w14:textId="657A3394" w:rsidR="00CE2555" w:rsidRDefault="00070919" w:rsidP="009A50A3">
      <w:pPr>
        <w:spacing w:line="480" w:lineRule="auto"/>
        <w:rPr>
          <w:rFonts w:ascii="Times New Roman" w:hAnsi="Times New Roman" w:cs="Times New Roman"/>
        </w:rPr>
      </w:pPr>
      <w:r w:rsidRPr="00070919">
        <w:rPr>
          <w:rFonts w:ascii="Times New Roman" w:hAnsi="Times New Roman" w:cs="Times New Roman"/>
        </w:rPr>
        <w:t xml:space="preserve">Despite several technical and practical challenges, both eDNA and eRNA produced consistent and ecologically meaningful results. eDNA detected 26 fish species, eRNA detected 18, and morphological surveys recorded 16, with six unique eDNA detections </w:t>
      </w:r>
      <w:r w:rsidRPr="00070919">
        <w:rPr>
          <w:rFonts w:ascii="Times New Roman" w:hAnsi="Times New Roman" w:cs="Times New Roman"/>
        </w:rPr>
        <w:lastRenderedPageBreak/>
        <w:t xml:space="preserve">and full overlap between molecular fractions. For mussels, COI detected eight species, 16S detected five, and morphological surveys documented seven. Notably, eDNA </w:t>
      </w:r>
      <w:r w:rsidR="00CE2555">
        <w:rPr>
          <w:rFonts w:ascii="Times New Roman" w:hAnsi="Times New Roman" w:cs="Times New Roman"/>
        </w:rPr>
        <w:t>has outperformed morphological methods in</w:t>
      </w:r>
      <w:r w:rsidR="0024174D">
        <w:rPr>
          <w:rFonts w:ascii="Times New Roman" w:hAnsi="Times New Roman" w:cs="Times New Roman"/>
        </w:rPr>
        <w:t xml:space="preserve"> many aspects, such as</w:t>
      </w:r>
      <w:r w:rsidR="00CE2555">
        <w:rPr>
          <w:rFonts w:ascii="Times New Roman" w:hAnsi="Times New Roman" w:cs="Times New Roman"/>
        </w:rPr>
        <w:t xml:space="preserve"> detecting</w:t>
      </w:r>
      <w:r w:rsidRPr="00070919">
        <w:rPr>
          <w:rFonts w:ascii="Times New Roman" w:hAnsi="Times New Roman" w:cs="Times New Roman"/>
        </w:rPr>
        <w:t xml:space="preserve"> </w:t>
      </w:r>
      <w:proofErr w:type="spellStart"/>
      <w:r w:rsidRPr="00070919">
        <w:rPr>
          <w:rFonts w:ascii="Times New Roman" w:hAnsi="Times New Roman" w:cs="Times New Roman"/>
          <w:i/>
          <w:iCs/>
        </w:rPr>
        <w:t>Venustaconcha</w:t>
      </w:r>
      <w:proofErr w:type="spellEnd"/>
      <w:r w:rsidRPr="00070919">
        <w:rPr>
          <w:rFonts w:ascii="Times New Roman" w:hAnsi="Times New Roman" w:cs="Times New Roman"/>
          <w:i/>
          <w:iCs/>
        </w:rPr>
        <w:t xml:space="preserve"> </w:t>
      </w:r>
      <w:proofErr w:type="spellStart"/>
      <w:r w:rsidRPr="00070919">
        <w:rPr>
          <w:rFonts w:ascii="Times New Roman" w:hAnsi="Times New Roman" w:cs="Times New Roman"/>
          <w:i/>
          <w:iCs/>
        </w:rPr>
        <w:t>trabalis</w:t>
      </w:r>
      <w:proofErr w:type="spellEnd"/>
      <w:r w:rsidR="0024174D">
        <w:rPr>
          <w:rFonts w:ascii="Times New Roman" w:hAnsi="Times New Roman" w:cs="Times New Roman"/>
          <w:i/>
          <w:iCs/>
        </w:rPr>
        <w:t xml:space="preserve"> </w:t>
      </w:r>
      <w:r w:rsidR="0024174D">
        <w:rPr>
          <w:rFonts w:ascii="Times New Roman" w:hAnsi="Times New Roman" w:cs="Times New Roman"/>
        </w:rPr>
        <w:t>(Endangered)</w:t>
      </w:r>
      <w:r>
        <w:rPr>
          <w:rFonts w:ascii="Times New Roman" w:hAnsi="Times New Roman" w:cs="Times New Roman"/>
        </w:rPr>
        <w:t>.</w:t>
      </w:r>
      <w:r w:rsidR="00CE2555">
        <w:rPr>
          <w:rFonts w:ascii="Times New Roman" w:hAnsi="Times New Roman" w:cs="Times New Roman"/>
        </w:rPr>
        <w:t xml:space="preserve"> </w:t>
      </w:r>
      <w:r w:rsidRPr="00070919">
        <w:rPr>
          <w:rFonts w:ascii="Times New Roman" w:hAnsi="Times New Roman" w:cs="Times New Roman"/>
        </w:rPr>
        <w:t>Hellbender</w:t>
      </w:r>
      <w:r w:rsidR="0024174D">
        <w:rPr>
          <w:rFonts w:ascii="Times New Roman" w:hAnsi="Times New Roman" w:cs="Times New Roman"/>
        </w:rPr>
        <w:t>s</w:t>
      </w:r>
      <w:r w:rsidRPr="00070919">
        <w:rPr>
          <w:rFonts w:ascii="Times New Roman" w:hAnsi="Times New Roman" w:cs="Times New Roman"/>
        </w:rPr>
        <w:t xml:space="preserve"> </w:t>
      </w:r>
      <w:r w:rsidR="0024174D">
        <w:rPr>
          <w:rFonts w:ascii="Times New Roman" w:hAnsi="Times New Roman" w:cs="Times New Roman"/>
        </w:rPr>
        <w:t>were</w:t>
      </w:r>
      <w:r w:rsidRPr="00070919">
        <w:rPr>
          <w:rFonts w:ascii="Times New Roman" w:hAnsi="Times New Roman" w:cs="Times New Roman"/>
        </w:rPr>
        <w:t xml:space="preserve"> also detected at multiple sites consistent with historical observations, confirming the persistence of local populations.</w:t>
      </w:r>
    </w:p>
    <w:p w14:paraId="57CCBBF8" w14:textId="6E67FB48" w:rsidR="008020A3" w:rsidRPr="009A50A3" w:rsidRDefault="009A50A3" w:rsidP="009A50A3">
      <w:pPr>
        <w:spacing w:line="480" w:lineRule="auto"/>
        <w:rPr>
          <w:rFonts w:ascii="Times New Roman" w:hAnsi="Times New Roman" w:cs="Times New Roman"/>
        </w:rPr>
      </w:pPr>
      <w:r w:rsidRPr="005D4C14">
        <w:rPr>
          <w:rFonts w:ascii="Times New Roman" w:hAnsi="Times New Roman" w:cs="Times New Roman"/>
        </w:rPr>
        <w:t xml:space="preserve">Overall, this study shows that even with technical difficulties, eDNA and eRNA metabarcoding can still yield </w:t>
      </w:r>
      <w:r w:rsidR="008020A3">
        <w:rPr>
          <w:rFonts w:ascii="Times New Roman" w:hAnsi="Times New Roman" w:cs="Times New Roman"/>
        </w:rPr>
        <w:t>reliable</w:t>
      </w:r>
      <w:r w:rsidRPr="005D4C14">
        <w:rPr>
          <w:rFonts w:ascii="Times New Roman" w:hAnsi="Times New Roman" w:cs="Times New Roman"/>
        </w:rPr>
        <w:t xml:space="preserve"> results.</w:t>
      </w:r>
      <w:r w:rsidR="008020A3" w:rsidRPr="008020A3">
        <w:rPr>
          <w:rFonts w:ascii="Times New Roman" w:hAnsi="Times New Roman" w:cs="Times New Roman"/>
        </w:rPr>
        <w:t xml:space="preserve"> </w:t>
      </w:r>
      <w:r w:rsidR="008020A3">
        <w:rPr>
          <w:rFonts w:ascii="Times New Roman" w:hAnsi="Times New Roman" w:cs="Times New Roman"/>
        </w:rPr>
        <w:t xml:space="preserve">eDNA </w:t>
      </w:r>
      <w:r w:rsidR="008020A3" w:rsidRPr="008020A3">
        <w:rPr>
          <w:rFonts w:ascii="Times New Roman" w:hAnsi="Times New Roman" w:cs="Times New Roman"/>
        </w:rPr>
        <w:t>reflected broader species presence, while eRNA indicated more recent biological activity, offering complementary perspectives on biodiversity. These findings highlight both the promise and the challenges of molecular monitoring and provide practical insight into how eDNA and eRNA can support freshwater conservation and environmental assessment.</w:t>
      </w:r>
    </w:p>
    <w:p w14:paraId="2D4B9175" w14:textId="77777777" w:rsidR="00324C32" w:rsidRPr="007F7A99" w:rsidRDefault="00324C32" w:rsidP="00324C32">
      <w:pPr>
        <w:spacing w:line="480" w:lineRule="auto"/>
        <w:rPr>
          <w:rFonts w:ascii="Times New Roman" w:hAnsi="Times New Roman" w:cs="Times New Roman"/>
          <w:b/>
          <w:bCs/>
        </w:rPr>
      </w:pPr>
      <w:r w:rsidRPr="009D2AA9">
        <w:rPr>
          <w:rFonts w:ascii="Times New Roman" w:hAnsi="Times New Roman" w:cs="Times New Roman"/>
          <w:b/>
          <w:bCs/>
        </w:rPr>
        <w:br w:type="page"/>
      </w:r>
    </w:p>
    <w:sdt>
      <w:sdtPr>
        <w:rPr>
          <w:rFonts w:ascii="Arial" w:hAnsi="Arial" w:cs="Arial"/>
          <w:b w:val="0"/>
          <w:caps w:val="0"/>
        </w:rPr>
        <w:id w:val="607165129"/>
        <w:docPartObj>
          <w:docPartGallery w:val="Table of Contents"/>
          <w:docPartUnique/>
        </w:docPartObj>
      </w:sdtPr>
      <w:sdtEndPr>
        <w:rPr>
          <w:bCs/>
          <w:noProof/>
        </w:rPr>
      </w:sdtEndPr>
      <w:sdtContent>
        <w:p w14:paraId="4717F1E5" w14:textId="77777777" w:rsidR="00324C32" w:rsidRPr="00102D2A" w:rsidRDefault="00324C32" w:rsidP="00102D2A">
          <w:pPr>
            <w:pStyle w:val="TOCHeading"/>
            <w:spacing w:line="480" w:lineRule="auto"/>
          </w:pPr>
          <w:r w:rsidRPr="00102D2A">
            <w:t>Table of Contents</w:t>
          </w:r>
        </w:p>
        <w:p w14:paraId="05BC427C" w14:textId="4C4401FD" w:rsidR="008F466B" w:rsidRPr="00102D2A" w:rsidRDefault="00324C32" w:rsidP="00102D2A">
          <w:pPr>
            <w:pStyle w:val="TOC1"/>
            <w:tabs>
              <w:tab w:val="right" w:leader="dot" w:pos="8630"/>
            </w:tabs>
            <w:spacing w:line="480" w:lineRule="auto"/>
            <w:rPr>
              <w:rFonts w:ascii="Times New Roman" w:eastAsiaTheme="minorEastAsia" w:hAnsi="Times New Roman" w:cs="Times New Roman"/>
              <w:noProof/>
              <w:kern w:val="2"/>
            </w:rPr>
          </w:pPr>
          <w:r w:rsidRPr="00102D2A">
            <w:rPr>
              <w:rFonts w:ascii="Times New Roman" w:hAnsi="Times New Roman" w:cs="Times New Roman"/>
            </w:rPr>
            <w:fldChar w:fldCharType="begin"/>
          </w:r>
          <w:r w:rsidRPr="00102D2A">
            <w:rPr>
              <w:rFonts w:ascii="Times New Roman" w:hAnsi="Times New Roman" w:cs="Times New Roman"/>
            </w:rPr>
            <w:instrText xml:space="preserve"> TOC \o "1-3" \h \z \u </w:instrText>
          </w:r>
          <w:r w:rsidRPr="00102D2A">
            <w:rPr>
              <w:rFonts w:ascii="Times New Roman" w:hAnsi="Times New Roman" w:cs="Times New Roman"/>
            </w:rPr>
            <w:fldChar w:fldCharType="separate"/>
          </w:r>
          <w:hyperlink w:anchor="_Toc211651606" w:history="1">
            <w:r w:rsidR="008F466B" w:rsidRPr="00102D2A">
              <w:rPr>
                <w:rStyle w:val="Hyperlink"/>
                <w:rFonts w:ascii="Times New Roman" w:hAnsi="Times New Roman" w:cs="Times New Roman"/>
                <w:noProof/>
              </w:rPr>
              <w:t>Chapter One Literature Review</w:t>
            </w:r>
            <w:r w:rsidR="008F466B" w:rsidRPr="00102D2A">
              <w:rPr>
                <w:rFonts w:ascii="Times New Roman" w:hAnsi="Times New Roman" w:cs="Times New Roman"/>
                <w:noProof/>
                <w:webHidden/>
              </w:rPr>
              <w:tab/>
            </w:r>
            <w:r w:rsidR="008F466B" w:rsidRPr="00102D2A">
              <w:rPr>
                <w:rFonts w:ascii="Times New Roman" w:hAnsi="Times New Roman" w:cs="Times New Roman"/>
                <w:noProof/>
                <w:webHidden/>
              </w:rPr>
              <w:fldChar w:fldCharType="begin"/>
            </w:r>
            <w:r w:rsidR="008F466B" w:rsidRPr="00102D2A">
              <w:rPr>
                <w:rFonts w:ascii="Times New Roman" w:hAnsi="Times New Roman" w:cs="Times New Roman"/>
                <w:noProof/>
                <w:webHidden/>
              </w:rPr>
              <w:instrText xml:space="preserve"> PAGEREF _Toc211651606 \h </w:instrText>
            </w:r>
            <w:r w:rsidR="008F466B" w:rsidRPr="00102D2A">
              <w:rPr>
                <w:rFonts w:ascii="Times New Roman" w:hAnsi="Times New Roman" w:cs="Times New Roman"/>
                <w:noProof/>
                <w:webHidden/>
              </w:rPr>
            </w:r>
            <w:r w:rsidR="008F466B" w:rsidRPr="00102D2A">
              <w:rPr>
                <w:rFonts w:ascii="Times New Roman" w:hAnsi="Times New Roman" w:cs="Times New Roman"/>
                <w:noProof/>
                <w:webHidden/>
              </w:rPr>
              <w:fldChar w:fldCharType="separate"/>
            </w:r>
            <w:r w:rsidR="008F466B" w:rsidRPr="00102D2A">
              <w:rPr>
                <w:rFonts w:ascii="Times New Roman" w:hAnsi="Times New Roman" w:cs="Times New Roman"/>
                <w:noProof/>
                <w:webHidden/>
              </w:rPr>
              <w:t>1</w:t>
            </w:r>
            <w:r w:rsidR="008F466B" w:rsidRPr="00102D2A">
              <w:rPr>
                <w:rFonts w:ascii="Times New Roman" w:hAnsi="Times New Roman" w:cs="Times New Roman"/>
                <w:noProof/>
                <w:webHidden/>
              </w:rPr>
              <w:fldChar w:fldCharType="end"/>
            </w:r>
          </w:hyperlink>
        </w:p>
        <w:p w14:paraId="224F3111" w14:textId="5B1E5260"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07" w:history="1">
            <w:r w:rsidRPr="00102D2A">
              <w:rPr>
                <w:rStyle w:val="Hyperlink"/>
                <w:rFonts w:ascii="Times New Roman" w:hAnsi="Times New Roman" w:cs="Times New Roman"/>
                <w:noProof/>
              </w:rPr>
              <w:t>Importance of Biodiversity Monitoring in Freshwater Ecosystems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_Toc211651607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w:t>
            </w:r>
            <w:r w:rsidRPr="00102D2A">
              <w:rPr>
                <w:rFonts w:ascii="Times New Roman" w:hAnsi="Times New Roman" w:cs="Times New Roman"/>
                <w:noProof/>
                <w:webHidden/>
              </w:rPr>
              <w:fldChar w:fldCharType="end"/>
            </w:r>
          </w:hyperlink>
        </w:p>
        <w:p w14:paraId="531A1E7C" w14:textId="1EE51743"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08" w:history="1">
            <w:r w:rsidRPr="00102D2A">
              <w:rPr>
                <w:rStyle w:val="Hyperlink"/>
                <w:rFonts w:ascii="Times New Roman" w:hAnsi="Times New Roman" w:cs="Times New Roman"/>
                <w:noProof/>
              </w:rPr>
              <w:t>Limitations of Conventional Biodiversity Monitoring Approaches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_Toc211651608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2</w:t>
            </w:r>
            <w:r w:rsidRPr="00102D2A">
              <w:rPr>
                <w:rFonts w:ascii="Times New Roman" w:hAnsi="Times New Roman" w:cs="Times New Roman"/>
                <w:noProof/>
                <w:webHidden/>
              </w:rPr>
              <w:fldChar w:fldCharType="end"/>
            </w:r>
          </w:hyperlink>
        </w:p>
        <w:p w14:paraId="2C105590" w14:textId="5FA4781B"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09" w:history="1">
            <w:r w:rsidRPr="00102D2A">
              <w:rPr>
                <w:rStyle w:val="Hyperlink"/>
                <w:rFonts w:ascii="Times New Roman" w:hAnsi="Times New Roman" w:cs="Times New Roman"/>
                <w:noProof/>
              </w:rPr>
              <w:t>The Evolution of Molecular Taxonomic Identification Methods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_Toc211651609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3</w:t>
            </w:r>
            <w:r w:rsidRPr="00102D2A">
              <w:rPr>
                <w:rFonts w:ascii="Times New Roman" w:hAnsi="Times New Roman" w:cs="Times New Roman"/>
                <w:noProof/>
                <w:webHidden/>
              </w:rPr>
              <w:fldChar w:fldCharType="end"/>
            </w:r>
          </w:hyperlink>
        </w:p>
        <w:p w14:paraId="09AF38FA" w14:textId="7F827527"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10" w:history="1">
            <w:r w:rsidRPr="00102D2A">
              <w:rPr>
                <w:rStyle w:val="Hyperlink"/>
                <w:rFonts w:ascii="Times New Roman" w:hAnsi="Times New Roman" w:cs="Times New Roman"/>
                <w:noProof/>
              </w:rPr>
              <w:t>Environmental Nucleic Acids (eNAs)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_Toc211651610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5</w:t>
            </w:r>
            <w:r w:rsidRPr="00102D2A">
              <w:rPr>
                <w:rFonts w:ascii="Times New Roman" w:hAnsi="Times New Roman" w:cs="Times New Roman"/>
                <w:noProof/>
                <w:webHidden/>
              </w:rPr>
              <w:fldChar w:fldCharType="end"/>
            </w:r>
          </w:hyperlink>
        </w:p>
        <w:p w14:paraId="2229831F" w14:textId="76B5791D"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11" w:history="1">
            <w:r w:rsidRPr="00102D2A">
              <w:rPr>
                <w:rStyle w:val="Hyperlink"/>
                <w:rFonts w:ascii="Times New Roman" w:hAnsi="Times New Roman" w:cs="Times New Roman"/>
                <w:noProof/>
              </w:rPr>
              <w:t>Differences between eDNA and eRNA</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_Toc211651611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7</w:t>
            </w:r>
            <w:r w:rsidRPr="00102D2A">
              <w:rPr>
                <w:rFonts w:ascii="Times New Roman" w:hAnsi="Times New Roman" w:cs="Times New Roman"/>
                <w:noProof/>
                <w:webHidden/>
              </w:rPr>
              <w:fldChar w:fldCharType="end"/>
            </w:r>
          </w:hyperlink>
        </w:p>
        <w:p w14:paraId="2D980DDC" w14:textId="7890C667"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12" w:history="1">
            <w:r w:rsidRPr="00102D2A">
              <w:rPr>
                <w:rStyle w:val="Hyperlink"/>
                <w:rFonts w:ascii="Times New Roman" w:hAnsi="Times New Roman" w:cs="Times New Roman"/>
                <w:noProof/>
              </w:rPr>
              <w:t>Different Approaches of eNA Tools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_Toc211651612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10</w:t>
            </w:r>
            <w:r w:rsidRPr="00102D2A">
              <w:rPr>
                <w:rFonts w:ascii="Times New Roman" w:hAnsi="Times New Roman" w:cs="Times New Roman"/>
                <w:noProof/>
                <w:webHidden/>
              </w:rPr>
              <w:fldChar w:fldCharType="end"/>
            </w:r>
          </w:hyperlink>
        </w:p>
        <w:p w14:paraId="3D588358" w14:textId="71709E3B"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13" w:history="1">
            <w:r w:rsidRPr="00102D2A">
              <w:rPr>
                <w:rStyle w:val="Hyperlink"/>
                <w:rFonts w:ascii="Times New Roman" w:hAnsi="Times New Roman" w:cs="Times New Roman"/>
                <w:noProof/>
              </w:rPr>
              <w:t>Metabarcoding Approaches: Community Composition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_Toc211651613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10</w:t>
            </w:r>
            <w:r w:rsidRPr="00102D2A">
              <w:rPr>
                <w:rFonts w:ascii="Times New Roman" w:hAnsi="Times New Roman" w:cs="Times New Roman"/>
                <w:noProof/>
                <w:webHidden/>
              </w:rPr>
              <w:fldChar w:fldCharType="end"/>
            </w:r>
          </w:hyperlink>
        </w:p>
        <w:p w14:paraId="07B39952" w14:textId="4453331A"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14" w:history="1">
            <w:r w:rsidRPr="00102D2A">
              <w:rPr>
                <w:rStyle w:val="Hyperlink"/>
                <w:rFonts w:ascii="Times New Roman" w:hAnsi="Times New Roman" w:cs="Times New Roman"/>
                <w:noProof/>
              </w:rPr>
              <w:t>Quantitative Approach: Species-Specific</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_Toc211651614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11</w:t>
            </w:r>
            <w:r w:rsidRPr="00102D2A">
              <w:rPr>
                <w:rFonts w:ascii="Times New Roman" w:hAnsi="Times New Roman" w:cs="Times New Roman"/>
                <w:noProof/>
                <w:webHidden/>
              </w:rPr>
              <w:fldChar w:fldCharType="end"/>
            </w:r>
          </w:hyperlink>
        </w:p>
        <w:p w14:paraId="100D83CF" w14:textId="0C36480C"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15" w:history="1">
            <w:r w:rsidRPr="00102D2A">
              <w:rPr>
                <w:rStyle w:val="Hyperlink"/>
                <w:rFonts w:ascii="Times New Roman" w:hAnsi="Times New Roman" w:cs="Times New Roman"/>
                <w:noProof/>
              </w:rPr>
              <w:t>Other Approaches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_Toc211651615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12</w:t>
            </w:r>
            <w:r w:rsidRPr="00102D2A">
              <w:rPr>
                <w:rFonts w:ascii="Times New Roman" w:hAnsi="Times New Roman" w:cs="Times New Roman"/>
                <w:noProof/>
                <w:webHidden/>
              </w:rPr>
              <w:fldChar w:fldCharType="end"/>
            </w:r>
          </w:hyperlink>
        </w:p>
        <w:p w14:paraId="71864555" w14:textId="79565FCC"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16" w:history="1">
            <w:r w:rsidRPr="00102D2A">
              <w:rPr>
                <w:rStyle w:val="Hyperlink"/>
                <w:rFonts w:ascii="Times New Roman" w:hAnsi="Times New Roman" w:cs="Times New Roman"/>
                <w:noProof/>
              </w:rPr>
              <w:t>Challenges and Bottlenecks of eNAs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_Toc211651616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12</w:t>
            </w:r>
            <w:r w:rsidRPr="00102D2A">
              <w:rPr>
                <w:rFonts w:ascii="Times New Roman" w:hAnsi="Times New Roman" w:cs="Times New Roman"/>
                <w:noProof/>
                <w:webHidden/>
              </w:rPr>
              <w:fldChar w:fldCharType="end"/>
            </w:r>
          </w:hyperlink>
        </w:p>
        <w:p w14:paraId="471EC35E" w14:textId="5AAF19D7"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17" w:history="1">
            <w:r w:rsidRPr="00102D2A">
              <w:rPr>
                <w:rStyle w:val="Hyperlink"/>
                <w:rFonts w:ascii="Times New Roman" w:hAnsi="Times New Roman" w:cs="Times New Roman"/>
                <w:noProof/>
              </w:rPr>
              <w:t>Standardization and Methodological Optimization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_Toc211651617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12</w:t>
            </w:r>
            <w:r w:rsidRPr="00102D2A">
              <w:rPr>
                <w:rFonts w:ascii="Times New Roman" w:hAnsi="Times New Roman" w:cs="Times New Roman"/>
                <w:noProof/>
                <w:webHidden/>
              </w:rPr>
              <w:fldChar w:fldCharType="end"/>
            </w:r>
          </w:hyperlink>
        </w:p>
        <w:p w14:paraId="0239BFCC" w14:textId="4E9AE5CB"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18" w:history="1">
            <w:r w:rsidRPr="00102D2A">
              <w:rPr>
                <w:rStyle w:val="Hyperlink"/>
                <w:rFonts w:ascii="Times New Roman" w:hAnsi="Times New Roman" w:cs="Times New Roman"/>
                <w:noProof/>
              </w:rPr>
              <w:t>Molecular Degradation and False Positives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_Toc211651618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13</w:t>
            </w:r>
            <w:r w:rsidRPr="00102D2A">
              <w:rPr>
                <w:rFonts w:ascii="Times New Roman" w:hAnsi="Times New Roman" w:cs="Times New Roman"/>
                <w:noProof/>
                <w:webHidden/>
              </w:rPr>
              <w:fldChar w:fldCharType="end"/>
            </w:r>
          </w:hyperlink>
        </w:p>
        <w:p w14:paraId="7C7FB5FE" w14:textId="56B94848"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19" w:history="1">
            <w:r w:rsidRPr="00102D2A">
              <w:rPr>
                <w:rStyle w:val="Hyperlink"/>
                <w:rFonts w:ascii="Times New Roman" w:hAnsi="Times New Roman" w:cs="Times New Roman"/>
                <w:noProof/>
              </w:rPr>
              <w:t>Reference Database Gaps and Taxonomic Resolution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_Toc211651619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13</w:t>
            </w:r>
            <w:r w:rsidRPr="00102D2A">
              <w:rPr>
                <w:rFonts w:ascii="Times New Roman" w:hAnsi="Times New Roman" w:cs="Times New Roman"/>
                <w:noProof/>
                <w:webHidden/>
              </w:rPr>
              <w:fldChar w:fldCharType="end"/>
            </w:r>
          </w:hyperlink>
        </w:p>
        <w:p w14:paraId="4A75DD04" w14:textId="0DB6D1A8"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20" w:history="1">
            <w:r w:rsidRPr="00102D2A">
              <w:rPr>
                <w:rStyle w:val="Hyperlink"/>
                <w:rFonts w:ascii="Times New Roman" w:hAnsi="Times New Roman" w:cs="Times New Roman"/>
                <w:noProof/>
              </w:rPr>
              <w:t>Primer Bias and Marker Selection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_Toc211651620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14</w:t>
            </w:r>
            <w:r w:rsidRPr="00102D2A">
              <w:rPr>
                <w:rFonts w:ascii="Times New Roman" w:hAnsi="Times New Roman" w:cs="Times New Roman"/>
                <w:noProof/>
                <w:webHidden/>
              </w:rPr>
              <w:fldChar w:fldCharType="end"/>
            </w:r>
          </w:hyperlink>
        </w:p>
        <w:p w14:paraId="26ACCA15" w14:textId="46525F5C"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21" w:history="1">
            <w:r w:rsidRPr="00102D2A">
              <w:rPr>
                <w:rStyle w:val="Hyperlink"/>
                <w:rFonts w:ascii="Times New Roman" w:hAnsi="Times New Roman" w:cs="Times New Roman"/>
                <w:noProof/>
              </w:rPr>
              <w:t>Quantitative Limitations and Abundance Estimation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_Toc211651621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14</w:t>
            </w:r>
            <w:r w:rsidRPr="00102D2A">
              <w:rPr>
                <w:rFonts w:ascii="Times New Roman" w:hAnsi="Times New Roman" w:cs="Times New Roman"/>
                <w:noProof/>
                <w:webHidden/>
              </w:rPr>
              <w:fldChar w:fldCharType="end"/>
            </w:r>
          </w:hyperlink>
        </w:p>
        <w:p w14:paraId="4DD1431F" w14:textId="4FA32B90"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22" w:history="1">
            <w:r w:rsidRPr="00102D2A">
              <w:rPr>
                <w:rStyle w:val="Hyperlink"/>
                <w:rFonts w:ascii="Times New Roman" w:hAnsi="Times New Roman" w:cs="Times New Roman"/>
                <w:noProof/>
              </w:rPr>
              <w:t>Early Adoption and Credibility Setbacks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_Toc211651622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15</w:t>
            </w:r>
            <w:r w:rsidRPr="00102D2A">
              <w:rPr>
                <w:rFonts w:ascii="Times New Roman" w:hAnsi="Times New Roman" w:cs="Times New Roman"/>
                <w:noProof/>
                <w:webHidden/>
              </w:rPr>
              <w:fldChar w:fldCharType="end"/>
            </w:r>
          </w:hyperlink>
        </w:p>
        <w:p w14:paraId="7008DEA4" w14:textId="275C907A"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23" w:history="1">
            <w:r w:rsidRPr="00102D2A">
              <w:rPr>
                <w:rStyle w:val="Hyperlink"/>
                <w:rFonts w:ascii="Times New Roman" w:hAnsi="Times New Roman" w:cs="Times New Roman"/>
                <w:noProof/>
              </w:rPr>
              <w:t>Broader Significance</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_Toc211651623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16</w:t>
            </w:r>
            <w:r w:rsidRPr="00102D2A">
              <w:rPr>
                <w:rFonts w:ascii="Times New Roman" w:hAnsi="Times New Roman" w:cs="Times New Roman"/>
                <w:noProof/>
                <w:webHidden/>
              </w:rPr>
              <w:fldChar w:fldCharType="end"/>
            </w:r>
          </w:hyperlink>
        </w:p>
        <w:p w14:paraId="1F522660" w14:textId="40E47228" w:rsidR="008F466B" w:rsidRPr="00102D2A" w:rsidRDefault="008F466B" w:rsidP="00102D2A">
          <w:pPr>
            <w:pStyle w:val="TOC1"/>
            <w:tabs>
              <w:tab w:val="right" w:leader="dot" w:pos="8630"/>
            </w:tabs>
            <w:spacing w:line="480" w:lineRule="auto"/>
            <w:rPr>
              <w:rFonts w:ascii="Times New Roman" w:eastAsiaTheme="minorEastAsia" w:hAnsi="Times New Roman" w:cs="Times New Roman"/>
              <w:noProof/>
              <w:kern w:val="2"/>
            </w:rPr>
          </w:pPr>
          <w:hyperlink w:anchor="_Toc211651624" w:history="1">
            <w:r w:rsidRPr="00102D2A">
              <w:rPr>
                <w:rStyle w:val="Hyperlink"/>
                <w:rFonts w:ascii="Times New Roman" w:hAnsi="Times New Roman" w:cs="Times New Roman"/>
                <w:noProof/>
              </w:rPr>
              <w:t>Chapter Two Evaluating the Reliability of Environmental DNA and RNA Tools for Freshwater Biomonitoring</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_Toc211651624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18</w:t>
            </w:r>
            <w:r w:rsidRPr="00102D2A">
              <w:rPr>
                <w:rFonts w:ascii="Times New Roman" w:hAnsi="Times New Roman" w:cs="Times New Roman"/>
                <w:noProof/>
                <w:webHidden/>
              </w:rPr>
              <w:fldChar w:fldCharType="end"/>
            </w:r>
          </w:hyperlink>
        </w:p>
        <w:p w14:paraId="2D9700D3" w14:textId="643AE2D3"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25" w:history="1">
            <w:r w:rsidRPr="00102D2A">
              <w:rPr>
                <w:rStyle w:val="Hyperlink"/>
                <w:rFonts w:ascii="Times New Roman" w:hAnsi="Times New Roman" w:cs="Times New Roman"/>
                <w:noProof/>
              </w:rPr>
              <w:t>Introduction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_Toc211651625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18</w:t>
            </w:r>
            <w:r w:rsidRPr="00102D2A">
              <w:rPr>
                <w:rFonts w:ascii="Times New Roman" w:hAnsi="Times New Roman" w:cs="Times New Roman"/>
                <w:noProof/>
                <w:webHidden/>
              </w:rPr>
              <w:fldChar w:fldCharType="end"/>
            </w:r>
          </w:hyperlink>
        </w:p>
        <w:p w14:paraId="1507713A" w14:textId="5DD935AF"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26" w:history="1">
            <w:r w:rsidRPr="00102D2A">
              <w:rPr>
                <w:rStyle w:val="Hyperlink"/>
                <w:rFonts w:ascii="Times New Roman" w:hAnsi="Times New Roman" w:cs="Times New Roman"/>
                <w:noProof/>
              </w:rPr>
              <w:t>Methods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_Toc211651626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19</w:t>
            </w:r>
            <w:r w:rsidRPr="00102D2A">
              <w:rPr>
                <w:rFonts w:ascii="Times New Roman" w:hAnsi="Times New Roman" w:cs="Times New Roman"/>
                <w:noProof/>
                <w:webHidden/>
              </w:rPr>
              <w:fldChar w:fldCharType="end"/>
            </w:r>
          </w:hyperlink>
        </w:p>
        <w:p w14:paraId="598F77FD" w14:textId="5EEB543A"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27" w:history="1">
            <w:r w:rsidRPr="00102D2A">
              <w:rPr>
                <w:rStyle w:val="Hyperlink"/>
                <w:rFonts w:ascii="Times New Roman" w:hAnsi="Times New Roman" w:cs="Times New Roman"/>
                <w:noProof/>
              </w:rPr>
              <w:t>Study Area</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_Toc211651627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19</w:t>
            </w:r>
            <w:r w:rsidRPr="00102D2A">
              <w:rPr>
                <w:rFonts w:ascii="Times New Roman" w:hAnsi="Times New Roman" w:cs="Times New Roman"/>
                <w:noProof/>
                <w:webHidden/>
              </w:rPr>
              <w:fldChar w:fldCharType="end"/>
            </w:r>
          </w:hyperlink>
        </w:p>
        <w:p w14:paraId="6FFB0E68" w14:textId="14FFCA0B"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28" w:history="1">
            <w:r w:rsidRPr="00102D2A">
              <w:rPr>
                <w:rStyle w:val="Hyperlink"/>
                <w:rFonts w:ascii="Times New Roman" w:hAnsi="Times New Roman" w:cs="Times New Roman"/>
                <w:noProof/>
              </w:rPr>
              <w:t>Conventional Surveying and Historical Data</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_Toc211651628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19</w:t>
            </w:r>
            <w:r w:rsidRPr="00102D2A">
              <w:rPr>
                <w:rFonts w:ascii="Times New Roman" w:hAnsi="Times New Roman" w:cs="Times New Roman"/>
                <w:noProof/>
                <w:webHidden/>
              </w:rPr>
              <w:fldChar w:fldCharType="end"/>
            </w:r>
          </w:hyperlink>
        </w:p>
        <w:p w14:paraId="0D64A265" w14:textId="1C299B21"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29" w:history="1">
            <w:r w:rsidRPr="00102D2A">
              <w:rPr>
                <w:rStyle w:val="Hyperlink"/>
                <w:rFonts w:ascii="Times New Roman" w:hAnsi="Times New Roman" w:cs="Times New Roman"/>
                <w:noProof/>
              </w:rPr>
              <w:t>Water Sampling for eDNA/eRNA</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_Toc211651629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21</w:t>
            </w:r>
            <w:r w:rsidRPr="00102D2A">
              <w:rPr>
                <w:rFonts w:ascii="Times New Roman" w:hAnsi="Times New Roman" w:cs="Times New Roman"/>
                <w:noProof/>
                <w:webHidden/>
              </w:rPr>
              <w:fldChar w:fldCharType="end"/>
            </w:r>
          </w:hyperlink>
        </w:p>
        <w:p w14:paraId="68B6C4D8" w14:textId="0C7A98BA"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0" w:history="1">
            <w:r w:rsidRPr="00102D2A">
              <w:rPr>
                <w:rStyle w:val="Hyperlink"/>
                <w:rFonts w:ascii="Times New Roman" w:hAnsi="Times New Roman" w:cs="Times New Roman"/>
                <w:noProof/>
              </w:rPr>
              <w:t>eDNA/eRNA Extraction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_Toc211651630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23</w:t>
            </w:r>
            <w:r w:rsidRPr="00102D2A">
              <w:rPr>
                <w:rFonts w:ascii="Times New Roman" w:hAnsi="Times New Roman" w:cs="Times New Roman"/>
                <w:noProof/>
                <w:webHidden/>
              </w:rPr>
              <w:fldChar w:fldCharType="end"/>
            </w:r>
          </w:hyperlink>
        </w:p>
        <w:p w14:paraId="46AA8F99" w14:textId="36DD9F98"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1" w:history="1">
            <w:r w:rsidRPr="00102D2A">
              <w:rPr>
                <w:rStyle w:val="Hyperlink"/>
                <w:rFonts w:ascii="Times New Roman" w:hAnsi="Times New Roman" w:cs="Times New Roman"/>
                <w:noProof/>
              </w:rPr>
              <w:t>Metabarcoding Library Preparation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_Toc211651631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25</w:t>
            </w:r>
            <w:r w:rsidRPr="00102D2A">
              <w:rPr>
                <w:rFonts w:ascii="Times New Roman" w:hAnsi="Times New Roman" w:cs="Times New Roman"/>
                <w:noProof/>
                <w:webHidden/>
              </w:rPr>
              <w:fldChar w:fldCharType="end"/>
            </w:r>
          </w:hyperlink>
        </w:p>
        <w:p w14:paraId="1853C776" w14:textId="10BC2E1F"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2" w:history="1">
            <w:r w:rsidRPr="00102D2A">
              <w:rPr>
                <w:rStyle w:val="Hyperlink"/>
                <w:rFonts w:ascii="Times New Roman" w:hAnsi="Times New Roman" w:cs="Times New Roman"/>
                <w:noProof/>
              </w:rPr>
              <w:t>Bioinformatics Analysis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_Toc211651632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29</w:t>
            </w:r>
            <w:r w:rsidRPr="00102D2A">
              <w:rPr>
                <w:rFonts w:ascii="Times New Roman" w:hAnsi="Times New Roman" w:cs="Times New Roman"/>
                <w:noProof/>
                <w:webHidden/>
              </w:rPr>
              <w:fldChar w:fldCharType="end"/>
            </w:r>
          </w:hyperlink>
        </w:p>
        <w:p w14:paraId="6117BC67" w14:textId="677B777C"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3" w:history="1">
            <w:r w:rsidRPr="00102D2A">
              <w:rPr>
                <w:rStyle w:val="Hyperlink"/>
                <w:rFonts w:ascii="Times New Roman" w:hAnsi="Times New Roman" w:cs="Times New Roman"/>
                <w:noProof/>
              </w:rPr>
              <w:t>Community and Diversity Analyses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_Toc211651633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30</w:t>
            </w:r>
            <w:r w:rsidRPr="00102D2A">
              <w:rPr>
                <w:rFonts w:ascii="Times New Roman" w:hAnsi="Times New Roman" w:cs="Times New Roman"/>
                <w:noProof/>
                <w:webHidden/>
              </w:rPr>
              <w:fldChar w:fldCharType="end"/>
            </w:r>
          </w:hyperlink>
        </w:p>
        <w:p w14:paraId="66A3A0A5" w14:textId="535111C0"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4" w:history="1">
            <w:r w:rsidRPr="00102D2A">
              <w:rPr>
                <w:rStyle w:val="Hyperlink"/>
                <w:rFonts w:ascii="Times New Roman" w:hAnsi="Times New Roman" w:cs="Times New Roman"/>
                <w:noProof/>
              </w:rPr>
              <w:t>Hellbender qPCR analysis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_Toc211651634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32</w:t>
            </w:r>
            <w:r w:rsidRPr="00102D2A">
              <w:rPr>
                <w:rFonts w:ascii="Times New Roman" w:hAnsi="Times New Roman" w:cs="Times New Roman"/>
                <w:noProof/>
                <w:webHidden/>
              </w:rPr>
              <w:fldChar w:fldCharType="end"/>
            </w:r>
          </w:hyperlink>
        </w:p>
        <w:p w14:paraId="2E56C2FE" w14:textId="1D9625EC"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35" w:history="1">
            <w:r w:rsidRPr="00102D2A">
              <w:rPr>
                <w:rStyle w:val="Hyperlink"/>
                <w:rFonts w:ascii="Times New Roman" w:hAnsi="Times New Roman" w:cs="Times New Roman"/>
                <w:noProof/>
              </w:rPr>
              <w:t>Results and Discussion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_Toc211651635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33</w:t>
            </w:r>
            <w:r w:rsidRPr="00102D2A">
              <w:rPr>
                <w:rFonts w:ascii="Times New Roman" w:hAnsi="Times New Roman" w:cs="Times New Roman"/>
                <w:noProof/>
                <w:webHidden/>
              </w:rPr>
              <w:fldChar w:fldCharType="end"/>
            </w:r>
          </w:hyperlink>
        </w:p>
        <w:p w14:paraId="51835713" w14:textId="4EC09238"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6" w:history="1">
            <w:r w:rsidRPr="00102D2A">
              <w:rPr>
                <w:rStyle w:val="Hyperlink"/>
                <w:rFonts w:ascii="Times New Roman" w:hAnsi="Times New Roman" w:cs="Times New Roman"/>
                <w:noProof/>
              </w:rPr>
              <w:t>Water Chemistry Analysis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_Toc211651636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33</w:t>
            </w:r>
            <w:r w:rsidRPr="00102D2A">
              <w:rPr>
                <w:rFonts w:ascii="Times New Roman" w:hAnsi="Times New Roman" w:cs="Times New Roman"/>
                <w:noProof/>
                <w:webHidden/>
              </w:rPr>
              <w:fldChar w:fldCharType="end"/>
            </w:r>
          </w:hyperlink>
        </w:p>
        <w:p w14:paraId="36B054B6" w14:textId="06E2516C"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7" w:history="1">
            <w:r w:rsidRPr="00102D2A">
              <w:rPr>
                <w:rStyle w:val="Hyperlink"/>
                <w:rFonts w:ascii="Times New Roman" w:hAnsi="Times New Roman" w:cs="Times New Roman"/>
                <w:noProof/>
              </w:rPr>
              <w:t>Metabarcoding Libraries Sequencing Quality</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_Toc211651637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34</w:t>
            </w:r>
            <w:r w:rsidRPr="00102D2A">
              <w:rPr>
                <w:rFonts w:ascii="Times New Roman" w:hAnsi="Times New Roman" w:cs="Times New Roman"/>
                <w:noProof/>
                <w:webHidden/>
              </w:rPr>
              <w:fldChar w:fldCharType="end"/>
            </w:r>
          </w:hyperlink>
        </w:p>
        <w:p w14:paraId="25AE97AB" w14:textId="2DA7A8A6"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8" w:history="1">
            <w:r w:rsidRPr="00102D2A">
              <w:rPr>
                <w:rStyle w:val="Hyperlink"/>
                <w:rFonts w:ascii="Times New Roman" w:hAnsi="Times New Roman" w:cs="Times New Roman"/>
                <w:noProof/>
              </w:rPr>
              <w:t>Fish Community Detection and Environmental Patterns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_Toc211651638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36</w:t>
            </w:r>
            <w:r w:rsidRPr="00102D2A">
              <w:rPr>
                <w:rFonts w:ascii="Times New Roman" w:hAnsi="Times New Roman" w:cs="Times New Roman"/>
                <w:noProof/>
                <w:webHidden/>
              </w:rPr>
              <w:fldChar w:fldCharType="end"/>
            </w:r>
          </w:hyperlink>
        </w:p>
        <w:p w14:paraId="35FD54E3" w14:textId="06EBAFB0"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39" w:history="1">
            <w:r w:rsidRPr="00102D2A">
              <w:rPr>
                <w:rStyle w:val="Hyperlink"/>
                <w:rFonts w:ascii="Times New Roman" w:hAnsi="Times New Roman" w:cs="Times New Roman"/>
                <w:noProof/>
              </w:rPr>
              <w:t>Mussel Community Detection and Molecular Marker Comparison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_Toc211651639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40</w:t>
            </w:r>
            <w:r w:rsidRPr="00102D2A">
              <w:rPr>
                <w:rFonts w:ascii="Times New Roman" w:hAnsi="Times New Roman" w:cs="Times New Roman"/>
                <w:noProof/>
                <w:webHidden/>
              </w:rPr>
              <w:fldChar w:fldCharType="end"/>
            </w:r>
          </w:hyperlink>
        </w:p>
        <w:p w14:paraId="52AE532B" w14:textId="47AA67CC" w:rsidR="008F466B" w:rsidRPr="00102D2A" w:rsidRDefault="008F466B" w:rsidP="00102D2A">
          <w:pPr>
            <w:pStyle w:val="TOC3"/>
            <w:tabs>
              <w:tab w:val="right" w:leader="dot" w:pos="8630"/>
            </w:tabs>
            <w:spacing w:line="480" w:lineRule="auto"/>
            <w:rPr>
              <w:rFonts w:ascii="Times New Roman" w:eastAsiaTheme="minorEastAsia" w:hAnsi="Times New Roman" w:cs="Times New Roman"/>
              <w:noProof/>
              <w:kern w:val="2"/>
            </w:rPr>
          </w:pPr>
          <w:hyperlink w:anchor="_Toc211651640" w:history="1">
            <w:r w:rsidRPr="00102D2A">
              <w:rPr>
                <w:rStyle w:val="Hyperlink"/>
                <w:rFonts w:ascii="Times New Roman" w:hAnsi="Times New Roman" w:cs="Times New Roman"/>
                <w:noProof/>
              </w:rPr>
              <w:t>Detection of Hellbender Salamanders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_Toc211651640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44</w:t>
            </w:r>
            <w:r w:rsidRPr="00102D2A">
              <w:rPr>
                <w:rFonts w:ascii="Times New Roman" w:hAnsi="Times New Roman" w:cs="Times New Roman"/>
                <w:noProof/>
                <w:webHidden/>
              </w:rPr>
              <w:fldChar w:fldCharType="end"/>
            </w:r>
          </w:hyperlink>
        </w:p>
        <w:p w14:paraId="04B97623" w14:textId="581C3509" w:rsidR="008F466B" w:rsidRPr="00102D2A" w:rsidRDefault="008F466B" w:rsidP="00102D2A">
          <w:pPr>
            <w:pStyle w:val="TOC2"/>
            <w:tabs>
              <w:tab w:val="right" w:leader="dot" w:pos="8630"/>
            </w:tabs>
            <w:spacing w:line="480" w:lineRule="auto"/>
            <w:rPr>
              <w:rFonts w:ascii="Times New Roman" w:eastAsiaTheme="minorEastAsia" w:hAnsi="Times New Roman" w:cs="Times New Roman"/>
              <w:noProof/>
              <w:kern w:val="2"/>
            </w:rPr>
          </w:pPr>
          <w:hyperlink w:anchor="_Toc211651641" w:history="1">
            <w:r w:rsidRPr="00102D2A">
              <w:rPr>
                <w:rStyle w:val="Hyperlink"/>
                <w:rFonts w:ascii="Times New Roman" w:hAnsi="Times New Roman" w:cs="Times New Roman"/>
                <w:noProof/>
              </w:rPr>
              <w:t>Conclusion</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_Toc211651641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47</w:t>
            </w:r>
            <w:r w:rsidRPr="00102D2A">
              <w:rPr>
                <w:rFonts w:ascii="Times New Roman" w:hAnsi="Times New Roman" w:cs="Times New Roman"/>
                <w:noProof/>
                <w:webHidden/>
              </w:rPr>
              <w:fldChar w:fldCharType="end"/>
            </w:r>
          </w:hyperlink>
        </w:p>
        <w:p w14:paraId="59F5C433" w14:textId="16882E0E" w:rsidR="008F466B" w:rsidRPr="00102D2A" w:rsidRDefault="008F466B" w:rsidP="00102D2A">
          <w:pPr>
            <w:pStyle w:val="TOC1"/>
            <w:tabs>
              <w:tab w:val="right" w:leader="dot" w:pos="8630"/>
            </w:tabs>
            <w:spacing w:line="480" w:lineRule="auto"/>
            <w:rPr>
              <w:rFonts w:ascii="Times New Roman" w:eastAsiaTheme="minorEastAsia" w:hAnsi="Times New Roman" w:cs="Times New Roman"/>
              <w:noProof/>
              <w:kern w:val="2"/>
            </w:rPr>
          </w:pPr>
          <w:hyperlink w:anchor="_Toc211651642" w:history="1">
            <w:r w:rsidRPr="00102D2A">
              <w:rPr>
                <w:rStyle w:val="Hyperlink"/>
                <w:rFonts w:ascii="Times New Roman" w:hAnsi="Times New Roman" w:cs="Times New Roman"/>
                <w:noProof/>
              </w:rPr>
              <w:t>References</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_Toc211651642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48</w:t>
            </w:r>
            <w:r w:rsidRPr="00102D2A">
              <w:rPr>
                <w:rFonts w:ascii="Times New Roman" w:hAnsi="Times New Roman" w:cs="Times New Roman"/>
                <w:noProof/>
                <w:webHidden/>
              </w:rPr>
              <w:fldChar w:fldCharType="end"/>
            </w:r>
          </w:hyperlink>
        </w:p>
        <w:p w14:paraId="4474CE2A" w14:textId="2F81566A" w:rsidR="008F466B" w:rsidRPr="00102D2A" w:rsidRDefault="008F466B" w:rsidP="00102D2A">
          <w:pPr>
            <w:pStyle w:val="TOC1"/>
            <w:tabs>
              <w:tab w:val="right" w:leader="dot" w:pos="8630"/>
            </w:tabs>
            <w:spacing w:line="480" w:lineRule="auto"/>
            <w:rPr>
              <w:rFonts w:ascii="Times New Roman" w:eastAsiaTheme="minorEastAsia" w:hAnsi="Times New Roman" w:cs="Times New Roman"/>
              <w:noProof/>
              <w:kern w:val="2"/>
            </w:rPr>
          </w:pPr>
          <w:hyperlink w:anchor="_Toc211651643" w:history="1">
            <w:r w:rsidRPr="00102D2A">
              <w:rPr>
                <w:rStyle w:val="Hyperlink"/>
                <w:rFonts w:ascii="Times New Roman" w:hAnsi="Times New Roman" w:cs="Times New Roman"/>
                <w:noProof/>
              </w:rPr>
              <w:t>Vita</w:t>
            </w:r>
            <w:r w:rsidRPr="00102D2A">
              <w:rPr>
                <w:rFonts w:ascii="Times New Roman" w:hAnsi="Times New Roman" w:cs="Times New Roman"/>
                <w:noProof/>
                <w:webHidden/>
              </w:rPr>
              <w:tab/>
            </w:r>
            <w:r w:rsidRPr="00102D2A">
              <w:rPr>
                <w:rFonts w:ascii="Times New Roman" w:hAnsi="Times New Roman" w:cs="Times New Roman"/>
                <w:noProof/>
                <w:webHidden/>
              </w:rPr>
              <w:fldChar w:fldCharType="begin"/>
            </w:r>
            <w:r w:rsidRPr="00102D2A">
              <w:rPr>
                <w:rFonts w:ascii="Times New Roman" w:hAnsi="Times New Roman" w:cs="Times New Roman"/>
                <w:noProof/>
                <w:webHidden/>
              </w:rPr>
              <w:instrText xml:space="preserve"> PAGEREF _Toc211651643 \h </w:instrText>
            </w:r>
            <w:r w:rsidRPr="00102D2A">
              <w:rPr>
                <w:rFonts w:ascii="Times New Roman" w:hAnsi="Times New Roman" w:cs="Times New Roman"/>
                <w:noProof/>
                <w:webHidden/>
              </w:rPr>
            </w:r>
            <w:r w:rsidRPr="00102D2A">
              <w:rPr>
                <w:rFonts w:ascii="Times New Roman" w:hAnsi="Times New Roman" w:cs="Times New Roman"/>
                <w:noProof/>
                <w:webHidden/>
              </w:rPr>
              <w:fldChar w:fldCharType="separate"/>
            </w:r>
            <w:r w:rsidRPr="00102D2A">
              <w:rPr>
                <w:rFonts w:ascii="Times New Roman" w:hAnsi="Times New Roman" w:cs="Times New Roman"/>
                <w:noProof/>
                <w:webHidden/>
              </w:rPr>
              <w:t>49</w:t>
            </w:r>
            <w:r w:rsidRPr="00102D2A">
              <w:rPr>
                <w:rFonts w:ascii="Times New Roman" w:hAnsi="Times New Roman" w:cs="Times New Roman"/>
                <w:noProof/>
                <w:webHidden/>
              </w:rPr>
              <w:fldChar w:fldCharType="end"/>
            </w:r>
          </w:hyperlink>
        </w:p>
        <w:p w14:paraId="312B2BCB" w14:textId="501601D7" w:rsidR="00324C32" w:rsidRPr="009D2AA9" w:rsidRDefault="00324C32" w:rsidP="00102D2A">
          <w:pPr>
            <w:spacing w:line="480" w:lineRule="auto"/>
            <w:rPr>
              <w:rFonts w:ascii="Times New Roman" w:hAnsi="Times New Roman" w:cs="Times New Roman"/>
            </w:rPr>
          </w:pPr>
          <w:r w:rsidRPr="00102D2A">
            <w:rPr>
              <w:rFonts w:ascii="Times New Roman" w:hAnsi="Times New Roman" w:cs="Times New Roman"/>
              <w:b/>
              <w:bCs/>
              <w:noProof/>
            </w:rPr>
            <w:fldChar w:fldCharType="end"/>
          </w:r>
        </w:p>
      </w:sdtContent>
    </w:sdt>
    <w:p w14:paraId="7580975E" w14:textId="77777777" w:rsidR="00324C32" w:rsidRPr="00441DFB" w:rsidRDefault="00324C32" w:rsidP="00324C32">
      <w:pPr>
        <w:spacing w:line="480" w:lineRule="auto"/>
        <w:jc w:val="center"/>
        <w:rPr>
          <w:rFonts w:ascii="Times New Roman" w:hAnsi="Times New Roman" w:cs="Times New Roman"/>
          <w:b/>
          <w:bCs/>
        </w:rPr>
      </w:pPr>
      <w:r w:rsidRPr="009D2AA9">
        <w:rPr>
          <w:rFonts w:ascii="Times New Roman" w:hAnsi="Times New Roman" w:cs="Times New Roman"/>
          <w:b/>
          <w:bCs/>
        </w:rPr>
        <w:br w:type="page"/>
      </w:r>
      <w:r w:rsidRPr="009D2AA9">
        <w:rPr>
          <w:rFonts w:ascii="Times New Roman" w:hAnsi="Times New Roman" w:cs="Times New Roman"/>
          <w:b/>
          <w:bCs/>
        </w:rPr>
        <w:lastRenderedPageBreak/>
        <w:t>LIST OF TABLE</w:t>
      </w:r>
      <w:r>
        <w:rPr>
          <w:rFonts w:ascii="Times New Roman" w:hAnsi="Times New Roman" w:cs="Times New Roman"/>
          <w:b/>
          <w:bCs/>
        </w:rPr>
        <w:t>S</w:t>
      </w:r>
    </w:p>
    <w:p w14:paraId="2694ADC9" w14:textId="686100BD" w:rsidR="00556347" w:rsidRPr="00556347" w:rsidRDefault="00556347" w:rsidP="00556347">
      <w:pPr>
        <w:pStyle w:val="TableofFigures"/>
        <w:tabs>
          <w:tab w:val="right" w:leader="dot" w:pos="8630"/>
        </w:tabs>
        <w:spacing w:line="480" w:lineRule="auto"/>
        <w:rPr>
          <w:rFonts w:ascii="Times New Roman" w:eastAsiaTheme="minorEastAsia" w:hAnsi="Times New Roman" w:cs="Times New Roman"/>
          <w:noProof/>
          <w:kern w:val="2"/>
        </w:rPr>
      </w:pPr>
      <w:r>
        <w:rPr>
          <w:rFonts w:ascii="Times New Roman" w:hAnsi="Times New Roman" w:cs="Times New Roman"/>
        </w:rPr>
        <w:fldChar w:fldCharType="begin"/>
      </w:r>
      <w:r>
        <w:rPr>
          <w:rFonts w:ascii="Times New Roman" w:hAnsi="Times New Roman" w:cs="Times New Roman"/>
        </w:rPr>
        <w:instrText xml:space="preserve"> TOC \h \z \c "Table" </w:instrText>
      </w:r>
      <w:r>
        <w:rPr>
          <w:rFonts w:ascii="Times New Roman" w:hAnsi="Times New Roman" w:cs="Times New Roman"/>
        </w:rPr>
        <w:fldChar w:fldCharType="separate"/>
      </w:r>
      <w:hyperlink w:anchor="_Toc211656502" w:history="1">
        <w:r w:rsidRPr="00556347">
          <w:rPr>
            <w:rStyle w:val="Hyperlink"/>
            <w:rFonts w:ascii="Times New Roman" w:hAnsi="Times New Roman" w:cs="Times New Roman"/>
            <w:noProof/>
          </w:rPr>
          <w:t>Table 1. Conventional survey sites for mussel and fish morphological assessments within the Apalachia Cutoff Reach of the Hiwassee River.</w:t>
        </w:r>
        <w:r w:rsidRPr="00556347">
          <w:rPr>
            <w:rFonts w:ascii="Times New Roman" w:hAnsi="Times New Roman" w:cs="Times New Roman"/>
            <w:noProof/>
            <w:webHidden/>
          </w:rPr>
          <w:tab/>
        </w:r>
        <w:r w:rsidRPr="00556347">
          <w:rPr>
            <w:rFonts w:ascii="Times New Roman" w:hAnsi="Times New Roman" w:cs="Times New Roman"/>
            <w:noProof/>
            <w:webHidden/>
          </w:rPr>
          <w:fldChar w:fldCharType="begin"/>
        </w:r>
        <w:r w:rsidRPr="00556347">
          <w:rPr>
            <w:rFonts w:ascii="Times New Roman" w:hAnsi="Times New Roman" w:cs="Times New Roman"/>
            <w:noProof/>
            <w:webHidden/>
          </w:rPr>
          <w:instrText xml:space="preserve"> PAGEREF _Toc211656502 \h </w:instrText>
        </w:r>
        <w:r w:rsidRPr="00556347">
          <w:rPr>
            <w:rFonts w:ascii="Times New Roman" w:hAnsi="Times New Roman" w:cs="Times New Roman"/>
            <w:noProof/>
            <w:webHidden/>
          </w:rPr>
        </w:r>
        <w:r w:rsidRPr="00556347">
          <w:rPr>
            <w:rFonts w:ascii="Times New Roman" w:hAnsi="Times New Roman" w:cs="Times New Roman"/>
            <w:noProof/>
            <w:webHidden/>
          </w:rPr>
          <w:fldChar w:fldCharType="separate"/>
        </w:r>
        <w:r w:rsidRPr="00556347">
          <w:rPr>
            <w:rFonts w:ascii="Times New Roman" w:hAnsi="Times New Roman" w:cs="Times New Roman"/>
            <w:noProof/>
            <w:webHidden/>
          </w:rPr>
          <w:t>22</w:t>
        </w:r>
        <w:r w:rsidRPr="00556347">
          <w:rPr>
            <w:rFonts w:ascii="Times New Roman" w:hAnsi="Times New Roman" w:cs="Times New Roman"/>
            <w:noProof/>
            <w:webHidden/>
          </w:rPr>
          <w:fldChar w:fldCharType="end"/>
        </w:r>
      </w:hyperlink>
    </w:p>
    <w:p w14:paraId="30DBCBCA" w14:textId="28EB0379" w:rsidR="00556347" w:rsidRPr="00556347" w:rsidRDefault="00556347" w:rsidP="00556347">
      <w:pPr>
        <w:pStyle w:val="TableofFigures"/>
        <w:tabs>
          <w:tab w:val="right" w:leader="dot" w:pos="8630"/>
        </w:tabs>
        <w:spacing w:line="480" w:lineRule="auto"/>
        <w:rPr>
          <w:rFonts w:ascii="Times New Roman" w:eastAsiaTheme="minorEastAsia" w:hAnsi="Times New Roman" w:cs="Times New Roman"/>
          <w:noProof/>
          <w:kern w:val="2"/>
        </w:rPr>
      </w:pPr>
      <w:hyperlink w:anchor="_Toc211656503" w:history="1">
        <w:r w:rsidRPr="00556347">
          <w:rPr>
            <w:rStyle w:val="Hyperlink"/>
            <w:rFonts w:ascii="Times New Roman" w:hAnsi="Times New Roman" w:cs="Times New Roman"/>
            <w:noProof/>
          </w:rPr>
          <w:t>Table 2. Sampling Sites for Environmental DNA and RNA Data in the Apalachia Dam Cutoff Reach.</w:t>
        </w:r>
        <w:r w:rsidRPr="00556347">
          <w:rPr>
            <w:rFonts w:ascii="Times New Roman" w:hAnsi="Times New Roman" w:cs="Times New Roman"/>
            <w:noProof/>
            <w:webHidden/>
          </w:rPr>
          <w:tab/>
        </w:r>
        <w:r w:rsidRPr="00556347">
          <w:rPr>
            <w:rFonts w:ascii="Times New Roman" w:hAnsi="Times New Roman" w:cs="Times New Roman"/>
            <w:noProof/>
            <w:webHidden/>
          </w:rPr>
          <w:fldChar w:fldCharType="begin"/>
        </w:r>
        <w:r w:rsidRPr="00556347">
          <w:rPr>
            <w:rFonts w:ascii="Times New Roman" w:hAnsi="Times New Roman" w:cs="Times New Roman"/>
            <w:noProof/>
            <w:webHidden/>
          </w:rPr>
          <w:instrText xml:space="preserve"> PAGEREF _Toc211656503 \h </w:instrText>
        </w:r>
        <w:r w:rsidRPr="00556347">
          <w:rPr>
            <w:rFonts w:ascii="Times New Roman" w:hAnsi="Times New Roman" w:cs="Times New Roman"/>
            <w:noProof/>
            <w:webHidden/>
          </w:rPr>
        </w:r>
        <w:r w:rsidRPr="00556347">
          <w:rPr>
            <w:rFonts w:ascii="Times New Roman" w:hAnsi="Times New Roman" w:cs="Times New Roman"/>
            <w:noProof/>
            <w:webHidden/>
          </w:rPr>
          <w:fldChar w:fldCharType="separate"/>
        </w:r>
        <w:r w:rsidRPr="00556347">
          <w:rPr>
            <w:rFonts w:ascii="Times New Roman" w:hAnsi="Times New Roman" w:cs="Times New Roman"/>
            <w:noProof/>
            <w:webHidden/>
          </w:rPr>
          <w:t>26</w:t>
        </w:r>
        <w:r w:rsidRPr="00556347">
          <w:rPr>
            <w:rFonts w:ascii="Times New Roman" w:hAnsi="Times New Roman" w:cs="Times New Roman"/>
            <w:noProof/>
            <w:webHidden/>
          </w:rPr>
          <w:fldChar w:fldCharType="end"/>
        </w:r>
      </w:hyperlink>
    </w:p>
    <w:p w14:paraId="7B25E111" w14:textId="6A62D0B2" w:rsidR="00556347" w:rsidRPr="00556347" w:rsidRDefault="00556347" w:rsidP="00556347">
      <w:pPr>
        <w:pStyle w:val="TableofFigures"/>
        <w:tabs>
          <w:tab w:val="right" w:leader="dot" w:pos="8630"/>
        </w:tabs>
        <w:spacing w:line="480" w:lineRule="auto"/>
        <w:rPr>
          <w:rFonts w:ascii="Times New Roman" w:eastAsiaTheme="minorEastAsia" w:hAnsi="Times New Roman" w:cs="Times New Roman"/>
          <w:noProof/>
          <w:kern w:val="2"/>
        </w:rPr>
      </w:pPr>
      <w:hyperlink w:anchor="_Toc211656504" w:history="1">
        <w:r w:rsidRPr="00556347">
          <w:rPr>
            <w:rStyle w:val="Hyperlink"/>
            <w:rFonts w:ascii="Times New Roman" w:hAnsi="Times New Roman" w:cs="Times New Roman"/>
            <w:noProof/>
          </w:rPr>
          <w:t>Table 3. Primer sets used for fish and mussel metabarcoding, with target genes, sequences, amplicon sizes, and references.</w:t>
        </w:r>
        <w:r w:rsidRPr="00556347">
          <w:rPr>
            <w:rFonts w:ascii="Times New Roman" w:hAnsi="Times New Roman" w:cs="Times New Roman"/>
            <w:noProof/>
            <w:webHidden/>
          </w:rPr>
          <w:tab/>
        </w:r>
        <w:r w:rsidRPr="00556347">
          <w:rPr>
            <w:rFonts w:ascii="Times New Roman" w:hAnsi="Times New Roman" w:cs="Times New Roman"/>
            <w:noProof/>
            <w:webHidden/>
          </w:rPr>
          <w:fldChar w:fldCharType="begin"/>
        </w:r>
        <w:r w:rsidRPr="00556347">
          <w:rPr>
            <w:rFonts w:ascii="Times New Roman" w:hAnsi="Times New Roman" w:cs="Times New Roman"/>
            <w:noProof/>
            <w:webHidden/>
          </w:rPr>
          <w:instrText xml:space="preserve"> PAGEREF _Toc211656504 \h </w:instrText>
        </w:r>
        <w:r w:rsidRPr="00556347">
          <w:rPr>
            <w:rFonts w:ascii="Times New Roman" w:hAnsi="Times New Roman" w:cs="Times New Roman"/>
            <w:noProof/>
            <w:webHidden/>
          </w:rPr>
        </w:r>
        <w:r w:rsidRPr="00556347">
          <w:rPr>
            <w:rFonts w:ascii="Times New Roman" w:hAnsi="Times New Roman" w:cs="Times New Roman"/>
            <w:noProof/>
            <w:webHidden/>
          </w:rPr>
          <w:fldChar w:fldCharType="separate"/>
        </w:r>
        <w:r w:rsidRPr="00556347">
          <w:rPr>
            <w:rFonts w:ascii="Times New Roman" w:hAnsi="Times New Roman" w:cs="Times New Roman"/>
            <w:noProof/>
            <w:webHidden/>
          </w:rPr>
          <w:t>28</w:t>
        </w:r>
        <w:r w:rsidRPr="00556347">
          <w:rPr>
            <w:rFonts w:ascii="Times New Roman" w:hAnsi="Times New Roman" w:cs="Times New Roman"/>
            <w:noProof/>
            <w:webHidden/>
          </w:rPr>
          <w:fldChar w:fldCharType="end"/>
        </w:r>
      </w:hyperlink>
    </w:p>
    <w:p w14:paraId="77383D76" w14:textId="073962D7" w:rsidR="00556347" w:rsidRPr="00556347" w:rsidRDefault="00556347" w:rsidP="00556347">
      <w:pPr>
        <w:pStyle w:val="TableofFigures"/>
        <w:tabs>
          <w:tab w:val="right" w:leader="dot" w:pos="8630"/>
        </w:tabs>
        <w:spacing w:line="480" w:lineRule="auto"/>
        <w:rPr>
          <w:rFonts w:ascii="Times New Roman" w:eastAsiaTheme="minorEastAsia" w:hAnsi="Times New Roman" w:cs="Times New Roman"/>
          <w:noProof/>
          <w:kern w:val="2"/>
        </w:rPr>
      </w:pPr>
      <w:hyperlink w:anchor="_Toc211656505" w:history="1">
        <w:r w:rsidRPr="00556347">
          <w:rPr>
            <w:rStyle w:val="Hyperlink"/>
            <w:rFonts w:ascii="Times New Roman" w:hAnsi="Times New Roman" w:cs="Times New Roman"/>
            <w:noProof/>
          </w:rPr>
          <w:t>Table 4. Summary of sequencing read counts across positive samples in all metabarcoding libraries.</w:t>
        </w:r>
        <w:r w:rsidRPr="00556347">
          <w:rPr>
            <w:rFonts w:ascii="Times New Roman" w:hAnsi="Times New Roman" w:cs="Times New Roman"/>
            <w:noProof/>
            <w:webHidden/>
          </w:rPr>
          <w:tab/>
        </w:r>
        <w:r w:rsidRPr="00556347">
          <w:rPr>
            <w:rFonts w:ascii="Times New Roman" w:hAnsi="Times New Roman" w:cs="Times New Roman"/>
            <w:noProof/>
            <w:webHidden/>
          </w:rPr>
          <w:fldChar w:fldCharType="begin"/>
        </w:r>
        <w:r w:rsidRPr="00556347">
          <w:rPr>
            <w:rFonts w:ascii="Times New Roman" w:hAnsi="Times New Roman" w:cs="Times New Roman"/>
            <w:noProof/>
            <w:webHidden/>
          </w:rPr>
          <w:instrText xml:space="preserve"> PAGEREF _Toc211656505 \h </w:instrText>
        </w:r>
        <w:r w:rsidRPr="00556347">
          <w:rPr>
            <w:rFonts w:ascii="Times New Roman" w:hAnsi="Times New Roman" w:cs="Times New Roman"/>
            <w:noProof/>
            <w:webHidden/>
          </w:rPr>
        </w:r>
        <w:r w:rsidRPr="00556347">
          <w:rPr>
            <w:rFonts w:ascii="Times New Roman" w:hAnsi="Times New Roman" w:cs="Times New Roman"/>
            <w:noProof/>
            <w:webHidden/>
          </w:rPr>
          <w:fldChar w:fldCharType="separate"/>
        </w:r>
        <w:r w:rsidRPr="00556347">
          <w:rPr>
            <w:rFonts w:ascii="Times New Roman" w:hAnsi="Times New Roman" w:cs="Times New Roman"/>
            <w:noProof/>
            <w:webHidden/>
          </w:rPr>
          <w:t>38</w:t>
        </w:r>
        <w:r w:rsidRPr="00556347">
          <w:rPr>
            <w:rFonts w:ascii="Times New Roman" w:hAnsi="Times New Roman" w:cs="Times New Roman"/>
            <w:noProof/>
            <w:webHidden/>
          </w:rPr>
          <w:fldChar w:fldCharType="end"/>
        </w:r>
      </w:hyperlink>
    </w:p>
    <w:p w14:paraId="439AD479" w14:textId="4F2B5ADE" w:rsidR="00556347" w:rsidRPr="00556347" w:rsidRDefault="00556347" w:rsidP="00556347">
      <w:pPr>
        <w:pStyle w:val="TableofFigures"/>
        <w:tabs>
          <w:tab w:val="right" w:leader="dot" w:pos="8630"/>
        </w:tabs>
        <w:spacing w:line="480" w:lineRule="auto"/>
        <w:rPr>
          <w:rFonts w:ascii="Times New Roman" w:eastAsiaTheme="minorEastAsia" w:hAnsi="Times New Roman" w:cs="Times New Roman"/>
          <w:noProof/>
          <w:kern w:val="2"/>
        </w:rPr>
      </w:pPr>
      <w:hyperlink w:anchor="_Toc211656506" w:history="1">
        <w:r w:rsidRPr="00556347">
          <w:rPr>
            <w:rStyle w:val="Hyperlink"/>
            <w:rFonts w:ascii="Times New Roman" w:hAnsi="Times New Roman" w:cs="Times New Roman"/>
            <w:noProof/>
          </w:rPr>
          <w:t>Table 5. Results of envfit analyses for MiFish eDNA and eRNA NMDS ordinations. Shown are r² values and permutation p-values (999 permutations). Asterisks indicate significance: p &lt; 0.05 = *, p &lt; 0.01 = **, p ≤ 0.001 = ***</w:t>
        </w:r>
        <w:r w:rsidRPr="00556347">
          <w:rPr>
            <w:rFonts w:ascii="Times New Roman" w:hAnsi="Times New Roman" w:cs="Times New Roman"/>
            <w:noProof/>
            <w:webHidden/>
          </w:rPr>
          <w:tab/>
        </w:r>
        <w:r w:rsidRPr="00556347">
          <w:rPr>
            <w:rFonts w:ascii="Times New Roman" w:hAnsi="Times New Roman" w:cs="Times New Roman"/>
            <w:noProof/>
            <w:webHidden/>
          </w:rPr>
          <w:fldChar w:fldCharType="begin"/>
        </w:r>
        <w:r w:rsidRPr="00556347">
          <w:rPr>
            <w:rFonts w:ascii="Times New Roman" w:hAnsi="Times New Roman" w:cs="Times New Roman"/>
            <w:noProof/>
            <w:webHidden/>
          </w:rPr>
          <w:instrText xml:space="preserve"> PAGEREF _Toc211656506 \h </w:instrText>
        </w:r>
        <w:r w:rsidRPr="00556347">
          <w:rPr>
            <w:rFonts w:ascii="Times New Roman" w:hAnsi="Times New Roman" w:cs="Times New Roman"/>
            <w:noProof/>
            <w:webHidden/>
          </w:rPr>
        </w:r>
        <w:r w:rsidRPr="00556347">
          <w:rPr>
            <w:rFonts w:ascii="Times New Roman" w:hAnsi="Times New Roman" w:cs="Times New Roman"/>
            <w:noProof/>
            <w:webHidden/>
          </w:rPr>
          <w:fldChar w:fldCharType="separate"/>
        </w:r>
        <w:r w:rsidRPr="00556347">
          <w:rPr>
            <w:rFonts w:ascii="Times New Roman" w:hAnsi="Times New Roman" w:cs="Times New Roman"/>
            <w:noProof/>
            <w:webHidden/>
          </w:rPr>
          <w:t>42</w:t>
        </w:r>
        <w:r w:rsidRPr="00556347">
          <w:rPr>
            <w:rFonts w:ascii="Times New Roman" w:hAnsi="Times New Roman" w:cs="Times New Roman"/>
            <w:noProof/>
            <w:webHidden/>
          </w:rPr>
          <w:fldChar w:fldCharType="end"/>
        </w:r>
      </w:hyperlink>
    </w:p>
    <w:p w14:paraId="25D6027F" w14:textId="2293EB4F" w:rsidR="00556347" w:rsidRDefault="00556347" w:rsidP="00556347">
      <w:pPr>
        <w:pStyle w:val="TableofFigures"/>
        <w:tabs>
          <w:tab w:val="right" w:leader="dot" w:pos="8630"/>
        </w:tabs>
        <w:spacing w:line="480" w:lineRule="auto"/>
        <w:rPr>
          <w:rFonts w:asciiTheme="minorHAnsi" w:eastAsiaTheme="minorEastAsia" w:hAnsiTheme="minorHAnsi" w:cstheme="minorBidi"/>
          <w:noProof/>
          <w:kern w:val="2"/>
        </w:rPr>
      </w:pPr>
      <w:hyperlink w:anchor="_Toc211656507" w:history="1">
        <w:r w:rsidRPr="00556347">
          <w:rPr>
            <w:rStyle w:val="Hyperlink"/>
            <w:rFonts w:ascii="Times New Roman" w:hAnsi="Times New Roman" w:cs="Times New Roman"/>
            <w:noProof/>
          </w:rPr>
          <w:t>Table 6. Results of envfit analyses for COI and 16S NMDS ordinations. Shown are r² values and permutation p-values (999 permutations). Significance: * p &lt; 0.05; ** p &lt; 0.01; *** p ≤ 0.001.</w:t>
        </w:r>
        <w:r w:rsidRPr="00556347">
          <w:rPr>
            <w:rFonts w:ascii="Times New Roman" w:hAnsi="Times New Roman" w:cs="Times New Roman"/>
            <w:noProof/>
            <w:webHidden/>
          </w:rPr>
          <w:tab/>
        </w:r>
        <w:r w:rsidRPr="00556347">
          <w:rPr>
            <w:rFonts w:ascii="Times New Roman" w:hAnsi="Times New Roman" w:cs="Times New Roman"/>
            <w:noProof/>
            <w:webHidden/>
          </w:rPr>
          <w:fldChar w:fldCharType="begin"/>
        </w:r>
        <w:r w:rsidRPr="00556347">
          <w:rPr>
            <w:rFonts w:ascii="Times New Roman" w:hAnsi="Times New Roman" w:cs="Times New Roman"/>
            <w:noProof/>
            <w:webHidden/>
          </w:rPr>
          <w:instrText xml:space="preserve"> PAGEREF _Toc211656507 \h </w:instrText>
        </w:r>
        <w:r w:rsidRPr="00556347">
          <w:rPr>
            <w:rFonts w:ascii="Times New Roman" w:hAnsi="Times New Roman" w:cs="Times New Roman"/>
            <w:noProof/>
            <w:webHidden/>
          </w:rPr>
        </w:r>
        <w:r w:rsidRPr="00556347">
          <w:rPr>
            <w:rFonts w:ascii="Times New Roman" w:hAnsi="Times New Roman" w:cs="Times New Roman"/>
            <w:noProof/>
            <w:webHidden/>
          </w:rPr>
          <w:fldChar w:fldCharType="separate"/>
        </w:r>
        <w:r w:rsidRPr="00556347">
          <w:rPr>
            <w:rFonts w:ascii="Times New Roman" w:hAnsi="Times New Roman" w:cs="Times New Roman"/>
            <w:noProof/>
            <w:webHidden/>
          </w:rPr>
          <w:t>45</w:t>
        </w:r>
        <w:r w:rsidRPr="00556347">
          <w:rPr>
            <w:rFonts w:ascii="Times New Roman" w:hAnsi="Times New Roman" w:cs="Times New Roman"/>
            <w:noProof/>
            <w:webHidden/>
          </w:rPr>
          <w:fldChar w:fldCharType="end"/>
        </w:r>
      </w:hyperlink>
    </w:p>
    <w:p w14:paraId="7AAE5C1E" w14:textId="1E2A8221" w:rsidR="00324C32" w:rsidRPr="009D2AA9" w:rsidRDefault="00556347" w:rsidP="00324C3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r>
        <w:rPr>
          <w:rFonts w:ascii="Times New Roman" w:hAnsi="Times New Roman" w:cs="Times New Roman"/>
        </w:rPr>
        <w:fldChar w:fldCharType="end"/>
      </w:r>
    </w:p>
    <w:p w14:paraId="0E10EB67" w14:textId="77777777" w:rsidR="00324C32" w:rsidRPr="009D2AA9" w:rsidRDefault="00324C32" w:rsidP="00324C32">
      <w:pPr>
        <w:spacing w:line="2" w:lineRule="exact"/>
        <w:rPr>
          <w:rFonts w:ascii="Times New Roman" w:hAnsi="Times New Roman" w:cs="Times New Roman"/>
        </w:rPr>
      </w:pPr>
    </w:p>
    <w:p w14:paraId="3A2395AD" w14:textId="77777777" w:rsidR="00324C32" w:rsidRPr="009D2AA9" w:rsidRDefault="00324C32" w:rsidP="00324C32">
      <w:pPr>
        <w:spacing w:line="2" w:lineRule="exact"/>
        <w:rPr>
          <w:rFonts w:ascii="Times New Roman" w:hAnsi="Times New Roman" w:cs="Times New Roman"/>
        </w:rPr>
      </w:pPr>
    </w:p>
    <w:p w14:paraId="0231DDBA" w14:textId="77777777" w:rsidR="00324C32" w:rsidRPr="009D2AA9" w:rsidRDefault="00324C32" w:rsidP="00324C32">
      <w:pPr>
        <w:pStyle w:val="Level1"/>
        <w:tabs>
          <w:tab w:val="right" w:leader="dot" w:pos="8228"/>
        </w:tabs>
        <w:ind w:left="0"/>
        <w:rPr>
          <w:rFonts w:cs="Times New Roman"/>
          <w:b/>
          <w:bCs/>
        </w:rPr>
      </w:pPr>
    </w:p>
    <w:p w14:paraId="4E13CDCF" w14:textId="77777777" w:rsidR="00324C32" w:rsidRPr="00441DFB" w:rsidRDefault="00324C32" w:rsidP="00324C32">
      <w:pPr>
        <w:jc w:val="center"/>
        <w:rPr>
          <w:rFonts w:ascii="Times New Roman" w:hAnsi="Times New Roman" w:cs="Times New Roman"/>
          <w:b/>
        </w:rPr>
      </w:pPr>
      <w:r w:rsidRPr="009D2AA9">
        <w:rPr>
          <w:rFonts w:ascii="Times New Roman" w:hAnsi="Times New Roman" w:cs="Times New Roman"/>
        </w:rPr>
        <w:br w:type="page"/>
      </w:r>
      <w:r w:rsidRPr="009D2AA9">
        <w:rPr>
          <w:rFonts w:ascii="Times New Roman" w:hAnsi="Times New Roman" w:cs="Times New Roman"/>
          <w:b/>
        </w:rPr>
        <w:lastRenderedPageBreak/>
        <w:t>LIST OF FIGURES</w:t>
      </w:r>
    </w:p>
    <w:p w14:paraId="68CB629A" w14:textId="77777777" w:rsidR="00324C32" w:rsidRPr="009D2AA9" w:rsidRDefault="00324C32" w:rsidP="00324C3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7F5943B3" w14:textId="57492163"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r>
        <w:rPr>
          <w:rFonts w:ascii="Times New Roman" w:hAnsi="Times New Roman" w:cs="Times New Roman"/>
        </w:rPr>
        <w:fldChar w:fldCharType="begin"/>
      </w:r>
      <w:r>
        <w:rPr>
          <w:rFonts w:ascii="Times New Roman" w:hAnsi="Times New Roman" w:cs="Times New Roman"/>
        </w:rPr>
        <w:instrText xml:space="preserve"> TOC \h \z \c "Figure" </w:instrText>
      </w:r>
      <w:r>
        <w:rPr>
          <w:rFonts w:ascii="Times New Roman" w:hAnsi="Times New Roman" w:cs="Times New Roman"/>
        </w:rPr>
        <w:fldChar w:fldCharType="separate"/>
      </w:r>
      <w:hyperlink w:anchor="_Toc211656145" w:history="1">
        <w:r w:rsidRPr="00257BC4">
          <w:rPr>
            <w:rStyle w:val="Hyperlink"/>
            <w:rFonts w:ascii="Times New Roman" w:hAnsi="Times New Roman" w:cs="Times New Roman"/>
            <w:noProof/>
            <w14:ligatures w14:val="none"/>
          </w:rPr>
          <w:t>Figure 1. Sites of environmental DNA/RNA (eDNA/RNA) sampling and morphological surveys in the Apalachia Cutoff Reach. Photo credit for the Apalachia Powerhouse: Alan Cressler (Flickr), used with permission. Photo credit for the dam: Tennessee Valley Authority (TVA) website.</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_Toc211656145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25</w:t>
        </w:r>
        <w:r w:rsidRPr="00257BC4">
          <w:rPr>
            <w:rStyle w:val="Hyperlink"/>
            <w:rFonts w:ascii="Times New Roman" w:hAnsi="Times New Roman"/>
            <w:webHidden/>
            <w14:ligatures w14:val="none"/>
          </w:rPr>
          <w:fldChar w:fldCharType="end"/>
        </w:r>
      </w:hyperlink>
    </w:p>
    <w:p w14:paraId="1E871BEC" w14:textId="39743909"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46" w:history="1">
        <w:r w:rsidRPr="00257BC4">
          <w:rPr>
            <w:rStyle w:val="Hyperlink"/>
            <w:rFonts w:ascii="Times New Roman" w:hAnsi="Times New Roman" w:cs="Times New Roman"/>
            <w:noProof/>
            <w14:ligatures w14:val="none"/>
          </w:rPr>
          <w:t>Figure 2. Spatial variation in water chemistry parameters along the Apalachia Cutoff Reach mainstem.</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_Toc211656146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37</w:t>
        </w:r>
        <w:r w:rsidRPr="00257BC4">
          <w:rPr>
            <w:rStyle w:val="Hyperlink"/>
            <w:rFonts w:ascii="Times New Roman" w:hAnsi="Times New Roman"/>
            <w:webHidden/>
            <w14:ligatures w14:val="none"/>
          </w:rPr>
          <w:fldChar w:fldCharType="end"/>
        </w:r>
      </w:hyperlink>
    </w:p>
    <w:p w14:paraId="4046E3CF" w14:textId="7D7A3C52"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47" w:history="1">
        <w:r w:rsidRPr="00257BC4">
          <w:rPr>
            <w:rStyle w:val="Hyperlink"/>
            <w:rFonts w:ascii="Times New Roman" w:hAnsi="Times New Roman" w:cs="Times New Roman"/>
            <w:noProof/>
            <w14:ligatures w14:val="none"/>
          </w:rPr>
          <w:t>Figure 3. Comparison of fish species detected across methods in the Apalachia Cutoff Reach.</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_Toc211656147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39</w:t>
        </w:r>
        <w:r w:rsidRPr="00257BC4">
          <w:rPr>
            <w:rStyle w:val="Hyperlink"/>
            <w:rFonts w:ascii="Times New Roman" w:hAnsi="Times New Roman"/>
            <w:webHidden/>
            <w14:ligatures w14:val="none"/>
          </w:rPr>
          <w:fldChar w:fldCharType="end"/>
        </w:r>
      </w:hyperlink>
    </w:p>
    <w:p w14:paraId="7A9E4314" w14:textId="3C0D3C8E"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48" w:history="1">
        <w:r w:rsidRPr="00257BC4">
          <w:rPr>
            <w:rStyle w:val="Hyperlink"/>
            <w:rFonts w:ascii="Times New Roman" w:hAnsi="Times New Roman" w:cs="Times New Roman"/>
            <w:noProof/>
            <w14:ligatures w14:val="none"/>
          </w:rPr>
          <w:t>Figure 4. Bubble heat maps showing fish species composition and relative abundance across sampling sites in the Apalachia Cutoff Reach. (A) eDNA and (B) eRNA datasets generated using the MiFish-U 12S primers. Bubble size represents proportional read abundance (%) of each taxon within sites, illustrating spatial variation and compositional differences between molecular fractions.</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_Toc211656148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40</w:t>
        </w:r>
        <w:r w:rsidRPr="00257BC4">
          <w:rPr>
            <w:rStyle w:val="Hyperlink"/>
            <w:rFonts w:ascii="Times New Roman" w:hAnsi="Times New Roman"/>
            <w:webHidden/>
            <w14:ligatures w14:val="none"/>
          </w:rPr>
          <w:fldChar w:fldCharType="end"/>
        </w:r>
      </w:hyperlink>
    </w:p>
    <w:p w14:paraId="24805007" w14:textId="35F12D97"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49" w:history="1">
        <w:r w:rsidRPr="00257BC4">
          <w:rPr>
            <w:rStyle w:val="Hyperlink"/>
            <w:rFonts w:ascii="Times New Roman" w:hAnsi="Times New Roman" w:cs="Times New Roman"/>
            <w:noProof/>
            <w14:ligatures w14:val="none"/>
          </w:rPr>
          <w:t>Figure 5. NMDS ordinations showing fish community composition derived from eDNA and eRNA data.</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_Toc211656149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41</w:t>
        </w:r>
        <w:r w:rsidRPr="00257BC4">
          <w:rPr>
            <w:rStyle w:val="Hyperlink"/>
            <w:rFonts w:ascii="Times New Roman" w:hAnsi="Times New Roman"/>
            <w:webHidden/>
            <w14:ligatures w14:val="none"/>
          </w:rPr>
          <w:fldChar w:fldCharType="end"/>
        </w:r>
      </w:hyperlink>
    </w:p>
    <w:p w14:paraId="698AD676" w14:textId="3709C1D8"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50" w:history="1">
        <w:r w:rsidRPr="00257BC4">
          <w:rPr>
            <w:rStyle w:val="Hyperlink"/>
            <w:rFonts w:ascii="Times New Roman" w:hAnsi="Times New Roman" w:cs="Times New Roman"/>
            <w:noProof/>
            <w14:ligatures w14:val="none"/>
          </w:rPr>
          <w:t>Figure 6. Comparison of mussel species detections across methods. (A) Number of unique species detected by COI, 16S, and 2023 morphological surveys (MS). (B) Venn diagram showing species overlap among methods.</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_Toc211656150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43</w:t>
        </w:r>
        <w:r w:rsidRPr="00257BC4">
          <w:rPr>
            <w:rStyle w:val="Hyperlink"/>
            <w:rFonts w:ascii="Times New Roman" w:hAnsi="Times New Roman"/>
            <w:webHidden/>
            <w14:ligatures w14:val="none"/>
          </w:rPr>
          <w:fldChar w:fldCharType="end"/>
        </w:r>
      </w:hyperlink>
    </w:p>
    <w:p w14:paraId="0E52565F" w14:textId="1A7CEF05"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51" w:history="1">
        <w:r w:rsidRPr="00257BC4">
          <w:rPr>
            <w:rStyle w:val="Hyperlink"/>
            <w:rFonts w:ascii="Times New Roman" w:hAnsi="Times New Roman" w:cs="Times New Roman"/>
            <w:noProof/>
            <w14:ligatures w14:val="none"/>
          </w:rPr>
          <w:t>Figure 7. Combined NMDS ordination showing mussel community composition derived from COI and 16S eDNA data.</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_Toc211656151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44</w:t>
        </w:r>
        <w:r w:rsidRPr="00257BC4">
          <w:rPr>
            <w:rStyle w:val="Hyperlink"/>
            <w:rFonts w:ascii="Times New Roman" w:hAnsi="Times New Roman"/>
            <w:webHidden/>
            <w14:ligatures w14:val="none"/>
          </w:rPr>
          <w:fldChar w:fldCharType="end"/>
        </w:r>
      </w:hyperlink>
    </w:p>
    <w:p w14:paraId="07C82467" w14:textId="4747008A"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52" w:history="1">
        <w:r w:rsidRPr="00257BC4">
          <w:rPr>
            <w:rStyle w:val="Hyperlink"/>
            <w:rFonts w:ascii="Times New Roman" w:hAnsi="Times New Roman" w:cs="Times New Roman"/>
            <w:noProof/>
            <w14:ligatures w14:val="none"/>
          </w:rPr>
          <w:t>Figure 8. Historical and contemporary mussel detections in the Hiwassee River. Tile plot showing species recorded across historical surveys (1918–2016), the 2023 morphological survey (MS), and eDNA metabarcoding results from COI and 16S markers.</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_Toc211656152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46</w:t>
        </w:r>
        <w:r w:rsidRPr="00257BC4">
          <w:rPr>
            <w:rStyle w:val="Hyperlink"/>
            <w:rFonts w:ascii="Times New Roman" w:hAnsi="Times New Roman"/>
            <w:webHidden/>
            <w14:ligatures w14:val="none"/>
          </w:rPr>
          <w:fldChar w:fldCharType="end"/>
        </w:r>
      </w:hyperlink>
    </w:p>
    <w:p w14:paraId="24292523" w14:textId="52236D63"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53" w:history="1">
        <w:r w:rsidRPr="00257BC4">
          <w:rPr>
            <w:rStyle w:val="Hyperlink"/>
            <w:rFonts w:ascii="Times New Roman" w:hAnsi="Times New Roman" w:cs="Times New Roman"/>
            <w:noProof/>
            <w14:ligatures w14:val="none"/>
          </w:rPr>
          <w:t>Figure 9. eDNA-based detection of mussel species across sites using (A) COI and (B) 16S markers.</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_Toc211656153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47</w:t>
        </w:r>
        <w:r w:rsidRPr="00257BC4">
          <w:rPr>
            <w:rStyle w:val="Hyperlink"/>
            <w:rFonts w:ascii="Times New Roman" w:hAnsi="Times New Roman"/>
            <w:webHidden/>
            <w14:ligatures w14:val="none"/>
          </w:rPr>
          <w:fldChar w:fldCharType="end"/>
        </w:r>
      </w:hyperlink>
    </w:p>
    <w:p w14:paraId="59827F83" w14:textId="09A8CB10" w:rsidR="00D65F84" w:rsidRPr="00257BC4" w:rsidRDefault="00D65F84" w:rsidP="00556347">
      <w:pPr>
        <w:pStyle w:val="TableofFigures"/>
        <w:tabs>
          <w:tab w:val="right" w:leader="dot" w:pos="8630"/>
        </w:tabs>
        <w:spacing w:line="480" w:lineRule="auto"/>
        <w:rPr>
          <w:rStyle w:val="Hyperlink"/>
          <w:rFonts w:ascii="Times New Roman" w:hAnsi="Times New Roman"/>
          <w14:ligatures w14:val="none"/>
        </w:rPr>
      </w:pPr>
      <w:hyperlink w:anchor="_Toc211656154" w:history="1">
        <w:r w:rsidRPr="00257BC4">
          <w:rPr>
            <w:rStyle w:val="Hyperlink"/>
            <w:rFonts w:ascii="Times New Roman" w:hAnsi="Times New Roman" w:cs="Times New Roman"/>
            <w:noProof/>
            <w14:ligatures w14:val="none"/>
          </w:rPr>
          <w:t>Figure 10. Detection of Eastern Hellbender (Cryptobranchus alleganiensis alleganiensis) across sampling sites in the Apalachia Cutoff Reach. (A) Proportion of eDNA replicates showing positive amplification, distinguishing detections above (≥ LoD) and below the limit of detection. (B) Proportion of eRNA replicates showing positive amplification using the same Cytb assay.</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_Toc211656154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48</w:t>
        </w:r>
        <w:r w:rsidRPr="00257BC4">
          <w:rPr>
            <w:rStyle w:val="Hyperlink"/>
            <w:rFonts w:ascii="Times New Roman" w:hAnsi="Times New Roman"/>
            <w:webHidden/>
            <w14:ligatures w14:val="none"/>
          </w:rPr>
          <w:fldChar w:fldCharType="end"/>
        </w:r>
      </w:hyperlink>
    </w:p>
    <w:p w14:paraId="7E62AF95" w14:textId="54A22CB6" w:rsidR="00D65F84" w:rsidRPr="00D07729" w:rsidRDefault="00D65F84" w:rsidP="00556347">
      <w:pPr>
        <w:pStyle w:val="TableofFigures"/>
        <w:tabs>
          <w:tab w:val="right" w:leader="dot" w:pos="8630"/>
        </w:tabs>
        <w:spacing w:line="480" w:lineRule="auto"/>
        <w:rPr>
          <w:rFonts w:ascii="Times New Roman" w:eastAsiaTheme="minorEastAsia" w:hAnsi="Times New Roman" w:cs="Times New Roman"/>
          <w:noProof/>
          <w:kern w:val="2"/>
        </w:rPr>
      </w:pPr>
      <w:hyperlink w:anchor="_Toc211656155" w:history="1">
        <w:r w:rsidRPr="00257BC4">
          <w:rPr>
            <w:rStyle w:val="Hyperlink"/>
            <w:rFonts w:ascii="Times New Roman" w:hAnsi="Times New Roman" w:cs="Times New Roman"/>
            <w:noProof/>
            <w14:ligatures w14:val="none"/>
          </w:rPr>
          <w:t>Figure 11. Percentage of Hellbender CytB eDNA detection along the Apalachia Cutoff Reach.</w:t>
        </w:r>
        <w:r w:rsidRPr="00257BC4">
          <w:rPr>
            <w:rStyle w:val="Hyperlink"/>
            <w:rFonts w:ascii="Times New Roman" w:hAnsi="Times New Roman"/>
            <w:webHidden/>
            <w14:ligatures w14:val="none"/>
          </w:rPr>
          <w:tab/>
        </w:r>
        <w:r w:rsidRPr="00257BC4">
          <w:rPr>
            <w:rStyle w:val="Hyperlink"/>
            <w:rFonts w:ascii="Times New Roman" w:hAnsi="Times New Roman"/>
            <w:webHidden/>
            <w14:ligatures w14:val="none"/>
          </w:rPr>
          <w:fldChar w:fldCharType="begin"/>
        </w:r>
        <w:r w:rsidRPr="00257BC4">
          <w:rPr>
            <w:rStyle w:val="Hyperlink"/>
            <w:rFonts w:ascii="Times New Roman" w:hAnsi="Times New Roman"/>
            <w:webHidden/>
            <w14:ligatures w14:val="none"/>
          </w:rPr>
          <w:instrText xml:space="preserve"> PAGEREF _Toc211656155 \h </w:instrText>
        </w:r>
        <w:r w:rsidRPr="00257BC4">
          <w:rPr>
            <w:rStyle w:val="Hyperlink"/>
            <w:rFonts w:ascii="Times New Roman" w:hAnsi="Times New Roman"/>
            <w:webHidden/>
            <w14:ligatures w14:val="none"/>
          </w:rPr>
        </w:r>
        <w:r w:rsidRPr="00257BC4">
          <w:rPr>
            <w:rStyle w:val="Hyperlink"/>
            <w:rFonts w:ascii="Times New Roman" w:hAnsi="Times New Roman"/>
            <w:webHidden/>
            <w14:ligatures w14:val="none"/>
          </w:rPr>
          <w:fldChar w:fldCharType="separate"/>
        </w:r>
        <w:r w:rsidRPr="00257BC4">
          <w:rPr>
            <w:rStyle w:val="Hyperlink"/>
            <w:rFonts w:ascii="Times New Roman" w:hAnsi="Times New Roman"/>
            <w:webHidden/>
            <w14:ligatures w14:val="none"/>
          </w:rPr>
          <w:t>50</w:t>
        </w:r>
        <w:r w:rsidRPr="00257BC4">
          <w:rPr>
            <w:rStyle w:val="Hyperlink"/>
            <w:rFonts w:ascii="Times New Roman" w:hAnsi="Times New Roman"/>
            <w:webHidden/>
            <w14:ligatures w14:val="none"/>
          </w:rPr>
          <w:fldChar w:fldCharType="end"/>
        </w:r>
      </w:hyperlink>
    </w:p>
    <w:p w14:paraId="56A4ECD1" w14:textId="2AF6F605" w:rsidR="00324C32" w:rsidRPr="009D2AA9" w:rsidRDefault="00D65F84" w:rsidP="00556347">
      <w:pPr>
        <w:numPr>
          <w:ilvl w:val="12"/>
          <w:numId w:val="0"/>
        </w:numPr>
        <w:spacing w:line="480" w:lineRule="auto"/>
        <w:rPr>
          <w:rFonts w:ascii="Times New Roman" w:hAnsi="Times New Roman" w:cs="Times New Roman"/>
        </w:rPr>
        <w:sectPr w:rsidR="00324C32" w:rsidRPr="009D2AA9" w:rsidSect="00324C32">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Pr>
          <w:rFonts w:ascii="Times New Roman" w:hAnsi="Times New Roman" w:cs="Times New Roman"/>
        </w:rPr>
        <w:fldChar w:fldCharType="end"/>
      </w:r>
    </w:p>
    <w:p w14:paraId="101E0225" w14:textId="56F40071" w:rsidR="00324C32" w:rsidRPr="00992EBD" w:rsidRDefault="00324C32" w:rsidP="00324C32">
      <w:pPr>
        <w:pStyle w:val="Heading1"/>
        <w:numPr>
          <w:ilvl w:val="0"/>
          <w:numId w:val="4"/>
        </w:numPr>
      </w:pPr>
      <w:bookmarkStart w:id="1" w:name="_Toc420995890"/>
      <w:bookmarkStart w:id="2" w:name="_Toc422997477"/>
      <w:r w:rsidRPr="00992EBD">
        <w:lastRenderedPageBreak/>
        <w:br/>
      </w:r>
      <w:bookmarkStart w:id="3" w:name="_Toc211651606"/>
      <w:bookmarkEnd w:id="1"/>
      <w:bookmarkEnd w:id="2"/>
      <w:r w:rsidR="00F57A3F">
        <w:t>Literature Review</w:t>
      </w:r>
      <w:bookmarkEnd w:id="3"/>
    </w:p>
    <w:p w14:paraId="2EFE72B7" w14:textId="61411609" w:rsidR="009618AF" w:rsidRPr="009618AF" w:rsidRDefault="00012D14" w:rsidP="002510DC">
      <w:pPr>
        <w:pStyle w:val="Heading2"/>
      </w:pPr>
      <w:bookmarkStart w:id="4" w:name="_Toc420995891"/>
      <w:bookmarkStart w:id="5" w:name="_Toc422997478"/>
      <w:bookmarkStart w:id="6" w:name="_Toc427156461"/>
      <w:bookmarkStart w:id="7" w:name="_Toc211651607"/>
      <w:r w:rsidRPr="00012D14">
        <w:t>Importance of Biodiversity Monitoring in Freshwater Ecosystems</w:t>
      </w:r>
      <w:bookmarkEnd w:id="4"/>
      <w:bookmarkEnd w:id="5"/>
      <w:bookmarkEnd w:id="6"/>
      <w:bookmarkEnd w:id="7"/>
    </w:p>
    <w:p w14:paraId="6EE032D4" w14:textId="77777777" w:rsidR="00012D14" w:rsidRPr="00012D14" w:rsidRDefault="00012D14" w:rsidP="00774941">
      <w:pPr>
        <w:pStyle w:val="normale"/>
      </w:pPr>
      <w:r w:rsidRPr="00012D14">
        <w:t>Freshwater ecosystems face disproportionately severe threats compared to terrestrial and marine environments, with biodiversity declining at rates up to five times faster than in other biomes (Ricciardi &amp; Rasmussen, 1999; WWF, 2016). Effective freshwater biodiversity monitoring is hence essential to provide accurate detections of changes in aquatic species distribution and abundance, allowing for prompt conservation interventions (Albert et al., 2021; Sayer et al., 2025). This need has become increasingly urgent given the unprecedented scale of anthropogenic modifications affecting freshwater habitats worldwide (Dudgeon, 2019; Reid et al., 2019).</w:t>
      </w:r>
    </w:p>
    <w:p w14:paraId="7178D346" w14:textId="5AA434FA" w:rsidR="00324C32" w:rsidRPr="009D2AA9" w:rsidRDefault="00012D14" w:rsidP="009618AF">
      <w:pPr>
        <w:pStyle w:val="normale"/>
      </w:pPr>
      <w:r w:rsidRPr="00012D14">
        <w:t xml:space="preserve">Hydropower development is among the most significant drivers of freshwater habitat modification globally, as dam construction and reservoir impoundment substantially disrupt natural flow regimes, sediment transport, water quality, and habitat connectivity (Chen et al., 2023; Wu et al., 2019). These alterations result in fragmented aquatic populations, reduced access to critical spawning and feeding habitats, and changes in community composition across multiple taxonomic groups such as freshwater mussels and migratory fishes (Liermann et al., 2012), among others. In response, comprehensive biomonitoring in hydropower facilities is increasingly mandated as part of environmental impact assessments (EIAs), which are required by regulatory agencies to ensure compliance with environmental mitigation measures and license conditions (Morgan, 2012).  With the urgent global need to balance renewable energy development with </w:t>
      </w:r>
      <w:r w:rsidRPr="00012D14">
        <w:lastRenderedPageBreak/>
        <w:t>biodiversity conservation to achieve truly sustainable and green energy (Bogdanov et al., 2019), robust and sensitive monitoring strategies have become critical for detecting ecological responses and guiding sustainable hydropower management practices.</w:t>
      </w:r>
      <w:r w:rsidR="00324C32">
        <w:t xml:space="preserve"> </w:t>
      </w:r>
    </w:p>
    <w:p w14:paraId="7DC662F3" w14:textId="452C469A" w:rsidR="002510DC" w:rsidRPr="002510DC" w:rsidRDefault="00ED2E43" w:rsidP="005C669A">
      <w:pPr>
        <w:pStyle w:val="Heading2"/>
      </w:pPr>
      <w:bookmarkStart w:id="8" w:name="_Toc420995892"/>
      <w:bookmarkStart w:id="9" w:name="_Toc422997479"/>
      <w:bookmarkStart w:id="10" w:name="_Toc427156462"/>
      <w:bookmarkStart w:id="11" w:name="_Toc211651608"/>
      <w:r>
        <w:t xml:space="preserve">Limitations </w:t>
      </w:r>
      <w:r w:rsidR="00977010" w:rsidRPr="00F86BEB">
        <w:t>of Conventional Biodiversity Monitoring Approaches</w:t>
      </w:r>
      <w:bookmarkEnd w:id="8"/>
      <w:bookmarkEnd w:id="9"/>
      <w:bookmarkEnd w:id="10"/>
      <w:bookmarkEnd w:id="11"/>
    </w:p>
    <w:p w14:paraId="69A5DC4B" w14:textId="3E4B86CE" w:rsidR="00D40CE9" w:rsidRPr="00D40CE9" w:rsidRDefault="00D40CE9" w:rsidP="00D40CE9">
      <w:pPr>
        <w:numPr>
          <w:ilvl w:val="12"/>
          <w:numId w:val="0"/>
        </w:numPr>
        <w:spacing w:line="480" w:lineRule="auto"/>
        <w:rPr>
          <w:rFonts w:ascii="Times New Roman" w:hAnsi="Times New Roman" w:cs="Times New Roman"/>
        </w:rPr>
      </w:pPr>
      <w:r w:rsidRPr="00D40CE9">
        <w:rPr>
          <w:rFonts w:ascii="Times New Roman" w:hAnsi="Times New Roman" w:cs="Times New Roman"/>
        </w:rPr>
        <w:t>Conventional survey methods for aquatic macroorganisms face substantial limitations that reduce their effectiveness for comprehensive biodiversity monitoring. These approaches typically rely on capturing and handling individuals for morphological identification, which can disrupt sensitive habitats and cause unwanted mortality, which is particularly problematic when surveying endangered species</w:t>
      </w:r>
      <w:r w:rsidR="006557C7">
        <w:rPr>
          <w:rFonts w:ascii="Times New Roman" w:hAnsi="Times New Roman" w:cs="Times New Roman"/>
        </w:rPr>
        <w:t xml:space="preserve"> </w:t>
      </w:r>
      <w:r w:rsidRPr="00D40CE9">
        <w:rPr>
          <w:rFonts w:ascii="Times New Roman" w:hAnsi="Times New Roman" w:cs="Times New Roman"/>
        </w:rPr>
        <w:t xml:space="preserve"> (Holubová et al., 2025; Jewell, 2013; Pollard et al., 2022). Gear selectivity also introduces systematic biases, as different equipment may preferentially capture certain species, sizes, or behavioral types while missing others, leading to incomplete community assessments (Fujii et al., 2019; Kubecka et al., 2009; Shelton et al., 2016). In large and deep river systems, no single method can reliably sample all habitats, leaving significant spatial gaps in biodiversity data (</w:t>
      </w:r>
      <w:proofErr w:type="spellStart"/>
      <w:r w:rsidRPr="00D40CE9">
        <w:rPr>
          <w:rFonts w:ascii="Times New Roman" w:hAnsi="Times New Roman" w:cs="Times New Roman"/>
        </w:rPr>
        <w:t>Goffaux</w:t>
      </w:r>
      <w:proofErr w:type="spellEnd"/>
      <w:r w:rsidRPr="00D40CE9">
        <w:rPr>
          <w:rFonts w:ascii="Times New Roman" w:hAnsi="Times New Roman" w:cs="Times New Roman"/>
        </w:rPr>
        <w:t>, 2005; Zajicek &amp; Wolter, 2018).</w:t>
      </w:r>
    </w:p>
    <w:p w14:paraId="1B0114B2" w14:textId="77777777" w:rsidR="00D40CE9" w:rsidRPr="00D40CE9" w:rsidRDefault="00D40CE9" w:rsidP="00D40CE9">
      <w:pPr>
        <w:numPr>
          <w:ilvl w:val="12"/>
          <w:numId w:val="0"/>
        </w:numPr>
        <w:spacing w:line="480" w:lineRule="auto"/>
        <w:rPr>
          <w:rFonts w:ascii="Times New Roman" w:hAnsi="Times New Roman" w:cs="Times New Roman"/>
        </w:rPr>
      </w:pPr>
      <w:r w:rsidRPr="00D40CE9">
        <w:rPr>
          <w:rFonts w:ascii="Times New Roman" w:hAnsi="Times New Roman" w:cs="Times New Roman"/>
        </w:rPr>
        <w:t xml:space="preserve">Taxonomic identification further challenges the reliability of conventional monitoring programs. Observer error is very common, as researchers vary in their morphological expertise and interpretation of diagnostic traits (Barata et al., 2017; Lotz &amp; Allen, 2007). The problem intensifies when addressing highly diverse taxonomic groups such as aquatic invertebrates, with over 1.25 million species documented globally and many lacking adequate morphological reference data (Eisenhauer &amp; Hines, 2021). Additionally, closely related taxa can lack clear distinguishing features, while larval stages differ </w:t>
      </w:r>
      <w:r w:rsidRPr="00D40CE9">
        <w:rPr>
          <w:rFonts w:ascii="Times New Roman" w:hAnsi="Times New Roman" w:cs="Times New Roman"/>
        </w:rPr>
        <w:lastRenderedPageBreak/>
        <w:t>drastically from adult forms, making identification particularly challenging (Thomsen &amp; Willerslev, 2015). Many aquatic organisms also undergo multiple life stages with detectability that varies across seasons and environmental conditions, creating temporal biases in survey results (</w:t>
      </w:r>
      <w:proofErr w:type="spellStart"/>
      <w:r w:rsidRPr="00D40CE9">
        <w:rPr>
          <w:rFonts w:ascii="Times New Roman" w:hAnsi="Times New Roman" w:cs="Times New Roman"/>
        </w:rPr>
        <w:t>Wikston</w:t>
      </w:r>
      <w:proofErr w:type="spellEnd"/>
      <w:r w:rsidRPr="00D40CE9">
        <w:rPr>
          <w:rFonts w:ascii="Times New Roman" w:hAnsi="Times New Roman" w:cs="Times New Roman"/>
        </w:rPr>
        <w:t xml:space="preserve"> et al., 2023).</w:t>
      </w:r>
    </w:p>
    <w:p w14:paraId="703F1E7E" w14:textId="77777777" w:rsidR="00D40CE9" w:rsidRPr="000E7BAA" w:rsidRDefault="00D40CE9" w:rsidP="000E7BAA">
      <w:pPr>
        <w:pStyle w:val="normale"/>
      </w:pPr>
      <w:r w:rsidRPr="000E7BAA">
        <w:t>Beyond these technical obstacles, conventional methods face practical constraints that limit their long-term sustainability. They are often costly, labor-intensive, and time-consuming, as well as requiring niche taxonomic expertise (Hopkins &amp; Freckleton, 2002; Wheeler et al., 2004). Detecting rare or cryptic species remains especially unreliable and is further constrained by the fact that morphological identifications cannot be revisited in most cases (</w:t>
      </w:r>
      <w:proofErr w:type="spellStart"/>
      <w:r w:rsidRPr="000E7BAA">
        <w:t>MacKenzie</w:t>
      </w:r>
      <w:proofErr w:type="spellEnd"/>
      <w:r w:rsidRPr="000E7BAA">
        <w:t xml:space="preserve"> et al., 2005). Taken together, these limitations mean that conventional survey methods alone are insufficient to meet the growing demand for efficient, accurate, and systematic monitoring of aquatic biodiversity (Pawlowski et al., 2020).</w:t>
      </w:r>
    </w:p>
    <w:p w14:paraId="08FA06BA" w14:textId="444FC9E1" w:rsidR="00324C32" w:rsidRPr="000E7BAA" w:rsidRDefault="00AC074D" w:rsidP="002510DC">
      <w:pPr>
        <w:pStyle w:val="Heading2"/>
      </w:pPr>
      <w:bookmarkStart w:id="12" w:name="_Toc420995895"/>
      <w:bookmarkStart w:id="13" w:name="_Toc422997482"/>
      <w:bookmarkStart w:id="14" w:name="_Toc427156465"/>
      <w:bookmarkStart w:id="15" w:name="_Toc211651609"/>
      <w:r w:rsidRPr="000E7BAA">
        <w:t xml:space="preserve">The </w:t>
      </w:r>
      <w:r w:rsidR="008F74EC" w:rsidRPr="000E7BAA">
        <w:t>E</w:t>
      </w:r>
      <w:r w:rsidRPr="000E7BAA">
        <w:t xml:space="preserve">volution of </w:t>
      </w:r>
      <w:r w:rsidR="008F74EC" w:rsidRPr="000E7BAA">
        <w:t>M</w:t>
      </w:r>
      <w:r w:rsidRPr="000E7BAA">
        <w:t xml:space="preserve">olecular </w:t>
      </w:r>
      <w:r w:rsidR="008F74EC" w:rsidRPr="000E7BAA">
        <w:t>T</w:t>
      </w:r>
      <w:r w:rsidRPr="000E7BAA">
        <w:t xml:space="preserve">axonomic </w:t>
      </w:r>
      <w:r w:rsidR="008F74EC" w:rsidRPr="000E7BAA">
        <w:t>I</w:t>
      </w:r>
      <w:r w:rsidRPr="000E7BAA">
        <w:t xml:space="preserve">dentification </w:t>
      </w:r>
      <w:r w:rsidR="008F74EC" w:rsidRPr="000E7BAA">
        <w:t>M</w:t>
      </w:r>
      <w:r w:rsidRPr="000E7BAA">
        <w:t>ethods</w:t>
      </w:r>
      <w:bookmarkEnd w:id="12"/>
      <w:bookmarkEnd w:id="13"/>
      <w:bookmarkEnd w:id="14"/>
      <w:bookmarkEnd w:id="15"/>
    </w:p>
    <w:p w14:paraId="2A180D65" w14:textId="29C13843" w:rsidR="005D0E17" w:rsidRDefault="005D0E17" w:rsidP="000E7BAA">
      <w:pPr>
        <w:pStyle w:val="normale"/>
      </w:pPr>
      <w:r w:rsidRPr="005D0E17">
        <w:t>The development of DNA barcoding has transformed biodiversity assessment by providing a rapid, reproducible, and broadly applicable molecular tool for species identification (</w:t>
      </w:r>
      <w:proofErr w:type="spellStart"/>
      <w:r w:rsidRPr="005D0E17">
        <w:t>Tournayre</w:t>
      </w:r>
      <w:proofErr w:type="spellEnd"/>
      <w:r w:rsidRPr="005D0E17">
        <w:t xml:space="preserve"> et al., 2023). In this approach, DNA is extracted from small tissue samples and specific genomic regions are amplified using polymerase chain reaction (PCR) to generate short, standardized sequences known as barcodes (Joly et al., 2014; Valentini et al., 2009). These barcode regions are chosen for their variability between species (high interspecific variation) to distinguish them, while remaining largely consistent within a species (low intraspecific variation), allowing for accurate </w:t>
      </w:r>
      <w:r w:rsidRPr="005D0E17">
        <w:lastRenderedPageBreak/>
        <w:t xml:space="preserve">taxonomic assignment (Hebert et al., 2003). Commonly used barcode regions differ between taxonomic groups, with specific standard marker genes and PCR primers established for animals, plants, and fungi (Ramirez et al., 2023). Barcode sequences of </w:t>
      </w:r>
      <w:r w:rsidR="003E0C30" w:rsidRPr="005D0E17">
        <w:t>specific specimens</w:t>
      </w:r>
      <w:r w:rsidRPr="005D0E17">
        <w:t xml:space="preserve"> are then compared against curated reference databases, such as the National Center for Biotechnology Information (NCBI) GenBank (Benson et al., 2012) or the Barcode of Life Data Systems (BOLD) (</w:t>
      </w:r>
      <w:proofErr w:type="spellStart"/>
      <w:r w:rsidRPr="005D0E17">
        <w:t>Ratnasingham</w:t>
      </w:r>
      <w:proofErr w:type="spellEnd"/>
      <w:r w:rsidRPr="005D0E17">
        <w:t xml:space="preserve"> &amp; Hebert, 2007), for taxonomic identification. By providing a standardized framework, DNA barcoding addresses many of the challenges inherent to morphology-based identification, including observer error, cryptic species, and variation across life stages, while reducing reliance on specialized taxonomic expertise (Marshall, 2005).</w:t>
      </w:r>
    </w:p>
    <w:p w14:paraId="0177460F" w14:textId="77777777" w:rsidR="00016EA1" w:rsidRDefault="005D0E17" w:rsidP="000E7BAA">
      <w:pPr>
        <w:pStyle w:val="normale"/>
      </w:pPr>
      <w:r w:rsidRPr="005D0E17">
        <w:t xml:space="preserve">Building on this foundation, </w:t>
      </w:r>
      <w:r>
        <w:t>as well as thanks t</w:t>
      </w:r>
      <w:r w:rsidR="00314418">
        <w:t>o the</w:t>
      </w:r>
      <w:r w:rsidRPr="005D0E17">
        <w:t xml:space="preserve"> </w:t>
      </w:r>
      <w:r w:rsidR="00314418">
        <w:t>expansion</w:t>
      </w:r>
      <w:r w:rsidRPr="005D0E17">
        <w:t xml:space="preserve"> in next-generation sequencing (NGS; also referred to as high-throughput sequencing, HTS) technology, DNA metabarcoding </w:t>
      </w:r>
      <w:r w:rsidR="00314418">
        <w:t>advanced</w:t>
      </w:r>
      <w:r w:rsidRPr="005D0E17">
        <w:t xml:space="preserve"> the conventional barcoding framework to community-level assessments by amplifying and sequencing mixed DNA from multiple organisms simultaneously (</w:t>
      </w:r>
      <w:proofErr w:type="spellStart"/>
      <w:r w:rsidRPr="005D0E17">
        <w:t>Hajibabaei</w:t>
      </w:r>
      <w:proofErr w:type="spellEnd"/>
      <w:r w:rsidRPr="005D0E17">
        <w:t xml:space="preserve"> et al., 2011). Early metabarcoding applications used DNA extracted from bulk tissue samples pooled from multiple organisms, enabling the simultaneous identification of entire communities (Yu et al., 2012). The innovation of metabarcoding has greatly improved the efficiency and scalability of biodiversity assessments while reducing the limitations of morphology-based identification (Ji et al., 2013). It has also improved compared to the standard Sanger technology that is limited to sequencing a single gene from a single specimen in each run (Evans et al., 2016). However, reliance on collected tissue specimens could still result in incomplete or biased </w:t>
      </w:r>
      <w:r w:rsidRPr="005D0E17">
        <w:lastRenderedPageBreak/>
        <w:t xml:space="preserve">coverage. The limitations of capture-based sampling ultimately led to the development of environmental DNA (eDNA) and, later, environmental RNA (eRNA) approaches (both collectively referred to as environmental nucleic acids, </w:t>
      </w:r>
      <w:proofErr w:type="spellStart"/>
      <w:r w:rsidRPr="005D0E17">
        <w:t>eNAs</w:t>
      </w:r>
      <w:proofErr w:type="spellEnd"/>
      <w:r w:rsidRPr="005D0E17">
        <w:t>), which eliminate the need for tissue collection through non-invasive sampling.</w:t>
      </w:r>
    </w:p>
    <w:p w14:paraId="7C81242E" w14:textId="77777777" w:rsidR="00533705" w:rsidRDefault="00016EA1" w:rsidP="002510DC">
      <w:pPr>
        <w:pStyle w:val="Heading2"/>
      </w:pPr>
      <w:bookmarkStart w:id="16" w:name="_Toc211651610"/>
      <w:r w:rsidRPr="00016EA1">
        <w:t>Environmental Nucleic Acids (</w:t>
      </w:r>
      <w:proofErr w:type="spellStart"/>
      <w:r w:rsidRPr="00016EA1">
        <w:t>eNAs</w:t>
      </w:r>
      <w:proofErr w:type="spellEnd"/>
      <w:r w:rsidRPr="00016EA1">
        <w:t>)</w:t>
      </w:r>
      <w:bookmarkEnd w:id="16"/>
    </w:p>
    <w:p w14:paraId="4A45CE5F" w14:textId="6820891D" w:rsidR="00737D1E" w:rsidRDefault="00737D1E" w:rsidP="000B57BD">
      <w:pPr>
        <w:pStyle w:val="normale"/>
      </w:pPr>
      <w:r w:rsidRPr="00737D1E">
        <w:t>Environmental nucleic acids (</w:t>
      </w:r>
      <w:proofErr w:type="spellStart"/>
      <w:r w:rsidRPr="00737D1E">
        <w:t>eNAs</w:t>
      </w:r>
      <w:proofErr w:type="spellEnd"/>
      <w:r w:rsidRPr="00737D1E">
        <w:t xml:space="preserve">) refer to </w:t>
      </w:r>
      <w:r w:rsidR="00555D6F">
        <w:t xml:space="preserve">any </w:t>
      </w:r>
      <w:r w:rsidRPr="00737D1E">
        <w:t>genetic material</w:t>
      </w:r>
      <w:r w:rsidR="00555D6F">
        <w:t xml:space="preserve"> (</w:t>
      </w:r>
      <w:r w:rsidRPr="00737D1E">
        <w:t xml:space="preserve">DNA and RNA), that organisms release into their environment through sloughed cells, mucus, waste, gametes, or tissue decay. They can be recovered from any environmental samples, such as water, sediment, soil, or air and analyzed without direct contact with the organisms </w:t>
      </w:r>
      <w:r w:rsidR="000B57BD" w:rsidRPr="000B57BD">
        <w:t xml:space="preserve">(Cristescu 2019; Yates et al. 2023).  </w:t>
      </w:r>
    </w:p>
    <w:p w14:paraId="1F7CB64E" w14:textId="77777777" w:rsidR="000B57BD" w:rsidRPr="000B57BD" w:rsidRDefault="000B57BD" w:rsidP="000B57BD">
      <w:pPr>
        <w:pStyle w:val="normale"/>
      </w:pPr>
      <w:r w:rsidRPr="000B57BD">
        <w:t xml:space="preserve">By eliminating the invasive and often lethal consequences of biodiversity assessments, </w:t>
      </w:r>
      <w:proofErr w:type="spellStart"/>
      <w:r w:rsidRPr="000B57BD">
        <w:t>eNA</w:t>
      </w:r>
      <w:proofErr w:type="spellEnd"/>
      <w:r w:rsidRPr="000B57BD">
        <w:t xml:space="preserve"> methods are particularly beneficial for the conservation of delicate aquatic ecosystems and the species they support. They allow for non-invasive and highly sensitive detection of biodiversity by detecting genetic traces of all organisms present in the environment, regardless of body size, mobility, life stage, or other ecological characteristics that bias capture-based surveys (Bohmann et al. 2014; Thomsen &amp; Willerslev 2015).</w:t>
      </w:r>
    </w:p>
    <w:p w14:paraId="0E6A8603" w14:textId="77777777" w:rsidR="000B57BD" w:rsidRPr="000B57BD" w:rsidRDefault="000B57BD" w:rsidP="000B57BD">
      <w:pPr>
        <w:pStyle w:val="normale"/>
      </w:pPr>
      <w:r w:rsidRPr="000B57BD">
        <w:t xml:space="preserve">Seventeen years ago, it was first demonstrated that eDNA could be collected from aquatic environments and used for macro-organism detection (Ficetola et al. 2008). Early research efforts primarily focused on single or multiple sites within riverine systems for detecting rare, threatened, or invasive species (Thomsen et al. 2012; </w:t>
      </w:r>
      <w:proofErr w:type="spellStart"/>
      <w:r w:rsidRPr="000B57BD">
        <w:t>Mächler</w:t>
      </w:r>
      <w:proofErr w:type="spellEnd"/>
      <w:r w:rsidRPr="000B57BD">
        <w:t xml:space="preserve"> et al. 2014). </w:t>
      </w:r>
      <w:r w:rsidRPr="000B57BD">
        <w:lastRenderedPageBreak/>
        <w:t>Since then, the field has grown exponentially, with over a thousand peer-reviewed studies validating the power of eDNA analyses (Beng &amp; Corlett 2020).</w:t>
      </w:r>
    </w:p>
    <w:p w14:paraId="27A3E161" w14:textId="77777777" w:rsidR="000B57BD" w:rsidRPr="000B57BD" w:rsidRDefault="000B57BD" w:rsidP="000B57BD">
      <w:pPr>
        <w:pStyle w:val="normale"/>
      </w:pPr>
      <w:r w:rsidRPr="000B57BD">
        <w:t xml:space="preserve">Although initial applications were largely species-specific, eDNA has increasingly been applied to characterize entire biological communities, revealing cryptic or “hidden” diversity (Deiner et al. 2016; </w:t>
      </w:r>
      <w:proofErr w:type="spellStart"/>
      <w:r w:rsidRPr="000B57BD">
        <w:t>Mächler</w:t>
      </w:r>
      <w:proofErr w:type="spellEnd"/>
      <w:r w:rsidRPr="000B57BD">
        <w:t xml:space="preserve"> et al. 2019; Sales et al. 2021; </w:t>
      </w:r>
      <w:proofErr w:type="spellStart"/>
      <w:r w:rsidRPr="000B57BD">
        <w:t>Bylemans</w:t>
      </w:r>
      <w:proofErr w:type="spellEnd"/>
      <w:r w:rsidRPr="000B57BD">
        <w:t xml:space="preserve"> et al. 2018a). eDNA metabarcoding, for example, can detect a wide range of taxonomic groups and often uncovers greater invertebrate diversity compared to conventional sampling methods (Creer et al. 2016; </w:t>
      </w:r>
      <w:proofErr w:type="spellStart"/>
      <w:r w:rsidRPr="000B57BD">
        <w:t>Fediajevaite</w:t>
      </w:r>
      <w:proofErr w:type="spellEnd"/>
      <w:r w:rsidRPr="000B57BD">
        <w:t xml:space="preserve"> et al. 2021; Ji et al. 2022).</w:t>
      </w:r>
    </w:p>
    <w:p w14:paraId="550A1A3B" w14:textId="77777777" w:rsidR="000B57BD" w:rsidRPr="000B57BD" w:rsidRDefault="000B57BD" w:rsidP="000B57BD">
      <w:pPr>
        <w:pStyle w:val="normale"/>
      </w:pPr>
      <w:r w:rsidRPr="000B57BD">
        <w:t>A notable project demonstrating eDNA’s potential in large-scale biomonitoring came from Pont et al. (2018), who analyzed water samples collected along a 500 km stretch of the Rhône River. Their results showed a moderate but significant correlation between standardized read counts and fish species’ relative abundances, and the eDNA-based assessment conducted over 12 days yielded data comparable to a decade’s worth of electrofishing surveys (~300 field days). This highlighted eDNA’s efficiency and scalability for ecological monitoring at the basin level.</w:t>
      </w:r>
    </w:p>
    <w:p w14:paraId="7F9D3B05" w14:textId="77777777" w:rsidR="000B57BD" w:rsidRPr="000B57BD" w:rsidRDefault="000B57BD" w:rsidP="000B57BD">
      <w:pPr>
        <w:pStyle w:val="normale"/>
      </w:pPr>
      <w:r w:rsidRPr="000B57BD">
        <w:t>Although eDNA is highly effective for biodiversity monitoring, its detectability can be influenced by local environmental conditions. Flow variation, sediment resuspension, and temperature shifts can all change how eDNA moves and breaks down in freshwater systems (Griffiths et al. 2020; Boivin-Delisle et al. 2021; Hayami et al. 2020; Coble et al. 2019). These effects are particularly relevant in rivers affected by hydropower, yet few studies have examined how flow regulation influences eDNA detection or how it might be applied in environmental monitoring frameworks (Kelly et al. 2024).</w:t>
      </w:r>
    </w:p>
    <w:p w14:paraId="4DEE3D1B" w14:textId="5766264F" w:rsidR="000B57BD" w:rsidRPr="000B57BD" w:rsidRDefault="000B57BD" w:rsidP="000B57BD">
      <w:pPr>
        <w:pStyle w:val="normale"/>
      </w:pPr>
      <w:r w:rsidRPr="000B57BD">
        <w:lastRenderedPageBreak/>
        <w:t xml:space="preserve">Moreover, the analysis of environmental RNA (eRNA), which consists of RNA molecules shed by organisms and recovered from environmental samples, is an emerging area in molecular biomonitoring (Cristescu 2019; Yates et al. 2023). eRNA-based methods such as metabarcoding and </w:t>
      </w:r>
      <w:proofErr w:type="spellStart"/>
      <w:r w:rsidRPr="000B57BD">
        <w:t>metatranscriptomics</w:t>
      </w:r>
      <w:proofErr w:type="spellEnd"/>
      <w:r w:rsidRPr="000B57BD">
        <w:t xml:space="preserve"> can complement or even outperform eDNA approaches in some ecological assessments because eRNA degrades more quickly, turns over faster, and is more specific to living organisms (Giroux et al. 2022; Greco et al. 2022; Macher et al. 2024).</w:t>
      </w:r>
    </w:p>
    <w:p w14:paraId="0EF806F4" w14:textId="39B99221" w:rsidR="000B57BD" w:rsidRPr="000B57BD" w:rsidRDefault="000B57BD" w:rsidP="000B57BD">
      <w:pPr>
        <w:pStyle w:val="normale"/>
      </w:pPr>
      <w:r w:rsidRPr="000B57BD">
        <w:t>While eDNA has become relatively well established for biodiversity surveys, eRNA offers the potential to complement eDNA’s taxonomic insights with functional information, making the integration of both molecules a promising frontier for biodiversity monitoring.</w:t>
      </w:r>
    </w:p>
    <w:p w14:paraId="49D1EBA8" w14:textId="77777777" w:rsidR="00AC4408" w:rsidRDefault="00533705" w:rsidP="002510DC">
      <w:pPr>
        <w:pStyle w:val="Heading2"/>
      </w:pPr>
      <w:bookmarkStart w:id="17" w:name="_Toc211651611"/>
      <w:r w:rsidRPr="00533705">
        <w:t>Differences between eDNA and eRNA</w:t>
      </w:r>
      <w:bookmarkEnd w:id="17"/>
    </w:p>
    <w:p w14:paraId="183A4F70" w14:textId="77777777" w:rsidR="008C7321" w:rsidRDefault="00090D22" w:rsidP="00090D22">
      <w:pPr>
        <w:pStyle w:val="normale"/>
      </w:pPr>
      <w:r w:rsidRPr="00090D22">
        <w:t>Although often discussed together, eDNA and eRNA differ in their molecular properties, persistence, and interpretative value for ecological monitoring.</w:t>
      </w:r>
    </w:p>
    <w:p w14:paraId="0EB53B0E" w14:textId="26334712" w:rsidR="00090D22" w:rsidRPr="00090D22" w:rsidRDefault="00090D22" w:rsidP="00090D22">
      <w:pPr>
        <w:pStyle w:val="normale"/>
      </w:pPr>
      <w:r w:rsidRPr="00090D22">
        <w:t>eDNA sampling involves the isolation of both extracellular and intracellular DNA fragments deposited into an environmental matrix (</w:t>
      </w:r>
      <w:proofErr w:type="spellStart"/>
      <w:r w:rsidRPr="00090D22">
        <w:t>Taberlet</w:t>
      </w:r>
      <w:proofErr w:type="spellEnd"/>
      <w:r w:rsidRPr="00090D22">
        <w:t xml:space="preserve"> et al. 2012). DNA released via epidermal cells, feces, mucus, gametes, or hair is captured from environmental samples such as filtered water (Levy-Booth et al. 2007; Lodge et al. 2012; Rees et al. 2014). Its relative stability makes eDNA widely deployable in natural freshwater environments, enabling detection of species that are elusive, invasive, or rare (Goldberg et al. 2011; Dejean et al. 2012; Thomsen et al. 2012).</w:t>
      </w:r>
    </w:p>
    <w:p w14:paraId="59A74779" w14:textId="77777777" w:rsidR="00090D22" w:rsidRPr="00090D22" w:rsidRDefault="00090D22" w:rsidP="00090D22">
      <w:pPr>
        <w:pStyle w:val="normale"/>
      </w:pPr>
      <w:r w:rsidRPr="00090D22">
        <w:lastRenderedPageBreak/>
        <w:t>eDNA has become especially useful for fish monitoring, demonstrating higher detection sensitivity than conventional methods such as gillnetting, trapping, or electric fishing (Kelly et al. 2014; Taylor &amp; Gemmell 2016). Moreover, because eDNA persists for longer periods, it integrates biological signals over time, providing a more comprehensive representation of community diversity (Cristescu &amp; Hebert 2018).</w:t>
      </w:r>
    </w:p>
    <w:p w14:paraId="016DE06D" w14:textId="77777777" w:rsidR="00090D22" w:rsidRPr="00090D22" w:rsidRDefault="00090D22" w:rsidP="00090D22">
      <w:pPr>
        <w:pStyle w:val="normale"/>
      </w:pPr>
      <w:r w:rsidRPr="00090D22">
        <w:t>However, this persistence can complicate ecological interpretation. eDNA can be resuspended from sediments (Corinaldesi et al. 2008) or transported considerable distances downstream (Deiner &amp; Altermatt 2014; Shogren et al. 2017), leading to potential false positives or spatial uncertainty in signal origin (Jerde et al. 2011). The extent of signal transport varies depending on substrate flow rates, abiotic and biotic degradation processes, and shedding dynamics (Deiner et al. 2016).</w:t>
      </w:r>
    </w:p>
    <w:p w14:paraId="43E47D0A" w14:textId="77777777" w:rsidR="00711F8C" w:rsidRDefault="00090D22" w:rsidP="00090D22">
      <w:pPr>
        <w:pStyle w:val="normale"/>
      </w:pPr>
      <w:r w:rsidRPr="00090D22">
        <w:t>Numerous studies highlight eDNA’s strong correlation with species richness and presence–absence data (Williford et al. 2023; He et al. 2023; Przybyla–Kelly et al. 2023) and its emerging use in large-scale riverine and hydropower-affected systems. Yet, attempts to link eDNA concentration to species abundance or biomass remain contentious. Recent meta-analyses (Lamb et al. 2019; Yates et al. 2019) show only moderate correlations between eDNA signal strength and actual biomass, due largely to environmental variability, degradation rates, and unquantified shedding rates (Barnes et al. 2014; Strickler et al. 2015; Jo et al. 2019).</w:t>
      </w:r>
    </w:p>
    <w:p w14:paraId="72B8AE8B" w14:textId="66E6EB79" w:rsidR="00090D22" w:rsidRPr="00090D22" w:rsidRDefault="00090D22" w:rsidP="00090D22">
      <w:pPr>
        <w:pStyle w:val="normale"/>
      </w:pPr>
      <w:r w:rsidRPr="00090D22">
        <w:t xml:space="preserve">In contrast to eDNA, environmental RNA (eRNA) originates from actively transcribed cellular molecules, making it highly dynamic and short-lived (Cristescu 2019; Yates et al. 2023). Chemically, RNA’s single-stranded structure and the presence of a 2'-hydroxyl </w:t>
      </w:r>
      <w:r w:rsidRPr="00090D22">
        <w:lastRenderedPageBreak/>
        <w:t xml:space="preserve">group render it more susceptible to enzymatic degradation (Li &amp; Breaker 1999; Tan &amp; </w:t>
      </w:r>
      <w:proofErr w:type="spellStart"/>
      <w:r w:rsidRPr="00090D22">
        <w:t>Yiap</w:t>
      </w:r>
      <w:proofErr w:type="spellEnd"/>
      <w:r w:rsidRPr="00090D22">
        <w:t xml:space="preserve"> 2009). Owing to this structural lability, </w:t>
      </w:r>
      <w:proofErr w:type="spellStart"/>
      <w:r w:rsidRPr="00090D22">
        <w:t>eRNA’s</w:t>
      </w:r>
      <w:proofErr w:type="spellEnd"/>
      <w:r w:rsidRPr="00090D22">
        <w:t xml:space="preserve"> half-life is shorter than that of eDNA under comparable conditions by approximately 4–5 hours (Marshall et al. 2021).</w:t>
      </w:r>
    </w:p>
    <w:p w14:paraId="320CF366" w14:textId="77777777" w:rsidR="00090D22" w:rsidRPr="00090D22" w:rsidRDefault="00090D22" w:rsidP="00090D22">
      <w:pPr>
        <w:pStyle w:val="normale"/>
      </w:pPr>
      <w:r w:rsidRPr="00090D22">
        <w:t>Because RNA molecules are produced only by living cells, eRNA provides evidence of active, viable populations rather than residual or transported genetic signals (Barnes &amp; Turner 2016; Pawlowski et al. 2018). Studies comparing eDNA and eRNA metabarcoding of benthic or planktonic communities show that eRNA more accurately reflects metabolically active taxa and community responses to environmental stressors such as aquaculture impacts (Pawlowski et al. 2014; Dowle et al. 2015).</w:t>
      </w:r>
    </w:p>
    <w:p w14:paraId="35E24EEC" w14:textId="77777777" w:rsidR="00090D22" w:rsidRPr="00090D22" w:rsidRDefault="00090D22" w:rsidP="00090D22">
      <w:pPr>
        <w:pStyle w:val="normale"/>
      </w:pPr>
      <w:r w:rsidRPr="00090D22">
        <w:t>This temporal precision is a major advantage: whereas eDNA can persist from dead organisms or historical deposits, eRNA captures “real-time” biological activity, making it a promising proxy for physiological and metabolic assessment in ecological health studies. Notably, eRNA-based approaches can help differentiate between present versus past occupancy signals. This distinction can be critical when assessing ecosystem dynamics near hydropower installations or other anthropogenic perturbations.</w:t>
      </w:r>
    </w:p>
    <w:p w14:paraId="572E997B" w14:textId="43CE469B" w:rsidR="000B57BD" w:rsidRPr="000B57BD" w:rsidRDefault="00090D22" w:rsidP="00090D22">
      <w:pPr>
        <w:pStyle w:val="normale"/>
      </w:pPr>
      <w:r w:rsidRPr="00090D22">
        <w:t xml:space="preserve">While eDNA dominates current freshwater biomonitoring, the inclusion of eRNA can refine temporal resolution and provide insights into live community function (Veilleux et al. 2021; Macher et al. 2024). When combined, eDNA and eRNA provide complementary spatial and temporal perspectives of ecosystem biodiversity. The durability of eDNA captures community legacy and distribution, while the transience of eRNA indicates active metabolism and biological function (Marshall et al. 2021; Veilleux et al. 2021). Together, they offer a more holistic representation of freshwater systems, </w:t>
      </w:r>
      <w:r w:rsidRPr="00090D22">
        <w:lastRenderedPageBreak/>
        <w:t>essential for high-resolution monitoring programs in hydropower-affected rivers, lakes, and reservoirs.</w:t>
      </w:r>
    </w:p>
    <w:p w14:paraId="4C979C2C" w14:textId="77777777" w:rsidR="0074050C" w:rsidRDefault="00AC4408" w:rsidP="002510DC">
      <w:pPr>
        <w:pStyle w:val="Heading2"/>
      </w:pPr>
      <w:bookmarkStart w:id="18" w:name="_Toc211651612"/>
      <w:r w:rsidRPr="00AC4408">
        <w:t xml:space="preserve">Different Approaches of </w:t>
      </w:r>
      <w:proofErr w:type="spellStart"/>
      <w:r w:rsidRPr="00AC4408">
        <w:t>eNA</w:t>
      </w:r>
      <w:proofErr w:type="spellEnd"/>
      <w:r w:rsidRPr="00AC4408">
        <w:t xml:space="preserve"> Tools</w:t>
      </w:r>
      <w:bookmarkEnd w:id="18"/>
    </w:p>
    <w:p w14:paraId="539ACF7B" w14:textId="77777777" w:rsidR="00B16DB6" w:rsidRPr="00B16DB6" w:rsidRDefault="00B16DB6" w:rsidP="00B16DB6">
      <w:pPr>
        <w:pStyle w:val="normale"/>
      </w:pPr>
      <w:r w:rsidRPr="00B16DB6">
        <w:t>Environmental nucleic acid (</w:t>
      </w:r>
      <w:proofErr w:type="spellStart"/>
      <w:r w:rsidRPr="00B16DB6">
        <w:t>eNA</w:t>
      </w:r>
      <w:proofErr w:type="spellEnd"/>
      <w:r w:rsidRPr="00B16DB6">
        <w:t xml:space="preserve">) methods encompass a diversity of molecular, analytical, and bioinformatic approaches, each with distinct advantages and limitations for biodiversity assessment. There are two main methodological frameworks applied in the field (1) community-level metabarcoding and (2) species-specific assays (e.g., qPCR or </w:t>
      </w:r>
      <w:proofErr w:type="spellStart"/>
      <w:r w:rsidRPr="00B16DB6">
        <w:t>ddPCR</w:t>
      </w:r>
      <w:proofErr w:type="spellEnd"/>
      <w:r w:rsidRPr="00B16DB6">
        <w:t>). </w:t>
      </w:r>
    </w:p>
    <w:p w14:paraId="4DB5447A" w14:textId="0150E439" w:rsidR="00B16DB6" w:rsidRDefault="00B16DB6" w:rsidP="00C16107">
      <w:pPr>
        <w:pStyle w:val="Heading2"/>
      </w:pPr>
      <w:bookmarkStart w:id="19" w:name="_Toc211651613"/>
      <w:r w:rsidRPr="00B16DB6">
        <w:t>Metabarcoding Approaches: Community Composition</w:t>
      </w:r>
      <w:bookmarkEnd w:id="19"/>
    </w:p>
    <w:p w14:paraId="774EF5CD" w14:textId="081CA13C" w:rsidR="00A978F1" w:rsidRDefault="00A978F1" w:rsidP="00A978F1">
      <w:pPr>
        <w:pStyle w:val="normale"/>
      </w:pPr>
      <w:r w:rsidRPr="00A978F1">
        <w:t xml:space="preserve">Metabarcoding combines universal primers with high-throughput sequencing (HTS) to amplify DNA or RNA fragments from multiple taxa within a sample (Deiner et al., 2017; Elbrecht &amp; Leese, 2015). This approach enables multi-taxa biodiversity surveys from a single water or sediment sample. The amplification success and community representativeness in metabarcoding depend heavily on primer performance and database completeness. Ideal primers must be specific to target groups, have broad coverage, generate short amplicons (for degraded DNA), and map to well-represented regions in reference databases (Elbrecht et al., 2017; Ficetola et al., 2021). Many ‘universal’ primers can unintentionally amplify nontarget taxa (e.g., fungi, algae, bacteria) or fail to capture entire phyla such as </w:t>
      </w:r>
      <w:r w:rsidRPr="00FF1BCB">
        <w:t xml:space="preserve">Nematoda or Platyhelminthes </w:t>
      </w:r>
      <w:r w:rsidRPr="00A978F1">
        <w:t>(</w:t>
      </w:r>
      <w:proofErr w:type="spellStart"/>
      <w:r w:rsidRPr="00A978F1">
        <w:t>Hajibabaei</w:t>
      </w:r>
      <w:proofErr w:type="spellEnd"/>
      <w:r w:rsidRPr="00A978F1">
        <w:t xml:space="preserve"> et al., 2019; Poyntz-Wright et al., 2024).</w:t>
      </w:r>
      <w:r w:rsidR="00FF1BCB">
        <w:t xml:space="preserve"> </w:t>
      </w:r>
      <w:r w:rsidRPr="00A978F1">
        <w:t xml:space="preserve">Moreover, some markers, particularly 18S or low-variability 16S fragments, lack sufficient interspecific variation to distinguish closely related species. The completeness of barcoding reference databases also remains a major bottleneck </w:t>
      </w:r>
      <w:r w:rsidRPr="00A978F1">
        <w:lastRenderedPageBreak/>
        <w:t xml:space="preserve">(Weigand et al., 2019; Lin et al., 2021). Incomplete databases reduce confidence in taxonomic </w:t>
      </w:r>
      <w:r w:rsidR="00A0765B" w:rsidRPr="00A978F1">
        <w:t>assignments</w:t>
      </w:r>
      <w:r w:rsidRPr="00A978F1">
        <w:t xml:space="preserve"> and limit comparability of community datasets between regions or marker systems.</w:t>
      </w:r>
    </w:p>
    <w:p w14:paraId="14ACD2AA" w14:textId="77777777" w:rsidR="00B94C70" w:rsidRDefault="00B94C70" w:rsidP="00763CF0">
      <w:pPr>
        <w:pStyle w:val="Heading3"/>
      </w:pPr>
      <w:bookmarkStart w:id="20" w:name="_Toc211651614"/>
      <w:r w:rsidRPr="00B94C70">
        <w:t>Quantitative Approach: Species-Specific</w:t>
      </w:r>
      <w:bookmarkEnd w:id="20"/>
    </w:p>
    <w:p w14:paraId="59256CE8" w14:textId="49FA3128" w:rsidR="00B94C70" w:rsidRDefault="00B94C70" w:rsidP="00B94C70">
      <w:pPr>
        <w:pStyle w:val="normale"/>
      </w:pPr>
      <w:r w:rsidRPr="00B94C70">
        <w:t>Species-specific eDNA methods use quantitative polymerase chain reaction (qPCR) or digital droplet PCR (</w:t>
      </w:r>
      <w:proofErr w:type="spellStart"/>
      <w:r w:rsidRPr="00B94C70">
        <w:t>ddPCR</w:t>
      </w:r>
      <w:proofErr w:type="spellEnd"/>
      <w:r w:rsidRPr="00B94C70">
        <w:t>) to detect and quantify DNA from specific taxa using customized primers and probes (Shelton et al., 2016; Jerde et al., 2011). These approaches are highly sensitive and precise, suitable for early detection of rare, endangered, or invasive species. Quantitative data from these assays can be correlated with organism abundance or biomass, although environmental factors (e.g., dilution, flow dynamics, degradation) can complicate interpretation (Yates et al., 2019). While qPCR is powerful for known species, it is limited by the need for prior taxonomic knowledge and existing sequence data. It is optimal where monitoring efforts focus on focal taxa, such as endangered or indicator species near hydropower reservoirs.</w:t>
      </w:r>
    </w:p>
    <w:p w14:paraId="47FF4C62" w14:textId="3905991A" w:rsidR="00763CF0" w:rsidRPr="00763CF0" w:rsidRDefault="00A0765B" w:rsidP="00763CF0">
      <w:pPr>
        <w:pStyle w:val="Heading3"/>
      </w:pPr>
      <w:bookmarkStart w:id="21" w:name="_Toc211651615"/>
      <w:r w:rsidRPr="00E02A67">
        <w:t>Other Approaches</w:t>
      </w:r>
      <w:bookmarkEnd w:id="21"/>
    </w:p>
    <w:p w14:paraId="70D9A047" w14:textId="1E309A9E" w:rsidR="00B94C70" w:rsidRPr="00A978F1" w:rsidRDefault="00A0765B" w:rsidP="00A978F1">
      <w:pPr>
        <w:pStyle w:val="normale"/>
      </w:pPr>
      <w:r w:rsidRPr="00A0765B">
        <w:t>To mitigate individual marker biases, multi</w:t>
      </w:r>
      <w:r w:rsidR="006E73AB">
        <w:t>-</w:t>
      </w:r>
      <w:r w:rsidRPr="00A0765B">
        <w:t>marker metabarcoding combining mitochondrial and nuclear regions is increasingly used to improve taxonomic coverage (</w:t>
      </w:r>
      <w:proofErr w:type="spellStart"/>
      <w:r w:rsidRPr="00A0765B">
        <w:t>Bunholi</w:t>
      </w:r>
      <w:proofErr w:type="spellEnd"/>
      <w:r w:rsidRPr="00A0765B">
        <w:t xml:space="preserve"> et al., 2023). In parallel, metagenomics (untargeted DNA sequencing) and </w:t>
      </w:r>
      <w:proofErr w:type="spellStart"/>
      <w:r w:rsidRPr="00A0765B">
        <w:t>metatranscriptomics</w:t>
      </w:r>
      <w:proofErr w:type="spellEnd"/>
      <w:r w:rsidRPr="00A0765B">
        <w:t xml:space="preserve"> (untargeted RNA sequencing) provide genome-wide or transcriptome-wide perspectives, respectively, allowing quantification of both community composition and functional activity (</w:t>
      </w:r>
      <w:proofErr w:type="spellStart"/>
      <w:r w:rsidRPr="00A0765B">
        <w:t>Bizic</w:t>
      </w:r>
      <w:proofErr w:type="spellEnd"/>
      <w:r w:rsidRPr="00A0765B">
        <w:t xml:space="preserve"> et al., 2022; Vlok et al., 2019).  The inclusion of eRNA in metabarcoding or </w:t>
      </w:r>
      <w:proofErr w:type="spellStart"/>
      <w:r w:rsidRPr="00A0765B">
        <w:t>metatranscriptomics</w:t>
      </w:r>
      <w:proofErr w:type="spellEnd"/>
      <w:r w:rsidRPr="00A0765B">
        <w:t xml:space="preserve"> workflows adds a </w:t>
      </w:r>
      <w:r w:rsidRPr="00A0765B">
        <w:lastRenderedPageBreak/>
        <w:t>functional gene-expression dimension, linking biodiversity patterns to physiological or stress-response processes, which is particularly relevant for assessing biological impacts of hydropower operations and flow alterations.</w:t>
      </w:r>
    </w:p>
    <w:p w14:paraId="1EE9DABF" w14:textId="77777777" w:rsidR="0074050C" w:rsidRDefault="0074050C" w:rsidP="002510DC">
      <w:pPr>
        <w:pStyle w:val="Heading2"/>
      </w:pPr>
      <w:bookmarkStart w:id="22" w:name="_Toc211651616"/>
      <w:r w:rsidRPr="0074050C">
        <w:t xml:space="preserve">Challenges and Bottlenecks of </w:t>
      </w:r>
      <w:proofErr w:type="spellStart"/>
      <w:r w:rsidRPr="0074050C">
        <w:t>eNAs</w:t>
      </w:r>
      <w:bookmarkEnd w:id="22"/>
      <w:proofErr w:type="spellEnd"/>
    </w:p>
    <w:p w14:paraId="02D7D944" w14:textId="77777777" w:rsidR="007615C9" w:rsidRDefault="007615C9" w:rsidP="007615C9">
      <w:pPr>
        <w:pStyle w:val="normale"/>
      </w:pPr>
      <w:r w:rsidRPr="007615C9">
        <w:t xml:space="preserve">Despite the revolutionary potential of </w:t>
      </w:r>
      <w:proofErr w:type="spellStart"/>
      <w:r w:rsidRPr="007615C9">
        <w:t>eNA</w:t>
      </w:r>
      <w:proofErr w:type="spellEnd"/>
      <w:r w:rsidRPr="007615C9">
        <w:t xml:space="preserve"> methods for freshwater biomonitoring, several technical and interpretive challenges remain. These issues span the entire workflow, from field sampling and molecular processing to data analysis and ecological inference, and remain to be addressed to ensure reliable, standardized, and meaningful results.</w:t>
      </w:r>
    </w:p>
    <w:p w14:paraId="072B0168" w14:textId="5B5C254B" w:rsidR="00A40A07" w:rsidRDefault="00A40A07" w:rsidP="00763CF0">
      <w:pPr>
        <w:pStyle w:val="Heading3"/>
      </w:pPr>
      <w:bookmarkStart w:id="23" w:name="_Toc211651617"/>
      <w:r w:rsidRPr="00A40A07">
        <w:t>Standardization and Methodological Optimization</w:t>
      </w:r>
      <w:bookmarkEnd w:id="23"/>
    </w:p>
    <w:p w14:paraId="724C661F" w14:textId="348F9F2A" w:rsidR="005132B6" w:rsidRPr="00FC2991" w:rsidRDefault="00A40A07" w:rsidP="00D46277">
      <w:pPr>
        <w:pStyle w:val="normale"/>
      </w:pPr>
      <w:r w:rsidRPr="00A40A07">
        <w:t xml:space="preserve">The lack of standardized protocols for eDNA and eRNA sampling, preservation, extraction, and bioinformatic analysis is a major barrier to comparability and reproducibility across studies (Cordier et al., 2021). Variability in filter pore size, buffer choice, storage temperature, and time to extraction can all influence nucleic acid recovery, especially for the more labile eRNA (Deiner et al., 2015; Dickie et al., 2018). Rigorous optimization and harmonization of field-to-lab workflows are essential for generating robust biodiversity indicators and for the broader adoption of </w:t>
      </w:r>
      <w:proofErr w:type="spellStart"/>
      <w:r w:rsidRPr="00A40A07">
        <w:t>eNA</w:t>
      </w:r>
      <w:proofErr w:type="spellEnd"/>
      <w:r w:rsidRPr="00A40A07">
        <w:t xml:space="preserve"> methods in regulatory frameworks.</w:t>
      </w:r>
    </w:p>
    <w:p w14:paraId="77E2A50D" w14:textId="7CE675E2" w:rsidR="00A40A07" w:rsidRDefault="00A40A07" w:rsidP="00763CF0">
      <w:pPr>
        <w:pStyle w:val="Heading3"/>
      </w:pPr>
      <w:bookmarkStart w:id="24" w:name="_Toc211651618"/>
      <w:r w:rsidRPr="00A40A07">
        <w:t>Molecular Degradation and False Positives</w:t>
      </w:r>
      <w:bookmarkEnd w:id="24"/>
      <w:r>
        <w:t xml:space="preserve"> </w:t>
      </w:r>
    </w:p>
    <w:p w14:paraId="19A41ABC" w14:textId="60C83077" w:rsidR="007904FA" w:rsidRPr="008C7375" w:rsidRDefault="007904FA" w:rsidP="007904FA">
      <w:pPr>
        <w:pStyle w:val="normale"/>
      </w:pPr>
      <w:r w:rsidRPr="007904FA">
        <w:t xml:space="preserve">Both eDNA and eRNA are subject to environmental degradation, but eRNA is particularly sensitive to temperature, pH, and microbial activity (Sansom &amp; </w:t>
      </w:r>
      <w:proofErr w:type="spellStart"/>
      <w:r w:rsidRPr="007904FA">
        <w:t>Sassoubre</w:t>
      </w:r>
      <w:proofErr w:type="spellEnd"/>
      <w:r w:rsidRPr="007904FA">
        <w:t xml:space="preserve">, 2017; Strickler et al., 2015; Tsuji et al., 2017). DNA can persist in sediments or be transported downstream, leading to potential false positives or legacy signals that do not </w:t>
      </w:r>
      <w:r w:rsidRPr="007904FA">
        <w:lastRenderedPageBreak/>
        <w:t>reflect current community composition (Corinaldesi et al., 2008; Deiner &amp; Altermatt, 2014). This complicates the interpretation of presence–absence data, especially in dynamic or regulated systems.</w:t>
      </w:r>
    </w:p>
    <w:p w14:paraId="2E674E53" w14:textId="388E8A19" w:rsidR="00A40A07" w:rsidRDefault="00A40A07" w:rsidP="00763CF0">
      <w:pPr>
        <w:pStyle w:val="Heading3"/>
      </w:pPr>
      <w:bookmarkStart w:id="25" w:name="_Toc211651619"/>
      <w:r w:rsidRPr="00A40A07">
        <w:t xml:space="preserve">Reference Database Gaps and Taxonomic </w:t>
      </w:r>
      <w:r w:rsidR="007904FA">
        <w:t>Resolution</w:t>
      </w:r>
      <w:bookmarkEnd w:id="25"/>
    </w:p>
    <w:p w14:paraId="3599CC8B" w14:textId="77777777" w:rsidR="00DB3182" w:rsidRDefault="00DB3182" w:rsidP="00DB3182">
      <w:pPr>
        <w:pStyle w:val="normale"/>
      </w:pPr>
      <w:r>
        <w:t xml:space="preserve">The efficiency of metabarcoding studies hinges on the completeness and accuracy of reference barcode databases. Gaps in these databases, especially for non-model or regionally endemic taxa, severely limit the ecological interpretation of eDNA and eRNA data (Weigand et al., 2019; </w:t>
      </w:r>
      <w:proofErr w:type="spellStart"/>
      <w:r>
        <w:t>Cilleros</w:t>
      </w:r>
      <w:proofErr w:type="spellEnd"/>
      <w:r>
        <w:t xml:space="preserve"> et al., 2019; Sales et al., 2019, 2021). The COI gene, while widely used, is suboptimal for some taxa due to primer site limitations and low specificity in vertebrates (Collins et al., 2019; Deagle et al., 2014). Conversely, 12S and 16S rRNA genes offer better performance for vertebrate monitoring but suffer from less complete reference libraries. The ability to detect and assign species is thus constrained by both the robustness of the chosen marker and the quality of the reference database (</w:t>
      </w:r>
      <w:proofErr w:type="spellStart"/>
      <w:r>
        <w:t>Sassoubre</w:t>
      </w:r>
      <w:proofErr w:type="spellEnd"/>
      <w:r>
        <w:t xml:space="preserve"> et al., 2016).</w:t>
      </w:r>
    </w:p>
    <w:p w14:paraId="7F9F6C65" w14:textId="6848C790" w:rsidR="007904FA" w:rsidRPr="007904FA" w:rsidRDefault="00DB3182" w:rsidP="00DB3182">
      <w:pPr>
        <w:pStyle w:val="normale"/>
      </w:pPr>
      <w:r>
        <w:t>Moreover, since RNA molecules actively reflect gene transcription from living cells, eRNA profiles can offer temporal “snapshots” of community activity and even insights into physiological or stress-related states (Yates et al. 2021). The abundance or presence of particular transcripts can mirror real-time physiological responses, including stress, metabolism, or development. Thus, eRNA enables researchers not only to identify which species are present but also to infer their functional or physiological status at the time of sampling.</w:t>
      </w:r>
    </w:p>
    <w:p w14:paraId="4089C7FC" w14:textId="77777777" w:rsidR="008C7375" w:rsidRDefault="008C7375" w:rsidP="00763CF0">
      <w:pPr>
        <w:pStyle w:val="Heading3"/>
      </w:pPr>
      <w:bookmarkStart w:id="26" w:name="_Toc211651620"/>
      <w:r w:rsidRPr="008C7375">
        <w:lastRenderedPageBreak/>
        <w:t xml:space="preserve">Primer </w:t>
      </w:r>
      <w:r w:rsidRPr="00E3097D">
        <w:t>Bias</w:t>
      </w:r>
      <w:r w:rsidRPr="008C7375">
        <w:t xml:space="preserve"> and Marker Selection</w:t>
      </w:r>
      <w:bookmarkEnd w:id="26"/>
    </w:p>
    <w:p w14:paraId="4C63D69D" w14:textId="799EB416" w:rsidR="00D97954" w:rsidRPr="008C7375" w:rsidRDefault="00D97954" w:rsidP="00D97954">
      <w:pPr>
        <w:pStyle w:val="normale"/>
      </w:pPr>
      <w:r w:rsidRPr="00D97954">
        <w:t>Universal primers used in metabarcoding can preferentially amplify non-target taxa or fail to capture the full diversity of target groups, leading to biased community profiles (</w:t>
      </w:r>
      <w:proofErr w:type="spellStart"/>
      <w:r w:rsidRPr="00D97954">
        <w:t>Hajibabaei</w:t>
      </w:r>
      <w:proofErr w:type="spellEnd"/>
      <w:r w:rsidRPr="00D97954">
        <w:t xml:space="preserve"> et al., 2019; Poyntz-Wright et al., 2024). The use of a single mitochondrial barcode may not reliably distinguish closely related species, and some markers lack the interspecific variation needed for fine-scale taxonomic resolution. </w:t>
      </w:r>
      <w:proofErr w:type="spellStart"/>
      <w:r w:rsidRPr="00D97954">
        <w:t>Multilocus</w:t>
      </w:r>
      <w:proofErr w:type="spellEnd"/>
      <w:r w:rsidRPr="00D97954">
        <w:t xml:space="preserve"> approaches and the development of more comprehensive reference databases are needed to overcome these limitations (Seymour et al., 2020; Andres et al., 2021; Manel et al., 2025).</w:t>
      </w:r>
    </w:p>
    <w:p w14:paraId="51B7C0EE" w14:textId="61FC1666" w:rsidR="007615C9" w:rsidRDefault="008C7375" w:rsidP="00763CF0">
      <w:pPr>
        <w:pStyle w:val="Heading3"/>
      </w:pPr>
      <w:bookmarkStart w:id="27" w:name="_Toc211651621"/>
      <w:r w:rsidRPr="008C7375">
        <w:t>Quantitative Limitations and Abundance Estimation</w:t>
      </w:r>
      <w:bookmarkEnd w:id="27"/>
    </w:p>
    <w:p w14:paraId="78C10126" w14:textId="77777777" w:rsidR="00B47E50" w:rsidRPr="00B47E50" w:rsidRDefault="00B47E50" w:rsidP="00B47E50">
      <w:pPr>
        <w:pStyle w:val="normale"/>
      </w:pPr>
      <w:r w:rsidRPr="00B47E50">
        <w:t xml:space="preserve">A persistent challenge is the accurate estimation of species abundance or biomass from eDNA concentrations. While qPCR and </w:t>
      </w:r>
      <w:proofErr w:type="spellStart"/>
      <w:r w:rsidRPr="00B47E50">
        <w:t>ddPCR</w:t>
      </w:r>
      <w:proofErr w:type="spellEnd"/>
      <w:r w:rsidRPr="00B47E50">
        <w:t xml:space="preserve"> can provide quantitative data, the relationship between eDNA copy number and organism abundance is influenced by variable shedding rates, environmental degradation, and hydrological transport (Barnes et al., 2014; Yates et al., 2019). Meta-analyses reveal only moderate correlations between eDNA signal and true abundance, and few studies have validated these relationships in natural freshwater systems (Lamb et al., 2019; Jo et al., 2019). This uncertainty limits the use of eDNA for quantitative ecological assessments.</w:t>
      </w:r>
    </w:p>
    <w:p w14:paraId="1F56075E" w14:textId="04D9ED1F" w:rsidR="00B47E50" w:rsidRDefault="00B47E50" w:rsidP="00B47E50">
      <w:pPr>
        <w:pStyle w:val="normale"/>
      </w:pPr>
      <w:r w:rsidRPr="00B47E50">
        <w:t xml:space="preserve">Methodological optimization and standardization remain active research frontiers in </w:t>
      </w:r>
      <w:proofErr w:type="spellStart"/>
      <w:r w:rsidRPr="00B47E50">
        <w:t>eNA</w:t>
      </w:r>
      <w:proofErr w:type="spellEnd"/>
      <w:r w:rsidRPr="00B47E50">
        <w:t xml:space="preserve">-based biomonitoring. Addressing challenges related to molecular degradation, abundance estimation, primer bias, and reference database completeness is essential for realizing the full potential of eDNA and eRNA technologies in freshwater ecosystem </w:t>
      </w:r>
      <w:r w:rsidRPr="00B47E50">
        <w:lastRenderedPageBreak/>
        <w:t xml:space="preserve">assessment and management (Cordier et al. 2021; Sansom &amp; </w:t>
      </w:r>
      <w:proofErr w:type="spellStart"/>
      <w:r w:rsidRPr="00B47E50">
        <w:t>Sassoubre</w:t>
      </w:r>
      <w:proofErr w:type="spellEnd"/>
      <w:r w:rsidRPr="00B47E50">
        <w:t xml:space="preserve"> 2017; Strickler et al. 2015; Tsuji et al. 2017)</w:t>
      </w:r>
      <w:r w:rsidR="00D46277">
        <w:t>.</w:t>
      </w:r>
    </w:p>
    <w:p w14:paraId="015649AE" w14:textId="77777777" w:rsidR="00D46277" w:rsidRDefault="00D46277" w:rsidP="00763CF0">
      <w:pPr>
        <w:pStyle w:val="Heading3"/>
      </w:pPr>
      <w:bookmarkStart w:id="28" w:name="_Toc211651622"/>
      <w:r w:rsidRPr="00FC2991">
        <w:t>Early Adoption and Credibility Setbacks</w:t>
      </w:r>
      <w:bookmarkEnd w:id="28"/>
    </w:p>
    <w:p w14:paraId="665537D4" w14:textId="77777777" w:rsidR="00D46277" w:rsidRDefault="00D46277" w:rsidP="00D46277">
      <w:pPr>
        <w:pStyle w:val="normale"/>
      </w:pPr>
      <w:r w:rsidRPr="005132B6">
        <w:t>The rapid emergence of eDNA technologies in the 2010s brought unprecedented excitement but also highlighted the risks of premature application before methodological consensus was achieved. Early studies often produced inconsistent results due to variation in workflows, contamination, and uncertain detection thresholds, which temporarily weakened confidence in eDNA among managers and policymakers (Darling &amp; Mahon, 2011; Cristescu &amp; Hebert, 2018). These lessons emphasize that deploying molecular tools before strong standardization and validation can erode credibility, particularly outside the research community.</w:t>
      </w:r>
    </w:p>
    <w:p w14:paraId="240D7DA8" w14:textId="1DB1EED7" w:rsidR="007615C9" w:rsidRPr="007615C9" w:rsidRDefault="00D46277" w:rsidP="002C0BB1">
      <w:pPr>
        <w:pStyle w:val="normale"/>
      </w:pPr>
      <w:r w:rsidRPr="005132B6">
        <w:t>Rushing to rely solely on eDNA</w:t>
      </w:r>
      <w:r>
        <w:t xml:space="preserve"> or</w:t>
      </w:r>
      <w:r w:rsidRPr="005132B6">
        <w:t xml:space="preserve"> treating it as a fully mature replacement for conventional biomonitoring</w:t>
      </w:r>
      <w:r>
        <w:t xml:space="preserve"> can </w:t>
      </w:r>
      <w:r w:rsidRPr="005132B6">
        <w:t>risk</w:t>
      </w:r>
      <w:r>
        <w:t xml:space="preserve"> </w:t>
      </w:r>
      <w:r w:rsidRPr="005132B6">
        <w:t>repeating those early missteps. Without careful validation, such premature adoption could set the field back years by diminishing trust in eDNA-based evidence among practitioners and decision-makers. Sustainable integration of eDNA and eRNA into management frameworks therefore requires patience, transparency, and consistent interlaboratory standards to ensure that progress in molecular ecology strengthens, rather than undermines, long-term monitoring credibility.</w:t>
      </w:r>
    </w:p>
    <w:p w14:paraId="1E76AFFA" w14:textId="77777777" w:rsidR="00B733DB" w:rsidRPr="00B733DB" w:rsidRDefault="00B733DB" w:rsidP="002510DC">
      <w:pPr>
        <w:pStyle w:val="Heading2"/>
      </w:pPr>
      <w:bookmarkStart w:id="29" w:name="_Toc211651623"/>
      <w:r w:rsidRPr="00B733DB">
        <w:t>Broader Significance</w:t>
      </w:r>
      <w:bookmarkEnd w:id="29"/>
    </w:p>
    <w:p w14:paraId="4A49CC48" w14:textId="77777777" w:rsidR="00B733DB" w:rsidRPr="00B733DB" w:rsidRDefault="00B733DB" w:rsidP="00B733DB">
      <w:pPr>
        <w:pStyle w:val="normale"/>
      </w:pPr>
      <w:r w:rsidRPr="00B733DB">
        <w:t xml:space="preserve">This research contributes to a growing body of evidence demonstrating that environmental nucleic acids represent a transformative toolset for freshwater biodiversity monitoring. By validating eDNA and eRNA metabarcoding against conventional surveys </w:t>
      </w:r>
      <w:r w:rsidRPr="00B733DB">
        <w:lastRenderedPageBreak/>
        <w:t>and historical data in a hydropower-regulated river, this study provides a foundation for integrating molecular methods into environmental impact assessments, license compliance monitoring, and adaptive management frameworks. As regulatory agencies and hydropower operators increasingly recognize the value of non-invasive, high-throughput biomonitoring, the methods and findings presented here offer a roadmap for implementation that balances rigor, practicality, and ecological sensitivity.</w:t>
      </w:r>
    </w:p>
    <w:p w14:paraId="1C746E5C" w14:textId="364C6F1E" w:rsidR="00324C32" w:rsidRPr="009D2AA9" w:rsidRDefault="00B733DB" w:rsidP="00913ABA">
      <w:pPr>
        <w:pStyle w:val="normale"/>
      </w:pPr>
      <w:r w:rsidRPr="00B733DB">
        <w:t>Ultimately, the conservation of freshwater biodiversity in an era of accelerating environmental change will require innovative, scalable, and scientifically robust monitoring strategies. eDNA and eRNA metabarcoding, when applied thoughtfully and in combination with traditional approaches, provide a powerful lens for understanding and protecting the aquatic ecosystems upon which both human communities and imperiled species depend. The continued refinement and application of these tools will be essential for achieving the dual goals of sustainable hydropower development and freshwater biodiversity conservation.</w:t>
      </w:r>
      <w:r w:rsidR="00324C32" w:rsidRPr="009D2AA9">
        <w:br w:type="page"/>
      </w:r>
    </w:p>
    <w:p w14:paraId="437D14B5" w14:textId="302690EF" w:rsidR="00324C32" w:rsidRPr="002C0BB1" w:rsidRDefault="00324C32" w:rsidP="002C0BB1">
      <w:pPr>
        <w:pStyle w:val="Heading1"/>
        <w:numPr>
          <w:ilvl w:val="0"/>
          <w:numId w:val="4"/>
        </w:numPr>
      </w:pPr>
      <w:bookmarkStart w:id="30" w:name="_Toc420995896"/>
      <w:bookmarkStart w:id="31" w:name="_Toc422997483"/>
      <w:r w:rsidRPr="009D2AA9">
        <w:lastRenderedPageBreak/>
        <w:br/>
      </w:r>
      <w:bookmarkStart w:id="32" w:name="_Toc211651624"/>
      <w:bookmarkEnd w:id="30"/>
      <w:bookmarkEnd w:id="31"/>
      <w:r w:rsidR="00AC1EDB">
        <w:t xml:space="preserve">Evaluating the Reliability of </w:t>
      </w:r>
      <w:r w:rsidR="008D6E86">
        <w:t>E</w:t>
      </w:r>
      <w:r w:rsidR="00835944">
        <w:t xml:space="preserve">nvironmental DNA and RNA </w:t>
      </w:r>
      <w:r w:rsidR="008D6E86">
        <w:t xml:space="preserve">Tools </w:t>
      </w:r>
      <w:r w:rsidR="00835944">
        <w:t>for Freshwater Biomonitoring</w:t>
      </w:r>
      <w:bookmarkEnd w:id="32"/>
      <w:r w:rsidRPr="004F08CE">
        <w:tab/>
      </w:r>
    </w:p>
    <w:p w14:paraId="3A146A03" w14:textId="6C90BD97" w:rsidR="0002039D" w:rsidRDefault="00DA1FC6" w:rsidP="002C0BB1">
      <w:pPr>
        <w:pStyle w:val="Heading2"/>
      </w:pPr>
      <w:bookmarkStart w:id="33" w:name="_Toc420995897"/>
      <w:bookmarkStart w:id="34" w:name="_Toc422997484"/>
      <w:bookmarkStart w:id="35" w:name="_Toc427156467"/>
      <w:bookmarkStart w:id="36" w:name="_Toc211651625"/>
      <w:r w:rsidRPr="00DA1FC6">
        <w:t>Introduction</w:t>
      </w:r>
      <w:bookmarkEnd w:id="33"/>
      <w:bookmarkEnd w:id="34"/>
      <w:bookmarkEnd w:id="35"/>
      <w:bookmarkEnd w:id="36"/>
    </w:p>
    <w:p w14:paraId="284C0ACB" w14:textId="4B1AF244" w:rsidR="004B1E80" w:rsidRDefault="004B1E80" w:rsidP="004B1E80">
      <w:pPr>
        <w:pStyle w:val="normale"/>
      </w:pPr>
      <w:r w:rsidRPr="004B1E80">
        <w:t>Freshwater ecosystems support an extraordinary share of global biodiversity yet remain among the most threatened on Earth. Although they cover less than one percent of the planet’s surface, they sustain more than ten percent of all known species, including roughly 26% of fish, 70% of unionid mussels, and several amphibian taxa such as the Eastern Hellbender (</w:t>
      </w:r>
      <w:proofErr w:type="spellStart"/>
      <w:r w:rsidRPr="004B1E80">
        <w:rPr>
          <w:i/>
          <w:iCs/>
        </w:rPr>
        <w:t>Cryptobranchus</w:t>
      </w:r>
      <w:proofErr w:type="spellEnd"/>
      <w:r w:rsidRPr="004B1E80">
        <w:rPr>
          <w:i/>
          <w:iCs/>
        </w:rPr>
        <w:t xml:space="preserve"> </w:t>
      </w:r>
      <w:proofErr w:type="spellStart"/>
      <w:r w:rsidRPr="004B1E80">
        <w:rPr>
          <w:i/>
          <w:iCs/>
        </w:rPr>
        <w:t>alleganiensis</w:t>
      </w:r>
      <w:proofErr w:type="spellEnd"/>
      <w:r w:rsidRPr="004B1E80">
        <w:rPr>
          <w:i/>
          <w:iCs/>
        </w:rPr>
        <w:t xml:space="preserve"> </w:t>
      </w:r>
      <w:proofErr w:type="spellStart"/>
      <w:r w:rsidRPr="004B1E80">
        <w:rPr>
          <w:i/>
          <w:iCs/>
        </w:rPr>
        <w:t>alleganiensis</w:t>
      </w:r>
      <w:proofErr w:type="spellEnd"/>
      <w:r w:rsidRPr="004B1E80">
        <w:t>) (</w:t>
      </w:r>
      <w:r w:rsidR="00E679CB">
        <w:t>S</w:t>
      </w:r>
      <w:r w:rsidR="002E74A9">
        <w:t>ayer et al.</w:t>
      </w:r>
      <w:r w:rsidRPr="004B1E80">
        <w:t>, 2025; IUCN, 2025). Recent global assessments estimate that one in four freshwater species is now at risk of extinction, making freshwater systems the most imperiled biome on the planet in terms of proportional biodiversity loss (IUCN, 2025). The main pressures driving these declines include hydrological modification, land-use change, pollution, invasive species, and climate change (Dudgeon et al., 2006; Reid et al., 2019).</w:t>
      </w:r>
    </w:p>
    <w:p w14:paraId="59FA81B0" w14:textId="019CA9E6" w:rsidR="008C648B" w:rsidRDefault="008C648B" w:rsidP="004B1E80">
      <w:pPr>
        <w:pStyle w:val="normale"/>
      </w:pPr>
      <w:r w:rsidRPr="008C648B">
        <w:t xml:space="preserve">Among these pressures, dam construction remains one of the most widespread and ecologically disruptive. While dams are vital for hydropower, irrigation, and flood control, they fundamentally alter natural flow regimes, fragment habitats, and block migration routes for aquatic organisms (Orr et al., 2012; Wu et al., 2019). These changes cascade through ecosystems by reducing connectivity, trapping sediment, and degrading water quality. Migratory fishes lose access to spawning grounds, while benthic species such as mussels and Hellbenders experience unstable substrates and increased </w:t>
      </w:r>
      <w:r w:rsidRPr="008C648B">
        <w:lastRenderedPageBreak/>
        <w:t>sedimentation downstream of impoundments (Liermann et al., 2012; Huang &amp; Li, 2024; Fernandez et al., 2024).</w:t>
      </w:r>
    </w:p>
    <w:p w14:paraId="0969ACEC" w14:textId="77777777" w:rsidR="00FB14B0" w:rsidRDefault="008C648B" w:rsidP="00627354">
      <w:pPr>
        <w:pStyle w:val="normale"/>
      </w:pPr>
      <w:r w:rsidRPr="008C648B">
        <w:t>The disruption of fish movement has further consequences for mussel populations. Many unionid mussels depend on specific fish hosts to complete their larval stage (glochidia), attaching to gills or fins before transforming into juveniles and dropping off to settle in new habitats. By serving as hosts and dispersal agents, fish play a critical role in maintaining gene flow and enabling recolonization across river networks. When dams restrict fish migration, these life cycle connections are broken, leading to isolated or declining mussel populations even in habitats that otherwise remain suitable (Vaughn, 2018).</w:t>
      </w:r>
      <w:r>
        <w:t xml:space="preserve"> </w:t>
      </w:r>
      <w:r w:rsidRPr="008C648B">
        <w:t>Over time, such disruptions contribute to localized extirpations, homogenized communities, and a gradual loss of ecosystem resilience (Barbarossa et al., 2020).</w:t>
      </w:r>
    </w:p>
    <w:p w14:paraId="00AFC489" w14:textId="11B9366D" w:rsidR="00627354" w:rsidRPr="00627354" w:rsidRDefault="00627354" w:rsidP="00627354">
      <w:pPr>
        <w:pStyle w:val="normale"/>
      </w:pPr>
      <w:r w:rsidRPr="00627354">
        <w:t>Freshwater fishes make up nearly 40% of all vertebrate diversity, with more than 28,000 described and undescribed species across 57 orders and over 480 families (Lundberg et al., 2000). They play essential roles in nutrient cycling, trophic balance, and energy transfer across ecosystems, and their diversity often reflects the ecological health of aquatic habitats (Sajina et al., 2021). Fish are also vital for the life cycle and dispersal of unionid mussels. Mussel larvae, known as glochidia, must attach to specific fish hosts for successful metamorphosis into juveniles. This temporary parasitic stage not only ensures survival during early development but also allows mussels to disperse and colonize new habitats. The decline of host fish populations can therefore directly limit mussel recruitment and contribute to local extinctions, even in habitats that remain otherwise suitable.</w:t>
      </w:r>
    </w:p>
    <w:p w14:paraId="72135983" w14:textId="77777777" w:rsidR="00627354" w:rsidRPr="00627354" w:rsidRDefault="00627354" w:rsidP="00627354">
      <w:pPr>
        <w:pStyle w:val="normale"/>
      </w:pPr>
      <w:r w:rsidRPr="00627354">
        <w:lastRenderedPageBreak/>
        <w:t>Unionid mussels are equally critical to freshwater systems. They function as ecosystem engineers that filter suspended particles, stabilize sediments, and recycle nutrients, improving water quality and providing habitat for other organisms. Despite their importance, mussel populations across North America are in steep decline. More than 70% of species are currently threatened or endangered, largely due to habitat loss, pollution, and reduced host-fish availability (</w:t>
      </w:r>
      <w:proofErr w:type="spellStart"/>
      <w:r w:rsidRPr="00627354">
        <w:t>Prié</w:t>
      </w:r>
      <w:proofErr w:type="spellEnd"/>
      <w:r w:rsidRPr="00627354">
        <w:t xml:space="preserve"> et al., 2020; </w:t>
      </w:r>
      <w:proofErr w:type="spellStart"/>
      <w:r w:rsidRPr="00627354">
        <w:t>Klymus</w:t>
      </w:r>
      <w:proofErr w:type="spellEnd"/>
      <w:r w:rsidRPr="00627354">
        <w:t xml:space="preserve"> et al., 2021; Marshall et al., 2022).</w:t>
      </w:r>
    </w:p>
    <w:p w14:paraId="1D5298B6" w14:textId="147C8B46" w:rsidR="00627354" w:rsidRDefault="00627354" w:rsidP="00627354">
      <w:pPr>
        <w:pStyle w:val="normale"/>
      </w:pPr>
      <w:r w:rsidRPr="00627354">
        <w:t>The Eastern Hellbender, a fully aquatic salamander native to the Appalachian region, serves as another key indicator of river health. Its persistence depends on cool, well-oxygenated, and sediment-free habitats, conditions that are increasingly rare in regulated rivers. Declines in Hellbender populations, primarily caused by siltation, pollution, and habitat fragmentation, often reflect broader ecological deterioration (</w:t>
      </w:r>
      <w:proofErr w:type="spellStart"/>
      <w:r w:rsidRPr="00627354">
        <w:t>Bodinof</w:t>
      </w:r>
      <w:proofErr w:type="spellEnd"/>
      <w:r w:rsidRPr="00627354">
        <w:t xml:space="preserve"> </w:t>
      </w:r>
      <w:proofErr w:type="spellStart"/>
      <w:r w:rsidRPr="00627354">
        <w:t>Jachowski</w:t>
      </w:r>
      <w:proofErr w:type="spellEnd"/>
      <w:r w:rsidRPr="00627354">
        <w:t xml:space="preserve"> et al., 2020).</w:t>
      </w:r>
    </w:p>
    <w:p w14:paraId="0976D0E6" w14:textId="7AEAAF6C" w:rsidR="009D67C5" w:rsidRDefault="009D67C5" w:rsidP="009D67C5">
      <w:pPr>
        <w:pStyle w:val="normale"/>
      </w:pPr>
      <w:r>
        <w:t>Environmental DNA (eDNA) metabarcoding has transformed biodiversity monitoring by enabling the detection of species through trace genetic material shed into the environment. Compared to traditional methods, eDNA provides higher sensitivity for rare and low-density species, broader spatial coverage, and minimal disturbance to habitats (Bohmann et al., 2014; Bonar et al., 2017; Yao et al., 2022).</w:t>
      </w:r>
    </w:p>
    <w:p w14:paraId="539C7A5C" w14:textId="199E5999" w:rsidR="009D67C5" w:rsidRDefault="009D67C5" w:rsidP="009D67C5">
      <w:pPr>
        <w:pStyle w:val="normale"/>
      </w:pPr>
      <w:r>
        <w:t xml:space="preserve">Environmental RNA (eRNA) builds upon this framework by targeting short-lived molecules produced by metabolically active organisms. Because RNA degrades within hours, it offers a more temporally precise snapshot of recent biological activity and reduces the likelihood of detecting DNA remnants from organisms that are no longer </w:t>
      </w:r>
      <w:r>
        <w:lastRenderedPageBreak/>
        <w:t>present (</w:t>
      </w:r>
      <w:proofErr w:type="spellStart"/>
      <w:r>
        <w:t>Pochon</w:t>
      </w:r>
      <w:proofErr w:type="spellEnd"/>
      <w:r>
        <w:t xml:space="preserve"> et al., 2017; Marshall &amp; Stepien, 2019). When used together, eDNA and eRNA, collectively referred to as environmental nucleic acids (</w:t>
      </w:r>
      <w:proofErr w:type="spellStart"/>
      <w:r>
        <w:t>eNAs</w:t>
      </w:r>
      <w:proofErr w:type="spellEnd"/>
      <w:r>
        <w:t>), capture both cumulative and immediate biological signals, providing a more complete view of ecosystem dynamics.</w:t>
      </w:r>
    </w:p>
    <w:p w14:paraId="22605ABB" w14:textId="2CAECC24" w:rsidR="009D67C5" w:rsidRDefault="009D67C5" w:rsidP="009D67C5">
      <w:pPr>
        <w:pStyle w:val="normale"/>
      </w:pPr>
      <w:r>
        <w:t xml:space="preserve">Field studies have shown strong overlap between </w:t>
      </w:r>
      <w:proofErr w:type="spellStart"/>
      <w:r>
        <w:t>eNA</w:t>
      </w:r>
      <w:proofErr w:type="spellEnd"/>
      <w:r>
        <w:t xml:space="preserve"> results and conventional survey data. eDNA often detects additional species that are missed by traditional methods, while conventional surveys continue to provide valuable demographic and abundance information (</w:t>
      </w:r>
      <w:proofErr w:type="spellStart"/>
      <w:r>
        <w:t>Cilleros</w:t>
      </w:r>
      <w:proofErr w:type="spellEnd"/>
      <w:r>
        <w:t xml:space="preserve"> et al., 2019; Pont et al., 2018). Molecular assays have also detected imperiled taxa such as unionid mussels and Hellbenders in areas where morphological surveys failed, demonstrating their potential to fill long-standing detection gaps (Miyata et al., 2021).</w:t>
      </w:r>
      <w:r w:rsidR="00A616BC">
        <w:t xml:space="preserve"> </w:t>
      </w:r>
      <w:r>
        <w:t xml:space="preserve">Despite existing challenges, </w:t>
      </w:r>
      <w:proofErr w:type="spellStart"/>
      <w:r>
        <w:t>eNA</w:t>
      </w:r>
      <w:proofErr w:type="spellEnd"/>
      <w:r>
        <w:t xml:space="preserve">-based approaches are becoming </w:t>
      </w:r>
      <w:r w:rsidR="00241026">
        <w:t>steadily more reliable</w:t>
      </w:r>
      <w:r w:rsidR="00F72E5F">
        <w:t>, and c</w:t>
      </w:r>
      <w:r w:rsidR="00193997">
        <w:t xml:space="preserve">urrently, pairing </w:t>
      </w:r>
      <w:r w:rsidR="000A6A4E">
        <w:t>molecular and morphological assessments is the best way to achieve the highest accuracy in biodiversity analysis</w:t>
      </w:r>
      <w:r>
        <w:t xml:space="preserve"> (Jackman et al., 2021; Liu et al., 2025).</w:t>
      </w:r>
    </w:p>
    <w:p w14:paraId="5C3EDFF6" w14:textId="612E6FAC" w:rsidR="00456D61" w:rsidRDefault="00456D61" w:rsidP="00456D61">
      <w:pPr>
        <w:pStyle w:val="normale"/>
      </w:pPr>
      <w:r>
        <w:t>This chapter evaluates the performance of eDNA and eRNA metabarcoding as complementary tools for freshwater biomonitoring in hydropower-regulated systems, focusing on fish, mussel, and Hellbender assemblages within the Apalachia Cutoff Reach (ACR) of the Hiwassee River, Tennessee. Specifically, this study aims to:</w:t>
      </w:r>
    </w:p>
    <w:p w14:paraId="3F7CCF89" w14:textId="77777777" w:rsidR="00456D61" w:rsidRDefault="00456D61" w:rsidP="00B467D6">
      <w:pPr>
        <w:pStyle w:val="normale"/>
        <w:numPr>
          <w:ilvl w:val="0"/>
          <w:numId w:val="6"/>
        </w:numPr>
      </w:pPr>
      <w:r>
        <w:t xml:space="preserve">Assess species richness and community composition across taxa using eDNA and eRNA. </w:t>
      </w:r>
    </w:p>
    <w:p w14:paraId="050EAAEF" w14:textId="77777777" w:rsidR="00A2249C" w:rsidRDefault="00456D61" w:rsidP="00D60543">
      <w:pPr>
        <w:pStyle w:val="normale"/>
        <w:numPr>
          <w:ilvl w:val="0"/>
          <w:numId w:val="6"/>
        </w:numPr>
      </w:pPr>
      <w:r>
        <w:t xml:space="preserve">Compare molecular detections across </w:t>
      </w:r>
      <w:r w:rsidR="00A2249C">
        <w:t>target genes as well as</w:t>
      </w:r>
      <w:r>
        <w:t xml:space="preserve"> with concurrent morphological surveys and historical records.</w:t>
      </w:r>
    </w:p>
    <w:p w14:paraId="5035D08D" w14:textId="2480F24A" w:rsidR="00456D61" w:rsidRDefault="00456D61" w:rsidP="00456D61">
      <w:pPr>
        <w:pStyle w:val="normale"/>
        <w:numPr>
          <w:ilvl w:val="0"/>
          <w:numId w:val="6"/>
        </w:numPr>
      </w:pPr>
      <w:r>
        <w:lastRenderedPageBreak/>
        <w:t>Identify environmental factors influencing detection patterns and diversity in relation to hydropower regulation.</w:t>
      </w:r>
    </w:p>
    <w:p w14:paraId="11665A41" w14:textId="45043271" w:rsidR="008C648B" w:rsidRPr="004B1E80" w:rsidRDefault="003E6A18" w:rsidP="004B1E80">
      <w:pPr>
        <w:pStyle w:val="normale"/>
      </w:pPr>
      <w:r w:rsidRPr="003E6A18">
        <w:t>This study assesses the ability of eDNA and eRNA to characterize multi-taxon biodiversity and examines their potential to strengthen freshwater biomonitoring programs in regulated river environments.</w:t>
      </w:r>
    </w:p>
    <w:p w14:paraId="11C43B2F" w14:textId="7BE7D2C2" w:rsidR="0002039D" w:rsidRPr="00D30995" w:rsidRDefault="008A2FAC" w:rsidP="002510DC">
      <w:pPr>
        <w:pStyle w:val="Heading2"/>
      </w:pPr>
      <w:bookmarkStart w:id="37" w:name="_Toc211651626"/>
      <w:r w:rsidRPr="00D30995">
        <w:t>M</w:t>
      </w:r>
      <w:r w:rsidR="0002039D" w:rsidRPr="00D30995">
        <w:t>ethods</w:t>
      </w:r>
      <w:bookmarkEnd w:id="37"/>
    </w:p>
    <w:p w14:paraId="07691806" w14:textId="5006D9DD" w:rsidR="00D34432" w:rsidRPr="00D34432" w:rsidRDefault="00FA5072" w:rsidP="00763CF0">
      <w:pPr>
        <w:pStyle w:val="Heading3"/>
      </w:pPr>
      <w:bookmarkStart w:id="38" w:name="_Toc211651627"/>
      <w:r>
        <w:t>Study Area</w:t>
      </w:r>
      <w:bookmarkEnd w:id="38"/>
    </w:p>
    <w:p w14:paraId="3653DC1D" w14:textId="542C55DE" w:rsidR="00774941" w:rsidRPr="00D34432" w:rsidRDefault="00774941" w:rsidP="00D34432">
      <w:pPr>
        <w:pStyle w:val="normale"/>
      </w:pPr>
      <w:r w:rsidRPr="00D34432">
        <w:t xml:space="preserve">The Apalachia Cutoff Reach (ACR) is located in Polk County, southeastern Tennessee, as a part of the southern Appalachian Mountains and the Cherokee National Forest. The reach extends approximately 14.4 river miles between the Apalachia Dam and the Apalachia Powerhouse and is characterized by steep hills and rugged terrain. There are no parallel roads along the reach, and access is limited to the U.S. Highway 68 bridge, which is the only vehicle crossing to the ACR. The remaining sections are accessible only by the John Muir Trail on the north bank and the railroad corridor on the south. Forest Service administrative roads reach within about half a mile of the river near where </w:t>
      </w:r>
      <w:proofErr w:type="spellStart"/>
      <w:r w:rsidRPr="00D34432">
        <w:t>Turtletown</w:t>
      </w:r>
      <w:proofErr w:type="spellEnd"/>
      <w:r w:rsidRPr="00D34432">
        <w:t xml:space="preserve"> and Wolf creeks join the Hiwassee River, but the steep terrain in those areas still makes access difficult, making regular conventional surveys in the area more challenging.  </w:t>
      </w:r>
    </w:p>
    <w:p w14:paraId="6E2BF95D" w14:textId="1A040F17" w:rsidR="00236285" w:rsidRDefault="00774941" w:rsidP="00763CF0">
      <w:pPr>
        <w:pStyle w:val="Heading3"/>
      </w:pPr>
      <w:bookmarkStart w:id="39" w:name="_Toc211651628"/>
      <w:r>
        <w:t>Conventional Surveying and Historical Data</w:t>
      </w:r>
      <w:bookmarkEnd w:id="39"/>
    </w:p>
    <w:p w14:paraId="1C35D94C" w14:textId="29A96BC0" w:rsidR="00236285" w:rsidRPr="00236285" w:rsidRDefault="00236285" w:rsidP="00236285">
      <w:pPr>
        <w:pStyle w:val="normale"/>
      </w:pPr>
      <w:r w:rsidRPr="00236285">
        <w:t xml:space="preserve">Conventional mussel and fish surveys were conducted in collaboration with the Tennessee Valley Authority (TVA) from July 25–27, 2023. A total of </w:t>
      </w:r>
      <w:r w:rsidR="00F93FDA">
        <w:t>nine</w:t>
      </w:r>
      <w:r w:rsidRPr="00236285">
        <w:t xml:space="preserve"> sites </w:t>
      </w:r>
      <w:r w:rsidR="00AF23C7">
        <w:t>(</w:t>
      </w:r>
      <w:r w:rsidR="00A729C9">
        <w:rPr>
          <w:b/>
          <w:bCs/>
        </w:rPr>
        <w:t>Figure 1</w:t>
      </w:r>
      <w:r w:rsidR="00A729C9" w:rsidRPr="00A729C9">
        <w:t>;</w:t>
      </w:r>
      <w:r w:rsidR="00A729C9">
        <w:rPr>
          <w:b/>
          <w:bCs/>
        </w:rPr>
        <w:t xml:space="preserve"> </w:t>
      </w:r>
      <w:r w:rsidR="00AF23C7" w:rsidRPr="00AF23C7">
        <w:rPr>
          <w:b/>
          <w:bCs/>
        </w:rPr>
        <w:t>Table 1</w:t>
      </w:r>
      <w:r w:rsidR="00AF23C7">
        <w:t xml:space="preserve">) </w:t>
      </w:r>
      <w:r w:rsidRPr="00236285">
        <w:t xml:space="preserve">were surveyed along the ACR using standard visual and tactile methods, </w:t>
      </w:r>
      <w:r w:rsidRPr="00236285">
        <w:lastRenderedPageBreak/>
        <w:t>including snorkeling, hand-digging, fanning substrate, and turning slab boulders to locate live mussels. Snorkelers searched across transects spanning suitable substrates such as sand, gravel, cobble, boulder, and bedrock. Each site was surveyed by 2–9 snorkelers for an average cumulative effort of four hours per site, covering areas ranging from approximately 100 to 2,800 m².</w:t>
      </w:r>
    </w:p>
    <w:p w14:paraId="5D149081" w14:textId="2978E50A" w:rsidR="00727D15" w:rsidRDefault="00236285" w:rsidP="00236285">
      <w:pPr>
        <w:pStyle w:val="normale"/>
      </w:pPr>
      <w:r w:rsidRPr="00236285">
        <w:t>Mussels encountered at each site were identified in the field following Williams et al. (2017) and the FMCS (2023) checklist. Live individuals were measured with calipers, photographed, and returned to the substrate. Fresh-dead and relic shells were identified, counted, and recorded.</w:t>
      </w:r>
    </w:p>
    <w:p w14:paraId="6F21CDB4" w14:textId="453D89E9" w:rsidR="00A91F81" w:rsidRPr="00D34432" w:rsidRDefault="00A91F81" w:rsidP="0082280B">
      <w:pPr>
        <w:pStyle w:val="Caption"/>
      </w:pPr>
      <w:bookmarkStart w:id="40" w:name="_Toc211656502"/>
      <w:r w:rsidRPr="002C0BB1">
        <w:rPr>
          <w:b/>
          <w:bCs/>
        </w:rPr>
        <w:t xml:space="preserve">Table </w:t>
      </w:r>
      <w:r w:rsidR="00EC2FC4" w:rsidRPr="002C0BB1">
        <w:rPr>
          <w:b/>
          <w:bCs/>
        </w:rPr>
        <w:fldChar w:fldCharType="begin"/>
      </w:r>
      <w:r w:rsidR="00EC2FC4" w:rsidRPr="002C0BB1">
        <w:rPr>
          <w:b/>
          <w:bCs/>
        </w:rPr>
        <w:instrText xml:space="preserve"> SEQ Table \* ARABIC </w:instrText>
      </w:r>
      <w:r w:rsidR="00EC2FC4" w:rsidRPr="002C0BB1">
        <w:rPr>
          <w:b/>
          <w:bCs/>
        </w:rPr>
        <w:fldChar w:fldCharType="separate"/>
      </w:r>
      <w:r w:rsidR="00EC2FC4" w:rsidRPr="002C0BB1">
        <w:rPr>
          <w:b/>
          <w:bCs/>
          <w:noProof/>
        </w:rPr>
        <w:t>1</w:t>
      </w:r>
      <w:r w:rsidR="00EC2FC4" w:rsidRPr="002C0BB1">
        <w:rPr>
          <w:b/>
          <w:bCs/>
        </w:rPr>
        <w:fldChar w:fldCharType="end"/>
      </w:r>
      <w:r w:rsidRPr="00D34432">
        <w:t>. Conventional survey sites for mussel and fish morphological assessments within the Apalachia Cutoff Reach of the Hiwassee River.</w:t>
      </w:r>
      <w:bookmarkEnd w:id="40"/>
    </w:p>
    <w:tbl>
      <w:tblPr>
        <w:tblpPr w:leftFromText="180" w:rightFromText="180" w:vertAnchor="text" w:horzAnchor="margin" w:tblpXSpec="center" w:tblpY="262"/>
        <w:tblW w:w="5000" w:type="pct"/>
        <w:tblLook w:val="04A0" w:firstRow="1" w:lastRow="0" w:firstColumn="1" w:lastColumn="0" w:noHBand="0" w:noVBand="1"/>
      </w:tblPr>
      <w:tblGrid>
        <w:gridCol w:w="985"/>
        <w:gridCol w:w="1917"/>
        <w:gridCol w:w="1576"/>
        <w:gridCol w:w="1392"/>
        <w:gridCol w:w="1501"/>
        <w:gridCol w:w="1485"/>
      </w:tblGrid>
      <w:tr w:rsidR="005C2211" w:rsidRPr="005C2211" w14:paraId="22863E81" w14:textId="77777777" w:rsidTr="00727D15">
        <w:trPr>
          <w:cantSplit/>
          <w:trHeight w:val="379"/>
        </w:trPr>
        <w:tc>
          <w:tcPr>
            <w:tcW w:w="0" w:type="auto"/>
            <w:tcBorders>
              <w:top w:val="single" w:sz="4" w:space="0" w:color="000000"/>
              <w:left w:val="nil"/>
              <w:bottom w:val="single" w:sz="4" w:space="0" w:color="000000"/>
              <w:right w:val="nil"/>
            </w:tcBorders>
            <w:shd w:val="clear" w:color="000000" w:fill="FFFFFF"/>
            <w:vAlign w:val="bottom"/>
            <w:hideMark/>
          </w:tcPr>
          <w:p w14:paraId="22376C57" w14:textId="77777777" w:rsidR="005C2211" w:rsidRPr="005C2211" w:rsidRDefault="005C2211" w:rsidP="0058235F">
            <w:pPr>
              <w:pStyle w:val="normale"/>
              <w:spacing w:line="240" w:lineRule="auto"/>
              <w:jc w:val="center"/>
            </w:pPr>
            <w:r w:rsidRPr="005C2211">
              <w:t>Site</w:t>
            </w:r>
          </w:p>
        </w:tc>
        <w:tc>
          <w:tcPr>
            <w:tcW w:w="0" w:type="auto"/>
            <w:tcBorders>
              <w:top w:val="single" w:sz="4" w:space="0" w:color="000000"/>
              <w:left w:val="nil"/>
              <w:bottom w:val="single" w:sz="4" w:space="0" w:color="000000"/>
              <w:right w:val="nil"/>
            </w:tcBorders>
            <w:shd w:val="clear" w:color="000000" w:fill="FFFFFF"/>
            <w:vAlign w:val="bottom"/>
            <w:hideMark/>
          </w:tcPr>
          <w:p w14:paraId="43440EA9" w14:textId="77777777" w:rsidR="005C2211" w:rsidRPr="005C2211" w:rsidRDefault="005C2211" w:rsidP="0058235F">
            <w:pPr>
              <w:pStyle w:val="normale"/>
              <w:spacing w:line="240" w:lineRule="auto"/>
              <w:jc w:val="center"/>
            </w:pPr>
            <w:r w:rsidRPr="005C2211">
              <w:t>Survey Type</w:t>
            </w:r>
          </w:p>
        </w:tc>
        <w:tc>
          <w:tcPr>
            <w:tcW w:w="0" w:type="auto"/>
            <w:tcBorders>
              <w:top w:val="single" w:sz="4" w:space="0" w:color="000000"/>
              <w:left w:val="nil"/>
              <w:bottom w:val="single" w:sz="4" w:space="0" w:color="000000"/>
              <w:right w:val="nil"/>
            </w:tcBorders>
            <w:shd w:val="clear" w:color="000000" w:fill="FFFFFF"/>
            <w:vAlign w:val="bottom"/>
            <w:hideMark/>
          </w:tcPr>
          <w:p w14:paraId="24F3470F" w14:textId="77777777" w:rsidR="005C2211" w:rsidRPr="005C2211" w:rsidRDefault="005C2211" w:rsidP="0058235F">
            <w:pPr>
              <w:pStyle w:val="normale"/>
              <w:spacing w:line="240" w:lineRule="auto"/>
              <w:jc w:val="center"/>
            </w:pPr>
            <w:r w:rsidRPr="005C2211">
              <w:t>River Mile</w:t>
            </w:r>
          </w:p>
        </w:tc>
        <w:tc>
          <w:tcPr>
            <w:tcW w:w="0" w:type="auto"/>
            <w:tcBorders>
              <w:top w:val="single" w:sz="4" w:space="0" w:color="000000"/>
              <w:left w:val="nil"/>
              <w:bottom w:val="single" w:sz="4" w:space="0" w:color="000000"/>
              <w:right w:val="nil"/>
            </w:tcBorders>
            <w:shd w:val="clear" w:color="000000" w:fill="FFFFFF"/>
            <w:vAlign w:val="bottom"/>
            <w:hideMark/>
          </w:tcPr>
          <w:p w14:paraId="23F9BFE0" w14:textId="77777777" w:rsidR="005C2211" w:rsidRPr="005C2211" w:rsidRDefault="005C2211" w:rsidP="0058235F">
            <w:pPr>
              <w:pStyle w:val="normale"/>
              <w:spacing w:line="240" w:lineRule="auto"/>
              <w:jc w:val="center"/>
            </w:pPr>
            <w:r w:rsidRPr="005C2211">
              <w:t>Latitude</w:t>
            </w:r>
          </w:p>
        </w:tc>
        <w:tc>
          <w:tcPr>
            <w:tcW w:w="0" w:type="auto"/>
            <w:tcBorders>
              <w:top w:val="single" w:sz="4" w:space="0" w:color="000000"/>
              <w:left w:val="nil"/>
              <w:bottom w:val="single" w:sz="4" w:space="0" w:color="000000"/>
              <w:right w:val="nil"/>
            </w:tcBorders>
            <w:shd w:val="clear" w:color="000000" w:fill="FFFFFF"/>
            <w:vAlign w:val="bottom"/>
            <w:hideMark/>
          </w:tcPr>
          <w:p w14:paraId="3F42BB68" w14:textId="77777777" w:rsidR="005C2211" w:rsidRPr="005C2211" w:rsidRDefault="005C2211" w:rsidP="0058235F">
            <w:pPr>
              <w:pStyle w:val="normale"/>
              <w:spacing w:line="240" w:lineRule="auto"/>
              <w:jc w:val="center"/>
            </w:pPr>
            <w:r w:rsidRPr="005C2211">
              <w:t>Longitude</w:t>
            </w:r>
          </w:p>
        </w:tc>
        <w:tc>
          <w:tcPr>
            <w:tcW w:w="0" w:type="auto"/>
            <w:tcBorders>
              <w:top w:val="single" w:sz="4" w:space="0" w:color="000000"/>
              <w:left w:val="nil"/>
              <w:bottom w:val="single" w:sz="4" w:space="0" w:color="000000"/>
              <w:right w:val="nil"/>
            </w:tcBorders>
            <w:shd w:val="clear" w:color="000000" w:fill="FFFFFF"/>
            <w:vAlign w:val="bottom"/>
            <w:hideMark/>
          </w:tcPr>
          <w:p w14:paraId="7E1C661C" w14:textId="77777777" w:rsidR="005C2211" w:rsidRPr="005C2211" w:rsidRDefault="005C2211" w:rsidP="0058235F">
            <w:pPr>
              <w:pStyle w:val="normale"/>
              <w:spacing w:line="240" w:lineRule="auto"/>
              <w:jc w:val="center"/>
            </w:pPr>
            <w:r w:rsidRPr="005C2211">
              <w:t>Date</w:t>
            </w:r>
          </w:p>
        </w:tc>
      </w:tr>
      <w:tr w:rsidR="005C2211" w:rsidRPr="005C2211" w14:paraId="4E759262" w14:textId="77777777" w:rsidTr="00727D15">
        <w:trPr>
          <w:cantSplit/>
          <w:trHeight w:val="379"/>
        </w:trPr>
        <w:tc>
          <w:tcPr>
            <w:tcW w:w="0" w:type="auto"/>
            <w:tcBorders>
              <w:top w:val="nil"/>
              <w:left w:val="nil"/>
              <w:bottom w:val="nil"/>
              <w:right w:val="nil"/>
            </w:tcBorders>
            <w:shd w:val="clear" w:color="000000" w:fill="FFFFFF"/>
            <w:vAlign w:val="center"/>
            <w:hideMark/>
          </w:tcPr>
          <w:p w14:paraId="131897EF" w14:textId="77777777" w:rsidR="005C2211" w:rsidRPr="005C2211" w:rsidRDefault="005C2211" w:rsidP="0058235F">
            <w:pPr>
              <w:pStyle w:val="normale"/>
              <w:spacing w:line="240" w:lineRule="auto"/>
              <w:jc w:val="center"/>
            </w:pPr>
            <w:r w:rsidRPr="005C2211">
              <w:t>CV01</w:t>
            </w:r>
          </w:p>
        </w:tc>
        <w:tc>
          <w:tcPr>
            <w:tcW w:w="0" w:type="auto"/>
            <w:tcBorders>
              <w:top w:val="nil"/>
              <w:left w:val="nil"/>
              <w:bottom w:val="nil"/>
              <w:right w:val="nil"/>
            </w:tcBorders>
            <w:shd w:val="clear" w:color="000000" w:fill="FFFFFF"/>
            <w:vAlign w:val="center"/>
            <w:hideMark/>
          </w:tcPr>
          <w:p w14:paraId="318960BA" w14:textId="77777777" w:rsidR="005C2211" w:rsidRPr="005C2211" w:rsidRDefault="005C2211" w:rsidP="0058235F">
            <w:pPr>
              <w:pStyle w:val="normale"/>
              <w:spacing w:line="240" w:lineRule="auto"/>
              <w:jc w:val="center"/>
            </w:pPr>
            <w:r w:rsidRPr="005C2211">
              <w:t>Mussels, Fish</w:t>
            </w:r>
          </w:p>
        </w:tc>
        <w:tc>
          <w:tcPr>
            <w:tcW w:w="0" w:type="auto"/>
            <w:tcBorders>
              <w:top w:val="nil"/>
              <w:left w:val="nil"/>
              <w:bottom w:val="nil"/>
              <w:right w:val="nil"/>
            </w:tcBorders>
            <w:shd w:val="clear" w:color="000000" w:fill="FFFFFF"/>
            <w:vAlign w:val="center"/>
            <w:hideMark/>
          </w:tcPr>
          <w:p w14:paraId="7E507C2F" w14:textId="77777777" w:rsidR="005C2211" w:rsidRPr="005C2211" w:rsidRDefault="005C2211" w:rsidP="0058235F">
            <w:pPr>
              <w:pStyle w:val="normale"/>
              <w:spacing w:line="240" w:lineRule="auto"/>
              <w:jc w:val="center"/>
            </w:pPr>
            <w:r w:rsidRPr="005C2211">
              <w:t>58.4</w:t>
            </w:r>
          </w:p>
        </w:tc>
        <w:tc>
          <w:tcPr>
            <w:tcW w:w="0" w:type="auto"/>
            <w:tcBorders>
              <w:top w:val="nil"/>
              <w:left w:val="nil"/>
              <w:bottom w:val="nil"/>
              <w:right w:val="nil"/>
            </w:tcBorders>
            <w:shd w:val="clear" w:color="000000" w:fill="FFFFFF"/>
            <w:vAlign w:val="center"/>
            <w:hideMark/>
          </w:tcPr>
          <w:p w14:paraId="70B91540" w14:textId="77777777" w:rsidR="005C2211" w:rsidRPr="005C2211" w:rsidRDefault="005C2211" w:rsidP="0058235F">
            <w:pPr>
              <w:pStyle w:val="normale"/>
              <w:spacing w:line="240" w:lineRule="auto"/>
              <w:jc w:val="center"/>
            </w:pPr>
            <w:r w:rsidRPr="005C2211">
              <w:t>35.17506</w:t>
            </w:r>
          </w:p>
        </w:tc>
        <w:tc>
          <w:tcPr>
            <w:tcW w:w="0" w:type="auto"/>
            <w:tcBorders>
              <w:top w:val="nil"/>
              <w:left w:val="nil"/>
              <w:bottom w:val="nil"/>
              <w:right w:val="nil"/>
            </w:tcBorders>
            <w:shd w:val="clear" w:color="000000" w:fill="FFFFFF"/>
            <w:vAlign w:val="center"/>
            <w:hideMark/>
          </w:tcPr>
          <w:p w14:paraId="077133F6" w14:textId="77777777" w:rsidR="005C2211" w:rsidRPr="005C2211" w:rsidRDefault="005C2211" w:rsidP="0058235F">
            <w:pPr>
              <w:pStyle w:val="normale"/>
              <w:spacing w:line="240" w:lineRule="auto"/>
              <w:jc w:val="center"/>
            </w:pPr>
            <w:r w:rsidRPr="005C2211">
              <w:t>-84.37482</w:t>
            </w:r>
          </w:p>
        </w:tc>
        <w:tc>
          <w:tcPr>
            <w:tcW w:w="0" w:type="auto"/>
            <w:tcBorders>
              <w:top w:val="nil"/>
              <w:left w:val="nil"/>
              <w:bottom w:val="nil"/>
              <w:right w:val="nil"/>
            </w:tcBorders>
            <w:vAlign w:val="center"/>
            <w:hideMark/>
          </w:tcPr>
          <w:p w14:paraId="1CE313A6" w14:textId="77777777" w:rsidR="005C2211" w:rsidRPr="005C2211" w:rsidRDefault="005C2211" w:rsidP="0058235F">
            <w:pPr>
              <w:pStyle w:val="normale"/>
              <w:spacing w:line="240" w:lineRule="auto"/>
              <w:jc w:val="center"/>
            </w:pPr>
            <w:r w:rsidRPr="005C2211">
              <w:t>7/27/2023</w:t>
            </w:r>
          </w:p>
        </w:tc>
      </w:tr>
      <w:tr w:rsidR="005C2211" w:rsidRPr="005C2211" w14:paraId="52C0BE97" w14:textId="77777777" w:rsidTr="00727D15">
        <w:trPr>
          <w:cantSplit/>
          <w:trHeight w:val="379"/>
        </w:trPr>
        <w:tc>
          <w:tcPr>
            <w:tcW w:w="0" w:type="auto"/>
            <w:tcBorders>
              <w:top w:val="nil"/>
              <w:left w:val="nil"/>
              <w:bottom w:val="nil"/>
              <w:right w:val="nil"/>
            </w:tcBorders>
            <w:shd w:val="clear" w:color="000000" w:fill="FFFFFF"/>
            <w:vAlign w:val="center"/>
            <w:hideMark/>
          </w:tcPr>
          <w:p w14:paraId="0F7D9398" w14:textId="77777777" w:rsidR="005C2211" w:rsidRPr="005C2211" w:rsidRDefault="005C2211" w:rsidP="0058235F">
            <w:pPr>
              <w:pStyle w:val="normale"/>
              <w:spacing w:line="240" w:lineRule="auto"/>
              <w:jc w:val="center"/>
            </w:pPr>
            <w:r w:rsidRPr="005C2211">
              <w:t>CV02</w:t>
            </w:r>
          </w:p>
        </w:tc>
        <w:tc>
          <w:tcPr>
            <w:tcW w:w="0" w:type="auto"/>
            <w:tcBorders>
              <w:top w:val="nil"/>
              <w:left w:val="nil"/>
              <w:bottom w:val="nil"/>
              <w:right w:val="nil"/>
            </w:tcBorders>
            <w:shd w:val="clear" w:color="000000" w:fill="FFFFFF"/>
            <w:vAlign w:val="center"/>
            <w:hideMark/>
          </w:tcPr>
          <w:p w14:paraId="5F93E776" w14:textId="77777777" w:rsidR="005C2211" w:rsidRPr="005C2211" w:rsidRDefault="005C2211" w:rsidP="0058235F">
            <w:pPr>
              <w:pStyle w:val="normale"/>
              <w:spacing w:line="240" w:lineRule="auto"/>
              <w:jc w:val="center"/>
            </w:pPr>
            <w:r w:rsidRPr="005C2211">
              <w:t>Mussels, Fish</w:t>
            </w:r>
          </w:p>
        </w:tc>
        <w:tc>
          <w:tcPr>
            <w:tcW w:w="0" w:type="auto"/>
            <w:tcBorders>
              <w:top w:val="nil"/>
              <w:left w:val="nil"/>
              <w:bottom w:val="nil"/>
              <w:right w:val="nil"/>
            </w:tcBorders>
            <w:shd w:val="clear" w:color="000000" w:fill="FFFFFF"/>
            <w:vAlign w:val="center"/>
            <w:hideMark/>
          </w:tcPr>
          <w:p w14:paraId="48239161" w14:textId="77777777" w:rsidR="005C2211" w:rsidRPr="005C2211" w:rsidRDefault="005C2211" w:rsidP="0058235F">
            <w:pPr>
              <w:pStyle w:val="normale"/>
              <w:spacing w:line="240" w:lineRule="auto"/>
              <w:jc w:val="center"/>
            </w:pPr>
            <w:r w:rsidRPr="005C2211">
              <w:t>58.7</w:t>
            </w:r>
          </w:p>
        </w:tc>
        <w:tc>
          <w:tcPr>
            <w:tcW w:w="0" w:type="auto"/>
            <w:tcBorders>
              <w:top w:val="nil"/>
              <w:left w:val="nil"/>
              <w:bottom w:val="nil"/>
              <w:right w:val="nil"/>
            </w:tcBorders>
            <w:shd w:val="clear" w:color="000000" w:fill="FFFFFF"/>
            <w:vAlign w:val="center"/>
            <w:hideMark/>
          </w:tcPr>
          <w:p w14:paraId="178D0537" w14:textId="77777777" w:rsidR="005C2211" w:rsidRPr="005C2211" w:rsidRDefault="005C2211" w:rsidP="0058235F">
            <w:pPr>
              <w:pStyle w:val="normale"/>
              <w:spacing w:line="240" w:lineRule="auto"/>
              <w:jc w:val="center"/>
            </w:pPr>
            <w:r w:rsidRPr="005C2211">
              <w:t>35.17323</w:t>
            </w:r>
          </w:p>
        </w:tc>
        <w:tc>
          <w:tcPr>
            <w:tcW w:w="0" w:type="auto"/>
            <w:tcBorders>
              <w:top w:val="nil"/>
              <w:left w:val="nil"/>
              <w:bottom w:val="nil"/>
              <w:right w:val="nil"/>
            </w:tcBorders>
            <w:shd w:val="clear" w:color="000000" w:fill="FFFFFF"/>
            <w:vAlign w:val="center"/>
            <w:hideMark/>
          </w:tcPr>
          <w:p w14:paraId="180DD3B1" w14:textId="77777777" w:rsidR="005C2211" w:rsidRPr="005C2211" w:rsidRDefault="005C2211" w:rsidP="0058235F">
            <w:pPr>
              <w:pStyle w:val="normale"/>
              <w:spacing w:line="240" w:lineRule="auto"/>
              <w:jc w:val="center"/>
            </w:pPr>
            <w:r w:rsidRPr="005C2211">
              <w:t>-84.37011</w:t>
            </w:r>
          </w:p>
        </w:tc>
        <w:tc>
          <w:tcPr>
            <w:tcW w:w="0" w:type="auto"/>
            <w:tcBorders>
              <w:top w:val="nil"/>
              <w:left w:val="nil"/>
              <w:bottom w:val="nil"/>
              <w:right w:val="nil"/>
            </w:tcBorders>
            <w:vAlign w:val="center"/>
            <w:hideMark/>
          </w:tcPr>
          <w:p w14:paraId="657EF66E" w14:textId="77777777" w:rsidR="005C2211" w:rsidRPr="005C2211" w:rsidRDefault="005C2211" w:rsidP="0058235F">
            <w:pPr>
              <w:pStyle w:val="normale"/>
              <w:spacing w:line="240" w:lineRule="auto"/>
              <w:jc w:val="center"/>
            </w:pPr>
            <w:r w:rsidRPr="005C2211">
              <w:t>7/27/2023</w:t>
            </w:r>
          </w:p>
        </w:tc>
      </w:tr>
      <w:tr w:rsidR="005C2211" w:rsidRPr="005C2211" w14:paraId="0F8C753A" w14:textId="77777777" w:rsidTr="00727D15">
        <w:trPr>
          <w:cantSplit/>
          <w:trHeight w:val="379"/>
        </w:trPr>
        <w:tc>
          <w:tcPr>
            <w:tcW w:w="0" w:type="auto"/>
            <w:tcBorders>
              <w:top w:val="nil"/>
              <w:left w:val="nil"/>
              <w:bottom w:val="nil"/>
              <w:right w:val="nil"/>
            </w:tcBorders>
            <w:shd w:val="clear" w:color="000000" w:fill="FFFFFF"/>
            <w:vAlign w:val="center"/>
            <w:hideMark/>
          </w:tcPr>
          <w:p w14:paraId="475C7E85" w14:textId="77777777" w:rsidR="005C2211" w:rsidRPr="005C2211" w:rsidRDefault="005C2211" w:rsidP="0058235F">
            <w:pPr>
              <w:pStyle w:val="normale"/>
              <w:spacing w:line="240" w:lineRule="auto"/>
              <w:jc w:val="center"/>
            </w:pPr>
            <w:r w:rsidRPr="005C2211">
              <w:t>CV03</w:t>
            </w:r>
          </w:p>
        </w:tc>
        <w:tc>
          <w:tcPr>
            <w:tcW w:w="0" w:type="auto"/>
            <w:tcBorders>
              <w:top w:val="nil"/>
              <w:left w:val="nil"/>
              <w:bottom w:val="nil"/>
              <w:right w:val="nil"/>
            </w:tcBorders>
            <w:shd w:val="clear" w:color="000000" w:fill="FFFFFF"/>
            <w:vAlign w:val="center"/>
            <w:hideMark/>
          </w:tcPr>
          <w:p w14:paraId="426EA216" w14:textId="77777777" w:rsidR="005C2211" w:rsidRPr="005C2211" w:rsidRDefault="005C2211" w:rsidP="0058235F">
            <w:pPr>
              <w:pStyle w:val="normale"/>
              <w:spacing w:line="240" w:lineRule="auto"/>
              <w:jc w:val="center"/>
            </w:pPr>
            <w:r w:rsidRPr="005C2211">
              <w:t>Mussels</w:t>
            </w:r>
          </w:p>
        </w:tc>
        <w:tc>
          <w:tcPr>
            <w:tcW w:w="0" w:type="auto"/>
            <w:tcBorders>
              <w:top w:val="nil"/>
              <w:left w:val="nil"/>
              <w:bottom w:val="nil"/>
              <w:right w:val="nil"/>
            </w:tcBorders>
            <w:shd w:val="clear" w:color="000000" w:fill="FFFFFF"/>
            <w:vAlign w:val="center"/>
            <w:hideMark/>
          </w:tcPr>
          <w:p w14:paraId="294D03CE" w14:textId="77777777" w:rsidR="005C2211" w:rsidRPr="005C2211" w:rsidRDefault="005C2211" w:rsidP="0058235F">
            <w:pPr>
              <w:pStyle w:val="normale"/>
              <w:spacing w:line="240" w:lineRule="auto"/>
              <w:jc w:val="center"/>
            </w:pPr>
            <w:r w:rsidRPr="005C2211">
              <w:t>59.2</w:t>
            </w:r>
          </w:p>
        </w:tc>
        <w:tc>
          <w:tcPr>
            <w:tcW w:w="0" w:type="auto"/>
            <w:tcBorders>
              <w:top w:val="nil"/>
              <w:left w:val="nil"/>
              <w:bottom w:val="nil"/>
              <w:right w:val="nil"/>
            </w:tcBorders>
            <w:shd w:val="clear" w:color="000000" w:fill="FFFFFF"/>
            <w:vAlign w:val="center"/>
            <w:hideMark/>
          </w:tcPr>
          <w:p w14:paraId="0A97B933" w14:textId="77777777" w:rsidR="005C2211" w:rsidRPr="005C2211" w:rsidRDefault="005C2211" w:rsidP="0058235F">
            <w:pPr>
              <w:pStyle w:val="normale"/>
              <w:spacing w:line="240" w:lineRule="auto"/>
              <w:jc w:val="center"/>
            </w:pPr>
            <w:r w:rsidRPr="005C2211">
              <w:t>35.17031</w:t>
            </w:r>
          </w:p>
        </w:tc>
        <w:tc>
          <w:tcPr>
            <w:tcW w:w="0" w:type="auto"/>
            <w:tcBorders>
              <w:top w:val="nil"/>
              <w:left w:val="nil"/>
              <w:bottom w:val="nil"/>
              <w:right w:val="nil"/>
            </w:tcBorders>
            <w:shd w:val="clear" w:color="000000" w:fill="FFFFFF"/>
            <w:vAlign w:val="center"/>
            <w:hideMark/>
          </w:tcPr>
          <w:p w14:paraId="79A89850" w14:textId="77777777" w:rsidR="005C2211" w:rsidRPr="005C2211" w:rsidRDefault="005C2211" w:rsidP="0058235F">
            <w:pPr>
              <w:pStyle w:val="normale"/>
              <w:spacing w:line="240" w:lineRule="auto"/>
              <w:jc w:val="center"/>
            </w:pPr>
            <w:r w:rsidRPr="005C2211">
              <w:t>-84.36504</w:t>
            </w:r>
          </w:p>
        </w:tc>
        <w:tc>
          <w:tcPr>
            <w:tcW w:w="0" w:type="auto"/>
            <w:tcBorders>
              <w:top w:val="nil"/>
              <w:left w:val="nil"/>
              <w:bottom w:val="nil"/>
              <w:right w:val="nil"/>
            </w:tcBorders>
            <w:vAlign w:val="center"/>
            <w:hideMark/>
          </w:tcPr>
          <w:p w14:paraId="53E83D82" w14:textId="77777777" w:rsidR="005C2211" w:rsidRPr="005C2211" w:rsidRDefault="005C2211" w:rsidP="0058235F">
            <w:pPr>
              <w:pStyle w:val="normale"/>
              <w:spacing w:line="240" w:lineRule="auto"/>
              <w:jc w:val="center"/>
            </w:pPr>
            <w:r w:rsidRPr="005C2211">
              <w:t>7/27/2023</w:t>
            </w:r>
          </w:p>
        </w:tc>
      </w:tr>
      <w:tr w:rsidR="005C2211" w:rsidRPr="005C2211" w14:paraId="23A40EE0" w14:textId="77777777" w:rsidTr="00727D15">
        <w:trPr>
          <w:cantSplit/>
          <w:trHeight w:val="379"/>
        </w:trPr>
        <w:tc>
          <w:tcPr>
            <w:tcW w:w="0" w:type="auto"/>
            <w:tcBorders>
              <w:top w:val="nil"/>
              <w:left w:val="nil"/>
              <w:bottom w:val="nil"/>
              <w:right w:val="nil"/>
            </w:tcBorders>
            <w:shd w:val="clear" w:color="000000" w:fill="FFFFFF"/>
            <w:vAlign w:val="center"/>
            <w:hideMark/>
          </w:tcPr>
          <w:p w14:paraId="1A79F31C" w14:textId="77777777" w:rsidR="005C2211" w:rsidRPr="005C2211" w:rsidRDefault="005C2211" w:rsidP="0058235F">
            <w:pPr>
              <w:pStyle w:val="normale"/>
              <w:spacing w:line="240" w:lineRule="auto"/>
              <w:jc w:val="center"/>
            </w:pPr>
            <w:r w:rsidRPr="005C2211">
              <w:t>CV04</w:t>
            </w:r>
          </w:p>
        </w:tc>
        <w:tc>
          <w:tcPr>
            <w:tcW w:w="0" w:type="auto"/>
            <w:tcBorders>
              <w:top w:val="nil"/>
              <w:left w:val="nil"/>
              <w:bottom w:val="nil"/>
              <w:right w:val="nil"/>
            </w:tcBorders>
            <w:shd w:val="clear" w:color="000000" w:fill="FFFFFF"/>
            <w:vAlign w:val="center"/>
            <w:hideMark/>
          </w:tcPr>
          <w:p w14:paraId="5370461F" w14:textId="77777777" w:rsidR="005C2211" w:rsidRPr="005C2211" w:rsidRDefault="005C2211" w:rsidP="0058235F">
            <w:pPr>
              <w:pStyle w:val="normale"/>
              <w:spacing w:line="240" w:lineRule="auto"/>
              <w:jc w:val="center"/>
            </w:pPr>
            <w:r w:rsidRPr="005C2211">
              <w:t>Mussels, Fish</w:t>
            </w:r>
          </w:p>
        </w:tc>
        <w:tc>
          <w:tcPr>
            <w:tcW w:w="0" w:type="auto"/>
            <w:tcBorders>
              <w:top w:val="nil"/>
              <w:left w:val="nil"/>
              <w:bottom w:val="nil"/>
              <w:right w:val="nil"/>
            </w:tcBorders>
            <w:shd w:val="clear" w:color="000000" w:fill="FFFFFF"/>
            <w:vAlign w:val="center"/>
            <w:hideMark/>
          </w:tcPr>
          <w:p w14:paraId="153F0202" w14:textId="77777777" w:rsidR="005C2211" w:rsidRPr="005C2211" w:rsidRDefault="005C2211" w:rsidP="0058235F">
            <w:pPr>
              <w:pStyle w:val="normale"/>
              <w:spacing w:line="240" w:lineRule="auto"/>
              <w:jc w:val="center"/>
            </w:pPr>
            <w:r w:rsidRPr="005C2211">
              <w:t>59.7</w:t>
            </w:r>
          </w:p>
        </w:tc>
        <w:tc>
          <w:tcPr>
            <w:tcW w:w="0" w:type="auto"/>
            <w:tcBorders>
              <w:top w:val="nil"/>
              <w:left w:val="nil"/>
              <w:bottom w:val="nil"/>
              <w:right w:val="nil"/>
            </w:tcBorders>
            <w:shd w:val="clear" w:color="000000" w:fill="FFFFFF"/>
            <w:vAlign w:val="center"/>
            <w:hideMark/>
          </w:tcPr>
          <w:p w14:paraId="2D3CCC09" w14:textId="77777777" w:rsidR="005C2211" w:rsidRPr="005C2211" w:rsidRDefault="005C2211" w:rsidP="0058235F">
            <w:pPr>
              <w:pStyle w:val="normale"/>
              <w:spacing w:line="240" w:lineRule="auto"/>
              <w:jc w:val="center"/>
            </w:pPr>
            <w:r w:rsidRPr="005C2211">
              <w:t>35.16793</w:t>
            </w:r>
          </w:p>
        </w:tc>
        <w:tc>
          <w:tcPr>
            <w:tcW w:w="0" w:type="auto"/>
            <w:tcBorders>
              <w:top w:val="nil"/>
              <w:left w:val="nil"/>
              <w:bottom w:val="nil"/>
              <w:right w:val="nil"/>
            </w:tcBorders>
            <w:shd w:val="clear" w:color="000000" w:fill="FFFFFF"/>
            <w:vAlign w:val="center"/>
            <w:hideMark/>
          </w:tcPr>
          <w:p w14:paraId="106C4FC9" w14:textId="77777777" w:rsidR="005C2211" w:rsidRPr="005C2211" w:rsidRDefault="005C2211" w:rsidP="0058235F">
            <w:pPr>
              <w:pStyle w:val="normale"/>
              <w:spacing w:line="240" w:lineRule="auto"/>
              <w:jc w:val="center"/>
            </w:pPr>
            <w:r w:rsidRPr="005C2211">
              <w:t>-84.35647</w:t>
            </w:r>
          </w:p>
        </w:tc>
        <w:tc>
          <w:tcPr>
            <w:tcW w:w="0" w:type="auto"/>
            <w:tcBorders>
              <w:top w:val="nil"/>
              <w:left w:val="nil"/>
              <w:bottom w:val="nil"/>
              <w:right w:val="nil"/>
            </w:tcBorders>
            <w:vAlign w:val="center"/>
            <w:hideMark/>
          </w:tcPr>
          <w:p w14:paraId="263D95AF" w14:textId="77777777" w:rsidR="005C2211" w:rsidRPr="005C2211" w:rsidRDefault="005C2211" w:rsidP="0058235F">
            <w:pPr>
              <w:pStyle w:val="normale"/>
              <w:spacing w:line="240" w:lineRule="auto"/>
              <w:jc w:val="center"/>
            </w:pPr>
            <w:r w:rsidRPr="005C2211">
              <w:t>7/26/2023</w:t>
            </w:r>
          </w:p>
        </w:tc>
      </w:tr>
      <w:tr w:rsidR="005C2211" w:rsidRPr="005C2211" w14:paraId="3BE7C5A0" w14:textId="77777777" w:rsidTr="00727D15">
        <w:trPr>
          <w:cantSplit/>
          <w:trHeight w:val="379"/>
        </w:trPr>
        <w:tc>
          <w:tcPr>
            <w:tcW w:w="0" w:type="auto"/>
            <w:tcBorders>
              <w:top w:val="nil"/>
              <w:left w:val="nil"/>
              <w:bottom w:val="nil"/>
              <w:right w:val="nil"/>
            </w:tcBorders>
            <w:shd w:val="clear" w:color="000000" w:fill="FFFFFF"/>
            <w:vAlign w:val="center"/>
            <w:hideMark/>
          </w:tcPr>
          <w:p w14:paraId="67DB78F8" w14:textId="77777777" w:rsidR="005C2211" w:rsidRPr="005C2211" w:rsidRDefault="005C2211" w:rsidP="0058235F">
            <w:pPr>
              <w:pStyle w:val="normale"/>
              <w:spacing w:line="240" w:lineRule="auto"/>
              <w:jc w:val="center"/>
            </w:pPr>
            <w:r w:rsidRPr="005C2211">
              <w:t>CV05</w:t>
            </w:r>
          </w:p>
        </w:tc>
        <w:tc>
          <w:tcPr>
            <w:tcW w:w="0" w:type="auto"/>
            <w:tcBorders>
              <w:top w:val="nil"/>
              <w:left w:val="nil"/>
              <w:bottom w:val="nil"/>
              <w:right w:val="nil"/>
            </w:tcBorders>
            <w:shd w:val="clear" w:color="000000" w:fill="FFFFFF"/>
            <w:vAlign w:val="center"/>
            <w:hideMark/>
          </w:tcPr>
          <w:p w14:paraId="69BCBAE0" w14:textId="77777777" w:rsidR="005C2211" w:rsidRPr="005C2211" w:rsidRDefault="005C2211" w:rsidP="0058235F">
            <w:pPr>
              <w:pStyle w:val="normale"/>
              <w:spacing w:line="240" w:lineRule="auto"/>
              <w:jc w:val="center"/>
            </w:pPr>
            <w:r w:rsidRPr="005C2211">
              <w:t>Mussels, Fish</w:t>
            </w:r>
          </w:p>
        </w:tc>
        <w:tc>
          <w:tcPr>
            <w:tcW w:w="0" w:type="auto"/>
            <w:tcBorders>
              <w:top w:val="nil"/>
              <w:left w:val="nil"/>
              <w:bottom w:val="nil"/>
              <w:right w:val="nil"/>
            </w:tcBorders>
            <w:shd w:val="clear" w:color="000000" w:fill="FFFFFF"/>
            <w:vAlign w:val="center"/>
            <w:hideMark/>
          </w:tcPr>
          <w:p w14:paraId="085A1C17" w14:textId="77777777" w:rsidR="005C2211" w:rsidRPr="005C2211" w:rsidRDefault="005C2211" w:rsidP="0058235F">
            <w:pPr>
              <w:pStyle w:val="normale"/>
              <w:spacing w:line="240" w:lineRule="auto"/>
              <w:jc w:val="center"/>
            </w:pPr>
            <w:r w:rsidRPr="005C2211">
              <w:t>60.04</w:t>
            </w:r>
          </w:p>
        </w:tc>
        <w:tc>
          <w:tcPr>
            <w:tcW w:w="0" w:type="auto"/>
            <w:tcBorders>
              <w:top w:val="nil"/>
              <w:left w:val="nil"/>
              <w:bottom w:val="nil"/>
              <w:right w:val="nil"/>
            </w:tcBorders>
            <w:shd w:val="clear" w:color="000000" w:fill="FFFFFF"/>
            <w:vAlign w:val="center"/>
            <w:hideMark/>
          </w:tcPr>
          <w:p w14:paraId="03F44360" w14:textId="77777777" w:rsidR="005C2211" w:rsidRPr="005C2211" w:rsidRDefault="005C2211" w:rsidP="0058235F">
            <w:pPr>
              <w:pStyle w:val="normale"/>
              <w:spacing w:line="240" w:lineRule="auto"/>
              <w:jc w:val="center"/>
            </w:pPr>
            <w:r w:rsidRPr="005C2211">
              <w:t>35.16794</w:t>
            </w:r>
          </w:p>
        </w:tc>
        <w:tc>
          <w:tcPr>
            <w:tcW w:w="0" w:type="auto"/>
            <w:tcBorders>
              <w:top w:val="nil"/>
              <w:left w:val="nil"/>
              <w:bottom w:val="nil"/>
              <w:right w:val="nil"/>
            </w:tcBorders>
            <w:shd w:val="clear" w:color="000000" w:fill="FFFFFF"/>
            <w:vAlign w:val="center"/>
            <w:hideMark/>
          </w:tcPr>
          <w:p w14:paraId="4CC96303" w14:textId="77777777" w:rsidR="005C2211" w:rsidRPr="005C2211" w:rsidRDefault="005C2211" w:rsidP="0058235F">
            <w:pPr>
              <w:pStyle w:val="normale"/>
              <w:spacing w:line="240" w:lineRule="auto"/>
              <w:jc w:val="center"/>
            </w:pPr>
            <w:r w:rsidRPr="005C2211">
              <w:t>-84.35149</w:t>
            </w:r>
          </w:p>
        </w:tc>
        <w:tc>
          <w:tcPr>
            <w:tcW w:w="0" w:type="auto"/>
            <w:tcBorders>
              <w:top w:val="nil"/>
              <w:left w:val="nil"/>
              <w:bottom w:val="nil"/>
              <w:right w:val="nil"/>
            </w:tcBorders>
            <w:vAlign w:val="center"/>
            <w:hideMark/>
          </w:tcPr>
          <w:p w14:paraId="64E83936" w14:textId="77777777" w:rsidR="005C2211" w:rsidRPr="005C2211" w:rsidRDefault="005C2211" w:rsidP="0058235F">
            <w:pPr>
              <w:pStyle w:val="normale"/>
              <w:spacing w:line="240" w:lineRule="auto"/>
              <w:jc w:val="center"/>
            </w:pPr>
            <w:r w:rsidRPr="005C2211">
              <w:t>7/26/2023</w:t>
            </w:r>
          </w:p>
        </w:tc>
      </w:tr>
      <w:tr w:rsidR="005C2211" w:rsidRPr="005C2211" w14:paraId="31480705" w14:textId="77777777" w:rsidTr="00727D15">
        <w:trPr>
          <w:cantSplit/>
          <w:trHeight w:val="379"/>
        </w:trPr>
        <w:tc>
          <w:tcPr>
            <w:tcW w:w="0" w:type="auto"/>
            <w:tcBorders>
              <w:top w:val="nil"/>
              <w:left w:val="nil"/>
              <w:bottom w:val="nil"/>
              <w:right w:val="nil"/>
            </w:tcBorders>
            <w:shd w:val="clear" w:color="000000" w:fill="FFFFFF"/>
            <w:vAlign w:val="center"/>
            <w:hideMark/>
          </w:tcPr>
          <w:p w14:paraId="45957260" w14:textId="77777777" w:rsidR="005C2211" w:rsidRPr="005C2211" w:rsidRDefault="005C2211" w:rsidP="0058235F">
            <w:pPr>
              <w:pStyle w:val="normale"/>
              <w:spacing w:line="240" w:lineRule="auto"/>
              <w:jc w:val="center"/>
            </w:pPr>
            <w:r w:rsidRPr="005C2211">
              <w:t>CV06</w:t>
            </w:r>
          </w:p>
        </w:tc>
        <w:tc>
          <w:tcPr>
            <w:tcW w:w="0" w:type="auto"/>
            <w:tcBorders>
              <w:top w:val="nil"/>
              <w:left w:val="nil"/>
              <w:bottom w:val="nil"/>
              <w:right w:val="nil"/>
            </w:tcBorders>
            <w:shd w:val="clear" w:color="000000" w:fill="FFFFFF"/>
            <w:vAlign w:val="center"/>
            <w:hideMark/>
          </w:tcPr>
          <w:p w14:paraId="1151B242" w14:textId="77777777" w:rsidR="005C2211" w:rsidRPr="005C2211" w:rsidRDefault="005C2211" w:rsidP="0058235F">
            <w:pPr>
              <w:pStyle w:val="normale"/>
              <w:spacing w:line="240" w:lineRule="auto"/>
              <w:jc w:val="center"/>
            </w:pPr>
            <w:r w:rsidRPr="005C2211">
              <w:t>Mussels, Fish</w:t>
            </w:r>
          </w:p>
        </w:tc>
        <w:tc>
          <w:tcPr>
            <w:tcW w:w="0" w:type="auto"/>
            <w:tcBorders>
              <w:top w:val="nil"/>
              <w:left w:val="nil"/>
              <w:bottom w:val="nil"/>
              <w:right w:val="nil"/>
            </w:tcBorders>
            <w:shd w:val="clear" w:color="000000" w:fill="FFFFFF"/>
            <w:vAlign w:val="center"/>
            <w:hideMark/>
          </w:tcPr>
          <w:p w14:paraId="0630383D" w14:textId="77777777" w:rsidR="005C2211" w:rsidRPr="005C2211" w:rsidRDefault="005C2211" w:rsidP="0058235F">
            <w:pPr>
              <w:pStyle w:val="normale"/>
              <w:spacing w:line="240" w:lineRule="auto"/>
              <w:jc w:val="center"/>
            </w:pPr>
            <w:r w:rsidRPr="005C2211">
              <w:t>60.8</w:t>
            </w:r>
          </w:p>
        </w:tc>
        <w:tc>
          <w:tcPr>
            <w:tcW w:w="0" w:type="auto"/>
            <w:tcBorders>
              <w:top w:val="nil"/>
              <w:left w:val="nil"/>
              <w:bottom w:val="nil"/>
              <w:right w:val="nil"/>
            </w:tcBorders>
            <w:shd w:val="clear" w:color="000000" w:fill="FFFFFF"/>
            <w:vAlign w:val="center"/>
            <w:hideMark/>
          </w:tcPr>
          <w:p w14:paraId="02EA40B9" w14:textId="77777777" w:rsidR="005C2211" w:rsidRPr="005C2211" w:rsidRDefault="005C2211" w:rsidP="0058235F">
            <w:pPr>
              <w:pStyle w:val="normale"/>
              <w:spacing w:line="240" w:lineRule="auto"/>
              <w:jc w:val="center"/>
            </w:pPr>
            <w:r w:rsidRPr="005C2211">
              <w:t>35.17568</w:t>
            </w:r>
          </w:p>
        </w:tc>
        <w:tc>
          <w:tcPr>
            <w:tcW w:w="0" w:type="auto"/>
            <w:tcBorders>
              <w:top w:val="nil"/>
              <w:left w:val="nil"/>
              <w:bottom w:val="nil"/>
              <w:right w:val="nil"/>
            </w:tcBorders>
            <w:shd w:val="clear" w:color="000000" w:fill="FFFFFF"/>
            <w:vAlign w:val="center"/>
            <w:hideMark/>
          </w:tcPr>
          <w:p w14:paraId="6FC1B466" w14:textId="77777777" w:rsidR="005C2211" w:rsidRPr="005C2211" w:rsidRDefault="005C2211" w:rsidP="0058235F">
            <w:pPr>
              <w:pStyle w:val="normale"/>
              <w:spacing w:line="240" w:lineRule="auto"/>
              <w:jc w:val="center"/>
            </w:pPr>
            <w:r w:rsidRPr="005C2211">
              <w:t>-84.34275</w:t>
            </w:r>
          </w:p>
        </w:tc>
        <w:tc>
          <w:tcPr>
            <w:tcW w:w="0" w:type="auto"/>
            <w:tcBorders>
              <w:top w:val="nil"/>
              <w:left w:val="nil"/>
              <w:bottom w:val="nil"/>
              <w:right w:val="nil"/>
            </w:tcBorders>
            <w:vAlign w:val="center"/>
            <w:hideMark/>
          </w:tcPr>
          <w:p w14:paraId="753299ED" w14:textId="77777777" w:rsidR="005C2211" w:rsidRPr="005C2211" w:rsidRDefault="005C2211" w:rsidP="0058235F">
            <w:pPr>
              <w:pStyle w:val="normale"/>
              <w:spacing w:line="240" w:lineRule="auto"/>
              <w:jc w:val="center"/>
            </w:pPr>
            <w:r w:rsidRPr="005C2211">
              <w:t>7/25/2023</w:t>
            </w:r>
          </w:p>
        </w:tc>
      </w:tr>
      <w:tr w:rsidR="005C2211" w:rsidRPr="005C2211" w14:paraId="104CF2A5" w14:textId="77777777" w:rsidTr="00727D15">
        <w:trPr>
          <w:cantSplit/>
          <w:trHeight w:val="379"/>
        </w:trPr>
        <w:tc>
          <w:tcPr>
            <w:tcW w:w="0" w:type="auto"/>
            <w:tcBorders>
              <w:top w:val="nil"/>
              <w:left w:val="nil"/>
              <w:bottom w:val="nil"/>
              <w:right w:val="nil"/>
            </w:tcBorders>
            <w:shd w:val="clear" w:color="000000" w:fill="FFFFFF"/>
            <w:vAlign w:val="center"/>
            <w:hideMark/>
          </w:tcPr>
          <w:p w14:paraId="33421047" w14:textId="77777777" w:rsidR="005C2211" w:rsidRPr="005C2211" w:rsidRDefault="005C2211" w:rsidP="0058235F">
            <w:pPr>
              <w:pStyle w:val="normale"/>
              <w:spacing w:line="240" w:lineRule="auto"/>
              <w:jc w:val="center"/>
            </w:pPr>
            <w:r w:rsidRPr="005C2211">
              <w:t>CV07</w:t>
            </w:r>
          </w:p>
        </w:tc>
        <w:tc>
          <w:tcPr>
            <w:tcW w:w="0" w:type="auto"/>
            <w:tcBorders>
              <w:top w:val="nil"/>
              <w:left w:val="nil"/>
              <w:bottom w:val="nil"/>
              <w:right w:val="nil"/>
            </w:tcBorders>
            <w:shd w:val="clear" w:color="000000" w:fill="FFFFFF"/>
            <w:vAlign w:val="center"/>
            <w:hideMark/>
          </w:tcPr>
          <w:p w14:paraId="087735E2" w14:textId="77777777" w:rsidR="005C2211" w:rsidRPr="005C2211" w:rsidRDefault="005C2211" w:rsidP="0058235F">
            <w:pPr>
              <w:pStyle w:val="normale"/>
              <w:spacing w:line="240" w:lineRule="auto"/>
              <w:jc w:val="center"/>
            </w:pPr>
            <w:r w:rsidRPr="005C2211">
              <w:t>Mussels</w:t>
            </w:r>
          </w:p>
        </w:tc>
        <w:tc>
          <w:tcPr>
            <w:tcW w:w="0" w:type="auto"/>
            <w:tcBorders>
              <w:top w:val="nil"/>
              <w:left w:val="nil"/>
              <w:bottom w:val="nil"/>
              <w:right w:val="nil"/>
            </w:tcBorders>
            <w:shd w:val="clear" w:color="000000" w:fill="FFFFFF"/>
            <w:vAlign w:val="center"/>
            <w:hideMark/>
          </w:tcPr>
          <w:p w14:paraId="605ADA85" w14:textId="77777777" w:rsidR="005C2211" w:rsidRPr="005C2211" w:rsidRDefault="005C2211" w:rsidP="0058235F">
            <w:pPr>
              <w:pStyle w:val="normale"/>
              <w:spacing w:line="240" w:lineRule="auto"/>
              <w:jc w:val="center"/>
            </w:pPr>
            <w:r w:rsidRPr="005C2211">
              <w:t>60.9</w:t>
            </w:r>
          </w:p>
        </w:tc>
        <w:tc>
          <w:tcPr>
            <w:tcW w:w="0" w:type="auto"/>
            <w:tcBorders>
              <w:top w:val="nil"/>
              <w:left w:val="nil"/>
              <w:bottom w:val="nil"/>
              <w:right w:val="nil"/>
            </w:tcBorders>
            <w:shd w:val="clear" w:color="000000" w:fill="FFFFFF"/>
            <w:vAlign w:val="center"/>
            <w:hideMark/>
          </w:tcPr>
          <w:p w14:paraId="187DFBBB" w14:textId="77777777" w:rsidR="005C2211" w:rsidRPr="005C2211" w:rsidRDefault="005C2211" w:rsidP="0058235F">
            <w:pPr>
              <w:pStyle w:val="normale"/>
              <w:spacing w:line="240" w:lineRule="auto"/>
              <w:jc w:val="center"/>
            </w:pPr>
            <w:r w:rsidRPr="005C2211">
              <w:t>35.17749</w:t>
            </w:r>
          </w:p>
        </w:tc>
        <w:tc>
          <w:tcPr>
            <w:tcW w:w="0" w:type="auto"/>
            <w:tcBorders>
              <w:top w:val="nil"/>
              <w:left w:val="nil"/>
              <w:bottom w:val="nil"/>
              <w:right w:val="nil"/>
            </w:tcBorders>
            <w:shd w:val="clear" w:color="000000" w:fill="FFFFFF"/>
            <w:vAlign w:val="center"/>
            <w:hideMark/>
          </w:tcPr>
          <w:p w14:paraId="342EFF7D" w14:textId="77777777" w:rsidR="005C2211" w:rsidRPr="005C2211" w:rsidRDefault="005C2211" w:rsidP="0058235F">
            <w:pPr>
              <w:pStyle w:val="normale"/>
              <w:spacing w:line="240" w:lineRule="auto"/>
              <w:jc w:val="center"/>
            </w:pPr>
            <w:r w:rsidRPr="005C2211">
              <w:t>-84.3408</w:t>
            </w:r>
          </w:p>
        </w:tc>
        <w:tc>
          <w:tcPr>
            <w:tcW w:w="0" w:type="auto"/>
            <w:tcBorders>
              <w:top w:val="nil"/>
              <w:left w:val="nil"/>
              <w:bottom w:val="nil"/>
              <w:right w:val="nil"/>
            </w:tcBorders>
            <w:vAlign w:val="center"/>
            <w:hideMark/>
          </w:tcPr>
          <w:p w14:paraId="0A0C2DFD" w14:textId="77777777" w:rsidR="005C2211" w:rsidRPr="005C2211" w:rsidRDefault="005C2211" w:rsidP="0058235F">
            <w:pPr>
              <w:pStyle w:val="normale"/>
              <w:spacing w:line="240" w:lineRule="auto"/>
              <w:jc w:val="center"/>
            </w:pPr>
            <w:r w:rsidRPr="005C2211">
              <w:t>7/25/2023</w:t>
            </w:r>
          </w:p>
        </w:tc>
      </w:tr>
      <w:tr w:rsidR="005C2211" w:rsidRPr="005C2211" w14:paraId="5A5A01BD" w14:textId="77777777" w:rsidTr="00727D15">
        <w:trPr>
          <w:cantSplit/>
          <w:trHeight w:val="379"/>
        </w:trPr>
        <w:tc>
          <w:tcPr>
            <w:tcW w:w="0" w:type="auto"/>
            <w:tcBorders>
              <w:top w:val="nil"/>
              <w:left w:val="nil"/>
              <w:bottom w:val="nil"/>
              <w:right w:val="nil"/>
            </w:tcBorders>
            <w:shd w:val="clear" w:color="000000" w:fill="FFFFFF"/>
            <w:vAlign w:val="center"/>
            <w:hideMark/>
          </w:tcPr>
          <w:p w14:paraId="73054C1A" w14:textId="77777777" w:rsidR="005C2211" w:rsidRPr="005C2211" w:rsidRDefault="005C2211" w:rsidP="0058235F">
            <w:pPr>
              <w:pStyle w:val="normale"/>
              <w:spacing w:line="240" w:lineRule="auto"/>
              <w:jc w:val="center"/>
            </w:pPr>
            <w:r w:rsidRPr="005C2211">
              <w:t>CV08</w:t>
            </w:r>
          </w:p>
        </w:tc>
        <w:tc>
          <w:tcPr>
            <w:tcW w:w="0" w:type="auto"/>
            <w:tcBorders>
              <w:top w:val="nil"/>
              <w:left w:val="nil"/>
              <w:bottom w:val="nil"/>
              <w:right w:val="nil"/>
            </w:tcBorders>
            <w:shd w:val="clear" w:color="000000" w:fill="FFFFFF"/>
            <w:vAlign w:val="center"/>
            <w:hideMark/>
          </w:tcPr>
          <w:p w14:paraId="2D456913" w14:textId="77777777" w:rsidR="005C2211" w:rsidRPr="005C2211" w:rsidRDefault="005C2211" w:rsidP="0058235F">
            <w:pPr>
              <w:pStyle w:val="normale"/>
              <w:spacing w:line="240" w:lineRule="auto"/>
              <w:jc w:val="center"/>
            </w:pPr>
            <w:r w:rsidRPr="005C2211">
              <w:t>Mussels</w:t>
            </w:r>
          </w:p>
        </w:tc>
        <w:tc>
          <w:tcPr>
            <w:tcW w:w="0" w:type="auto"/>
            <w:tcBorders>
              <w:top w:val="nil"/>
              <w:left w:val="nil"/>
              <w:bottom w:val="nil"/>
              <w:right w:val="nil"/>
            </w:tcBorders>
            <w:shd w:val="clear" w:color="000000" w:fill="FFFFFF"/>
            <w:vAlign w:val="center"/>
            <w:hideMark/>
          </w:tcPr>
          <w:p w14:paraId="5ADCB978" w14:textId="77777777" w:rsidR="005C2211" w:rsidRPr="005C2211" w:rsidRDefault="005C2211" w:rsidP="0058235F">
            <w:pPr>
              <w:pStyle w:val="normale"/>
              <w:spacing w:line="240" w:lineRule="auto"/>
              <w:jc w:val="center"/>
            </w:pPr>
            <w:r w:rsidRPr="005C2211">
              <w:t>61.6</w:t>
            </w:r>
          </w:p>
        </w:tc>
        <w:tc>
          <w:tcPr>
            <w:tcW w:w="0" w:type="auto"/>
            <w:tcBorders>
              <w:top w:val="nil"/>
              <w:left w:val="nil"/>
              <w:bottom w:val="nil"/>
              <w:right w:val="nil"/>
            </w:tcBorders>
            <w:shd w:val="clear" w:color="000000" w:fill="FFFFFF"/>
            <w:vAlign w:val="center"/>
            <w:hideMark/>
          </w:tcPr>
          <w:p w14:paraId="60C419F1" w14:textId="77777777" w:rsidR="005C2211" w:rsidRPr="005C2211" w:rsidRDefault="005C2211" w:rsidP="0058235F">
            <w:pPr>
              <w:pStyle w:val="normale"/>
              <w:spacing w:line="240" w:lineRule="auto"/>
              <w:jc w:val="center"/>
            </w:pPr>
            <w:r w:rsidRPr="005C2211">
              <w:t>35.17614</w:t>
            </w:r>
          </w:p>
        </w:tc>
        <w:tc>
          <w:tcPr>
            <w:tcW w:w="0" w:type="auto"/>
            <w:tcBorders>
              <w:top w:val="nil"/>
              <w:left w:val="nil"/>
              <w:bottom w:val="nil"/>
              <w:right w:val="nil"/>
            </w:tcBorders>
            <w:shd w:val="clear" w:color="000000" w:fill="FFFFFF"/>
            <w:vAlign w:val="center"/>
            <w:hideMark/>
          </w:tcPr>
          <w:p w14:paraId="5E241B39" w14:textId="77777777" w:rsidR="005C2211" w:rsidRPr="005C2211" w:rsidRDefault="005C2211" w:rsidP="0058235F">
            <w:pPr>
              <w:pStyle w:val="normale"/>
              <w:spacing w:line="240" w:lineRule="auto"/>
              <w:jc w:val="center"/>
            </w:pPr>
            <w:r w:rsidRPr="005C2211">
              <w:t>-84.32985</w:t>
            </w:r>
          </w:p>
        </w:tc>
        <w:tc>
          <w:tcPr>
            <w:tcW w:w="0" w:type="auto"/>
            <w:tcBorders>
              <w:top w:val="nil"/>
              <w:left w:val="nil"/>
              <w:bottom w:val="nil"/>
              <w:right w:val="nil"/>
            </w:tcBorders>
            <w:vAlign w:val="center"/>
            <w:hideMark/>
          </w:tcPr>
          <w:p w14:paraId="2A355065" w14:textId="77777777" w:rsidR="005C2211" w:rsidRPr="005C2211" w:rsidRDefault="005C2211" w:rsidP="0058235F">
            <w:pPr>
              <w:pStyle w:val="normale"/>
              <w:spacing w:line="240" w:lineRule="auto"/>
              <w:jc w:val="center"/>
            </w:pPr>
            <w:r w:rsidRPr="005C2211">
              <w:t>7/25/2023</w:t>
            </w:r>
          </w:p>
        </w:tc>
      </w:tr>
      <w:tr w:rsidR="005C2211" w:rsidRPr="005C2211" w14:paraId="6065A773" w14:textId="77777777" w:rsidTr="00727D15">
        <w:trPr>
          <w:cantSplit/>
          <w:trHeight w:val="353"/>
        </w:trPr>
        <w:tc>
          <w:tcPr>
            <w:tcW w:w="0" w:type="auto"/>
            <w:tcBorders>
              <w:top w:val="nil"/>
              <w:left w:val="nil"/>
              <w:bottom w:val="single" w:sz="4" w:space="0" w:color="000000"/>
              <w:right w:val="nil"/>
            </w:tcBorders>
            <w:shd w:val="clear" w:color="000000" w:fill="FFFFFF"/>
            <w:vAlign w:val="center"/>
            <w:hideMark/>
          </w:tcPr>
          <w:p w14:paraId="4A01A1B3" w14:textId="77777777" w:rsidR="005C2211" w:rsidRPr="005C2211" w:rsidRDefault="005C2211" w:rsidP="0058235F">
            <w:pPr>
              <w:pStyle w:val="normale"/>
              <w:spacing w:line="240" w:lineRule="auto"/>
              <w:jc w:val="center"/>
              <w:rPr>
                <w:b/>
                <w:bCs/>
              </w:rPr>
            </w:pPr>
            <w:r w:rsidRPr="005C2211">
              <w:t>CV09</w:t>
            </w:r>
          </w:p>
        </w:tc>
        <w:tc>
          <w:tcPr>
            <w:tcW w:w="0" w:type="auto"/>
            <w:tcBorders>
              <w:top w:val="nil"/>
              <w:left w:val="nil"/>
              <w:bottom w:val="single" w:sz="4" w:space="0" w:color="000000"/>
              <w:right w:val="nil"/>
            </w:tcBorders>
            <w:shd w:val="clear" w:color="000000" w:fill="FFFFFF"/>
            <w:vAlign w:val="center"/>
            <w:hideMark/>
          </w:tcPr>
          <w:p w14:paraId="3BA53B66" w14:textId="77777777" w:rsidR="005C2211" w:rsidRPr="005C2211" w:rsidRDefault="005C2211" w:rsidP="0058235F">
            <w:pPr>
              <w:pStyle w:val="normale"/>
              <w:spacing w:line="240" w:lineRule="auto"/>
              <w:jc w:val="center"/>
              <w:rPr>
                <w:b/>
                <w:bCs/>
              </w:rPr>
            </w:pPr>
            <w:r w:rsidRPr="005C2211">
              <w:t>Mussels, Fish</w:t>
            </w:r>
          </w:p>
        </w:tc>
        <w:tc>
          <w:tcPr>
            <w:tcW w:w="0" w:type="auto"/>
            <w:tcBorders>
              <w:top w:val="nil"/>
              <w:left w:val="nil"/>
              <w:bottom w:val="single" w:sz="4" w:space="0" w:color="000000"/>
              <w:right w:val="nil"/>
            </w:tcBorders>
            <w:shd w:val="clear" w:color="000000" w:fill="FFFFFF"/>
            <w:vAlign w:val="center"/>
            <w:hideMark/>
          </w:tcPr>
          <w:p w14:paraId="4CE49D0F" w14:textId="77777777" w:rsidR="005C2211" w:rsidRPr="005C2211" w:rsidRDefault="005C2211" w:rsidP="0058235F">
            <w:pPr>
              <w:pStyle w:val="normale"/>
              <w:spacing w:line="240" w:lineRule="auto"/>
              <w:jc w:val="center"/>
              <w:rPr>
                <w:b/>
                <w:bCs/>
              </w:rPr>
            </w:pPr>
            <w:r w:rsidRPr="005C2211">
              <w:t>62.5</w:t>
            </w:r>
          </w:p>
        </w:tc>
        <w:tc>
          <w:tcPr>
            <w:tcW w:w="0" w:type="auto"/>
            <w:tcBorders>
              <w:top w:val="nil"/>
              <w:left w:val="nil"/>
              <w:bottom w:val="single" w:sz="4" w:space="0" w:color="000000"/>
              <w:right w:val="nil"/>
            </w:tcBorders>
            <w:shd w:val="clear" w:color="000000" w:fill="FFFFFF"/>
            <w:vAlign w:val="center"/>
            <w:hideMark/>
          </w:tcPr>
          <w:p w14:paraId="796A1C97" w14:textId="77777777" w:rsidR="005C2211" w:rsidRPr="005C2211" w:rsidRDefault="005C2211" w:rsidP="0058235F">
            <w:pPr>
              <w:pStyle w:val="normale"/>
              <w:spacing w:line="240" w:lineRule="auto"/>
              <w:jc w:val="center"/>
              <w:rPr>
                <w:b/>
                <w:bCs/>
              </w:rPr>
            </w:pPr>
            <w:r w:rsidRPr="005C2211">
              <w:t>35.16859</w:t>
            </w:r>
          </w:p>
        </w:tc>
        <w:tc>
          <w:tcPr>
            <w:tcW w:w="0" w:type="auto"/>
            <w:tcBorders>
              <w:top w:val="nil"/>
              <w:left w:val="nil"/>
              <w:bottom w:val="single" w:sz="4" w:space="0" w:color="000000"/>
              <w:right w:val="nil"/>
            </w:tcBorders>
            <w:shd w:val="clear" w:color="000000" w:fill="FFFFFF"/>
            <w:vAlign w:val="center"/>
            <w:hideMark/>
          </w:tcPr>
          <w:p w14:paraId="76D7CC61" w14:textId="77777777" w:rsidR="005C2211" w:rsidRPr="005C2211" w:rsidRDefault="005C2211" w:rsidP="0058235F">
            <w:pPr>
              <w:pStyle w:val="normale"/>
              <w:spacing w:line="240" w:lineRule="auto"/>
              <w:jc w:val="center"/>
              <w:rPr>
                <w:b/>
                <w:bCs/>
              </w:rPr>
            </w:pPr>
            <w:r w:rsidRPr="005C2211">
              <w:t>-84.32127</w:t>
            </w:r>
          </w:p>
        </w:tc>
        <w:tc>
          <w:tcPr>
            <w:tcW w:w="0" w:type="auto"/>
            <w:tcBorders>
              <w:top w:val="nil"/>
              <w:left w:val="nil"/>
              <w:bottom w:val="single" w:sz="4" w:space="0" w:color="000000"/>
              <w:right w:val="nil"/>
            </w:tcBorders>
            <w:shd w:val="clear" w:color="000000" w:fill="FFFFFF"/>
            <w:vAlign w:val="center"/>
            <w:hideMark/>
          </w:tcPr>
          <w:p w14:paraId="4FC8AB6F" w14:textId="77777777" w:rsidR="005C2211" w:rsidRPr="005C2211" w:rsidRDefault="005C2211" w:rsidP="0058235F">
            <w:pPr>
              <w:pStyle w:val="normale"/>
              <w:spacing w:line="240" w:lineRule="auto"/>
              <w:jc w:val="center"/>
              <w:rPr>
                <w:b/>
                <w:bCs/>
              </w:rPr>
            </w:pPr>
            <w:r w:rsidRPr="005C2211">
              <w:t>7/25/2023</w:t>
            </w:r>
          </w:p>
        </w:tc>
      </w:tr>
    </w:tbl>
    <w:p w14:paraId="4E0DBBA1" w14:textId="77777777" w:rsidR="00AF23C7" w:rsidRPr="00236285" w:rsidRDefault="00AF23C7" w:rsidP="00236285">
      <w:pPr>
        <w:pStyle w:val="normale"/>
      </w:pPr>
    </w:p>
    <w:p w14:paraId="561E297F" w14:textId="2274D8F7" w:rsidR="00236285" w:rsidRPr="00236285" w:rsidRDefault="00236285" w:rsidP="00236285">
      <w:pPr>
        <w:pStyle w:val="normale"/>
        <w:rPr>
          <w:color w:val="000000" w:themeColor="text1"/>
        </w:rPr>
      </w:pPr>
      <w:r w:rsidRPr="00236285">
        <w:rPr>
          <w:color w:val="000000" w:themeColor="text1"/>
        </w:rPr>
        <w:t>Historical survey data for both fish and mussels were obtained from TVA records and previous reports spanning 1992–2016 to allow comparison of the historical and current community compositions</w:t>
      </w:r>
      <w:r w:rsidR="00A54CFC">
        <w:rPr>
          <w:color w:val="000000" w:themeColor="text1"/>
        </w:rPr>
        <w:t xml:space="preserve"> </w:t>
      </w:r>
      <w:hyperlink r:id="rId11" w:history="1">
        <w:r w:rsidR="00A54CFC" w:rsidRPr="00A54CFC">
          <w:rPr>
            <w:rStyle w:val="Hyperlink"/>
            <w:rFonts w:ascii="Times New Roman" w:hAnsi="Times New Roman"/>
          </w:rPr>
          <w:t>(Ahlstedt, 2002, 2003; Ahlstedt et al., 2016; Bogan, 1993; Ortmann, 1918; Parmalee &amp; Hughes, 1994)</w:t>
        </w:r>
      </w:hyperlink>
      <w:r w:rsidRPr="00236285">
        <w:rPr>
          <w:color w:val="000000" w:themeColor="text1"/>
        </w:rPr>
        <w:t>.</w:t>
      </w:r>
    </w:p>
    <w:p w14:paraId="5E2ADC7B" w14:textId="77777777" w:rsidR="00236285" w:rsidRPr="00236285" w:rsidRDefault="00236285" w:rsidP="00236285">
      <w:pPr>
        <w:pStyle w:val="normale"/>
        <w:rPr>
          <w:color w:val="000000" w:themeColor="text1"/>
        </w:rPr>
      </w:pPr>
      <w:r w:rsidRPr="00236285">
        <w:rPr>
          <w:color w:val="000000" w:themeColor="text1"/>
        </w:rPr>
        <w:lastRenderedPageBreak/>
        <w:t>Historical mussel data were compiled from TVA and U.S. Forest Service surveys (USFS) conducted between 1992 and 2023, focusing on the Apalachia Cutoff Reach and the three major tributaries (</w:t>
      </w:r>
      <w:proofErr w:type="spellStart"/>
      <w:r w:rsidRPr="00236285">
        <w:rPr>
          <w:color w:val="000000" w:themeColor="text1"/>
        </w:rPr>
        <w:t>Turtletown</w:t>
      </w:r>
      <w:proofErr w:type="spellEnd"/>
      <w:r w:rsidRPr="00236285">
        <w:rPr>
          <w:color w:val="000000" w:themeColor="text1"/>
        </w:rPr>
        <w:t xml:space="preserve">, Loss, and Wolf creeks). Across these surveys, a total of 13 mussel species were reported, with </w:t>
      </w:r>
      <w:proofErr w:type="spellStart"/>
      <w:r w:rsidRPr="00236285">
        <w:rPr>
          <w:i/>
          <w:iCs/>
          <w:color w:val="000000" w:themeColor="text1"/>
        </w:rPr>
        <w:t>Cambarunio</w:t>
      </w:r>
      <w:proofErr w:type="spellEnd"/>
      <w:r w:rsidRPr="00236285">
        <w:rPr>
          <w:i/>
          <w:iCs/>
          <w:color w:val="000000" w:themeColor="text1"/>
        </w:rPr>
        <w:t xml:space="preserve"> iris</w:t>
      </w:r>
      <w:r w:rsidRPr="00236285">
        <w:rPr>
          <w:color w:val="000000" w:themeColor="text1"/>
        </w:rPr>
        <w:t xml:space="preserve">, </w:t>
      </w:r>
      <w:proofErr w:type="spellStart"/>
      <w:r w:rsidRPr="00236285">
        <w:rPr>
          <w:i/>
          <w:iCs/>
          <w:color w:val="000000" w:themeColor="text1"/>
        </w:rPr>
        <w:t>Eurynia</w:t>
      </w:r>
      <w:proofErr w:type="spellEnd"/>
      <w:r w:rsidRPr="00236285">
        <w:rPr>
          <w:i/>
          <w:iCs/>
          <w:color w:val="000000" w:themeColor="text1"/>
        </w:rPr>
        <w:t xml:space="preserve"> </w:t>
      </w:r>
      <w:proofErr w:type="spellStart"/>
      <w:r w:rsidRPr="00236285">
        <w:rPr>
          <w:i/>
          <w:iCs/>
          <w:color w:val="000000" w:themeColor="text1"/>
        </w:rPr>
        <w:t>dilatata</w:t>
      </w:r>
      <w:proofErr w:type="spellEnd"/>
      <w:r w:rsidRPr="00236285">
        <w:rPr>
          <w:color w:val="000000" w:themeColor="text1"/>
        </w:rPr>
        <w:t xml:space="preserve">, </w:t>
      </w:r>
      <w:proofErr w:type="spellStart"/>
      <w:r w:rsidRPr="00236285">
        <w:rPr>
          <w:i/>
          <w:iCs/>
          <w:color w:val="000000" w:themeColor="text1"/>
        </w:rPr>
        <w:t>Lampsilis</w:t>
      </w:r>
      <w:proofErr w:type="spellEnd"/>
      <w:r w:rsidRPr="00236285">
        <w:rPr>
          <w:i/>
          <w:iCs/>
          <w:color w:val="000000" w:themeColor="text1"/>
        </w:rPr>
        <w:t xml:space="preserve"> fasciola</w:t>
      </w:r>
      <w:r w:rsidRPr="00236285">
        <w:rPr>
          <w:color w:val="000000" w:themeColor="text1"/>
        </w:rPr>
        <w:t xml:space="preserve">, </w:t>
      </w:r>
      <w:proofErr w:type="spellStart"/>
      <w:r w:rsidRPr="00236285">
        <w:rPr>
          <w:i/>
          <w:iCs/>
          <w:color w:val="000000" w:themeColor="text1"/>
        </w:rPr>
        <w:t>Leaunio</w:t>
      </w:r>
      <w:proofErr w:type="spellEnd"/>
      <w:r w:rsidRPr="00236285">
        <w:rPr>
          <w:i/>
          <w:iCs/>
          <w:color w:val="000000" w:themeColor="text1"/>
        </w:rPr>
        <w:t xml:space="preserve"> </w:t>
      </w:r>
      <w:proofErr w:type="spellStart"/>
      <w:r w:rsidRPr="00236285">
        <w:rPr>
          <w:i/>
          <w:iCs/>
          <w:color w:val="000000" w:themeColor="text1"/>
        </w:rPr>
        <w:t>vanuxemensis</w:t>
      </w:r>
      <w:proofErr w:type="spellEnd"/>
      <w:r w:rsidRPr="00236285">
        <w:rPr>
          <w:color w:val="000000" w:themeColor="text1"/>
        </w:rPr>
        <w:t xml:space="preserve">, and </w:t>
      </w:r>
      <w:r w:rsidRPr="00236285">
        <w:rPr>
          <w:i/>
          <w:iCs/>
          <w:color w:val="000000" w:themeColor="text1"/>
        </w:rPr>
        <w:t xml:space="preserve">Pleurobema </w:t>
      </w:r>
      <w:proofErr w:type="spellStart"/>
      <w:r w:rsidRPr="00236285">
        <w:rPr>
          <w:i/>
          <w:iCs/>
          <w:color w:val="000000" w:themeColor="text1"/>
        </w:rPr>
        <w:t>oviforme</w:t>
      </w:r>
      <w:proofErr w:type="spellEnd"/>
      <w:r w:rsidRPr="00236285">
        <w:rPr>
          <w:color w:val="000000" w:themeColor="text1"/>
        </w:rPr>
        <w:t xml:space="preserve"> occurring most frequently. Federally listed taxa historically documented within the ACR include </w:t>
      </w:r>
      <w:proofErr w:type="spellStart"/>
      <w:r w:rsidRPr="00236285">
        <w:rPr>
          <w:i/>
          <w:iCs/>
          <w:color w:val="000000" w:themeColor="text1"/>
        </w:rPr>
        <w:t>Venustaconcha</w:t>
      </w:r>
      <w:proofErr w:type="spellEnd"/>
      <w:r w:rsidRPr="00236285">
        <w:rPr>
          <w:i/>
          <w:iCs/>
          <w:color w:val="000000" w:themeColor="text1"/>
        </w:rPr>
        <w:t xml:space="preserve"> </w:t>
      </w:r>
      <w:proofErr w:type="spellStart"/>
      <w:r w:rsidRPr="00236285">
        <w:rPr>
          <w:i/>
          <w:iCs/>
          <w:color w:val="000000" w:themeColor="text1"/>
        </w:rPr>
        <w:t>trabalis</w:t>
      </w:r>
      <w:proofErr w:type="spellEnd"/>
      <w:r w:rsidRPr="00236285">
        <w:rPr>
          <w:color w:val="000000" w:themeColor="text1"/>
        </w:rPr>
        <w:t xml:space="preserve">, </w:t>
      </w:r>
      <w:proofErr w:type="spellStart"/>
      <w:r w:rsidRPr="00236285">
        <w:rPr>
          <w:i/>
          <w:iCs/>
          <w:color w:val="000000" w:themeColor="text1"/>
        </w:rPr>
        <w:t>Fusconaia</w:t>
      </w:r>
      <w:proofErr w:type="spellEnd"/>
      <w:r w:rsidRPr="00236285">
        <w:rPr>
          <w:i/>
          <w:iCs/>
          <w:color w:val="000000" w:themeColor="text1"/>
        </w:rPr>
        <w:t xml:space="preserve"> </w:t>
      </w:r>
      <w:proofErr w:type="spellStart"/>
      <w:r w:rsidRPr="00236285">
        <w:rPr>
          <w:i/>
          <w:iCs/>
          <w:color w:val="000000" w:themeColor="text1"/>
        </w:rPr>
        <w:t>subrotunda</w:t>
      </w:r>
      <w:proofErr w:type="spellEnd"/>
      <w:r w:rsidRPr="00236285">
        <w:rPr>
          <w:color w:val="000000" w:themeColor="text1"/>
        </w:rPr>
        <w:t xml:space="preserve">, and </w:t>
      </w:r>
      <w:proofErr w:type="spellStart"/>
      <w:r w:rsidRPr="00236285">
        <w:rPr>
          <w:i/>
          <w:iCs/>
          <w:color w:val="000000" w:themeColor="text1"/>
        </w:rPr>
        <w:t>Pleuronaia</w:t>
      </w:r>
      <w:proofErr w:type="spellEnd"/>
      <w:r w:rsidRPr="00236285">
        <w:rPr>
          <w:i/>
          <w:iCs/>
          <w:color w:val="000000" w:themeColor="text1"/>
        </w:rPr>
        <w:t xml:space="preserve"> </w:t>
      </w:r>
      <w:proofErr w:type="spellStart"/>
      <w:r w:rsidRPr="00236285">
        <w:rPr>
          <w:i/>
          <w:iCs/>
          <w:color w:val="000000" w:themeColor="text1"/>
        </w:rPr>
        <w:t>dolabelloides</w:t>
      </w:r>
      <w:proofErr w:type="spellEnd"/>
      <w:r w:rsidRPr="00236285">
        <w:rPr>
          <w:color w:val="000000" w:themeColor="text1"/>
        </w:rPr>
        <w:t>, although these were rarely detected in recent surveys.</w:t>
      </w:r>
    </w:p>
    <w:p w14:paraId="7568B6EA" w14:textId="283D8311" w:rsidR="00236285" w:rsidRPr="009A7765" w:rsidRDefault="00236285" w:rsidP="00236285">
      <w:pPr>
        <w:pStyle w:val="normale"/>
        <w:rPr>
          <w:color w:val="000000" w:themeColor="text1"/>
        </w:rPr>
      </w:pPr>
      <w:r w:rsidRPr="009A7765">
        <w:rPr>
          <w:color w:val="000000" w:themeColor="text1"/>
        </w:rPr>
        <w:t xml:space="preserve">Contemporary fish surveys conducted at six sites along the ACR documented 29 species dominated by </w:t>
      </w:r>
      <w:proofErr w:type="spellStart"/>
      <w:r w:rsidRPr="009A7765">
        <w:rPr>
          <w:i/>
          <w:iCs/>
          <w:color w:val="000000" w:themeColor="text1"/>
        </w:rPr>
        <w:t>Cyprinidae</w:t>
      </w:r>
      <w:proofErr w:type="spellEnd"/>
      <w:r w:rsidRPr="009A7765">
        <w:rPr>
          <w:color w:val="000000" w:themeColor="text1"/>
        </w:rPr>
        <w:t xml:space="preserve"> and </w:t>
      </w:r>
      <w:r w:rsidRPr="009A7765">
        <w:rPr>
          <w:i/>
          <w:iCs/>
          <w:color w:val="000000" w:themeColor="text1"/>
        </w:rPr>
        <w:t>Centrarchidae</w:t>
      </w:r>
      <w:r w:rsidRPr="009A7765">
        <w:rPr>
          <w:color w:val="000000" w:themeColor="text1"/>
        </w:rPr>
        <w:t xml:space="preserve">, including </w:t>
      </w:r>
      <w:proofErr w:type="spellStart"/>
      <w:r w:rsidRPr="009A7765">
        <w:rPr>
          <w:i/>
          <w:iCs/>
          <w:color w:val="000000" w:themeColor="text1"/>
        </w:rPr>
        <w:t>Campostoma</w:t>
      </w:r>
      <w:proofErr w:type="spellEnd"/>
      <w:r w:rsidRPr="009A7765">
        <w:rPr>
          <w:i/>
          <w:iCs/>
          <w:color w:val="000000" w:themeColor="text1"/>
        </w:rPr>
        <w:t xml:space="preserve"> </w:t>
      </w:r>
      <w:proofErr w:type="spellStart"/>
      <w:r w:rsidRPr="009A7765">
        <w:rPr>
          <w:i/>
          <w:iCs/>
          <w:color w:val="000000" w:themeColor="text1"/>
        </w:rPr>
        <w:t>anomalum</w:t>
      </w:r>
      <w:proofErr w:type="spellEnd"/>
      <w:r w:rsidRPr="009A7765">
        <w:rPr>
          <w:color w:val="000000" w:themeColor="text1"/>
        </w:rPr>
        <w:t xml:space="preserve">, </w:t>
      </w:r>
      <w:proofErr w:type="spellStart"/>
      <w:r w:rsidRPr="009A7765">
        <w:rPr>
          <w:i/>
          <w:iCs/>
          <w:color w:val="000000" w:themeColor="text1"/>
        </w:rPr>
        <w:t>Luxilus</w:t>
      </w:r>
      <w:proofErr w:type="spellEnd"/>
      <w:r w:rsidRPr="009A7765">
        <w:rPr>
          <w:i/>
          <w:iCs/>
          <w:color w:val="000000" w:themeColor="text1"/>
        </w:rPr>
        <w:t xml:space="preserve"> </w:t>
      </w:r>
      <w:proofErr w:type="spellStart"/>
      <w:r w:rsidRPr="009A7765">
        <w:rPr>
          <w:i/>
          <w:iCs/>
          <w:color w:val="000000" w:themeColor="text1"/>
        </w:rPr>
        <w:t>coccogenis</w:t>
      </w:r>
      <w:proofErr w:type="spellEnd"/>
      <w:r w:rsidRPr="009A7765">
        <w:rPr>
          <w:color w:val="000000" w:themeColor="text1"/>
        </w:rPr>
        <w:t xml:space="preserve">, </w:t>
      </w:r>
      <w:r w:rsidRPr="009A7765">
        <w:rPr>
          <w:i/>
          <w:iCs/>
          <w:color w:val="000000" w:themeColor="text1"/>
        </w:rPr>
        <w:t>Lepomis auritus</w:t>
      </w:r>
      <w:r w:rsidRPr="009A7765">
        <w:rPr>
          <w:color w:val="000000" w:themeColor="text1"/>
        </w:rPr>
        <w:t xml:space="preserve">, </w:t>
      </w:r>
      <w:r w:rsidRPr="009A7765">
        <w:rPr>
          <w:i/>
          <w:iCs/>
          <w:color w:val="000000" w:themeColor="text1"/>
        </w:rPr>
        <w:t xml:space="preserve">Micropterus </w:t>
      </w:r>
      <w:proofErr w:type="spellStart"/>
      <w:r w:rsidRPr="009A7765">
        <w:rPr>
          <w:i/>
          <w:iCs/>
          <w:color w:val="000000" w:themeColor="text1"/>
        </w:rPr>
        <w:t>dolomieu</w:t>
      </w:r>
      <w:proofErr w:type="spellEnd"/>
      <w:r w:rsidRPr="009A7765">
        <w:rPr>
          <w:color w:val="000000" w:themeColor="text1"/>
        </w:rPr>
        <w:t xml:space="preserve">, </w:t>
      </w:r>
      <w:proofErr w:type="spellStart"/>
      <w:r w:rsidRPr="009A7765">
        <w:rPr>
          <w:i/>
          <w:iCs/>
          <w:color w:val="000000" w:themeColor="text1"/>
        </w:rPr>
        <w:t>Etheostoma</w:t>
      </w:r>
      <w:proofErr w:type="spellEnd"/>
      <w:r w:rsidRPr="009A7765">
        <w:rPr>
          <w:i/>
          <w:iCs/>
          <w:color w:val="000000" w:themeColor="text1"/>
        </w:rPr>
        <w:t xml:space="preserve"> </w:t>
      </w:r>
      <w:proofErr w:type="spellStart"/>
      <w:r w:rsidRPr="009A7765">
        <w:rPr>
          <w:i/>
          <w:iCs/>
          <w:color w:val="000000" w:themeColor="text1"/>
        </w:rPr>
        <w:t>blennioides</w:t>
      </w:r>
      <w:proofErr w:type="spellEnd"/>
      <w:r w:rsidRPr="009A7765">
        <w:rPr>
          <w:color w:val="000000" w:themeColor="text1"/>
        </w:rPr>
        <w:t>, and N</w:t>
      </w:r>
      <w:r w:rsidRPr="009A7765">
        <w:rPr>
          <w:i/>
          <w:iCs/>
          <w:color w:val="000000" w:themeColor="text1"/>
        </w:rPr>
        <w:t xml:space="preserve">otropis </w:t>
      </w:r>
      <w:proofErr w:type="spellStart"/>
      <w:r w:rsidRPr="009A7765">
        <w:rPr>
          <w:i/>
          <w:iCs/>
          <w:color w:val="000000" w:themeColor="text1"/>
        </w:rPr>
        <w:t>leuciodus</w:t>
      </w:r>
      <w:proofErr w:type="spellEnd"/>
      <w:r w:rsidRPr="009A7765">
        <w:rPr>
          <w:color w:val="000000" w:themeColor="text1"/>
        </w:rPr>
        <w:t xml:space="preserve">, consistent with previous TVA records from </w:t>
      </w:r>
      <w:r w:rsidR="00640A8E" w:rsidRPr="009A7765">
        <w:rPr>
          <w:color w:val="000000" w:themeColor="text1"/>
        </w:rPr>
        <w:t>the</w:t>
      </w:r>
      <w:r w:rsidRPr="009A7765">
        <w:rPr>
          <w:color w:val="000000" w:themeColor="text1"/>
        </w:rPr>
        <w:t xml:space="preserve"> </w:t>
      </w:r>
      <w:r w:rsidR="00640A8E" w:rsidRPr="009A7765">
        <w:rPr>
          <w:color w:val="000000" w:themeColor="text1"/>
        </w:rPr>
        <w:t>ACR</w:t>
      </w:r>
      <w:r w:rsidRPr="009A7765">
        <w:rPr>
          <w:color w:val="000000" w:themeColor="text1"/>
        </w:rPr>
        <w:t xml:space="preserve"> and its tributaries.</w:t>
      </w:r>
    </w:p>
    <w:p w14:paraId="015C59C0" w14:textId="77777777" w:rsidR="002D5625" w:rsidRPr="002D5625" w:rsidRDefault="002D5625" w:rsidP="00763CF0">
      <w:pPr>
        <w:pStyle w:val="Heading3"/>
      </w:pPr>
      <w:bookmarkStart w:id="41" w:name="_Toc211651629"/>
      <w:r w:rsidRPr="002D5625">
        <w:t>Water Sampling for eDNA/eRNA</w:t>
      </w:r>
      <w:bookmarkEnd w:id="41"/>
    </w:p>
    <w:p w14:paraId="733D93AB" w14:textId="324CC508" w:rsidR="00EC3D7C" w:rsidRPr="00EC3D7C" w:rsidRDefault="00EC3D7C" w:rsidP="00EC3D7C">
      <w:pPr>
        <w:pStyle w:val="normale"/>
      </w:pPr>
      <w:r w:rsidRPr="00EC3D7C">
        <w:t>Water sampling for eDNA and eRNA was conducted by Stantec over four days (September 5–8, 2023) by a three-person survey team hiking along the Hiwassee River to obtain evenly distributed samples along the full length of the Apalachia Cutoff Reach (ACR). A total of 84 water samples were collected from 19 sites along the ACR mainstem and five tributary sites (</w:t>
      </w:r>
      <w:proofErr w:type="spellStart"/>
      <w:r w:rsidRPr="00EC3D7C">
        <w:t>Turtletown</w:t>
      </w:r>
      <w:proofErr w:type="spellEnd"/>
      <w:r w:rsidRPr="00EC3D7C">
        <w:t xml:space="preserve"> Creek, Wolf Creek, and Loss Creek). The 19 mainstem sites spanned the entire reach from the upstream end near Apalachia Dam to the downstream TVA Apalachia Powerhouse (</w:t>
      </w:r>
      <w:r w:rsidRPr="00EC3D7C">
        <w:rPr>
          <w:b/>
          <w:bCs/>
        </w:rPr>
        <w:t xml:space="preserve">Figure </w:t>
      </w:r>
      <w:r w:rsidR="00D97DAF">
        <w:rPr>
          <w:b/>
          <w:bCs/>
        </w:rPr>
        <w:t>1</w:t>
      </w:r>
      <w:r w:rsidRPr="00EC3D7C">
        <w:rPr>
          <w:b/>
          <w:bCs/>
        </w:rPr>
        <w:t xml:space="preserve">; Table </w:t>
      </w:r>
      <w:r w:rsidR="00D97DAF">
        <w:rPr>
          <w:b/>
          <w:bCs/>
        </w:rPr>
        <w:t>2</w:t>
      </w:r>
      <w:r w:rsidRPr="00EC3D7C">
        <w:t>), averaging one sampling site approximately every 0.7 river miles.</w:t>
      </w:r>
    </w:p>
    <w:p w14:paraId="2B265EF2" w14:textId="747CF305" w:rsidR="000131D9" w:rsidRDefault="00735EC1" w:rsidP="000131D9">
      <w:pPr>
        <w:pStyle w:val="normale"/>
      </w:pPr>
      <w:r>
        <w:rPr>
          <w:noProof/>
        </w:rPr>
        <w:lastRenderedPageBreak/>
        <w:drawing>
          <wp:anchor distT="0" distB="0" distL="114300" distR="114300" simplePos="0" relativeHeight="251658241" behindDoc="0" locked="0" layoutInCell="1" allowOverlap="0" wp14:anchorId="32F4BE0C" wp14:editId="56474BA7">
            <wp:simplePos x="0" y="0"/>
            <wp:positionH relativeFrom="column">
              <wp:posOffset>655320</wp:posOffset>
            </wp:positionH>
            <wp:positionV relativeFrom="page">
              <wp:posOffset>4499610</wp:posOffset>
            </wp:positionV>
            <wp:extent cx="4178300" cy="2870835"/>
            <wp:effectExtent l="0" t="0" r="0" b="0"/>
            <wp:wrapTopAndBottom/>
            <wp:docPr id="4711537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53725" name="Picture 471153725"/>
                    <pic:cNvPicPr/>
                  </pic:nvPicPr>
                  <pic:blipFill rotWithShape="1">
                    <a:blip r:embed="rId12" cstate="print">
                      <a:extLst>
                        <a:ext uri="{28A0092B-C50C-407E-A947-70E740481C1C}">
                          <a14:useLocalDpi xmlns:a14="http://schemas.microsoft.com/office/drawing/2010/main" val="0"/>
                        </a:ext>
                      </a:extLst>
                    </a:blip>
                    <a:srcRect l="483" t="23917" r="1068" b="831"/>
                    <a:stretch>
                      <a:fillRect/>
                    </a:stretch>
                  </pic:blipFill>
                  <pic:spPr bwMode="auto">
                    <a:xfrm>
                      <a:off x="0" y="0"/>
                      <a:ext cx="4178300" cy="2870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3D7C" w:rsidRPr="00EC3D7C">
        <w:t>At each site, 750–2,000 mL of water was collected near the benthos using a drill-powered peristaltic pump with a polypropylene filter holder attached to a painter’s pole. Water was filtered through 47-mm, 3.0-µm mixed cellulose ester (MCE) membranes until clogging occurred due to turbidity or flow rate. For each site, three replicate samples were collected by moving approximately 2–3 m upstream between filtrations.</w:t>
      </w:r>
      <w:r w:rsidR="000131D9">
        <w:br/>
      </w:r>
      <w:r w:rsidR="000131D9" w:rsidRPr="00EC3D7C">
        <w:t>To control for potential contamination from equipment or field activity, six field negative controls were included. A blank sample was collected every four sampling sites by filtering 500 mL of distilled water through the same peristaltic pump setup. All equipment was decontaminated daily with a 30% bleach solution, and sterile nitrile gloves were changed at each site and during the handling of eDNA materials.</w:t>
      </w:r>
    </w:p>
    <w:p w14:paraId="12E25E2E" w14:textId="1678E7A4" w:rsidR="001F3FAB" w:rsidRPr="00D17D6D" w:rsidRDefault="00B04C20" w:rsidP="0082280B">
      <w:pPr>
        <w:pStyle w:val="Caption"/>
      </w:pPr>
      <w:bookmarkStart w:id="42" w:name="_Toc211656145"/>
      <w:r w:rsidRPr="000442D3">
        <w:rPr>
          <w:b/>
          <w:bCs/>
        </w:rPr>
        <w:t xml:space="preserve">Figure </w:t>
      </w:r>
      <w:r w:rsidRPr="000442D3">
        <w:rPr>
          <w:b/>
          <w:bCs/>
        </w:rPr>
        <w:fldChar w:fldCharType="begin"/>
      </w:r>
      <w:r w:rsidRPr="000442D3">
        <w:rPr>
          <w:b/>
          <w:bCs/>
        </w:rPr>
        <w:instrText xml:space="preserve"> SEQ Figure \* ARABIC </w:instrText>
      </w:r>
      <w:r w:rsidRPr="000442D3">
        <w:rPr>
          <w:b/>
          <w:bCs/>
        </w:rPr>
        <w:fldChar w:fldCharType="separate"/>
      </w:r>
      <w:r w:rsidR="008C02C3" w:rsidRPr="000442D3">
        <w:rPr>
          <w:b/>
          <w:bCs/>
        </w:rPr>
        <w:t>1</w:t>
      </w:r>
      <w:r w:rsidRPr="000442D3">
        <w:rPr>
          <w:b/>
          <w:bCs/>
        </w:rPr>
        <w:fldChar w:fldCharType="end"/>
      </w:r>
      <w:r w:rsidRPr="000442D3">
        <w:rPr>
          <w:b/>
          <w:bCs/>
        </w:rPr>
        <w:t>.</w:t>
      </w:r>
      <w:r w:rsidRPr="00D17D6D">
        <w:t xml:space="preserve"> </w:t>
      </w:r>
      <w:r w:rsidR="003B7598" w:rsidRPr="00D17D6D">
        <w:t>Sites of environmental DNA/RNA (eDNA/RNA) sampling and morphological surveys in the Apalachia Cutoff Reach.</w:t>
      </w:r>
      <w:bookmarkEnd w:id="42"/>
      <w:r w:rsidR="00D01DD1" w:rsidRPr="00D01DD1">
        <w:t xml:space="preserve"> Photo of Apalachia Powerhouse by Alan Cressler (via Flickr), used with permission. Photo of the dam from the Tennessee Valley Authority (TVA) website.</w:t>
      </w:r>
    </w:p>
    <w:p w14:paraId="5BAA2CFA" w14:textId="77777777" w:rsidR="001F3FAB" w:rsidRDefault="001F3FAB">
      <w:pPr>
        <w:spacing w:after="160" w:line="278" w:lineRule="auto"/>
        <w:rPr>
          <w:rFonts w:ascii="Times New Roman" w:hAnsi="Times New Roman" w:cs="Times New Roman"/>
          <w:iCs/>
          <w:color w:val="000000" w:themeColor="text1"/>
          <w:sz w:val="20"/>
          <w:szCs w:val="18"/>
        </w:rPr>
      </w:pPr>
      <w:r>
        <w:rPr>
          <w:b/>
          <w:bCs/>
        </w:rPr>
        <w:br w:type="page"/>
      </w:r>
    </w:p>
    <w:p w14:paraId="157F1680" w14:textId="4B679E85" w:rsidR="00921DC2" w:rsidRPr="00921DC2" w:rsidRDefault="00921DC2" w:rsidP="00921DC2">
      <w:pPr>
        <w:pStyle w:val="normale"/>
      </w:pPr>
      <w:r w:rsidRPr="00EC3D7C">
        <w:lastRenderedPageBreak/>
        <w:t>After filtration, each membrane was folded twice and placed into a 2-mL microcentrifuge tube containing 1 mL of DNA/RNA Shield Reagent (</w:t>
      </w:r>
      <w:proofErr w:type="spellStart"/>
      <w:r w:rsidRPr="00EC3D7C">
        <w:t>Zymo</w:t>
      </w:r>
      <w:proofErr w:type="spellEnd"/>
      <w:r w:rsidRPr="00EC3D7C">
        <w:t xml:space="preserve"> Research, Cat# R1100-250). Tubes were kept on ice in the field and stored at 4 °C prior to transport to Oak Ridge National Laboratory (ORNL), arriving on September 10, 2023, and subsequently stored at 4 °C until processing.</w:t>
      </w:r>
    </w:p>
    <w:p w14:paraId="31275684" w14:textId="042FCCE3" w:rsidR="008432F8" w:rsidRDefault="008432F8" w:rsidP="0082280B">
      <w:pPr>
        <w:pStyle w:val="Caption"/>
      </w:pPr>
      <w:bookmarkStart w:id="43" w:name="_Toc211656503"/>
      <w:r w:rsidRPr="002C0BB1">
        <w:rPr>
          <w:b/>
          <w:bCs/>
        </w:rPr>
        <w:t xml:space="preserve">Table </w:t>
      </w:r>
      <w:r w:rsidR="00EC2FC4" w:rsidRPr="002C0BB1">
        <w:rPr>
          <w:b/>
          <w:bCs/>
        </w:rPr>
        <w:fldChar w:fldCharType="begin"/>
      </w:r>
      <w:r w:rsidR="00EC2FC4" w:rsidRPr="002C0BB1">
        <w:rPr>
          <w:b/>
          <w:bCs/>
        </w:rPr>
        <w:instrText xml:space="preserve"> SEQ Table \* ARABIC </w:instrText>
      </w:r>
      <w:r w:rsidR="00EC2FC4" w:rsidRPr="002C0BB1">
        <w:rPr>
          <w:b/>
          <w:bCs/>
        </w:rPr>
        <w:fldChar w:fldCharType="separate"/>
      </w:r>
      <w:r w:rsidR="00EC2FC4" w:rsidRPr="002C0BB1">
        <w:rPr>
          <w:b/>
          <w:bCs/>
          <w:noProof/>
        </w:rPr>
        <w:t>2</w:t>
      </w:r>
      <w:r w:rsidR="00EC2FC4" w:rsidRPr="002C0BB1">
        <w:rPr>
          <w:b/>
          <w:bCs/>
        </w:rPr>
        <w:fldChar w:fldCharType="end"/>
      </w:r>
      <w:r w:rsidRPr="002C0BB1">
        <w:rPr>
          <w:b/>
          <w:bCs/>
        </w:rPr>
        <w:t>.</w:t>
      </w:r>
      <w:r>
        <w:t xml:space="preserve"> </w:t>
      </w:r>
      <w:r w:rsidRPr="007676AA">
        <w:t>Sampling Sites for Environmental DNA and RNA Data in the Apalachia Dam Cutoff Reach.</w:t>
      </w:r>
      <w:bookmarkEnd w:id="43"/>
    </w:p>
    <w:tbl>
      <w:tblPr>
        <w:tblW w:w="9270" w:type="dxa"/>
        <w:jc w:val="center"/>
        <w:tblLayout w:type="fixed"/>
        <w:tblCellMar>
          <w:top w:w="15" w:type="dxa"/>
          <w:left w:w="15" w:type="dxa"/>
          <w:bottom w:w="15" w:type="dxa"/>
          <w:right w:w="15" w:type="dxa"/>
        </w:tblCellMar>
        <w:tblLook w:val="04A0" w:firstRow="1" w:lastRow="0" w:firstColumn="1" w:lastColumn="0" w:noHBand="0" w:noVBand="1"/>
      </w:tblPr>
      <w:tblGrid>
        <w:gridCol w:w="945"/>
        <w:gridCol w:w="2070"/>
        <w:gridCol w:w="1395"/>
        <w:gridCol w:w="1440"/>
        <w:gridCol w:w="2250"/>
        <w:gridCol w:w="1170"/>
      </w:tblGrid>
      <w:tr w:rsidR="009C19C0" w:rsidRPr="009C19C0" w14:paraId="76678136" w14:textId="77777777" w:rsidTr="008432F8">
        <w:trPr>
          <w:trHeight w:val="144"/>
          <w:jc w:val="center"/>
        </w:trPr>
        <w:tc>
          <w:tcPr>
            <w:tcW w:w="945" w:type="dxa"/>
            <w:tcBorders>
              <w:top w:val="single" w:sz="4" w:space="0" w:color="000000"/>
              <w:bottom w:val="single" w:sz="4" w:space="0" w:color="000000"/>
            </w:tcBorders>
            <w:shd w:val="clear" w:color="auto" w:fill="FFFFFF"/>
            <w:tcMar>
              <w:top w:w="0" w:type="dxa"/>
              <w:left w:w="0" w:type="dxa"/>
              <w:bottom w:w="0" w:type="dxa"/>
              <w:right w:w="0" w:type="dxa"/>
            </w:tcMar>
            <w:vAlign w:val="center"/>
            <w:hideMark/>
          </w:tcPr>
          <w:p w14:paraId="79DA1CD8"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Site ID</w:t>
            </w:r>
          </w:p>
        </w:tc>
        <w:tc>
          <w:tcPr>
            <w:tcW w:w="2070" w:type="dxa"/>
            <w:tcBorders>
              <w:top w:val="single" w:sz="4" w:space="0" w:color="000000"/>
              <w:bottom w:val="single" w:sz="4" w:space="0" w:color="000000"/>
            </w:tcBorders>
            <w:shd w:val="clear" w:color="auto" w:fill="FFFFFF"/>
            <w:tcMar>
              <w:top w:w="0" w:type="dxa"/>
              <w:left w:w="0" w:type="dxa"/>
              <w:bottom w:w="0" w:type="dxa"/>
              <w:right w:w="0" w:type="dxa"/>
            </w:tcMar>
            <w:vAlign w:val="center"/>
            <w:hideMark/>
          </w:tcPr>
          <w:p w14:paraId="3F917445"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Location</w:t>
            </w:r>
          </w:p>
        </w:tc>
        <w:tc>
          <w:tcPr>
            <w:tcW w:w="1395" w:type="dxa"/>
            <w:tcBorders>
              <w:top w:val="single" w:sz="4" w:space="0" w:color="000000"/>
              <w:bottom w:val="single" w:sz="4" w:space="0" w:color="000000"/>
            </w:tcBorders>
            <w:shd w:val="clear" w:color="auto" w:fill="FFFFFF"/>
            <w:tcMar>
              <w:top w:w="0" w:type="dxa"/>
              <w:left w:w="0" w:type="dxa"/>
              <w:bottom w:w="0" w:type="dxa"/>
              <w:right w:w="0" w:type="dxa"/>
            </w:tcMar>
            <w:vAlign w:val="center"/>
            <w:hideMark/>
          </w:tcPr>
          <w:p w14:paraId="4A2640D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Latitude</w:t>
            </w:r>
          </w:p>
        </w:tc>
        <w:tc>
          <w:tcPr>
            <w:tcW w:w="1440" w:type="dxa"/>
            <w:tcBorders>
              <w:top w:val="single" w:sz="4" w:space="0" w:color="000000"/>
              <w:bottom w:val="single" w:sz="4" w:space="0" w:color="000000"/>
            </w:tcBorders>
            <w:shd w:val="clear" w:color="auto" w:fill="FFFFFF"/>
            <w:tcMar>
              <w:top w:w="0" w:type="dxa"/>
              <w:left w:w="0" w:type="dxa"/>
              <w:bottom w:w="0" w:type="dxa"/>
              <w:right w:w="0" w:type="dxa"/>
            </w:tcMar>
            <w:vAlign w:val="center"/>
            <w:hideMark/>
          </w:tcPr>
          <w:p w14:paraId="3891BC9D"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Longitude</w:t>
            </w:r>
          </w:p>
        </w:tc>
        <w:tc>
          <w:tcPr>
            <w:tcW w:w="2250" w:type="dxa"/>
            <w:tcBorders>
              <w:top w:val="single" w:sz="4" w:space="0" w:color="000000"/>
              <w:bottom w:val="single" w:sz="4" w:space="0" w:color="000000"/>
            </w:tcBorders>
            <w:shd w:val="clear" w:color="auto" w:fill="FFFFFF"/>
            <w:tcMar>
              <w:top w:w="0" w:type="dxa"/>
              <w:left w:w="0" w:type="dxa"/>
              <w:bottom w:w="0" w:type="dxa"/>
              <w:right w:w="0" w:type="dxa"/>
            </w:tcMar>
            <w:vAlign w:val="center"/>
            <w:hideMark/>
          </w:tcPr>
          <w:p w14:paraId="49FDA455"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Downstream from Dam (miles)</w:t>
            </w:r>
          </w:p>
        </w:tc>
        <w:tc>
          <w:tcPr>
            <w:tcW w:w="1170" w:type="dxa"/>
            <w:tcBorders>
              <w:top w:val="single" w:sz="4" w:space="0" w:color="000000"/>
              <w:bottom w:val="single" w:sz="4" w:space="0" w:color="000000"/>
            </w:tcBorders>
            <w:shd w:val="clear" w:color="auto" w:fill="FFFFFF"/>
            <w:tcMar>
              <w:top w:w="0" w:type="dxa"/>
              <w:left w:w="0" w:type="dxa"/>
              <w:bottom w:w="0" w:type="dxa"/>
              <w:right w:w="0" w:type="dxa"/>
            </w:tcMar>
            <w:vAlign w:val="center"/>
            <w:hideMark/>
          </w:tcPr>
          <w:p w14:paraId="22962DC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Date</w:t>
            </w:r>
          </w:p>
        </w:tc>
      </w:tr>
      <w:tr w:rsidR="009C19C0" w:rsidRPr="009C19C0" w14:paraId="02CD0D0A" w14:textId="77777777" w:rsidTr="008432F8">
        <w:trPr>
          <w:jc w:val="center"/>
        </w:trPr>
        <w:tc>
          <w:tcPr>
            <w:tcW w:w="945" w:type="dxa"/>
            <w:tcBorders>
              <w:top w:val="single" w:sz="4" w:space="0" w:color="000000"/>
            </w:tcBorders>
            <w:shd w:val="clear" w:color="auto" w:fill="FFFFFF"/>
            <w:tcMar>
              <w:top w:w="0" w:type="dxa"/>
              <w:left w:w="0" w:type="dxa"/>
              <w:bottom w:w="0" w:type="dxa"/>
              <w:right w:w="0" w:type="dxa"/>
            </w:tcMar>
            <w:hideMark/>
          </w:tcPr>
          <w:p w14:paraId="7BD4E4D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HR18</w:t>
            </w:r>
          </w:p>
        </w:tc>
        <w:tc>
          <w:tcPr>
            <w:tcW w:w="2070" w:type="dxa"/>
            <w:tcBorders>
              <w:top w:val="single" w:sz="4" w:space="0" w:color="000000"/>
            </w:tcBorders>
            <w:shd w:val="clear" w:color="auto" w:fill="FFFFFF"/>
            <w:tcMar>
              <w:top w:w="0" w:type="dxa"/>
              <w:left w:w="0" w:type="dxa"/>
              <w:bottom w:w="0" w:type="dxa"/>
              <w:right w:w="0" w:type="dxa"/>
            </w:tcMar>
            <w:hideMark/>
          </w:tcPr>
          <w:p w14:paraId="315CA9A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tcBorders>
              <w:top w:val="single" w:sz="4" w:space="0" w:color="000000"/>
            </w:tcBorders>
            <w:shd w:val="clear" w:color="auto" w:fill="FFFFFF"/>
            <w:tcMar>
              <w:top w:w="0" w:type="dxa"/>
              <w:left w:w="0" w:type="dxa"/>
              <w:bottom w:w="0" w:type="dxa"/>
              <w:right w:w="0" w:type="dxa"/>
            </w:tcMar>
            <w:hideMark/>
          </w:tcPr>
          <w:p w14:paraId="4AE574DC"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35.16823</w:t>
            </w:r>
          </w:p>
        </w:tc>
        <w:tc>
          <w:tcPr>
            <w:tcW w:w="1440" w:type="dxa"/>
            <w:tcBorders>
              <w:top w:val="single" w:sz="4" w:space="0" w:color="000000"/>
            </w:tcBorders>
            <w:shd w:val="clear" w:color="auto" w:fill="FFFFFF"/>
            <w:tcMar>
              <w:top w:w="0" w:type="dxa"/>
              <w:left w:w="0" w:type="dxa"/>
              <w:bottom w:w="0" w:type="dxa"/>
              <w:right w:w="0" w:type="dxa"/>
            </w:tcMar>
            <w:hideMark/>
          </w:tcPr>
          <w:p w14:paraId="5FC10C2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-84.2967</w:t>
            </w:r>
          </w:p>
        </w:tc>
        <w:tc>
          <w:tcPr>
            <w:tcW w:w="2250" w:type="dxa"/>
            <w:tcBorders>
              <w:top w:val="single" w:sz="4" w:space="0" w:color="000000"/>
            </w:tcBorders>
            <w:shd w:val="clear" w:color="auto" w:fill="FFFFFF"/>
            <w:tcMar>
              <w:top w:w="0" w:type="dxa"/>
              <w:left w:w="0" w:type="dxa"/>
              <w:bottom w:w="0" w:type="dxa"/>
              <w:right w:w="0" w:type="dxa"/>
            </w:tcMar>
            <w:hideMark/>
          </w:tcPr>
          <w:p w14:paraId="0BFC84D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0.08</w:t>
            </w:r>
          </w:p>
        </w:tc>
        <w:tc>
          <w:tcPr>
            <w:tcW w:w="1170" w:type="dxa"/>
            <w:tcBorders>
              <w:top w:val="single" w:sz="4" w:space="0" w:color="000000"/>
            </w:tcBorders>
            <w:shd w:val="clear" w:color="auto" w:fill="FFFFFF"/>
            <w:tcMar>
              <w:top w:w="0" w:type="dxa"/>
              <w:left w:w="0" w:type="dxa"/>
              <w:bottom w:w="0" w:type="dxa"/>
              <w:right w:w="0" w:type="dxa"/>
            </w:tcMar>
            <w:hideMark/>
          </w:tcPr>
          <w:p w14:paraId="7181274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9/8/2023</w:t>
            </w:r>
          </w:p>
        </w:tc>
      </w:tr>
      <w:tr w:rsidR="009C19C0" w:rsidRPr="009C19C0" w14:paraId="53C82C17" w14:textId="77777777" w:rsidTr="008432F8">
        <w:trPr>
          <w:jc w:val="center"/>
        </w:trPr>
        <w:tc>
          <w:tcPr>
            <w:tcW w:w="945" w:type="dxa"/>
            <w:shd w:val="clear" w:color="auto" w:fill="FFFFFF"/>
            <w:tcMar>
              <w:top w:w="0" w:type="dxa"/>
              <w:left w:w="0" w:type="dxa"/>
              <w:bottom w:w="0" w:type="dxa"/>
              <w:right w:w="0" w:type="dxa"/>
            </w:tcMar>
            <w:hideMark/>
          </w:tcPr>
          <w:p w14:paraId="0F79F34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HR17</w:t>
            </w:r>
          </w:p>
        </w:tc>
        <w:tc>
          <w:tcPr>
            <w:tcW w:w="2070" w:type="dxa"/>
            <w:shd w:val="clear" w:color="auto" w:fill="FFFFFF"/>
            <w:tcMar>
              <w:top w:w="0" w:type="dxa"/>
              <w:left w:w="0" w:type="dxa"/>
              <w:bottom w:w="0" w:type="dxa"/>
              <w:right w:w="0" w:type="dxa"/>
            </w:tcMar>
            <w:hideMark/>
          </w:tcPr>
          <w:p w14:paraId="5477B36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0F2B675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35.18144</w:t>
            </w:r>
          </w:p>
        </w:tc>
        <w:tc>
          <w:tcPr>
            <w:tcW w:w="1440" w:type="dxa"/>
            <w:shd w:val="clear" w:color="auto" w:fill="FFFFFF"/>
            <w:tcMar>
              <w:top w:w="0" w:type="dxa"/>
              <w:left w:w="0" w:type="dxa"/>
              <w:bottom w:w="0" w:type="dxa"/>
              <w:right w:w="0" w:type="dxa"/>
            </w:tcMar>
            <w:hideMark/>
          </w:tcPr>
          <w:p w14:paraId="0F2943E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-84.3069</w:t>
            </w:r>
          </w:p>
        </w:tc>
        <w:tc>
          <w:tcPr>
            <w:tcW w:w="2250" w:type="dxa"/>
            <w:shd w:val="clear" w:color="auto" w:fill="FFFFFF"/>
            <w:tcMar>
              <w:top w:w="0" w:type="dxa"/>
              <w:left w:w="0" w:type="dxa"/>
              <w:bottom w:w="0" w:type="dxa"/>
              <w:right w:w="0" w:type="dxa"/>
            </w:tcMar>
            <w:hideMark/>
          </w:tcPr>
          <w:p w14:paraId="3D1F156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2.27</w:t>
            </w:r>
          </w:p>
        </w:tc>
        <w:tc>
          <w:tcPr>
            <w:tcW w:w="1170" w:type="dxa"/>
            <w:shd w:val="clear" w:color="auto" w:fill="FFFFFF"/>
            <w:tcMar>
              <w:top w:w="0" w:type="dxa"/>
              <w:left w:w="0" w:type="dxa"/>
              <w:bottom w:w="0" w:type="dxa"/>
              <w:right w:w="0" w:type="dxa"/>
            </w:tcMar>
            <w:hideMark/>
          </w:tcPr>
          <w:p w14:paraId="6C856031"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9/8/2023</w:t>
            </w:r>
          </w:p>
        </w:tc>
      </w:tr>
      <w:tr w:rsidR="009C19C0" w:rsidRPr="009C19C0" w14:paraId="0D68ADB8" w14:textId="77777777" w:rsidTr="008432F8">
        <w:trPr>
          <w:jc w:val="center"/>
        </w:trPr>
        <w:tc>
          <w:tcPr>
            <w:tcW w:w="945" w:type="dxa"/>
            <w:shd w:val="clear" w:color="auto" w:fill="FFFFFF"/>
            <w:tcMar>
              <w:top w:w="0" w:type="dxa"/>
              <w:left w:w="0" w:type="dxa"/>
              <w:bottom w:w="0" w:type="dxa"/>
              <w:right w:w="0" w:type="dxa"/>
            </w:tcMar>
            <w:hideMark/>
          </w:tcPr>
          <w:p w14:paraId="4150449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HR16</w:t>
            </w:r>
          </w:p>
        </w:tc>
        <w:tc>
          <w:tcPr>
            <w:tcW w:w="2070" w:type="dxa"/>
            <w:shd w:val="clear" w:color="auto" w:fill="FFFFFF"/>
            <w:tcMar>
              <w:top w:w="0" w:type="dxa"/>
              <w:left w:w="0" w:type="dxa"/>
              <w:bottom w:w="0" w:type="dxa"/>
              <w:right w:w="0" w:type="dxa"/>
            </w:tcMar>
            <w:hideMark/>
          </w:tcPr>
          <w:p w14:paraId="3F647E0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0D444B6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35.1687</w:t>
            </w:r>
          </w:p>
        </w:tc>
        <w:tc>
          <w:tcPr>
            <w:tcW w:w="1440" w:type="dxa"/>
            <w:shd w:val="clear" w:color="auto" w:fill="FFFFFF"/>
            <w:tcMar>
              <w:top w:w="0" w:type="dxa"/>
              <w:left w:w="0" w:type="dxa"/>
              <w:bottom w:w="0" w:type="dxa"/>
              <w:right w:w="0" w:type="dxa"/>
            </w:tcMar>
            <w:hideMark/>
          </w:tcPr>
          <w:p w14:paraId="100CAAD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-84.3212</w:t>
            </w:r>
          </w:p>
        </w:tc>
        <w:tc>
          <w:tcPr>
            <w:tcW w:w="2250" w:type="dxa"/>
            <w:shd w:val="clear" w:color="auto" w:fill="FFFFFF"/>
            <w:tcMar>
              <w:top w:w="0" w:type="dxa"/>
              <w:left w:w="0" w:type="dxa"/>
              <w:bottom w:w="0" w:type="dxa"/>
              <w:right w:w="0" w:type="dxa"/>
            </w:tcMar>
            <w:hideMark/>
          </w:tcPr>
          <w:p w14:paraId="5102FBC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3.74</w:t>
            </w:r>
          </w:p>
        </w:tc>
        <w:tc>
          <w:tcPr>
            <w:tcW w:w="1170" w:type="dxa"/>
            <w:shd w:val="clear" w:color="auto" w:fill="FFFFFF"/>
            <w:tcMar>
              <w:top w:w="0" w:type="dxa"/>
              <w:left w:w="0" w:type="dxa"/>
              <w:bottom w:w="0" w:type="dxa"/>
              <w:right w:w="0" w:type="dxa"/>
            </w:tcMar>
            <w:hideMark/>
          </w:tcPr>
          <w:p w14:paraId="7A82F7C8"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9/8/2023</w:t>
            </w:r>
          </w:p>
        </w:tc>
      </w:tr>
      <w:tr w:rsidR="009C19C0" w:rsidRPr="009C19C0" w14:paraId="5D172EE9" w14:textId="77777777" w:rsidTr="008432F8">
        <w:trPr>
          <w:jc w:val="center"/>
        </w:trPr>
        <w:tc>
          <w:tcPr>
            <w:tcW w:w="945" w:type="dxa"/>
            <w:shd w:val="clear" w:color="auto" w:fill="FFFFFF"/>
            <w:tcMar>
              <w:top w:w="0" w:type="dxa"/>
              <w:left w:w="0" w:type="dxa"/>
              <w:bottom w:w="0" w:type="dxa"/>
              <w:right w:w="0" w:type="dxa"/>
            </w:tcMar>
            <w:hideMark/>
          </w:tcPr>
          <w:p w14:paraId="03DD1B47"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HR10</w:t>
            </w:r>
          </w:p>
        </w:tc>
        <w:tc>
          <w:tcPr>
            <w:tcW w:w="2070" w:type="dxa"/>
            <w:shd w:val="clear" w:color="auto" w:fill="FFFFFF"/>
            <w:tcMar>
              <w:top w:w="0" w:type="dxa"/>
              <w:left w:w="0" w:type="dxa"/>
              <w:bottom w:w="0" w:type="dxa"/>
              <w:right w:w="0" w:type="dxa"/>
            </w:tcMar>
            <w:hideMark/>
          </w:tcPr>
          <w:p w14:paraId="546C257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53E5582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35.17759</w:t>
            </w:r>
          </w:p>
        </w:tc>
        <w:tc>
          <w:tcPr>
            <w:tcW w:w="1440" w:type="dxa"/>
            <w:shd w:val="clear" w:color="auto" w:fill="FFFFFF"/>
            <w:tcMar>
              <w:top w:w="0" w:type="dxa"/>
              <w:left w:w="0" w:type="dxa"/>
              <w:bottom w:w="0" w:type="dxa"/>
              <w:right w:w="0" w:type="dxa"/>
            </w:tcMar>
            <w:hideMark/>
          </w:tcPr>
          <w:p w14:paraId="2073FD41"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-84.3367</w:t>
            </w:r>
          </w:p>
        </w:tc>
        <w:tc>
          <w:tcPr>
            <w:tcW w:w="2250" w:type="dxa"/>
            <w:shd w:val="clear" w:color="auto" w:fill="FFFFFF"/>
            <w:tcMar>
              <w:top w:w="0" w:type="dxa"/>
              <w:left w:w="0" w:type="dxa"/>
              <w:bottom w:w="0" w:type="dxa"/>
              <w:right w:w="0" w:type="dxa"/>
            </w:tcMar>
            <w:hideMark/>
          </w:tcPr>
          <w:p w14:paraId="1CC770B8"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4.89</w:t>
            </w:r>
          </w:p>
        </w:tc>
        <w:tc>
          <w:tcPr>
            <w:tcW w:w="1170" w:type="dxa"/>
            <w:shd w:val="clear" w:color="auto" w:fill="FFFFFF"/>
            <w:tcMar>
              <w:top w:w="0" w:type="dxa"/>
              <w:left w:w="0" w:type="dxa"/>
              <w:bottom w:w="0" w:type="dxa"/>
              <w:right w:w="0" w:type="dxa"/>
            </w:tcMar>
            <w:hideMark/>
          </w:tcPr>
          <w:p w14:paraId="2A3C0EF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9/6/2023</w:t>
            </w:r>
          </w:p>
        </w:tc>
      </w:tr>
      <w:tr w:rsidR="009C19C0" w:rsidRPr="009C19C0" w14:paraId="757B317B" w14:textId="77777777" w:rsidTr="008432F8">
        <w:trPr>
          <w:jc w:val="center"/>
        </w:trPr>
        <w:tc>
          <w:tcPr>
            <w:tcW w:w="945" w:type="dxa"/>
            <w:shd w:val="clear" w:color="auto" w:fill="FFFFFF"/>
            <w:tcMar>
              <w:top w:w="0" w:type="dxa"/>
              <w:left w:w="0" w:type="dxa"/>
              <w:bottom w:w="0" w:type="dxa"/>
              <w:right w:w="0" w:type="dxa"/>
            </w:tcMar>
            <w:hideMark/>
          </w:tcPr>
          <w:p w14:paraId="5D6F934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HR09</w:t>
            </w:r>
          </w:p>
        </w:tc>
        <w:tc>
          <w:tcPr>
            <w:tcW w:w="2070" w:type="dxa"/>
            <w:shd w:val="clear" w:color="auto" w:fill="FFFFFF"/>
            <w:tcMar>
              <w:top w:w="0" w:type="dxa"/>
              <w:left w:w="0" w:type="dxa"/>
              <w:bottom w:w="0" w:type="dxa"/>
              <w:right w:w="0" w:type="dxa"/>
            </w:tcMar>
            <w:hideMark/>
          </w:tcPr>
          <w:p w14:paraId="1C722DE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63582E0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35.17719</w:t>
            </w:r>
          </w:p>
        </w:tc>
        <w:tc>
          <w:tcPr>
            <w:tcW w:w="1440" w:type="dxa"/>
            <w:shd w:val="clear" w:color="auto" w:fill="FFFFFF"/>
            <w:tcMar>
              <w:top w:w="0" w:type="dxa"/>
              <w:left w:w="0" w:type="dxa"/>
              <w:bottom w:w="0" w:type="dxa"/>
              <w:right w:w="0" w:type="dxa"/>
            </w:tcMar>
            <w:hideMark/>
          </w:tcPr>
          <w:p w14:paraId="48EB332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-84.341</w:t>
            </w:r>
          </w:p>
        </w:tc>
        <w:tc>
          <w:tcPr>
            <w:tcW w:w="2250" w:type="dxa"/>
            <w:shd w:val="clear" w:color="auto" w:fill="FFFFFF"/>
            <w:tcMar>
              <w:top w:w="0" w:type="dxa"/>
              <w:left w:w="0" w:type="dxa"/>
              <w:bottom w:w="0" w:type="dxa"/>
              <w:right w:w="0" w:type="dxa"/>
            </w:tcMar>
            <w:hideMark/>
          </w:tcPr>
          <w:p w14:paraId="0215A91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5.15</w:t>
            </w:r>
          </w:p>
        </w:tc>
        <w:tc>
          <w:tcPr>
            <w:tcW w:w="1170" w:type="dxa"/>
            <w:shd w:val="clear" w:color="auto" w:fill="FFFFFF"/>
            <w:tcMar>
              <w:top w:w="0" w:type="dxa"/>
              <w:left w:w="0" w:type="dxa"/>
              <w:bottom w:w="0" w:type="dxa"/>
              <w:right w:w="0" w:type="dxa"/>
            </w:tcMar>
            <w:hideMark/>
          </w:tcPr>
          <w:p w14:paraId="1403EBD6"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9/6/2023</w:t>
            </w:r>
          </w:p>
        </w:tc>
      </w:tr>
      <w:tr w:rsidR="009C19C0" w:rsidRPr="009C19C0" w14:paraId="21BCF2B2" w14:textId="77777777" w:rsidTr="008432F8">
        <w:trPr>
          <w:jc w:val="center"/>
        </w:trPr>
        <w:tc>
          <w:tcPr>
            <w:tcW w:w="945" w:type="dxa"/>
            <w:shd w:val="clear" w:color="auto" w:fill="FFFFFF"/>
            <w:tcMar>
              <w:top w:w="0" w:type="dxa"/>
              <w:left w:w="0" w:type="dxa"/>
              <w:bottom w:w="0" w:type="dxa"/>
              <w:right w:w="0" w:type="dxa"/>
            </w:tcMar>
            <w:hideMark/>
          </w:tcPr>
          <w:p w14:paraId="12262A2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HR08</w:t>
            </w:r>
          </w:p>
        </w:tc>
        <w:tc>
          <w:tcPr>
            <w:tcW w:w="2070" w:type="dxa"/>
            <w:shd w:val="clear" w:color="auto" w:fill="FFFFFF"/>
            <w:tcMar>
              <w:top w:w="0" w:type="dxa"/>
              <w:left w:w="0" w:type="dxa"/>
              <w:bottom w:w="0" w:type="dxa"/>
              <w:right w:w="0" w:type="dxa"/>
            </w:tcMar>
            <w:hideMark/>
          </w:tcPr>
          <w:p w14:paraId="5D2B03EF"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5642E0C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35.17574</w:t>
            </w:r>
          </w:p>
        </w:tc>
        <w:tc>
          <w:tcPr>
            <w:tcW w:w="1440" w:type="dxa"/>
            <w:shd w:val="clear" w:color="auto" w:fill="FFFFFF"/>
            <w:tcMar>
              <w:top w:w="0" w:type="dxa"/>
              <w:left w:w="0" w:type="dxa"/>
              <w:bottom w:w="0" w:type="dxa"/>
              <w:right w:w="0" w:type="dxa"/>
            </w:tcMar>
            <w:hideMark/>
          </w:tcPr>
          <w:p w14:paraId="5EB552C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-84.3431</w:t>
            </w:r>
          </w:p>
        </w:tc>
        <w:tc>
          <w:tcPr>
            <w:tcW w:w="2250" w:type="dxa"/>
            <w:shd w:val="clear" w:color="auto" w:fill="FFFFFF"/>
            <w:tcMar>
              <w:top w:w="0" w:type="dxa"/>
              <w:left w:w="0" w:type="dxa"/>
              <w:bottom w:w="0" w:type="dxa"/>
              <w:right w:w="0" w:type="dxa"/>
            </w:tcMar>
            <w:hideMark/>
          </w:tcPr>
          <w:p w14:paraId="6D34C5F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5.32</w:t>
            </w:r>
          </w:p>
        </w:tc>
        <w:tc>
          <w:tcPr>
            <w:tcW w:w="1170" w:type="dxa"/>
            <w:shd w:val="clear" w:color="auto" w:fill="FFFFFF"/>
            <w:tcMar>
              <w:top w:w="0" w:type="dxa"/>
              <w:left w:w="0" w:type="dxa"/>
              <w:bottom w:w="0" w:type="dxa"/>
              <w:right w:w="0" w:type="dxa"/>
            </w:tcMar>
            <w:hideMark/>
          </w:tcPr>
          <w:p w14:paraId="1C9BD81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9/6/2023</w:t>
            </w:r>
          </w:p>
        </w:tc>
      </w:tr>
      <w:tr w:rsidR="009C19C0" w:rsidRPr="009C19C0" w14:paraId="79DDCE40" w14:textId="77777777" w:rsidTr="008432F8">
        <w:trPr>
          <w:jc w:val="center"/>
        </w:trPr>
        <w:tc>
          <w:tcPr>
            <w:tcW w:w="945" w:type="dxa"/>
            <w:shd w:val="clear" w:color="auto" w:fill="FFFFFF"/>
            <w:tcMar>
              <w:top w:w="0" w:type="dxa"/>
              <w:left w:w="0" w:type="dxa"/>
              <w:bottom w:w="0" w:type="dxa"/>
              <w:right w:w="0" w:type="dxa"/>
            </w:tcMar>
            <w:hideMark/>
          </w:tcPr>
          <w:p w14:paraId="68B76D6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HR07</w:t>
            </w:r>
          </w:p>
        </w:tc>
        <w:tc>
          <w:tcPr>
            <w:tcW w:w="2070" w:type="dxa"/>
            <w:shd w:val="clear" w:color="auto" w:fill="FFFFFF"/>
            <w:tcMar>
              <w:top w:w="0" w:type="dxa"/>
              <w:left w:w="0" w:type="dxa"/>
              <w:bottom w:w="0" w:type="dxa"/>
              <w:right w:w="0" w:type="dxa"/>
            </w:tcMar>
            <w:hideMark/>
          </w:tcPr>
          <w:p w14:paraId="5FEDFBD6"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47E329A4"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35.17556</w:t>
            </w:r>
          </w:p>
        </w:tc>
        <w:tc>
          <w:tcPr>
            <w:tcW w:w="1440" w:type="dxa"/>
            <w:shd w:val="clear" w:color="auto" w:fill="FFFFFF"/>
            <w:tcMar>
              <w:top w:w="0" w:type="dxa"/>
              <w:left w:w="0" w:type="dxa"/>
              <w:bottom w:w="0" w:type="dxa"/>
              <w:right w:w="0" w:type="dxa"/>
            </w:tcMar>
            <w:hideMark/>
          </w:tcPr>
          <w:p w14:paraId="70C15DC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-84.3428</w:t>
            </w:r>
          </w:p>
        </w:tc>
        <w:tc>
          <w:tcPr>
            <w:tcW w:w="2250" w:type="dxa"/>
            <w:shd w:val="clear" w:color="auto" w:fill="FFFFFF"/>
            <w:tcMar>
              <w:top w:w="0" w:type="dxa"/>
              <w:left w:w="0" w:type="dxa"/>
              <w:bottom w:w="0" w:type="dxa"/>
              <w:right w:w="0" w:type="dxa"/>
            </w:tcMar>
            <w:hideMark/>
          </w:tcPr>
          <w:p w14:paraId="453890E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5.32</w:t>
            </w:r>
          </w:p>
        </w:tc>
        <w:tc>
          <w:tcPr>
            <w:tcW w:w="1170" w:type="dxa"/>
            <w:shd w:val="clear" w:color="auto" w:fill="FFFFFF"/>
            <w:tcMar>
              <w:top w:w="0" w:type="dxa"/>
              <w:left w:w="0" w:type="dxa"/>
              <w:bottom w:w="0" w:type="dxa"/>
              <w:right w:w="0" w:type="dxa"/>
            </w:tcMar>
            <w:hideMark/>
          </w:tcPr>
          <w:p w14:paraId="261B216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9/6/2023</w:t>
            </w:r>
          </w:p>
        </w:tc>
      </w:tr>
      <w:tr w:rsidR="009C19C0" w:rsidRPr="009C19C0" w14:paraId="3794FB0D" w14:textId="77777777" w:rsidTr="008432F8">
        <w:trPr>
          <w:jc w:val="center"/>
        </w:trPr>
        <w:tc>
          <w:tcPr>
            <w:tcW w:w="945" w:type="dxa"/>
            <w:shd w:val="clear" w:color="auto" w:fill="FFFFFF"/>
            <w:tcMar>
              <w:top w:w="0" w:type="dxa"/>
              <w:left w:w="0" w:type="dxa"/>
              <w:bottom w:w="0" w:type="dxa"/>
              <w:right w:w="0" w:type="dxa"/>
            </w:tcMar>
            <w:hideMark/>
          </w:tcPr>
          <w:p w14:paraId="4D3E58EC"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HR06</w:t>
            </w:r>
          </w:p>
        </w:tc>
        <w:tc>
          <w:tcPr>
            <w:tcW w:w="2070" w:type="dxa"/>
            <w:shd w:val="clear" w:color="auto" w:fill="FFFFFF"/>
            <w:tcMar>
              <w:top w:w="0" w:type="dxa"/>
              <w:left w:w="0" w:type="dxa"/>
              <w:bottom w:w="0" w:type="dxa"/>
              <w:right w:w="0" w:type="dxa"/>
            </w:tcMar>
            <w:hideMark/>
          </w:tcPr>
          <w:p w14:paraId="6BE6305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78D8AAC7"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35.16789</w:t>
            </w:r>
          </w:p>
        </w:tc>
        <w:tc>
          <w:tcPr>
            <w:tcW w:w="1440" w:type="dxa"/>
            <w:shd w:val="clear" w:color="auto" w:fill="FFFFFF"/>
            <w:tcMar>
              <w:top w:w="0" w:type="dxa"/>
              <w:left w:w="0" w:type="dxa"/>
              <w:bottom w:w="0" w:type="dxa"/>
              <w:right w:w="0" w:type="dxa"/>
            </w:tcMar>
            <w:hideMark/>
          </w:tcPr>
          <w:p w14:paraId="2B1C913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-84.3516</w:t>
            </w:r>
          </w:p>
        </w:tc>
        <w:tc>
          <w:tcPr>
            <w:tcW w:w="2250" w:type="dxa"/>
            <w:shd w:val="clear" w:color="auto" w:fill="FFFFFF"/>
            <w:tcMar>
              <w:top w:w="0" w:type="dxa"/>
              <w:left w:w="0" w:type="dxa"/>
              <w:bottom w:w="0" w:type="dxa"/>
              <w:right w:w="0" w:type="dxa"/>
            </w:tcMar>
            <w:hideMark/>
          </w:tcPr>
          <w:p w14:paraId="01FB2394"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6.05</w:t>
            </w:r>
          </w:p>
        </w:tc>
        <w:tc>
          <w:tcPr>
            <w:tcW w:w="1170" w:type="dxa"/>
            <w:shd w:val="clear" w:color="auto" w:fill="FFFFFF"/>
            <w:tcMar>
              <w:top w:w="0" w:type="dxa"/>
              <w:left w:w="0" w:type="dxa"/>
              <w:bottom w:w="0" w:type="dxa"/>
              <w:right w:w="0" w:type="dxa"/>
            </w:tcMar>
            <w:hideMark/>
          </w:tcPr>
          <w:p w14:paraId="1A909446"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9/6/2023</w:t>
            </w:r>
          </w:p>
        </w:tc>
      </w:tr>
      <w:tr w:rsidR="009C19C0" w:rsidRPr="009C19C0" w14:paraId="21A3AF8D" w14:textId="77777777" w:rsidTr="008432F8">
        <w:trPr>
          <w:jc w:val="center"/>
        </w:trPr>
        <w:tc>
          <w:tcPr>
            <w:tcW w:w="945" w:type="dxa"/>
            <w:shd w:val="clear" w:color="auto" w:fill="FFFFFF"/>
            <w:tcMar>
              <w:top w:w="0" w:type="dxa"/>
              <w:left w:w="0" w:type="dxa"/>
              <w:bottom w:w="0" w:type="dxa"/>
              <w:right w:w="0" w:type="dxa"/>
            </w:tcMar>
            <w:hideMark/>
          </w:tcPr>
          <w:p w14:paraId="6970065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HR05</w:t>
            </w:r>
          </w:p>
        </w:tc>
        <w:tc>
          <w:tcPr>
            <w:tcW w:w="2070" w:type="dxa"/>
            <w:shd w:val="clear" w:color="auto" w:fill="FFFFFF"/>
            <w:tcMar>
              <w:top w:w="0" w:type="dxa"/>
              <w:left w:w="0" w:type="dxa"/>
              <w:bottom w:w="0" w:type="dxa"/>
              <w:right w:w="0" w:type="dxa"/>
            </w:tcMar>
            <w:hideMark/>
          </w:tcPr>
          <w:p w14:paraId="09B0825D"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5385F131"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35.16792</w:t>
            </w:r>
          </w:p>
        </w:tc>
        <w:tc>
          <w:tcPr>
            <w:tcW w:w="1440" w:type="dxa"/>
            <w:shd w:val="clear" w:color="auto" w:fill="FFFFFF"/>
            <w:tcMar>
              <w:top w:w="0" w:type="dxa"/>
              <w:left w:w="0" w:type="dxa"/>
              <w:bottom w:w="0" w:type="dxa"/>
              <w:right w:w="0" w:type="dxa"/>
            </w:tcMar>
            <w:hideMark/>
          </w:tcPr>
          <w:p w14:paraId="5482C29C"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-84.3564</w:t>
            </w:r>
          </w:p>
        </w:tc>
        <w:tc>
          <w:tcPr>
            <w:tcW w:w="2250" w:type="dxa"/>
            <w:shd w:val="clear" w:color="auto" w:fill="FFFFFF"/>
            <w:tcMar>
              <w:top w:w="0" w:type="dxa"/>
              <w:left w:w="0" w:type="dxa"/>
              <w:bottom w:w="0" w:type="dxa"/>
              <w:right w:w="0" w:type="dxa"/>
            </w:tcMar>
            <w:hideMark/>
          </w:tcPr>
          <w:p w14:paraId="3770C466"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6.36</w:t>
            </w:r>
          </w:p>
        </w:tc>
        <w:tc>
          <w:tcPr>
            <w:tcW w:w="1170" w:type="dxa"/>
            <w:shd w:val="clear" w:color="auto" w:fill="FFFFFF"/>
            <w:tcMar>
              <w:top w:w="0" w:type="dxa"/>
              <w:left w:w="0" w:type="dxa"/>
              <w:bottom w:w="0" w:type="dxa"/>
              <w:right w:w="0" w:type="dxa"/>
            </w:tcMar>
            <w:hideMark/>
          </w:tcPr>
          <w:p w14:paraId="7C2B3BD7"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9/6/2023</w:t>
            </w:r>
          </w:p>
        </w:tc>
      </w:tr>
      <w:tr w:rsidR="009C19C0" w:rsidRPr="009C19C0" w14:paraId="274F5595" w14:textId="77777777" w:rsidTr="008432F8">
        <w:trPr>
          <w:jc w:val="center"/>
        </w:trPr>
        <w:tc>
          <w:tcPr>
            <w:tcW w:w="945" w:type="dxa"/>
            <w:shd w:val="clear" w:color="auto" w:fill="FFFFFF"/>
            <w:tcMar>
              <w:top w:w="0" w:type="dxa"/>
              <w:left w:w="0" w:type="dxa"/>
              <w:bottom w:w="0" w:type="dxa"/>
              <w:right w:w="0" w:type="dxa"/>
            </w:tcMar>
            <w:hideMark/>
          </w:tcPr>
          <w:p w14:paraId="1F92853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HR04</w:t>
            </w:r>
          </w:p>
        </w:tc>
        <w:tc>
          <w:tcPr>
            <w:tcW w:w="2070" w:type="dxa"/>
            <w:shd w:val="clear" w:color="auto" w:fill="FFFFFF"/>
            <w:tcMar>
              <w:top w:w="0" w:type="dxa"/>
              <w:left w:w="0" w:type="dxa"/>
              <w:bottom w:w="0" w:type="dxa"/>
              <w:right w:w="0" w:type="dxa"/>
            </w:tcMar>
            <w:hideMark/>
          </w:tcPr>
          <w:p w14:paraId="530D9CB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4C431856"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35.17046</w:t>
            </w:r>
          </w:p>
        </w:tc>
        <w:tc>
          <w:tcPr>
            <w:tcW w:w="1440" w:type="dxa"/>
            <w:shd w:val="clear" w:color="auto" w:fill="FFFFFF"/>
            <w:tcMar>
              <w:top w:w="0" w:type="dxa"/>
              <w:left w:w="0" w:type="dxa"/>
              <w:bottom w:w="0" w:type="dxa"/>
              <w:right w:w="0" w:type="dxa"/>
            </w:tcMar>
            <w:hideMark/>
          </w:tcPr>
          <w:p w14:paraId="450989FC"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-84.3648</w:t>
            </w:r>
          </w:p>
        </w:tc>
        <w:tc>
          <w:tcPr>
            <w:tcW w:w="2250" w:type="dxa"/>
            <w:shd w:val="clear" w:color="auto" w:fill="FFFFFF"/>
            <w:tcMar>
              <w:top w:w="0" w:type="dxa"/>
              <w:left w:w="0" w:type="dxa"/>
              <w:bottom w:w="0" w:type="dxa"/>
              <w:right w:w="0" w:type="dxa"/>
            </w:tcMar>
            <w:hideMark/>
          </w:tcPr>
          <w:p w14:paraId="19FF743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6.9</w:t>
            </w:r>
          </w:p>
        </w:tc>
        <w:tc>
          <w:tcPr>
            <w:tcW w:w="1170" w:type="dxa"/>
            <w:shd w:val="clear" w:color="auto" w:fill="FFFFFF"/>
            <w:tcMar>
              <w:top w:w="0" w:type="dxa"/>
              <w:left w:w="0" w:type="dxa"/>
              <w:bottom w:w="0" w:type="dxa"/>
              <w:right w:w="0" w:type="dxa"/>
            </w:tcMar>
            <w:hideMark/>
          </w:tcPr>
          <w:p w14:paraId="781A62D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9/6/2023</w:t>
            </w:r>
          </w:p>
        </w:tc>
      </w:tr>
      <w:tr w:rsidR="009C19C0" w:rsidRPr="009C19C0" w14:paraId="632A0051" w14:textId="77777777" w:rsidTr="008432F8">
        <w:trPr>
          <w:jc w:val="center"/>
        </w:trPr>
        <w:tc>
          <w:tcPr>
            <w:tcW w:w="945" w:type="dxa"/>
            <w:shd w:val="clear" w:color="auto" w:fill="FFFFFF"/>
            <w:tcMar>
              <w:top w:w="0" w:type="dxa"/>
              <w:left w:w="0" w:type="dxa"/>
              <w:bottom w:w="0" w:type="dxa"/>
              <w:right w:w="0" w:type="dxa"/>
            </w:tcMar>
            <w:hideMark/>
          </w:tcPr>
          <w:p w14:paraId="29930FD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HR03</w:t>
            </w:r>
          </w:p>
        </w:tc>
        <w:tc>
          <w:tcPr>
            <w:tcW w:w="2070" w:type="dxa"/>
            <w:shd w:val="clear" w:color="auto" w:fill="FFFFFF"/>
            <w:tcMar>
              <w:top w:w="0" w:type="dxa"/>
              <w:left w:w="0" w:type="dxa"/>
              <w:bottom w:w="0" w:type="dxa"/>
              <w:right w:w="0" w:type="dxa"/>
            </w:tcMar>
            <w:hideMark/>
          </w:tcPr>
          <w:p w14:paraId="09D49038"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3AAD5C48"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35.17304</w:t>
            </w:r>
          </w:p>
        </w:tc>
        <w:tc>
          <w:tcPr>
            <w:tcW w:w="1440" w:type="dxa"/>
            <w:shd w:val="clear" w:color="auto" w:fill="FFFFFF"/>
            <w:tcMar>
              <w:top w:w="0" w:type="dxa"/>
              <w:left w:w="0" w:type="dxa"/>
              <w:bottom w:w="0" w:type="dxa"/>
              <w:right w:w="0" w:type="dxa"/>
            </w:tcMar>
            <w:hideMark/>
          </w:tcPr>
          <w:p w14:paraId="27BA08E1"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-84.3701</w:t>
            </w:r>
          </w:p>
        </w:tc>
        <w:tc>
          <w:tcPr>
            <w:tcW w:w="2250" w:type="dxa"/>
            <w:shd w:val="clear" w:color="auto" w:fill="FFFFFF"/>
            <w:tcMar>
              <w:top w:w="0" w:type="dxa"/>
              <w:left w:w="0" w:type="dxa"/>
              <w:bottom w:w="0" w:type="dxa"/>
              <w:right w:w="0" w:type="dxa"/>
            </w:tcMar>
            <w:hideMark/>
          </w:tcPr>
          <w:p w14:paraId="26F3679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7.31</w:t>
            </w:r>
          </w:p>
        </w:tc>
        <w:tc>
          <w:tcPr>
            <w:tcW w:w="1170" w:type="dxa"/>
            <w:shd w:val="clear" w:color="auto" w:fill="FFFFFF"/>
            <w:tcMar>
              <w:top w:w="0" w:type="dxa"/>
              <w:left w:w="0" w:type="dxa"/>
              <w:bottom w:w="0" w:type="dxa"/>
              <w:right w:w="0" w:type="dxa"/>
            </w:tcMar>
            <w:hideMark/>
          </w:tcPr>
          <w:p w14:paraId="62DA137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9/5/2023</w:t>
            </w:r>
          </w:p>
        </w:tc>
      </w:tr>
      <w:tr w:rsidR="009C19C0" w:rsidRPr="009C19C0" w14:paraId="017CF6DA" w14:textId="77777777" w:rsidTr="008432F8">
        <w:trPr>
          <w:jc w:val="center"/>
        </w:trPr>
        <w:tc>
          <w:tcPr>
            <w:tcW w:w="945" w:type="dxa"/>
            <w:shd w:val="clear" w:color="auto" w:fill="FFFFFF"/>
            <w:tcMar>
              <w:top w:w="0" w:type="dxa"/>
              <w:left w:w="0" w:type="dxa"/>
              <w:bottom w:w="0" w:type="dxa"/>
              <w:right w:w="0" w:type="dxa"/>
            </w:tcMar>
            <w:hideMark/>
          </w:tcPr>
          <w:p w14:paraId="5D5B0AD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HR02</w:t>
            </w:r>
          </w:p>
        </w:tc>
        <w:tc>
          <w:tcPr>
            <w:tcW w:w="2070" w:type="dxa"/>
            <w:shd w:val="clear" w:color="auto" w:fill="FFFFFF"/>
            <w:tcMar>
              <w:top w:w="0" w:type="dxa"/>
              <w:left w:w="0" w:type="dxa"/>
              <w:bottom w:w="0" w:type="dxa"/>
              <w:right w:w="0" w:type="dxa"/>
            </w:tcMar>
            <w:hideMark/>
          </w:tcPr>
          <w:p w14:paraId="08BB33F8"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10C5797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35.17506</w:t>
            </w:r>
          </w:p>
        </w:tc>
        <w:tc>
          <w:tcPr>
            <w:tcW w:w="1440" w:type="dxa"/>
            <w:shd w:val="clear" w:color="auto" w:fill="FFFFFF"/>
            <w:tcMar>
              <w:top w:w="0" w:type="dxa"/>
              <w:left w:w="0" w:type="dxa"/>
              <w:bottom w:w="0" w:type="dxa"/>
              <w:right w:w="0" w:type="dxa"/>
            </w:tcMar>
            <w:hideMark/>
          </w:tcPr>
          <w:p w14:paraId="02D202A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-84.3748</w:t>
            </w:r>
          </w:p>
        </w:tc>
        <w:tc>
          <w:tcPr>
            <w:tcW w:w="2250" w:type="dxa"/>
            <w:shd w:val="clear" w:color="auto" w:fill="FFFFFF"/>
            <w:tcMar>
              <w:top w:w="0" w:type="dxa"/>
              <w:left w:w="0" w:type="dxa"/>
              <w:bottom w:w="0" w:type="dxa"/>
              <w:right w:w="0" w:type="dxa"/>
            </w:tcMar>
            <w:hideMark/>
          </w:tcPr>
          <w:p w14:paraId="4DBBB500"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7.64</w:t>
            </w:r>
          </w:p>
        </w:tc>
        <w:tc>
          <w:tcPr>
            <w:tcW w:w="1170" w:type="dxa"/>
            <w:shd w:val="clear" w:color="auto" w:fill="FFFFFF"/>
            <w:tcMar>
              <w:top w:w="0" w:type="dxa"/>
              <w:left w:w="0" w:type="dxa"/>
              <w:bottom w:w="0" w:type="dxa"/>
              <w:right w:w="0" w:type="dxa"/>
            </w:tcMar>
            <w:hideMark/>
          </w:tcPr>
          <w:p w14:paraId="351BAB07"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9/5/2023</w:t>
            </w:r>
          </w:p>
        </w:tc>
      </w:tr>
      <w:tr w:rsidR="009C19C0" w:rsidRPr="009C19C0" w14:paraId="086AF48B" w14:textId="77777777" w:rsidTr="008432F8">
        <w:trPr>
          <w:jc w:val="center"/>
        </w:trPr>
        <w:tc>
          <w:tcPr>
            <w:tcW w:w="945" w:type="dxa"/>
            <w:shd w:val="clear" w:color="auto" w:fill="FFFFFF"/>
            <w:tcMar>
              <w:top w:w="0" w:type="dxa"/>
              <w:left w:w="0" w:type="dxa"/>
              <w:bottom w:w="0" w:type="dxa"/>
              <w:right w:w="0" w:type="dxa"/>
            </w:tcMar>
            <w:hideMark/>
          </w:tcPr>
          <w:p w14:paraId="3216AB5D"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HR01</w:t>
            </w:r>
          </w:p>
        </w:tc>
        <w:tc>
          <w:tcPr>
            <w:tcW w:w="2070" w:type="dxa"/>
            <w:shd w:val="clear" w:color="auto" w:fill="FFFFFF"/>
            <w:tcMar>
              <w:top w:w="0" w:type="dxa"/>
              <w:left w:w="0" w:type="dxa"/>
              <w:bottom w:w="0" w:type="dxa"/>
              <w:right w:w="0" w:type="dxa"/>
            </w:tcMar>
            <w:hideMark/>
          </w:tcPr>
          <w:p w14:paraId="2AB8E20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11C42AAF"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35.17566</w:t>
            </w:r>
          </w:p>
        </w:tc>
        <w:tc>
          <w:tcPr>
            <w:tcW w:w="1440" w:type="dxa"/>
            <w:shd w:val="clear" w:color="auto" w:fill="FFFFFF"/>
            <w:tcMar>
              <w:top w:w="0" w:type="dxa"/>
              <w:left w:w="0" w:type="dxa"/>
              <w:bottom w:w="0" w:type="dxa"/>
              <w:right w:w="0" w:type="dxa"/>
            </w:tcMar>
            <w:hideMark/>
          </w:tcPr>
          <w:p w14:paraId="2DA62845"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-84.3825</w:t>
            </w:r>
          </w:p>
        </w:tc>
        <w:tc>
          <w:tcPr>
            <w:tcW w:w="2250" w:type="dxa"/>
            <w:shd w:val="clear" w:color="auto" w:fill="FFFFFF"/>
            <w:tcMar>
              <w:top w:w="0" w:type="dxa"/>
              <w:left w:w="0" w:type="dxa"/>
              <w:bottom w:w="0" w:type="dxa"/>
              <w:right w:w="0" w:type="dxa"/>
            </w:tcMar>
            <w:hideMark/>
          </w:tcPr>
          <w:p w14:paraId="5A63B31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8.19</w:t>
            </w:r>
          </w:p>
        </w:tc>
        <w:tc>
          <w:tcPr>
            <w:tcW w:w="1170" w:type="dxa"/>
            <w:shd w:val="clear" w:color="auto" w:fill="FFFFFF"/>
            <w:tcMar>
              <w:top w:w="0" w:type="dxa"/>
              <w:left w:w="0" w:type="dxa"/>
              <w:bottom w:w="0" w:type="dxa"/>
              <w:right w:w="0" w:type="dxa"/>
            </w:tcMar>
            <w:hideMark/>
          </w:tcPr>
          <w:p w14:paraId="3DDAA7F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9/5/2023</w:t>
            </w:r>
          </w:p>
        </w:tc>
      </w:tr>
      <w:tr w:rsidR="009C19C0" w:rsidRPr="009C19C0" w14:paraId="190ECD94" w14:textId="77777777" w:rsidTr="008432F8">
        <w:trPr>
          <w:jc w:val="center"/>
        </w:trPr>
        <w:tc>
          <w:tcPr>
            <w:tcW w:w="945" w:type="dxa"/>
            <w:shd w:val="clear" w:color="auto" w:fill="FFFFFF"/>
            <w:tcMar>
              <w:top w:w="0" w:type="dxa"/>
              <w:left w:w="0" w:type="dxa"/>
              <w:bottom w:w="0" w:type="dxa"/>
              <w:right w:w="0" w:type="dxa"/>
            </w:tcMar>
            <w:hideMark/>
          </w:tcPr>
          <w:p w14:paraId="0A34405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HR15</w:t>
            </w:r>
          </w:p>
        </w:tc>
        <w:tc>
          <w:tcPr>
            <w:tcW w:w="2070" w:type="dxa"/>
            <w:shd w:val="clear" w:color="auto" w:fill="FFFFFF"/>
            <w:tcMar>
              <w:top w:w="0" w:type="dxa"/>
              <w:left w:w="0" w:type="dxa"/>
              <w:bottom w:w="0" w:type="dxa"/>
              <w:right w:w="0" w:type="dxa"/>
            </w:tcMar>
            <w:hideMark/>
          </w:tcPr>
          <w:p w14:paraId="11959DF5"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33D96AA4"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35.17734</w:t>
            </w:r>
          </w:p>
        </w:tc>
        <w:tc>
          <w:tcPr>
            <w:tcW w:w="1440" w:type="dxa"/>
            <w:shd w:val="clear" w:color="auto" w:fill="FFFFFF"/>
            <w:tcMar>
              <w:top w:w="0" w:type="dxa"/>
              <w:left w:w="0" w:type="dxa"/>
              <w:bottom w:w="0" w:type="dxa"/>
              <w:right w:w="0" w:type="dxa"/>
            </w:tcMar>
            <w:hideMark/>
          </w:tcPr>
          <w:p w14:paraId="36DCD69E"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-84.3963</w:t>
            </w:r>
          </w:p>
        </w:tc>
        <w:tc>
          <w:tcPr>
            <w:tcW w:w="2250" w:type="dxa"/>
            <w:shd w:val="clear" w:color="auto" w:fill="FFFFFF"/>
            <w:tcMar>
              <w:top w:w="0" w:type="dxa"/>
              <w:left w:w="0" w:type="dxa"/>
              <w:bottom w:w="0" w:type="dxa"/>
              <w:right w:w="0" w:type="dxa"/>
            </w:tcMar>
            <w:hideMark/>
          </w:tcPr>
          <w:p w14:paraId="5122385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9.37</w:t>
            </w:r>
          </w:p>
        </w:tc>
        <w:tc>
          <w:tcPr>
            <w:tcW w:w="1170" w:type="dxa"/>
            <w:shd w:val="clear" w:color="auto" w:fill="FFFFFF"/>
            <w:tcMar>
              <w:top w:w="0" w:type="dxa"/>
              <w:left w:w="0" w:type="dxa"/>
              <w:bottom w:w="0" w:type="dxa"/>
              <w:right w:w="0" w:type="dxa"/>
            </w:tcMar>
            <w:hideMark/>
          </w:tcPr>
          <w:p w14:paraId="28D89D14"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9/7/2023</w:t>
            </w:r>
          </w:p>
        </w:tc>
      </w:tr>
      <w:tr w:rsidR="009C19C0" w:rsidRPr="009C19C0" w14:paraId="09A7F9B2" w14:textId="77777777" w:rsidTr="008432F8">
        <w:trPr>
          <w:jc w:val="center"/>
        </w:trPr>
        <w:tc>
          <w:tcPr>
            <w:tcW w:w="945" w:type="dxa"/>
            <w:shd w:val="clear" w:color="auto" w:fill="FFFFFF"/>
            <w:tcMar>
              <w:top w:w="0" w:type="dxa"/>
              <w:left w:w="0" w:type="dxa"/>
              <w:bottom w:w="0" w:type="dxa"/>
              <w:right w:w="0" w:type="dxa"/>
            </w:tcMar>
            <w:hideMark/>
          </w:tcPr>
          <w:p w14:paraId="67F15AE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HR14</w:t>
            </w:r>
          </w:p>
        </w:tc>
        <w:tc>
          <w:tcPr>
            <w:tcW w:w="2070" w:type="dxa"/>
            <w:shd w:val="clear" w:color="auto" w:fill="FFFFFF"/>
            <w:tcMar>
              <w:top w:w="0" w:type="dxa"/>
              <w:left w:w="0" w:type="dxa"/>
              <w:bottom w:w="0" w:type="dxa"/>
              <w:right w:w="0" w:type="dxa"/>
            </w:tcMar>
            <w:hideMark/>
          </w:tcPr>
          <w:p w14:paraId="3139AD08" w14:textId="6CE7C55C"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0CAFE69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35.18154</w:t>
            </w:r>
          </w:p>
        </w:tc>
        <w:tc>
          <w:tcPr>
            <w:tcW w:w="1440" w:type="dxa"/>
            <w:shd w:val="clear" w:color="auto" w:fill="FFFFFF"/>
            <w:tcMar>
              <w:top w:w="0" w:type="dxa"/>
              <w:left w:w="0" w:type="dxa"/>
              <w:bottom w:w="0" w:type="dxa"/>
              <w:right w:w="0" w:type="dxa"/>
            </w:tcMar>
            <w:hideMark/>
          </w:tcPr>
          <w:p w14:paraId="532D40A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-84.4066</w:t>
            </w:r>
          </w:p>
        </w:tc>
        <w:tc>
          <w:tcPr>
            <w:tcW w:w="2250" w:type="dxa"/>
            <w:shd w:val="clear" w:color="auto" w:fill="FFFFFF"/>
            <w:tcMar>
              <w:top w:w="0" w:type="dxa"/>
              <w:left w:w="0" w:type="dxa"/>
              <w:bottom w:w="0" w:type="dxa"/>
              <w:right w:w="0" w:type="dxa"/>
            </w:tcMar>
            <w:hideMark/>
          </w:tcPr>
          <w:p w14:paraId="0A157FA4"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10.2</w:t>
            </w:r>
          </w:p>
        </w:tc>
        <w:tc>
          <w:tcPr>
            <w:tcW w:w="1170" w:type="dxa"/>
            <w:shd w:val="clear" w:color="auto" w:fill="FFFFFF"/>
            <w:tcMar>
              <w:top w:w="0" w:type="dxa"/>
              <w:left w:w="0" w:type="dxa"/>
              <w:bottom w:w="0" w:type="dxa"/>
              <w:right w:w="0" w:type="dxa"/>
            </w:tcMar>
            <w:hideMark/>
          </w:tcPr>
          <w:p w14:paraId="75CE628F"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9/7/2023</w:t>
            </w:r>
          </w:p>
        </w:tc>
      </w:tr>
      <w:tr w:rsidR="009C19C0" w:rsidRPr="009C19C0" w14:paraId="311503C2" w14:textId="77777777" w:rsidTr="008432F8">
        <w:trPr>
          <w:jc w:val="center"/>
        </w:trPr>
        <w:tc>
          <w:tcPr>
            <w:tcW w:w="945" w:type="dxa"/>
            <w:shd w:val="clear" w:color="auto" w:fill="FFFFFF"/>
            <w:tcMar>
              <w:top w:w="0" w:type="dxa"/>
              <w:left w:w="0" w:type="dxa"/>
              <w:bottom w:w="0" w:type="dxa"/>
              <w:right w:w="0" w:type="dxa"/>
            </w:tcMar>
            <w:hideMark/>
          </w:tcPr>
          <w:p w14:paraId="0C22CAF4"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HR13</w:t>
            </w:r>
          </w:p>
        </w:tc>
        <w:tc>
          <w:tcPr>
            <w:tcW w:w="2070" w:type="dxa"/>
            <w:shd w:val="clear" w:color="auto" w:fill="FFFFFF"/>
            <w:tcMar>
              <w:top w:w="0" w:type="dxa"/>
              <w:left w:w="0" w:type="dxa"/>
              <w:bottom w:w="0" w:type="dxa"/>
              <w:right w:w="0" w:type="dxa"/>
            </w:tcMar>
            <w:hideMark/>
          </w:tcPr>
          <w:p w14:paraId="2DD0A957"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38FD390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35.18859</w:t>
            </w:r>
          </w:p>
        </w:tc>
        <w:tc>
          <w:tcPr>
            <w:tcW w:w="1440" w:type="dxa"/>
            <w:shd w:val="clear" w:color="auto" w:fill="FFFFFF"/>
            <w:tcMar>
              <w:top w:w="0" w:type="dxa"/>
              <w:left w:w="0" w:type="dxa"/>
              <w:bottom w:w="0" w:type="dxa"/>
              <w:right w:w="0" w:type="dxa"/>
            </w:tcMar>
            <w:hideMark/>
          </w:tcPr>
          <w:p w14:paraId="6580E9B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-84.4319</w:t>
            </w:r>
          </w:p>
        </w:tc>
        <w:tc>
          <w:tcPr>
            <w:tcW w:w="2250" w:type="dxa"/>
            <w:shd w:val="clear" w:color="auto" w:fill="FFFFFF"/>
            <w:tcMar>
              <w:top w:w="0" w:type="dxa"/>
              <w:left w:w="0" w:type="dxa"/>
              <w:bottom w:w="0" w:type="dxa"/>
              <w:right w:w="0" w:type="dxa"/>
            </w:tcMar>
            <w:hideMark/>
          </w:tcPr>
          <w:p w14:paraId="1D9362E8"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11.9</w:t>
            </w:r>
          </w:p>
        </w:tc>
        <w:tc>
          <w:tcPr>
            <w:tcW w:w="1170" w:type="dxa"/>
            <w:shd w:val="clear" w:color="auto" w:fill="FFFFFF"/>
            <w:tcMar>
              <w:top w:w="0" w:type="dxa"/>
              <w:left w:w="0" w:type="dxa"/>
              <w:bottom w:w="0" w:type="dxa"/>
              <w:right w:w="0" w:type="dxa"/>
            </w:tcMar>
            <w:hideMark/>
          </w:tcPr>
          <w:p w14:paraId="3A462C0F"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9/7/2023</w:t>
            </w:r>
          </w:p>
        </w:tc>
      </w:tr>
      <w:tr w:rsidR="009C19C0" w:rsidRPr="009C19C0" w14:paraId="4B8152E0" w14:textId="77777777" w:rsidTr="008432F8">
        <w:trPr>
          <w:jc w:val="center"/>
        </w:trPr>
        <w:tc>
          <w:tcPr>
            <w:tcW w:w="945" w:type="dxa"/>
            <w:shd w:val="clear" w:color="auto" w:fill="FFFFFF"/>
            <w:tcMar>
              <w:top w:w="0" w:type="dxa"/>
              <w:left w:w="0" w:type="dxa"/>
              <w:bottom w:w="0" w:type="dxa"/>
              <w:right w:w="0" w:type="dxa"/>
            </w:tcMar>
            <w:hideMark/>
          </w:tcPr>
          <w:p w14:paraId="0E3DE7D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HR12</w:t>
            </w:r>
          </w:p>
        </w:tc>
        <w:tc>
          <w:tcPr>
            <w:tcW w:w="2070" w:type="dxa"/>
            <w:shd w:val="clear" w:color="auto" w:fill="FFFFFF"/>
            <w:tcMar>
              <w:top w:w="0" w:type="dxa"/>
              <w:left w:w="0" w:type="dxa"/>
              <w:bottom w:w="0" w:type="dxa"/>
              <w:right w:w="0" w:type="dxa"/>
            </w:tcMar>
            <w:hideMark/>
          </w:tcPr>
          <w:p w14:paraId="77F31B8F"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4475269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35.18883</w:t>
            </w:r>
          </w:p>
        </w:tc>
        <w:tc>
          <w:tcPr>
            <w:tcW w:w="1440" w:type="dxa"/>
            <w:shd w:val="clear" w:color="auto" w:fill="FFFFFF"/>
            <w:tcMar>
              <w:top w:w="0" w:type="dxa"/>
              <w:left w:w="0" w:type="dxa"/>
              <w:bottom w:w="0" w:type="dxa"/>
              <w:right w:w="0" w:type="dxa"/>
            </w:tcMar>
            <w:hideMark/>
          </w:tcPr>
          <w:p w14:paraId="5D5699EA"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-84.4335</w:t>
            </w:r>
          </w:p>
        </w:tc>
        <w:tc>
          <w:tcPr>
            <w:tcW w:w="2250" w:type="dxa"/>
            <w:shd w:val="clear" w:color="auto" w:fill="FFFFFF"/>
            <w:tcMar>
              <w:top w:w="0" w:type="dxa"/>
              <w:left w:w="0" w:type="dxa"/>
              <w:bottom w:w="0" w:type="dxa"/>
              <w:right w:w="0" w:type="dxa"/>
            </w:tcMar>
            <w:hideMark/>
          </w:tcPr>
          <w:p w14:paraId="5E5B9A25"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12.01</w:t>
            </w:r>
          </w:p>
        </w:tc>
        <w:tc>
          <w:tcPr>
            <w:tcW w:w="1170" w:type="dxa"/>
            <w:shd w:val="clear" w:color="auto" w:fill="FFFFFF"/>
            <w:tcMar>
              <w:top w:w="0" w:type="dxa"/>
              <w:left w:w="0" w:type="dxa"/>
              <w:bottom w:w="0" w:type="dxa"/>
              <w:right w:w="0" w:type="dxa"/>
            </w:tcMar>
            <w:hideMark/>
          </w:tcPr>
          <w:p w14:paraId="7B356C1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9/7/2023</w:t>
            </w:r>
          </w:p>
        </w:tc>
      </w:tr>
      <w:tr w:rsidR="009C19C0" w:rsidRPr="009C19C0" w14:paraId="7124F4A6" w14:textId="77777777" w:rsidTr="008432F8">
        <w:trPr>
          <w:jc w:val="center"/>
        </w:trPr>
        <w:tc>
          <w:tcPr>
            <w:tcW w:w="945" w:type="dxa"/>
            <w:shd w:val="clear" w:color="auto" w:fill="FFFFFF"/>
            <w:tcMar>
              <w:top w:w="0" w:type="dxa"/>
              <w:left w:w="0" w:type="dxa"/>
              <w:bottom w:w="0" w:type="dxa"/>
              <w:right w:w="0" w:type="dxa"/>
            </w:tcMar>
            <w:hideMark/>
          </w:tcPr>
          <w:p w14:paraId="3B553A0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HR11</w:t>
            </w:r>
          </w:p>
        </w:tc>
        <w:tc>
          <w:tcPr>
            <w:tcW w:w="2070" w:type="dxa"/>
            <w:shd w:val="clear" w:color="auto" w:fill="FFFFFF"/>
            <w:tcMar>
              <w:top w:w="0" w:type="dxa"/>
              <w:left w:w="0" w:type="dxa"/>
              <w:bottom w:w="0" w:type="dxa"/>
              <w:right w:w="0" w:type="dxa"/>
            </w:tcMar>
            <w:hideMark/>
          </w:tcPr>
          <w:p w14:paraId="4F9F4860"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Hiwassee River</w:t>
            </w:r>
          </w:p>
        </w:tc>
        <w:tc>
          <w:tcPr>
            <w:tcW w:w="1395" w:type="dxa"/>
            <w:shd w:val="clear" w:color="auto" w:fill="FFFFFF"/>
            <w:tcMar>
              <w:top w:w="0" w:type="dxa"/>
              <w:left w:w="0" w:type="dxa"/>
              <w:bottom w:w="0" w:type="dxa"/>
              <w:right w:w="0" w:type="dxa"/>
            </w:tcMar>
            <w:hideMark/>
          </w:tcPr>
          <w:p w14:paraId="2CA86910"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35.18711</w:t>
            </w:r>
          </w:p>
        </w:tc>
        <w:tc>
          <w:tcPr>
            <w:tcW w:w="1440" w:type="dxa"/>
            <w:shd w:val="clear" w:color="auto" w:fill="FFFFFF"/>
            <w:tcMar>
              <w:top w:w="0" w:type="dxa"/>
              <w:left w:w="0" w:type="dxa"/>
              <w:bottom w:w="0" w:type="dxa"/>
              <w:right w:w="0" w:type="dxa"/>
            </w:tcMar>
            <w:hideMark/>
          </w:tcPr>
          <w:p w14:paraId="53D34AA7"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-84.4368</w:t>
            </w:r>
          </w:p>
        </w:tc>
        <w:tc>
          <w:tcPr>
            <w:tcW w:w="2250" w:type="dxa"/>
            <w:shd w:val="clear" w:color="auto" w:fill="FFFFFF"/>
            <w:tcMar>
              <w:top w:w="0" w:type="dxa"/>
              <w:left w:w="0" w:type="dxa"/>
              <w:bottom w:w="0" w:type="dxa"/>
              <w:right w:w="0" w:type="dxa"/>
            </w:tcMar>
            <w:hideMark/>
          </w:tcPr>
          <w:p w14:paraId="6BE3B937"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12.27</w:t>
            </w:r>
          </w:p>
        </w:tc>
        <w:tc>
          <w:tcPr>
            <w:tcW w:w="1170" w:type="dxa"/>
            <w:shd w:val="clear" w:color="auto" w:fill="FFFFFF"/>
            <w:tcMar>
              <w:top w:w="0" w:type="dxa"/>
              <w:left w:w="0" w:type="dxa"/>
              <w:bottom w:w="0" w:type="dxa"/>
              <w:right w:w="0" w:type="dxa"/>
            </w:tcMar>
            <w:hideMark/>
          </w:tcPr>
          <w:p w14:paraId="1A4556F0"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9/7/2023</w:t>
            </w:r>
          </w:p>
        </w:tc>
      </w:tr>
      <w:tr w:rsidR="009C19C0" w:rsidRPr="009C19C0" w14:paraId="0F5C52DD" w14:textId="77777777" w:rsidTr="008432F8">
        <w:trPr>
          <w:trHeight w:val="336"/>
          <w:jc w:val="center"/>
        </w:trPr>
        <w:tc>
          <w:tcPr>
            <w:tcW w:w="945" w:type="dxa"/>
            <w:tcBorders>
              <w:bottom w:val="single" w:sz="4" w:space="0" w:color="000000"/>
            </w:tcBorders>
            <w:shd w:val="clear" w:color="auto" w:fill="FFFFFF"/>
            <w:tcMar>
              <w:top w:w="0" w:type="dxa"/>
              <w:left w:w="0" w:type="dxa"/>
              <w:bottom w:w="0" w:type="dxa"/>
              <w:right w:w="0" w:type="dxa"/>
            </w:tcMar>
            <w:hideMark/>
          </w:tcPr>
          <w:p w14:paraId="31CA7EBD"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PH01</w:t>
            </w:r>
          </w:p>
        </w:tc>
        <w:tc>
          <w:tcPr>
            <w:tcW w:w="2070" w:type="dxa"/>
            <w:tcBorders>
              <w:bottom w:val="single" w:sz="4" w:space="0" w:color="000000"/>
            </w:tcBorders>
            <w:shd w:val="clear" w:color="auto" w:fill="FFFFFF"/>
            <w:tcMar>
              <w:top w:w="0" w:type="dxa"/>
              <w:left w:w="0" w:type="dxa"/>
              <w:bottom w:w="0" w:type="dxa"/>
              <w:right w:w="0" w:type="dxa"/>
            </w:tcMar>
            <w:hideMark/>
          </w:tcPr>
          <w:p w14:paraId="406CEB0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Powerhouse Plume</w:t>
            </w:r>
          </w:p>
        </w:tc>
        <w:tc>
          <w:tcPr>
            <w:tcW w:w="1395" w:type="dxa"/>
            <w:tcBorders>
              <w:bottom w:val="single" w:sz="4" w:space="0" w:color="000000"/>
            </w:tcBorders>
            <w:shd w:val="clear" w:color="auto" w:fill="FFFFFF"/>
            <w:tcMar>
              <w:top w:w="0" w:type="dxa"/>
              <w:left w:w="0" w:type="dxa"/>
              <w:bottom w:w="0" w:type="dxa"/>
              <w:right w:w="0" w:type="dxa"/>
            </w:tcMar>
            <w:hideMark/>
          </w:tcPr>
          <w:p w14:paraId="2D80771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35.1831</w:t>
            </w:r>
          </w:p>
        </w:tc>
        <w:tc>
          <w:tcPr>
            <w:tcW w:w="1440" w:type="dxa"/>
            <w:tcBorders>
              <w:bottom w:val="single" w:sz="4" w:space="0" w:color="000000"/>
            </w:tcBorders>
            <w:shd w:val="clear" w:color="auto" w:fill="FFFFFF"/>
            <w:tcMar>
              <w:top w:w="0" w:type="dxa"/>
              <w:left w:w="0" w:type="dxa"/>
              <w:bottom w:w="0" w:type="dxa"/>
              <w:right w:w="0" w:type="dxa"/>
            </w:tcMar>
            <w:hideMark/>
          </w:tcPr>
          <w:p w14:paraId="3466164F"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-84.4393</w:t>
            </w:r>
          </w:p>
        </w:tc>
        <w:tc>
          <w:tcPr>
            <w:tcW w:w="2250" w:type="dxa"/>
            <w:tcBorders>
              <w:bottom w:val="single" w:sz="4" w:space="0" w:color="000000"/>
            </w:tcBorders>
            <w:shd w:val="clear" w:color="auto" w:fill="FFFFFF"/>
            <w:tcMar>
              <w:top w:w="0" w:type="dxa"/>
              <w:left w:w="0" w:type="dxa"/>
              <w:bottom w:w="0" w:type="dxa"/>
              <w:right w:w="0" w:type="dxa"/>
            </w:tcMar>
            <w:hideMark/>
          </w:tcPr>
          <w:p w14:paraId="4B72A3D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12.61</w:t>
            </w:r>
          </w:p>
        </w:tc>
        <w:tc>
          <w:tcPr>
            <w:tcW w:w="1170" w:type="dxa"/>
            <w:tcBorders>
              <w:bottom w:val="single" w:sz="4" w:space="0" w:color="000000"/>
            </w:tcBorders>
            <w:shd w:val="clear" w:color="auto" w:fill="FFFFFF"/>
            <w:tcMar>
              <w:top w:w="0" w:type="dxa"/>
              <w:left w:w="0" w:type="dxa"/>
              <w:bottom w:w="0" w:type="dxa"/>
              <w:right w:w="0" w:type="dxa"/>
            </w:tcMar>
            <w:hideMark/>
          </w:tcPr>
          <w:p w14:paraId="0803A84D"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9/7/2023</w:t>
            </w:r>
          </w:p>
        </w:tc>
      </w:tr>
      <w:tr w:rsidR="009C19C0" w:rsidRPr="009C19C0" w14:paraId="36664613" w14:textId="77777777" w:rsidTr="008432F8">
        <w:trPr>
          <w:jc w:val="center"/>
        </w:trPr>
        <w:tc>
          <w:tcPr>
            <w:tcW w:w="945" w:type="dxa"/>
            <w:tcBorders>
              <w:top w:val="single" w:sz="4" w:space="0" w:color="000000"/>
            </w:tcBorders>
            <w:shd w:val="clear" w:color="auto" w:fill="FFFFFF"/>
            <w:tcMar>
              <w:top w:w="0" w:type="dxa"/>
              <w:left w:w="0" w:type="dxa"/>
              <w:bottom w:w="0" w:type="dxa"/>
              <w:right w:w="0" w:type="dxa"/>
            </w:tcMar>
            <w:hideMark/>
          </w:tcPr>
          <w:p w14:paraId="63E3A74C"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TC01</w:t>
            </w:r>
          </w:p>
        </w:tc>
        <w:tc>
          <w:tcPr>
            <w:tcW w:w="2070" w:type="dxa"/>
            <w:tcBorders>
              <w:top w:val="single" w:sz="4" w:space="0" w:color="000000"/>
            </w:tcBorders>
            <w:shd w:val="clear" w:color="auto" w:fill="FFFFFF"/>
            <w:tcMar>
              <w:top w:w="0" w:type="dxa"/>
              <w:left w:w="0" w:type="dxa"/>
              <w:bottom w:w="0" w:type="dxa"/>
              <w:right w:w="0" w:type="dxa"/>
            </w:tcMar>
            <w:hideMark/>
          </w:tcPr>
          <w:p w14:paraId="2F960599" w14:textId="77777777" w:rsidR="009C19C0" w:rsidRPr="009C19C0" w:rsidRDefault="009C19C0" w:rsidP="00CB277C">
            <w:pPr>
              <w:jc w:val="center"/>
              <w:rPr>
                <w:rFonts w:ascii="Times New Roman" w:hAnsi="Times New Roman" w:cs="Times New Roman"/>
                <w:color w:val="000000"/>
                <w14:ligatures w14:val="none"/>
              </w:rPr>
            </w:pPr>
            <w:proofErr w:type="spellStart"/>
            <w:r w:rsidRPr="009C19C0">
              <w:rPr>
                <w:rFonts w:ascii="Times New Roman" w:hAnsi="Times New Roman" w:cs="Times New Roman"/>
                <w:color w:val="000000"/>
                <w14:ligatures w14:val="none"/>
              </w:rPr>
              <w:t>Turtletown</w:t>
            </w:r>
            <w:proofErr w:type="spellEnd"/>
            <w:r w:rsidRPr="009C19C0">
              <w:rPr>
                <w:rFonts w:ascii="Times New Roman" w:hAnsi="Times New Roman" w:cs="Times New Roman"/>
                <w:color w:val="000000"/>
                <w14:ligatures w14:val="none"/>
              </w:rPr>
              <w:t xml:space="preserve"> Creek</w:t>
            </w:r>
          </w:p>
        </w:tc>
        <w:tc>
          <w:tcPr>
            <w:tcW w:w="1395" w:type="dxa"/>
            <w:tcBorders>
              <w:top w:val="single" w:sz="4" w:space="0" w:color="000000"/>
            </w:tcBorders>
            <w:shd w:val="clear" w:color="auto" w:fill="FFFFFF"/>
            <w:tcMar>
              <w:top w:w="0" w:type="dxa"/>
              <w:left w:w="0" w:type="dxa"/>
              <w:bottom w:w="0" w:type="dxa"/>
              <w:right w:w="0" w:type="dxa"/>
            </w:tcMar>
            <w:hideMark/>
          </w:tcPr>
          <w:p w14:paraId="29618325"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35.16994</w:t>
            </w:r>
          </w:p>
        </w:tc>
        <w:tc>
          <w:tcPr>
            <w:tcW w:w="1440" w:type="dxa"/>
            <w:tcBorders>
              <w:top w:val="single" w:sz="4" w:space="0" w:color="000000"/>
            </w:tcBorders>
            <w:shd w:val="clear" w:color="auto" w:fill="FFFFFF"/>
            <w:tcMar>
              <w:top w:w="0" w:type="dxa"/>
              <w:left w:w="0" w:type="dxa"/>
              <w:bottom w:w="0" w:type="dxa"/>
              <w:right w:w="0" w:type="dxa"/>
            </w:tcMar>
            <w:hideMark/>
          </w:tcPr>
          <w:p w14:paraId="1CF0DDA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-84.3651</w:t>
            </w:r>
          </w:p>
        </w:tc>
        <w:tc>
          <w:tcPr>
            <w:tcW w:w="2250" w:type="dxa"/>
            <w:tcBorders>
              <w:top w:val="single" w:sz="4" w:space="0" w:color="000000"/>
            </w:tcBorders>
            <w:shd w:val="clear" w:color="auto" w:fill="FFFFFF"/>
            <w:tcMar>
              <w:top w:w="0" w:type="dxa"/>
              <w:left w:w="0" w:type="dxa"/>
              <w:bottom w:w="0" w:type="dxa"/>
              <w:right w:w="0" w:type="dxa"/>
            </w:tcMar>
            <w:hideMark/>
          </w:tcPr>
          <w:p w14:paraId="5F737CB9"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6.93</w:t>
            </w:r>
          </w:p>
        </w:tc>
        <w:tc>
          <w:tcPr>
            <w:tcW w:w="1170" w:type="dxa"/>
            <w:tcBorders>
              <w:top w:val="single" w:sz="4" w:space="0" w:color="000000"/>
            </w:tcBorders>
            <w:shd w:val="clear" w:color="auto" w:fill="FFFFFF"/>
            <w:tcMar>
              <w:top w:w="0" w:type="dxa"/>
              <w:left w:w="0" w:type="dxa"/>
              <w:bottom w:w="0" w:type="dxa"/>
              <w:right w:w="0" w:type="dxa"/>
            </w:tcMar>
            <w:hideMark/>
          </w:tcPr>
          <w:p w14:paraId="6C849C1F"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9/6/2023</w:t>
            </w:r>
          </w:p>
        </w:tc>
      </w:tr>
      <w:tr w:rsidR="009C19C0" w:rsidRPr="009C19C0" w14:paraId="17BEA92A" w14:textId="77777777" w:rsidTr="008432F8">
        <w:trPr>
          <w:jc w:val="center"/>
        </w:trPr>
        <w:tc>
          <w:tcPr>
            <w:tcW w:w="945" w:type="dxa"/>
            <w:shd w:val="clear" w:color="auto" w:fill="FFFFFF"/>
            <w:tcMar>
              <w:top w:w="0" w:type="dxa"/>
              <w:left w:w="0" w:type="dxa"/>
              <w:bottom w:w="0" w:type="dxa"/>
              <w:right w:w="0" w:type="dxa"/>
            </w:tcMar>
            <w:hideMark/>
          </w:tcPr>
          <w:p w14:paraId="0C9B27A3"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WC01</w:t>
            </w:r>
          </w:p>
        </w:tc>
        <w:tc>
          <w:tcPr>
            <w:tcW w:w="2070" w:type="dxa"/>
            <w:shd w:val="clear" w:color="auto" w:fill="FFFFFF"/>
            <w:tcMar>
              <w:top w:w="0" w:type="dxa"/>
              <w:left w:w="0" w:type="dxa"/>
              <w:bottom w:w="0" w:type="dxa"/>
              <w:right w:w="0" w:type="dxa"/>
            </w:tcMar>
            <w:hideMark/>
          </w:tcPr>
          <w:p w14:paraId="374C5ECC"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Wolf Creek</w:t>
            </w:r>
          </w:p>
        </w:tc>
        <w:tc>
          <w:tcPr>
            <w:tcW w:w="1395" w:type="dxa"/>
            <w:shd w:val="clear" w:color="auto" w:fill="FFFFFF"/>
            <w:tcMar>
              <w:top w:w="0" w:type="dxa"/>
              <w:left w:w="0" w:type="dxa"/>
              <w:bottom w:w="0" w:type="dxa"/>
              <w:right w:w="0" w:type="dxa"/>
            </w:tcMar>
            <w:hideMark/>
          </w:tcPr>
          <w:p w14:paraId="07DD9600"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35.17485</w:t>
            </w:r>
          </w:p>
        </w:tc>
        <w:tc>
          <w:tcPr>
            <w:tcW w:w="1440" w:type="dxa"/>
            <w:shd w:val="clear" w:color="auto" w:fill="FFFFFF"/>
            <w:tcMar>
              <w:top w:w="0" w:type="dxa"/>
              <w:left w:w="0" w:type="dxa"/>
              <w:bottom w:w="0" w:type="dxa"/>
              <w:right w:w="0" w:type="dxa"/>
            </w:tcMar>
            <w:hideMark/>
          </w:tcPr>
          <w:p w14:paraId="5AD021F7"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-84.3831</w:t>
            </w:r>
          </w:p>
        </w:tc>
        <w:tc>
          <w:tcPr>
            <w:tcW w:w="2250" w:type="dxa"/>
            <w:shd w:val="clear" w:color="auto" w:fill="FFFFFF"/>
            <w:tcMar>
              <w:top w:w="0" w:type="dxa"/>
              <w:left w:w="0" w:type="dxa"/>
              <w:bottom w:w="0" w:type="dxa"/>
              <w:right w:w="0" w:type="dxa"/>
            </w:tcMar>
            <w:hideMark/>
          </w:tcPr>
          <w:p w14:paraId="7DB3E1C2"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8.25</w:t>
            </w:r>
          </w:p>
        </w:tc>
        <w:tc>
          <w:tcPr>
            <w:tcW w:w="1170" w:type="dxa"/>
            <w:shd w:val="clear" w:color="auto" w:fill="FFFFFF"/>
            <w:tcMar>
              <w:top w:w="0" w:type="dxa"/>
              <w:left w:w="0" w:type="dxa"/>
              <w:bottom w:w="0" w:type="dxa"/>
              <w:right w:w="0" w:type="dxa"/>
            </w:tcMar>
            <w:hideMark/>
          </w:tcPr>
          <w:p w14:paraId="78E8D84B"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9/5/2023</w:t>
            </w:r>
          </w:p>
        </w:tc>
      </w:tr>
      <w:tr w:rsidR="009C19C0" w:rsidRPr="009C19C0" w14:paraId="301D859B" w14:textId="77777777" w:rsidTr="008432F8">
        <w:trPr>
          <w:trHeight w:val="333"/>
          <w:jc w:val="center"/>
        </w:trPr>
        <w:tc>
          <w:tcPr>
            <w:tcW w:w="945" w:type="dxa"/>
            <w:tcBorders>
              <w:bottom w:val="single" w:sz="4" w:space="0" w:color="000000"/>
            </w:tcBorders>
            <w:shd w:val="clear" w:color="auto" w:fill="FFFFFF"/>
            <w:tcMar>
              <w:top w:w="0" w:type="dxa"/>
              <w:left w:w="0" w:type="dxa"/>
              <w:bottom w:w="0" w:type="dxa"/>
              <w:right w:w="0" w:type="dxa"/>
            </w:tcMar>
            <w:hideMark/>
          </w:tcPr>
          <w:p w14:paraId="086C63BD" w14:textId="4B2C9959"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LC01</w:t>
            </w:r>
          </w:p>
        </w:tc>
        <w:tc>
          <w:tcPr>
            <w:tcW w:w="2070" w:type="dxa"/>
            <w:tcBorders>
              <w:bottom w:val="single" w:sz="4" w:space="0" w:color="000000"/>
            </w:tcBorders>
            <w:shd w:val="clear" w:color="auto" w:fill="FFFFFF"/>
            <w:tcMar>
              <w:top w:w="0" w:type="dxa"/>
              <w:left w:w="0" w:type="dxa"/>
              <w:bottom w:w="0" w:type="dxa"/>
              <w:right w:w="0" w:type="dxa"/>
            </w:tcMar>
            <w:hideMark/>
          </w:tcPr>
          <w:p w14:paraId="413AF4F8" w14:textId="58F02209"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Loss Creek</w:t>
            </w:r>
          </w:p>
        </w:tc>
        <w:tc>
          <w:tcPr>
            <w:tcW w:w="1395" w:type="dxa"/>
            <w:tcBorders>
              <w:bottom w:val="single" w:sz="4" w:space="0" w:color="000000"/>
            </w:tcBorders>
            <w:shd w:val="clear" w:color="auto" w:fill="FFFFFF"/>
            <w:tcMar>
              <w:top w:w="0" w:type="dxa"/>
              <w:left w:w="0" w:type="dxa"/>
              <w:bottom w:w="0" w:type="dxa"/>
              <w:right w:w="0" w:type="dxa"/>
            </w:tcMar>
            <w:hideMark/>
          </w:tcPr>
          <w:p w14:paraId="0DD4A77D" w14:textId="5EF0BC6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35.18162</w:t>
            </w:r>
          </w:p>
        </w:tc>
        <w:tc>
          <w:tcPr>
            <w:tcW w:w="1440" w:type="dxa"/>
            <w:tcBorders>
              <w:bottom w:val="single" w:sz="4" w:space="0" w:color="000000"/>
            </w:tcBorders>
            <w:shd w:val="clear" w:color="auto" w:fill="FFFFFF"/>
            <w:tcMar>
              <w:top w:w="0" w:type="dxa"/>
              <w:left w:w="0" w:type="dxa"/>
              <w:bottom w:w="0" w:type="dxa"/>
              <w:right w:w="0" w:type="dxa"/>
            </w:tcMar>
            <w:hideMark/>
          </w:tcPr>
          <w:p w14:paraId="322A0E46"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-84.4062</w:t>
            </w:r>
          </w:p>
        </w:tc>
        <w:tc>
          <w:tcPr>
            <w:tcW w:w="2250" w:type="dxa"/>
            <w:tcBorders>
              <w:bottom w:val="single" w:sz="4" w:space="0" w:color="000000"/>
            </w:tcBorders>
            <w:shd w:val="clear" w:color="auto" w:fill="FFFFFF"/>
            <w:tcMar>
              <w:top w:w="0" w:type="dxa"/>
              <w:left w:w="0" w:type="dxa"/>
              <w:bottom w:w="0" w:type="dxa"/>
              <w:right w:w="0" w:type="dxa"/>
            </w:tcMar>
            <w:hideMark/>
          </w:tcPr>
          <w:p w14:paraId="12725F2F"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10.18</w:t>
            </w:r>
          </w:p>
        </w:tc>
        <w:tc>
          <w:tcPr>
            <w:tcW w:w="1170" w:type="dxa"/>
            <w:tcBorders>
              <w:bottom w:val="single" w:sz="4" w:space="0" w:color="000000"/>
            </w:tcBorders>
            <w:shd w:val="clear" w:color="auto" w:fill="FFFFFF"/>
            <w:tcMar>
              <w:top w:w="0" w:type="dxa"/>
              <w:left w:w="0" w:type="dxa"/>
              <w:bottom w:w="0" w:type="dxa"/>
              <w:right w:w="0" w:type="dxa"/>
            </w:tcMar>
            <w:hideMark/>
          </w:tcPr>
          <w:p w14:paraId="48BA5A0D" w14:textId="77777777" w:rsidR="009C19C0" w:rsidRPr="009C19C0" w:rsidRDefault="009C19C0" w:rsidP="00CB277C">
            <w:pPr>
              <w:jc w:val="center"/>
              <w:rPr>
                <w:rFonts w:ascii="Times New Roman" w:hAnsi="Times New Roman" w:cs="Times New Roman"/>
                <w:color w:val="000000"/>
                <w14:ligatures w14:val="none"/>
              </w:rPr>
            </w:pPr>
            <w:r w:rsidRPr="009C19C0">
              <w:rPr>
                <w:rFonts w:ascii="Times New Roman" w:hAnsi="Times New Roman" w:cs="Times New Roman"/>
                <w:color w:val="000000"/>
                <w14:ligatures w14:val="none"/>
              </w:rPr>
              <w:t>9/7/2023</w:t>
            </w:r>
          </w:p>
        </w:tc>
      </w:tr>
    </w:tbl>
    <w:p w14:paraId="77D167DC" w14:textId="2E2AC729" w:rsidR="00CB277C" w:rsidRDefault="00CB277C" w:rsidP="00EC3D7C">
      <w:pPr>
        <w:pStyle w:val="normale"/>
      </w:pPr>
    </w:p>
    <w:p w14:paraId="46411DA0" w14:textId="688DE432" w:rsidR="001A11CD" w:rsidRPr="00EC3D7C" w:rsidRDefault="00EC3D7C" w:rsidP="00EC3D7C">
      <w:pPr>
        <w:pStyle w:val="normale"/>
      </w:pPr>
      <w:r w:rsidRPr="00EC3D7C">
        <w:t xml:space="preserve">At each sampling site, temperature (°C), pH, conductivity (µs/cm), and dissolved oxygen (mg/L) were collected using an AZ Instruments Water Quality Meter (86031 AZ EB).  Additionally, turbidity (NTU) was measured at each sampling site using an AMTAST </w:t>
      </w:r>
      <w:r w:rsidRPr="00EC3D7C">
        <w:lastRenderedPageBreak/>
        <w:t>Testing AMT27 Portable Turbidimeter.  All water chemistry measuring equipment was calibrated prior to the first day of sampling on September 5, 2023.</w:t>
      </w:r>
    </w:p>
    <w:p w14:paraId="7AA5BBFE" w14:textId="70950A47" w:rsidR="00F93FDA" w:rsidRDefault="00663048" w:rsidP="00763CF0">
      <w:pPr>
        <w:pStyle w:val="Heading3"/>
      </w:pPr>
      <w:bookmarkStart w:id="44" w:name="_Toc211651630"/>
      <w:r w:rsidRPr="00663048">
        <w:t>eDNA/eRNA Extractio</w:t>
      </w:r>
      <w:r>
        <w:t>n</w:t>
      </w:r>
      <w:bookmarkEnd w:id="44"/>
    </w:p>
    <w:p w14:paraId="0B653918" w14:textId="75067BCB" w:rsidR="00663048" w:rsidRDefault="00663048" w:rsidP="00663048">
      <w:pPr>
        <w:pStyle w:val="normale"/>
      </w:pPr>
      <w:r w:rsidRPr="00663048">
        <w:t>At Oak Ridge National Laboratory (ORNL), half of each collected filter was shredded in DNA/RNA Shield Lysis &amp; Collection Tubes™ (</w:t>
      </w:r>
      <w:proofErr w:type="spellStart"/>
      <w:r w:rsidRPr="00663048">
        <w:t>Zymo</w:t>
      </w:r>
      <w:proofErr w:type="spellEnd"/>
      <w:r w:rsidRPr="00663048">
        <w:t xml:space="preserve"> Research) using a </w:t>
      </w:r>
      <w:proofErr w:type="spellStart"/>
      <w:r w:rsidRPr="00663048">
        <w:t>FastPrep</w:t>
      </w:r>
      <w:proofErr w:type="spellEnd"/>
      <w:r w:rsidRPr="00663048">
        <w:t xml:space="preserve"> tissue homogenizer (MP Biomedicals), while the remaining half was stored at -80 °C as a repository for potential future analyses. DNA and RNA were co-extracted using the Quick-DNA/RNA™ Miniprep Kit (</w:t>
      </w:r>
      <w:proofErr w:type="spellStart"/>
      <w:r w:rsidRPr="00663048">
        <w:t>Zymo</w:t>
      </w:r>
      <w:proofErr w:type="spellEnd"/>
      <w:r w:rsidRPr="00663048">
        <w:t xml:space="preserve"> Research) according to the manufacturer’s protocol and eluted in a final volume of 75 µL. A total of 84 samples were analyzed, including 78 water samples, 6 field blanks, and corresponding DNA/RNA extraction negative controls. Each extraction batch (</w:t>
      </w:r>
      <w:r w:rsidR="008F3512">
        <w:t>~</w:t>
      </w:r>
      <w:r w:rsidRPr="00663048">
        <w:t xml:space="preserve"> 24 samples) included an extraction blank containing </w:t>
      </w:r>
      <w:proofErr w:type="spellStart"/>
      <w:r w:rsidRPr="00663048">
        <w:t>HyClone</w:t>
      </w:r>
      <w:proofErr w:type="spellEnd"/>
      <w:r w:rsidRPr="00663048">
        <w:t xml:space="preserve">™ </w:t>
      </w:r>
      <w:proofErr w:type="spellStart"/>
      <w:r w:rsidRPr="00663048">
        <w:t>HyPure</w:t>
      </w:r>
      <w:proofErr w:type="spellEnd"/>
      <w:r w:rsidRPr="00663048">
        <w:t xml:space="preserve"> water (</w:t>
      </w:r>
      <w:proofErr w:type="spellStart"/>
      <w:r w:rsidRPr="00663048">
        <w:t>Cytiva</w:t>
      </w:r>
      <w:proofErr w:type="spellEnd"/>
      <w:r w:rsidRPr="00663048">
        <w:t>) to monitor potential contamination during co-extraction and subsequent processing.</w:t>
      </w:r>
      <w:r w:rsidRPr="00663048">
        <w:br/>
        <w:t xml:space="preserve">During RNA purification, residual genomic DNA was removed by DNase I treatment (15-min incubation at room temperature) following the </w:t>
      </w:r>
      <w:proofErr w:type="spellStart"/>
      <w:r w:rsidRPr="00663048">
        <w:t>Zymo</w:t>
      </w:r>
      <w:proofErr w:type="spellEnd"/>
      <w:r w:rsidRPr="00663048">
        <w:t xml:space="preserve"> protocol. The purified RNA was eluted in 75 µL of nuclease-free water and stored at −80 °C prior to reverse</w:t>
      </w:r>
      <w:r>
        <w:t>-</w:t>
      </w:r>
      <w:r w:rsidRPr="00663048">
        <w:t xml:space="preserve">transcription. Complementary DNA (cDNA) was synthesized from 1 µL of RNA in a 20-µL reaction containing 15 µL nuclease-free water and 4 µL </w:t>
      </w:r>
      <w:proofErr w:type="spellStart"/>
      <w:r w:rsidRPr="00663048">
        <w:t>SuperScript</w:t>
      </w:r>
      <w:proofErr w:type="spellEnd"/>
      <w:r w:rsidRPr="00663048">
        <w:t>™ IV VILO™ Master Mix (</w:t>
      </w:r>
      <w:proofErr w:type="spellStart"/>
      <w:r w:rsidRPr="00663048">
        <w:t>ThermoFisher</w:t>
      </w:r>
      <w:proofErr w:type="spellEnd"/>
      <w:r w:rsidRPr="00663048">
        <w:t xml:space="preserve">). Reactions were incubated at 25 °C for 10 min, 50 °C for 10 min, and 85 °C for 5 min, after which cDNA was stored at −20 °C. </w:t>
      </w:r>
      <w:r w:rsidRPr="00663048">
        <w:br/>
        <w:t xml:space="preserve">The resulting eRNA-derived cDNA (hereafter cDNA) and the extracted eDNA were stored for downstream analyses. All extractions and molecular steps were performed </w:t>
      </w:r>
      <w:r w:rsidRPr="00663048">
        <w:lastRenderedPageBreak/>
        <w:t>using sterile, filtered pipette tips. Work involving fish samples was conducted in physically separated, dedicated laboratory spaces for DNA extraction, RNA extraction and reverse transcription, pre-PCR setup, and post-PCR processing, while mussel library preparation was performed inside a laminar flow hood equipped with UV sterilization to minimize the risk of carry-over contamination.</w:t>
      </w:r>
    </w:p>
    <w:p w14:paraId="2CFF14F4" w14:textId="159FF922" w:rsidR="00800673" w:rsidRDefault="00800673" w:rsidP="00763CF0">
      <w:pPr>
        <w:pStyle w:val="Heading3"/>
      </w:pPr>
      <w:bookmarkStart w:id="45" w:name="_Toc211651631"/>
      <w:r>
        <w:t>Metabarcoding Library Preparation</w:t>
      </w:r>
      <w:bookmarkEnd w:id="45"/>
    </w:p>
    <w:p w14:paraId="292CBBD3" w14:textId="1AF47532" w:rsidR="00800673" w:rsidRDefault="00800673" w:rsidP="00800673">
      <w:pPr>
        <w:pStyle w:val="normale"/>
      </w:pPr>
      <w:r w:rsidRPr="00800673">
        <w:t xml:space="preserve">Amplicon sequencing libraries were prepared from eDNA and cDNA (reverse-transcribed eRNA) templates for fish and from eDNA only for mussels. Field blanks, extraction blanks, and no-template PCR controls were included throughout the process to monitor potential contamination. Library construction followed Illumina’s dual-index amplicon workflow, using locus-specific primers from Miya et al. (2015) for fish and from </w:t>
      </w:r>
      <w:proofErr w:type="spellStart"/>
      <w:r w:rsidRPr="00800673">
        <w:t>Klymus</w:t>
      </w:r>
      <w:proofErr w:type="spellEnd"/>
      <w:r w:rsidRPr="00800673">
        <w:t xml:space="preserve"> et al. (2020) and </w:t>
      </w:r>
      <w:proofErr w:type="spellStart"/>
      <w:r w:rsidRPr="00800673">
        <w:t>Prié</w:t>
      </w:r>
      <w:proofErr w:type="spellEnd"/>
      <w:r w:rsidRPr="00800673">
        <w:t xml:space="preserve"> et al. (2020) for mussels. For fish, the </w:t>
      </w:r>
      <w:proofErr w:type="spellStart"/>
      <w:r w:rsidRPr="00800673">
        <w:t>MiFish</w:t>
      </w:r>
      <w:proofErr w:type="spellEnd"/>
      <w:r w:rsidRPr="00800673">
        <w:t>-U primers were synthesized with Illumina adapter overhangs (5′–TCGTCGGCAGCGTCAGATGTGTATAAGAGACAG</w:t>
      </w:r>
      <w:r>
        <w:t>-</w:t>
      </w:r>
      <w:r w:rsidRPr="00800673">
        <w:t>[locus-specific sequence] and 5′–GTCTCGTGGGCTCGGAGATGTGTATAAGAGACAG–[locus-specific sequence]) to allow direct indexing during library preparation.</w:t>
      </w:r>
      <w:r>
        <w:t xml:space="preserve"> For</w:t>
      </w:r>
      <w:r w:rsidRPr="00800673">
        <w:t xml:space="preserve"> mussel libraries</w:t>
      </w:r>
      <w:r>
        <w:t>,</w:t>
      </w:r>
      <w:r w:rsidRPr="00800673">
        <w:t xml:space="preserve"> </w:t>
      </w:r>
      <w:r>
        <w:t xml:space="preserve">we used </w:t>
      </w:r>
      <w:r w:rsidRPr="00800673">
        <w:t xml:space="preserve">unmodified primers for the initial </w:t>
      </w:r>
      <w:r>
        <w:t>PCR</w:t>
      </w:r>
      <w:r w:rsidRPr="00800673">
        <w:t xml:space="preserve">, </w:t>
      </w:r>
      <w:r>
        <w:t>then used</w:t>
      </w:r>
      <w:r w:rsidRPr="00800673">
        <w:t xml:space="preserve"> adapter-tailed primers in </w:t>
      </w:r>
      <w:r>
        <w:t xml:space="preserve">the </w:t>
      </w:r>
      <w:r w:rsidRPr="00800673">
        <w:t>subsequent PCR step. The targeted regions included the mitochondrial 12S rRNA gene for fish and the cytochrome c oxidase subunit I (COI) and 16S rRNA genes for mussels (</w:t>
      </w:r>
      <w:r w:rsidRPr="00800673">
        <w:rPr>
          <w:i/>
          <w:iCs/>
        </w:rPr>
        <w:t>Pfa</w:t>
      </w:r>
      <w:r w:rsidRPr="00800673">
        <w:t xml:space="preserve">COI2-Degen and </w:t>
      </w:r>
      <w:r w:rsidRPr="00800673">
        <w:rPr>
          <w:i/>
          <w:iCs/>
        </w:rPr>
        <w:t>Unionid</w:t>
      </w:r>
      <w:r w:rsidRPr="00800673">
        <w:t xml:space="preserve">-16S primer sets; </w:t>
      </w:r>
      <w:r w:rsidRPr="00800673">
        <w:rPr>
          <w:b/>
          <w:bCs/>
        </w:rPr>
        <w:t xml:space="preserve">Table </w:t>
      </w:r>
      <w:r w:rsidR="00CD3548">
        <w:rPr>
          <w:b/>
          <w:bCs/>
        </w:rPr>
        <w:t>3</w:t>
      </w:r>
      <w:r w:rsidRPr="00800673">
        <w:t>).</w:t>
      </w:r>
    </w:p>
    <w:p w14:paraId="4DCFDC84" w14:textId="6A7ADB52" w:rsidR="00F0170D" w:rsidRDefault="00F0170D" w:rsidP="0082280B">
      <w:pPr>
        <w:pStyle w:val="Caption"/>
      </w:pPr>
      <w:bookmarkStart w:id="46" w:name="_Toc211656504"/>
      <w:r w:rsidRPr="00751E60">
        <w:rPr>
          <w:b/>
          <w:bCs/>
        </w:rPr>
        <w:lastRenderedPageBreak/>
        <w:t xml:space="preserve">Table </w:t>
      </w:r>
      <w:r w:rsidR="00EC2FC4" w:rsidRPr="00751E60">
        <w:rPr>
          <w:b/>
          <w:bCs/>
        </w:rPr>
        <w:fldChar w:fldCharType="begin"/>
      </w:r>
      <w:r w:rsidR="00EC2FC4" w:rsidRPr="00751E60">
        <w:rPr>
          <w:b/>
          <w:bCs/>
        </w:rPr>
        <w:instrText xml:space="preserve"> SEQ Table \* ARABIC </w:instrText>
      </w:r>
      <w:r w:rsidR="00EC2FC4" w:rsidRPr="00751E60">
        <w:rPr>
          <w:b/>
          <w:bCs/>
        </w:rPr>
        <w:fldChar w:fldCharType="separate"/>
      </w:r>
      <w:r w:rsidR="00EC2FC4" w:rsidRPr="00751E60">
        <w:rPr>
          <w:b/>
          <w:bCs/>
          <w:noProof/>
        </w:rPr>
        <w:t>3</w:t>
      </w:r>
      <w:r w:rsidR="00EC2FC4" w:rsidRPr="00751E60">
        <w:rPr>
          <w:b/>
          <w:bCs/>
        </w:rPr>
        <w:fldChar w:fldCharType="end"/>
      </w:r>
      <w:r w:rsidRPr="00751E60">
        <w:rPr>
          <w:b/>
          <w:bCs/>
        </w:rPr>
        <w:t>.</w:t>
      </w:r>
      <w:r>
        <w:t xml:space="preserve"> </w:t>
      </w:r>
      <w:r w:rsidRPr="000568EF">
        <w:t xml:space="preserve">Primer sets used for fish </w:t>
      </w:r>
      <w:r w:rsidRPr="00CB277C">
        <w:t>and</w:t>
      </w:r>
      <w:r w:rsidRPr="000568EF">
        <w:t xml:space="preserve"> mussel metabarcoding, with target genes, sequences, amplicon sizes, and references.</w:t>
      </w:r>
      <w:bookmarkEnd w:id="46"/>
    </w:p>
    <w:tbl>
      <w:tblPr>
        <w:tblW w:w="5062" w:type="pct"/>
        <w:jc w:val="center"/>
        <w:tblLayout w:type="fixed"/>
        <w:tblLook w:val="04A0" w:firstRow="1" w:lastRow="0" w:firstColumn="1" w:lastColumn="0" w:noHBand="0" w:noVBand="1"/>
      </w:tblPr>
      <w:tblGrid>
        <w:gridCol w:w="956"/>
        <w:gridCol w:w="90"/>
        <w:gridCol w:w="778"/>
        <w:gridCol w:w="1530"/>
        <w:gridCol w:w="3707"/>
        <w:gridCol w:w="705"/>
        <w:gridCol w:w="88"/>
        <w:gridCol w:w="1006"/>
        <w:gridCol w:w="106"/>
      </w:tblGrid>
      <w:tr w:rsidR="00796E9F" w:rsidRPr="000B6AE5" w14:paraId="2B11404C" w14:textId="77777777" w:rsidTr="00905E70">
        <w:trPr>
          <w:trHeight w:val="828"/>
          <w:jc w:val="center"/>
        </w:trPr>
        <w:tc>
          <w:tcPr>
            <w:tcW w:w="533" w:type="pct"/>
            <w:tcBorders>
              <w:top w:val="single" w:sz="4" w:space="0" w:color="000000"/>
              <w:left w:val="nil"/>
              <w:bottom w:val="single" w:sz="4" w:space="0" w:color="000000"/>
              <w:right w:val="nil"/>
            </w:tcBorders>
            <w:shd w:val="clear" w:color="000000" w:fill="FFFFFF"/>
            <w:vAlign w:val="center"/>
            <w:hideMark/>
          </w:tcPr>
          <w:p w14:paraId="4C892947" w14:textId="0A207BD0"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Taxon</w:t>
            </w:r>
          </w:p>
        </w:tc>
        <w:tc>
          <w:tcPr>
            <w:tcW w:w="484" w:type="pct"/>
            <w:gridSpan w:val="2"/>
            <w:tcBorders>
              <w:top w:val="single" w:sz="4" w:space="0" w:color="000000"/>
              <w:left w:val="nil"/>
              <w:bottom w:val="single" w:sz="4" w:space="0" w:color="000000"/>
              <w:right w:val="nil"/>
            </w:tcBorders>
            <w:shd w:val="clear" w:color="000000" w:fill="FFFFFF"/>
            <w:vAlign w:val="center"/>
            <w:hideMark/>
          </w:tcPr>
          <w:p w14:paraId="4501572B" w14:textId="1B3A8533"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Gene</w:t>
            </w:r>
          </w:p>
        </w:tc>
        <w:tc>
          <w:tcPr>
            <w:tcW w:w="853" w:type="pct"/>
            <w:tcBorders>
              <w:top w:val="single" w:sz="4" w:space="0" w:color="000000"/>
              <w:left w:val="nil"/>
              <w:bottom w:val="single" w:sz="4" w:space="0" w:color="000000"/>
              <w:right w:val="nil"/>
            </w:tcBorders>
            <w:shd w:val="clear" w:color="000000" w:fill="FFFFFF"/>
            <w:vAlign w:val="center"/>
            <w:hideMark/>
          </w:tcPr>
          <w:p w14:paraId="5F79E64F"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Primer Name</w:t>
            </w:r>
          </w:p>
        </w:tc>
        <w:tc>
          <w:tcPr>
            <w:tcW w:w="2067" w:type="pct"/>
            <w:tcBorders>
              <w:top w:val="single" w:sz="4" w:space="0" w:color="000000"/>
              <w:left w:val="nil"/>
              <w:bottom w:val="single" w:sz="4" w:space="0" w:color="000000"/>
              <w:right w:val="nil"/>
            </w:tcBorders>
            <w:shd w:val="clear" w:color="000000" w:fill="FFFFFF"/>
            <w:vAlign w:val="center"/>
            <w:hideMark/>
          </w:tcPr>
          <w:p w14:paraId="62854ECC"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Sequence (5′–3′)</w:t>
            </w:r>
          </w:p>
        </w:tc>
        <w:tc>
          <w:tcPr>
            <w:tcW w:w="393" w:type="pct"/>
            <w:tcBorders>
              <w:top w:val="single" w:sz="4" w:space="0" w:color="000000"/>
              <w:left w:val="nil"/>
              <w:bottom w:val="single" w:sz="4" w:space="0" w:color="000000"/>
              <w:right w:val="nil"/>
            </w:tcBorders>
            <w:shd w:val="clear" w:color="000000" w:fill="FFFFFF"/>
            <w:vAlign w:val="center"/>
            <w:hideMark/>
          </w:tcPr>
          <w:p w14:paraId="2F2CC9BE" w14:textId="5B504F9E"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Size (bp)</w:t>
            </w:r>
          </w:p>
        </w:tc>
        <w:tc>
          <w:tcPr>
            <w:tcW w:w="669" w:type="pct"/>
            <w:gridSpan w:val="3"/>
            <w:tcBorders>
              <w:top w:val="single" w:sz="4" w:space="0" w:color="000000"/>
              <w:left w:val="nil"/>
              <w:bottom w:val="single" w:sz="4" w:space="0" w:color="000000"/>
              <w:right w:val="nil"/>
            </w:tcBorders>
            <w:shd w:val="clear" w:color="000000" w:fill="FFFFFF"/>
            <w:vAlign w:val="center"/>
            <w:hideMark/>
          </w:tcPr>
          <w:p w14:paraId="64444B7F"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Reference</w:t>
            </w:r>
          </w:p>
        </w:tc>
      </w:tr>
      <w:tr w:rsidR="00796E9F" w:rsidRPr="000B6AE5" w14:paraId="421D61D9" w14:textId="77777777" w:rsidTr="00905E70">
        <w:trPr>
          <w:gridAfter w:val="1"/>
          <w:wAfter w:w="59" w:type="pct"/>
          <w:trHeight w:val="828"/>
          <w:jc w:val="center"/>
        </w:trPr>
        <w:tc>
          <w:tcPr>
            <w:tcW w:w="583" w:type="pct"/>
            <w:gridSpan w:val="2"/>
            <w:vMerge w:val="restart"/>
            <w:tcBorders>
              <w:top w:val="nil"/>
              <w:left w:val="nil"/>
              <w:bottom w:val="single" w:sz="4" w:space="0" w:color="000000"/>
              <w:right w:val="nil"/>
            </w:tcBorders>
            <w:shd w:val="clear" w:color="000000" w:fill="FFFFFF"/>
            <w:vAlign w:val="center"/>
            <w:hideMark/>
          </w:tcPr>
          <w:p w14:paraId="4FDC726F"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Fish</w:t>
            </w:r>
          </w:p>
        </w:tc>
        <w:tc>
          <w:tcPr>
            <w:tcW w:w="434" w:type="pct"/>
            <w:vMerge w:val="restart"/>
            <w:tcBorders>
              <w:top w:val="nil"/>
              <w:left w:val="nil"/>
              <w:bottom w:val="single" w:sz="4" w:space="0" w:color="000000"/>
              <w:right w:val="nil"/>
            </w:tcBorders>
            <w:shd w:val="clear" w:color="000000" w:fill="FFFFFF"/>
            <w:vAlign w:val="center"/>
            <w:hideMark/>
          </w:tcPr>
          <w:p w14:paraId="571EE976"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12S</w:t>
            </w:r>
          </w:p>
        </w:tc>
        <w:tc>
          <w:tcPr>
            <w:tcW w:w="853" w:type="pct"/>
            <w:tcBorders>
              <w:top w:val="nil"/>
              <w:left w:val="nil"/>
              <w:bottom w:val="nil"/>
              <w:right w:val="nil"/>
            </w:tcBorders>
            <w:shd w:val="clear" w:color="000000" w:fill="FFFFFF"/>
            <w:vAlign w:val="center"/>
            <w:hideMark/>
          </w:tcPr>
          <w:p w14:paraId="57EF253D" w14:textId="77777777" w:rsidR="009D2526" w:rsidRPr="000B6AE5" w:rsidRDefault="009D2526" w:rsidP="000B6AE5">
            <w:pPr>
              <w:rPr>
                <w:rFonts w:ascii="Times New Roman" w:hAnsi="Times New Roman" w:cs="Times New Roman"/>
                <w:color w:val="000000"/>
                <w14:ligatures w14:val="none"/>
              </w:rPr>
            </w:pPr>
            <w:proofErr w:type="spellStart"/>
            <w:r w:rsidRPr="000B6AE5">
              <w:rPr>
                <w:rFonts w:ascii="Times New Roman" w:hAnsi="Times New Roman" w:cs="Times New Roman"/>
                <w:color w:val="000000"/>
                <w14:ligatures w14:val="none"/>
              </w:rPr>
              <w:t>MiFish</w:t>
            </w:r>
            <w:proofErr w:type="spellEnd"/>
            <w:r w:rsidRPr="000B6AE5">
              <w:rPr>
                <w:rFonts w:ascii="Times New Roman" w:hAnsi="Times New Roman" w:cs="Times New Roman"/>
                <w:color w:val="000000"/>
                <w14:ligatures w14:val="none"/>
              </w:rPr>
              <w:t>-U-F</w:t>
            </w:r>
          </w:p>
        </w:tc>
        <w:tc>
          <w:tcPr>
            <w:tcW w:w="2067" w:type="pct"/>
            <w:tcBorders>
              <w:top w:val="nil"/>
              <w:left w:val="nil"/>
              <w:bottom w:val="nil"/>
              <w:right w:val="nil"/>
            </w:tcBorders>
            <w:shd w:val="clear" w:color="000000" w:fill="FFFFFF"/>
            <w:vAlign w:val="center"/>
            <w:hideMark/>
          </w:tcPr>
          <w:p w14:paraId="0C74790B"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GTCGGTAAAACTCGTGCCAGC</w:t>
            </w:r>
          </w:p>
        </w:tc>
        <w:tc>
          <w:tcPr>
            <w:tcW w:w="442" w:type="pct"/>
            <w:gridSpan w:val="2"/>
            <w:vMerge w:val="restart"/>
            <w:tcBorders>
              <w:top w:val="nil"/>
              <w:left w:val="nil"/>
              <w:bottom w:val="single" w:sz="4" w:space="0" w:color="000000"/>
              <w:right w:val="nil"/>
            </w:tcBorders>
            <w:shd w:val="clear" w:color="000000" w:fill="FFFFFF"/>
            <w:vAlign w:val="center"/>
            <w:hideMark/>
          </w:tcPr>
          <w:p w14:paraId="6B545357"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~172</w:t>
            </w:r>
          </w:p>
        </w:tc>
        <w:tc>
          <w:tcPr>
            <w:tcW w:w="561" w:type="pct"/>
            <w:vMerge w:val="restart"/>
            <w:tcBorders>
              <w:top w:val="nil"/>
              <w:left w:val="nil"/>
              <w:bottom w:val="single" w:sz="4" w:space="0" w:color="000000"/>
              <w:right w:val="nil"/>
            </w:tcBorders>
            <w:shd w:val="clear" w:color="000000" w:fill="FFFFFF"/>
            <w:vAlign w:val="center"/>
            <w:hideMark/>
          </w:tcPr>
          <w:p w14:paraId="1D0E213A"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Miya et al., 2015</w:t>
            </w:r>
          </w:p>
        </w:tc>
      </w:tr>
      <w:tr w:rsidR="00796E9F" w:rsidRPr="000B6AE5" w14:paraId="3C52ECF4" w14:textId="77777777" w:rsidTr="00905E70">
        <w:trPr>
          <w:gridAfter w:val="1"/>
          <w:wAfter w:w="59" w:type="pct"/>
          <w:trHeight w:val="828"/>
          <w:jc w:val="center"/>
        </w:trPr>
        <w:tc>
          <w:tcPr>
            <w:tcW w:w="583" w:type="pct"/>
            <w:gridSpan w:val="2"/>
            <w:vMerge/>
            <w:tcBorders>
              <w:top w:val="nil"/>
              <w:left w:val="nil"/>
              <w:bottom w:val="single" w:sz="4" w:space="0" w:color="000000"/>
              <w:right w:val="nil"/>
            </w:tcBorders>
            <w:vAlign w:val="center"/>
            <w:hideMark/>
          </w:tcPr>
          <w:p w14:paraId="7C3F8903" w14:textId="77777777" w:rsidR="009D2526" w:rsidRPr="000B6AE5" w:rsidRDefault="009D2526" w:rsidP="000B6AE5">
            <w:pPr>
              <w:rPr>
                <w:rFonts w:ascii="Times New Roman" w:hAnsi="Times New Roman" w:cs="Times New Roman"/>
                <w:color w:val="000000"/>
                <w14:ligatures w14:val="none"/>
              </w:rPr>
            </w:pPr>
          </w:p>
        </w:tc>
        <w:tc>
          <w:tcPr>
            <w:tcW w:w="434" w:type="pct"/>
            <w:vMerge/>
            <w:tcBorders>
              <w:top w:val="nil"/>
              <w:left w:val="nil"/>
              <w:bottom w:val="single" w:sz="4" w:space="0" w:color="000000"/>
              <w:right w:val="nil"/>
            </w:tcBorders>
            <w:vAlign w:val="center"/>
            <w:hideMark/>
          </w:tcPr>
          <w:p w14:paraId="2C78275C" w14:textId="77777777" w:rsidR="009D2526" w:rsidRPr="000B6AE5" w:rsidRDefault="009D2526" w:rsidP="000B6AE5">
            <w:pPr>
              <w:rPr>
                <w:rFonts w:ascii="Times New Roman" w:hAnsi="Times New Roman" w:cs="Times New Roman"/>
                <w:color w:val="000000"/>
                <w14:ligatures w14:val="none"/>
              </w:rPr>
            </w:pPr>
          </w:p>
        </w:tc>
        <w:tc>
          <w:tcPr>
            <w:tcW w:w="853" w:type="pct"/>
            <w:tcBorders>
              <w:top w:val="nil"/>
              <w:left w:val="nil"/>
              <w:bottom w:val="single" w:sz="4" w:space="0" w:color="000000"/>
              <w:right w:val="nil"/>
            </w:tcBorders>
            <w:shd w:val="clear" w:color="000000" w:fill="FFFFFF"/>
            <w:vAlign w:val="center"/>
            <w:hideMark/>
          </w:tcPr>
          <w:p w14:paraId="188AC439" w14:textId="77777777" w:rsidR="009D2526" w:rsidRPr="000B6AE5" w:rsidRDefault="009D2526" w:rsidP="000B6AE5">
            <w:pPr>
              <w:rPr>
                <w:rFonts w:ascii="Times New Roman" w:hAnsi="Times New Roman" w:cs="Times New Roman"/>
                <w:color w:val="000000"/>
                <w14:ligatures w14:val="none"/>
              </w:rPr>
            </w:pPr>
            <w:proofErr w:type="spellStart"/>
            <w:r w:rsidRPr="000B6AE5">
              <w:rPr>
                <w:rFonts w:ascii="Times New Roman" w:hAnsi="Times New Roman" w:cs="Times New Roman"/>
                <w:color w:val="000000"/>
                <w14:ligatures w14:val="none"/>
              </w:rPr>
              <w:t>MiFish</w:t>
            </w:r>
            <w:proofErr w:type="spellEnd"/>
            <w:r w:rsidRPr="000B6AE5">
              <w:rPr>
                <w:rFonts w:ascii="Times New Roman" w:hAnsi="Times New Roman" w:cs="Times New Roman"/>
                <w:color w:val="000000"/>
                <w14:ligatures w14:val="none"/>
              </w:rPr>
              <w:t>-U-R</w:t>
            </w:r>
          </w:p>
        </w:tc>
        <w:tc>
          <w:tcPr>
            <w:tcW w:w="2067" w:type="pct"/>
            <w:tcBorders>
              <w:top w:val="nil"/>
              <w:left w:val="nil"/>
              <w:bottom w:val="single" w:sz="4" w:space="0" w:color="000000"/>
              <w:right w:val="nil"/>
            </w:tcBorders>
            <w:shd w:val="clear" w:color="000000" w:fill="FFFFFF"/>
            <w:vAlign w:val="center"/>
            <w:hideMark/>
          </w:tcPr>
          <w:p w14:paraId="1E968358"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CATAGTGGGGTATCTAATCCCAGTTTG</w:t>
            </w:r>
          </w:p>
        </w:tc>
        <w:tc>
          <w:tcPr>
            <w:tcW w:w="442" w:type="pct"/>
            <w:gridSpan w:val="2"/>
            <w:vMerge/>
            <w:tcBorders>
              <w:top w:val="nil"/>
              <w:left w:val="nil"/>
              <w:bottom w:val="single" w:sz="4" w:space="0" w:color="000000"/>
              <w:right w:val="nil"/>
            </w:tcBorders>
            <w:vAlign w:val="center"/>
            <w:hideMark/>
          </w:tcPr>
          <w:p w14:paraId="0F398922" w14:textId="77777777" w:rsidR="009D2526" w:rsidRPr="000B6AE5" w:rsidRDefault="009D2526" w:rsidP="000B6AE5">
            <w:pPr>
              <w:rPr>
                <w:rFonts w:ascii="Times New Roman" w:hAnsi="Times New Roman" w:cs="Times New Roman"/>
                <w:color w:val="000000"/>
                <w14:ligatures w14:val="none"/>
              </w:rPr>
            </w:pPr>
          </w:p>
        </w:tc>
        <w:tc>
          <w:tcPr>
            <w:tcW w:w="561" w:type="pct"/>
            <w:vMerge/>
            <w:tcBorders>
              <w:top w:val="nil"/>
              <w:left w:val="nil"/>
              <w:bottom w:val="single" w:sz="4" w:space="0" w:color="000000"/>
              <w:right w:val="nil"/>
            </w:tcBorders>
            <w:vAlign w:val="center"/>
            <w:hideMark/>
          </w:tcPr>
          <w:p w14:paraId="2D4E9FBD" w14:textId="77777777" w:rsidR="009D2526" w:rsidRPr="000B6AE5" w:rsidRDefault="009D2526" w:rsidP="000B6AE5">
            <w:pPr>
              <w:rPr>
                <w:rFonts w:ascii="Times New Roman" w:hAnsi="Times New Roman" w:cs="Times New Roman"/>
                <w:color w:val="000000"/>
                <w14:ligatures w14:val="none"/>
              </w:rPr>
            </w:pPr>
          </w:p>
        </w:tc>
      </w:tr>
      <w:tr w:rsidR="00796E9F" w:rsidRPr="000B6AE5" w14:paraId="3329FBED" w14:textId="77777777" w:rsidTr="00905E70">
        <w:trPr>
          <w:gridAfter w:val="1"/>
          <w:wAfter w:w="59" w:type="pct"/>
          <w:trHeight w:val="828"/>
          <w:jc w:val="center"/>
        </w:trPr>
        <w:tc>
          <w:tcPr>
            <w:tcW w:w="583" w:type="pct"/>
            <w:gridSpan w:val="2"/>
            <w:vMerge w:val="restart"/>
            <w:tcBorders>
              <w:top w:val="nil"/>
              <w:left w:val="nil"/>
              <w:bottom w:val="single" w:sz="4" w:space="0" w:color="000000"/>
              <w:right w:val="nil"/>
            </w:tcBorders>
            <w:shd w:val="clear" w:color="000000" w:fill="FFFFFF"/>
            <w:vAlign w:val="center"/>
          </w:tcPr>
          <w:p w14:paraId="54591791"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Mussels</w:t>
            </w:r>
          </w:p>
        </w:tc>
        <w:tc>
          <w:tcPr>
            <w:tcW w:w="434" w:type="pct"/>
            <w:vMerge w:val="restart"/>
            <w:tcBorders>
              <w:top w:val="nil"/>
              <w:left w:val="nil"/>
              <w:bottom w:val="single" w:sz="4" w:space="0" w:color="000000"/>
              <w:right w:val="nil"/>
            </w:tcBorders>
            <w:shd w:val="clear" w:color="000000" w:fill="FFFFFF"/>
            <w:vAlign w:val="center"/>
            <w:hideMark/>
          </w:tcPr>
          <w:p w14:paraId="78EA0817"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COI</w:t>
            </w:r>
          </w:p>
        </w:tc>
        <w:tc>
          <w:tcPr>
            <w:tcW w:w="853" w:type="pct"/>
            <w:tcBorders>
              <w:top w:val="nil"/>
              <w:left w:val="nil"/>
              <w:bottom w:val="nil"/>
              <w:right w:val="nil"/>
            </w:tcBorders>
            <w:shd w:val="clear" w:color="000000" w:fill="FFFFFF"/>
            <w:vAlign w:val="center"/>
            <w:hideMark/>
          </w:tcPr>
          <w:p w14:paraId="45454235"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i/>
                <w:iCs/>
                <w:color w:val="000000"/>
                <w14:ligatures w14:val="none"/>
              </w:rPr>
              <w:t>Pfa</w:t>
            </w:r>
            <w:r w:rsidRPr="000B6AE5">
              <w:rPr>
                <w:rFonts w:ascii="Times New Roman" w:hAnsi="Times New Roman" w:cs="Times New Roman"/>
                <w:color w:val="000000"/>
                <w14:ligatures w14:val="none"/>
              </w:rPr>
              <w:t>COI2-Degen-F</w:t>
            </w:r>
          </w:p>
        </w:tc>
        <w:tc>
          <w:tcPr>
            <w:tcW w:w="2067" w:type="pct"/>
            <w:tcBorders>
              <w:top w:val="nil"/>
              <w:left w:val="nil"/>
              <w:bottom w:val="nil"/>
              <w:right w:val="nil"/>
            </w:tcBorders>
            <w:shd w:val="clear" w:color="000000" w:fill="FFFFFF"/>
            <w:vAlign w:val="center"/>
            <w:hideMark/>
          </w:tcPr>
          <w:p w14:paraId="0D09BBCE"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AGKCTTTTRATTCGDGCTGA</w:t>
            </w:r>
          </w:p>
        </w:tc>
        <w:tc>
          <w:tcPr>
            <w:tcW w:w="442" w:type="pct"/>
            <w:gridSpan w:val="2"/>
            <w:vMerge w:val="restart"/>
            <w:tcBorders>
              <w:top w:val="nil"/>
              <w:left w:val="nil"/>
              <w:bottom w:val="single" w:sz="4" w:space="0" w:color="000000"/>
              <w:right w:val="nil"/>
            </w:tcBorders>
            <w:shd w:val="clear" w:color="000000" w:fill="FFFFFF"/>
            <w:vAlign w:val="center"/>
            <w:hideMark/>
          </w:tcPr>
          <w:p w14:paraId="49768B6D"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~238</w:t>
            </w:r>
          </w:p>
        </w:tc>
        <w:tc>
          <w:tcPr>
            <w:tcW w:w="561" w:type="pct"/>
            <w:vMerge w:val="restart"/>
            <w:tcBorders>
              <w:top w:val="nil"/>
              <w:left w:val="nil"/>
              <w:bottom w:val="single" w:sz="4" w:space="0" w:color="000000"/>
              <w:right w:val="nil"/>
            </w:tcBorders>
            <w:shd w:val="clear" w:color="000000" w:fill="FFFFFF"/>
            <w:vAlign w:val="center"/>
            <w:hideMark/>
          </w:tcPr>
          <w:p w14:paraId="63CFBA46" w14:textId="77777777" w:rsidR="009D2526" w:rsidRPr="000B6AE5" w:rsidRDefault="009D2526" w:rsidP="000B6AE5">
            <w:pPr>
              <w:rPr>
                <w:rFonts w:ascii="Times New Roman" w:hAnsi="Times New Roman" w:cs="Times New Roman"/>
                <w:color w:val="000000"/>
                <w14:ligatures w14:val="none"/>
              </w:rPr>
            </w:pPr>
            <w:proofErr w:type="spellStart"/>
            <w:r w:rsidRPr="000B6AE5">
              <w:rPr>
                <w:rFonts w:ascii="Times New Roman" w:hAnsi="Times New Roman" w:cs="Times New Roman"/>
                <w:color w:val="000000"/>
                <w14:ligatures w14:val="none"/>
              </w:rPr>
              <w:t>Klymus</w:t>
            </w:r>
            <w:proofErr w:type="spellEnd"/>
            <w:r w:rsidRPr="000B6AE5">
              <w:rPr>
                <w:rFonts w:ascii="Times New Roman" w:hAnsi="Times New Roman" w:cs="Times New Roman"/>
                <w:color w:val="000000"/>
                <w14:ligatures w14:val="none"/>
              </w:rPr>
              <w:t xml:space="preserve"> et al., 2020</w:t>
            </w:r>
          </w:p>
        </w:tc>
      </w:tr>
      <w:tr w:rsidR="00796E9F" w:rsidRPr="000B6AE5" w14:paraId="3A605B87" w14:textId="77777777" w:rsidTr="00905E70">
        <w:trPr>
          <w:gridAfter w:val="1"/>
          <w:wAfter w:w="59" w:type="pct"/>
          <w:trHeight w:val="828"/>
          <w:jc w:val="center"/>
        </w:trPr>
        <w:tc>
          <w:tcPr>
            <w:tcW w:w="583" w:type="pct"/>
            <w:gridSpan w:val="2"/>
            <w:vMerge/>
            <w:tcBorders>
              <w:top w:val="nil"/>
              <w:left w:val="nil"/>
              <w:bottom w:val="single" w:sz="4" w:space="0" w:color="000000"/>
              <w:right w:val="nil"/>
            </w:tcBorders>
            <w:vAlign w:val="center"/>
            <w:hideMark/>
          </w:tcPr>
          <w:p w14:paraId="6CB28D89" w14:textId="77777777" w:rsidR="009D2526" w:rsidRPr="000B6AE5" w:rsidRDefault="009D2526" w:rsidP="000B6AE5">
            <w:pPr>
              <w:rPr>
                <w:rFonts w:ascii="Times New Roman" w:hAnsi="Times New Roman" w:cs="Times New Roman"/>
                <w:color w:val="000000"/>
                <w14:ligatures w14:val="none"/>
              </w:rPr>
            </w:pPr>
          </w:p>
        </w:tc>
        <w:tc>
          <w:tcPr>
            <w:tcW w:w="434" w:type="pct"/>
            <w:vMerge/>
            <w:tcBorders>
              <w:top w:val="nil"/>
              <w:left w:val="nil"/>
              <w:bottom w:val="single" w:sz="4" w:space="0" w:color="000000"/>
              <w:right w:val="nil"/>
            </w:tcBorders>
            <w:vAlign w:val="center"/>
            <w:hideMark/>
          </w:tcPr>
          <w:p w14:paraId="18ECA3D4" w14:textId="77777777" w:rsidR="009D2526" w:rsidRPr="000B6AE5" w:rsidRDefault="009D2526" w:rsidP="000B6AE5">
            <w:pPr>
              <w:rPr>
                <w:rFonts w:ascii="Times New Roman" w:hAnsi="Times New Roman" w:cs="Times New Roman"/>
                <w:color w:val="000000"/>
                <w14:ligatures w14:val="none"/>
              </w:rPr>
            </w:pPr>
          </w:p>
        </w:tc>
        <w:tc>
          <w:tcPr>
            <w:tcW w:w="853" w:type="pct"/>
            <w:tcBorders>
              <w:top w:val="nil"/>
              <w:left w:val="nil"/>
              <w:bottom w:val="single" w:sz="4" w:space="0" w:color="000000"/>
              <w:right w:val="nil"/>
            </w:tcBorders>
            <w:shd w:val="clear" w:color="000000" w:fill="FFFFFF"/>
            <w:vAlign w:val="center"/>
            <w:hideMark/>
          </w:tcPr>
          <w:p w14:paraId="4955B496"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i/>
                <w:iCs/>
                <w:color w:val="000000"/>
                <w14:ligatures w14:val="none"/>
              </w:rPr>
              <w:t>Pfa</w:t>
            </w:r>
            <w:r w:rsidRPr="000B6AE5">
              <w:rPr>
                <w:rFonts w:ascii="Times New Roman" w:hAnsi="Times New Roman" w:cs="Times New Roman"/>
                <w:color w:val="000000"/>
                <w14:ligatures w14:val="none"/>
              </w:rPr>
              <w:t>COI2-Degen-R</w:t>
            </w:r>
          </w:p>
        </w:tc>
        <w:tc>
          <w:tcPr>
            <w:tcW w:w="2067" w:type="pct"/>
            <w:tcBorders>
              <w:top w:val="nil"/>
              <w:left w:val="nil"/>
              <w:bottom w:val="single" w:sz="4" w:space="0" w:color="000000"/>
              <w:right w:val="nil"/>
            </w:tcBorders>
            <w:shd w:val="clear" w:color="000000" w:fill="FFFFFF"/>
            <w:vAlign w:val="center"/>
            <w:hideMark/>
          </w:tcPr>
          <w:p w14:paraId="77FDBDA6"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CCAGTHCCAACACCHCTCTC</w:t>
            </w:r>
          </w:p>
        </w:tc>
        <w:tc>
          <w:tcPr>
            <w:tcW w:w="442" w:type="pct"/>
            <w:gridSpan w:val="2"/>
            <w:vMerge/>
            <w:tcBorders>
              <w:top w:val="nil"/>
              <w:left w:val="nil"/>
              <w:bottom w:val="single" w:sz="4" w:space="0" w:color="000000"/>
              <w:right w:val="nil"/>
            </w:tcBorders>
            <w:vAlign w:val="center"/>
            <w:hideMark/>
          </w:tcPr>
          <w:p w14:paraId="5C617D5E" w14:textId="77777777" w:rsidR="009D2526" w:rsidRPr="000B6AE5" w:rsidRDefault="009D2526" w:rsidP="000B6AE5">
            <w:pPr>
              <w:rPr>
                <w:rFonts w:ascii="Times New Roman" w:hAnsi="Times New Roman" w:cs="Times New Roman"/>
                <w:color w:val="000000"/>
                <w14:ligatures w14:val="none"/>
              </w:rPr>
            </w:pPr>
          </w:p>
        </w:tc>
        <w:tc>
          <w:tcPr>
            <w:tcW w:w="561" w:type="pct"/>
            <w:vMerge/>
            <w:tcBorders>
              <w:top w:val="nil"/>
              <w:left w:val="nil"/>
              <w:bottom w:val="single" w:sz="4" w:space="0" w:color="000000"/>
              <w:right w:val="nil"/>
            </w:tcBorders>
            <w:vAlign w:val="center"/>
            <w:hideMark/>
          </w:tcPr>
          <w:p w14:paraId="231366ED" w14:textId="77777777" w:rsidR="009D2526" w:rsidRPr="000B6AE5" w:rsidRDefault="009D2526" w:rsidP="000B6AE5">
            <w:pPr>
              <w:rPr>
                <w:rFonts w:ascii="Times New Roman" w:hAnsi="Times New Roman" w:cs="Times New Roman"/>
                <w:color w:val="000000"/>
                <w14:ligatures w14:val="none"/>
              </w:rPr>
            </w:pPr>
          </w:p>
        </w:tc>
      </w:tr>
      <w:tr w:rsidR="00796E9F" w:rsidRPr="000B6AE5" w14:paraId="3EB890A3" w14:textId="77777777" w:rsidTr="00905E70">
        <w:trPr>
          <w:gridAfter w:val="1"/>
          <w:wAfter w:w="59" w:type="pct"/>
          <w:trHeight w:val="828"/>
          <w:jc w:val="center"/>
        </w:trPr>
        <w:tc>
          <w:tcPr>
            <w:tcW w:w="583" w:type="pct"/>
            <w:gridSpan w:val="2"/>
            <w:vMerge w:val="restart"/>
            <w:tcBorders>
              <w:top w:val="nil"/>
              <w:left w:val="nil"/>
              <w:bottom w:val="single" w:sz="4" w:space="0" w:color="000000"/>
              <w:right w:val="nil"/>
            </w:tcBorders>
            <w:shd w:val="clear" w:color="000000" w:fill="FFFFFF"/>
            <w:vAlign w:val="center"/>
            <w:hideMark/>
          </w:tcPr>
          <w:p w14:paraId="1DA4242F"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Mussels</w:t>
            </w:r>
          </w:p>
        </w:tc>
        <w:tc>
          <w:tcPr>
            <w:tcW w:w="434" w:type="pct"/>
            <w:vMerge w:val="restart"/>
            <w:tcBorders>
              <w:top w:val="nil"/>
              <w:left w:val="nil"/>
              <w:bottom w:val="single" w:sz="4" w:space="0" w:color="000000"/>
              <w:right w:val="nil"/>
            </w:tcBorders>
            <w:shd w:val="clear" w:color="000000" w:fill="FFFFFF"/>
            <w:vAlign w:val="center"/>
            <w:hideMark/>
          </w:tcPr>
          <w:p w14:paraId="3D0CE642"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16S</w:t>
            </w:r>
          </w:p>
        </w:tc>
        <w:tc>
          <w:tcPr>
            <w:tcW w:w="853" w:type="pct"/>
            <w:tcBorders>
              <w:top w:val="nil"/>
              <w:left w:val="nil"/>
              <w:bottom w:val="nil"/>
              <w:right w:val="nil"/>
            </w:tcBorders>
            <w:shd w:val="clear" w:color="000000" w:fill="FFFFFF"/>
            <w:vAlign w:val="center"/>
            <w:hideMark/>
          </w:tcPr>
          <w:p w14:paraId="32EA3AE2"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Unionid-16S-F</w:t>
            </w:r>
          </w:p>
        </w:tc>
        <w:tc>
          <w:tcPr>
            <w:tcW w:w="2067" w:type="pct"/>
            <w:tcBorders>
              <w:top w:val="nil"/>
              <w:left w:val="nil"/>
              <w:bottom w:val="nil"/>
              <w:right w:val="nil"/>
            </w:tcBorders>
            <w:shd w:val="clear" w:color="000000" w:fill="FFFFFF"/>
            <w:vAlign w:val="center"/>
            <w:hideMark/>
          </w:tcPr>
          <w:p w14:paraId="5EE1BFD3"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GCTGTTATCCCCGGGGTAR</w:t>
            </w:r>
          </w:p>
        </w:tc>
        <w:tc>
          <w:tcPr>
            <w:tcW w:w="442" w:type="pct"/>
            <w:gridSpan w:val="2"/>
            <w:vMerge w:val="restart"/>
            <w:tcBorders>
              <w:top w:val="nil"/>
              <w:left w:val="nil"/>
              <w:bottom w:val="single" w:sz="4" w:space="0" w:color="000000"/>
              <w:right w:val="nil"/>
            </w:tcBorders>
            <w:shd w:val="clear" w:color="000000" w:fill="FFFFFF"/>
            <w:vAlign w:val="center"/>
            <w:hideMark/>
          </w:tcPr>
          <w:p w14:paraId="1588E5AF"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~175</w:t>
            </w:r>
          </w:p>
        </w:tc>
        <w:tc>
          <w:tcPr>
            <w:tcW w:w="561" w:type="pct"/>
            <w:vMerge w:val="restart"/>
            <w:tcBorders>
              <w:top w:val="nil"/>
              <w:left w:val="nil"/>
              <w:right w:val="nil"/>
            </w:tcBorders>
            <w:shd w:val="clear" w:color="000000" w:fill="FFFFFF"/>
            <w:vAlign w:val="center"/>
            <w:hideMark/>
          </w:tcPr>
          <w:p w14:paraId="3FE030DB" w14:textId="77777777" w:rsidR="009D2526" w:rsidRPr="000B6AE5" w:rsidRDefault="009D2526" w:rsidP="000B6AE5">
            <w:pPr>
              <w:rPr>
                <w:rFonts w:ascii="Times New Roman" w:hAnsi="Times New Roman" w:cs="Times New Roman"/>
                <w:color w:val="000000"/>
                <w14:ligatures w14:val="none"/>
              </w:rPr>
            </w:pPr>
            <w:proofErr w:type="spellStart"/>
            <w:r w:rsidRPr="000B6AE5">
              <w:rPr>
                <w:rFonts w:ascii="Times New Roman" w:hAnsi="Times New Roman" w:cs="Times New Roman"/>
                <w:color w:val="000000"/>
                <w14:ligatures w14:val="none"/>
              </w:rPr>
              <w:t>Prié</w:t>
            </w:r>
            <w:proofErr w:type="spellEnd"/>
            <w:r w:rsidRPr="000B6AE5">
              <w:rPr>
                <w:rFonts w:ascii="Times New Roman" w:hAnsi="Times New Roman" w:cs="Times New Roman"/>
                <w:color w:val="000000"/>
                <w14:ligatures w14:val="none"/>
              </w:rPr>
              <w:t xml:space="preserve"> et al., 2020</w:t>
            </w:r>
          </w:p>
          <w:p w14:paraId="16BF29F0" w14:textId="35044E8E" w:rsidR="009D2526" w:rsidRPr="000B6AE5" w:rsidRDefault="009D2526" w:rsidP="000B6AE5">
            <w:pPr>
              <w:rPr>
                <w:rFonts w:ascii="Times New Roman" w:hAnsi="Times New Roman" w:cs="Times New Roman"/>
                <w:color w:val="000000"/>
                <w14:ligatures w14:val="none"/>
              </w:rPr>
            </w:pPr>
          </w:p>
        </w:tc>
      </w:tr>
      <w:tr w:rsidR="00796E9F" w:rsidRPr="000B6AE5" w14:paraId="558184A1" w14:textId="77777777" w:rsidTr="00905E70">
        <w:trPr>
          <w:gridAfter w:val="1"/>
          <w:wAfter w:w="59" w:type="pct"/>
          <w:trHeight w:val="828"/>
          <w:jc w:val="center"/>
        </w:trPr>
        <w:tc>
          <w:tcPr>
            <w:tcW w:w="583" w:type="pct"/>
            <w:gridSpan w:val="2"/>
            <w:vMerge/>
            <w:tcBorders>
              <w:top w:val="nil"/>
              <w:left w:val="nil"/>
              <w:bottom w:val="single" w:sz="4" w:space="0" w:color="000000"/>
              <w:right w:val="nil"/>
            </w:tcBorders>
            <w:vAlign w:val="center"/>
            <w:hideMark/>
          </w:tcPr>
          <w:p w14:paraId="49919CC0" w14:textId="77777777" w:rsidR="009D2526" w:rsidRPr="000B6AE5" w:rsidRDefault="009D2526" w:rsidP="000B6AE5">
            <w:pPr>
              <w:rPr>
                <w:rFonts w:ascii="Times New Roman" w:hAnsi="Times New Roman" w:cs="Times New Roman"/>
                <w:color w:val="000000"/>
                <w14:ligatures w14:val="none"/>
              </w:rPr>
            </w:pPr>
          </w:p>
        </w:tc>
        <w:tc>
          <w:tcPr>
            <w:tcW w:w="434" w:type="pct"/>
            <w:vMerge/>
            <w:tcBorders>
              <w:top w:val="nil"/>
              <w:left w:val="nil"/>
              <w:bottom w:val="single" w:sz="4" w:space="0" w:color="000000"/>
              <w:right w:val="nil"/>
            </w:tcBorders>
            <w:vAlign w:val="center"/>
            <w:hideMark/>
          </w:tcPr>
          <w:p w14:paraId="72373BED" w14:textId="77777777" w:rsidR="009D2526" w:rsidRPr="000B6AE5" w:rsidRDefault="009D2526" w:rsidP="000B6AE5">
            <w:pPr>
              <w:rPr>
                <w:rFonts w:ascii="Times New Roman" w:hAnsi="Times New Roman" w:cs="Times New Roman"/>
                <w:color w:val="000000"/>
                <w14:ligatures w14:val="none"/>
              </w:rPr>
            </w:pPr>
          </w:p>
        </w:tc>
        <w:tc>
          <w:tcPr>
            <w:tcW w:w="853" w:type="pct"/>
            <w:tcBorders>
              <w:top w:val="nil"/>
              <w:left w:val="nil"/>
              <w:bottom w:val="single" w:sz="4" w:space="0" w:color="000000"/>
              <w:right w:val="nil"/>
            </w:tcBorders>
            <w:shd w:val="clear" w:color="000000" w:fill="FFFFFF"/>
            <w:vAlign w:val="center"/>
            <w:hideMark/>
          </w:tcPr>
          <w:p w14:paraId="4C02EC8E"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Unionid-16S-R</w:t>
            </w:r>
          </w:p>
        </w:tc>
        <w:tc>
          <w:tcPr>
            <w:tcW w:w="2067" w:type="pct"/>
            <w:tcBorders>
              <w:top w:val="nil"/>
              <w:left w:val="nil"/>
              <w:bottom w:val="single" w:sz="4" w:space="0" w:color="000000"/>
              <w:right w:val="nil"/>
            </w:tcBorders>
            <w:shd w:val="clear" w:color="000000" w:fill="FFFFFF"/>
            <w:vAlign w:val="center"/>
            <w:hideMark/>
          </w:tcPr>
          <w:p w14:paraId="2739EE5C" w14:textId="77777777" w:rsidR="009D2526" w:rsidRPr="000B6AE5" w:rsidRDefault="009D2526" w:rsidP="000B6AE5">
            <w:pPr>
              <w:rPr>
                <w:rFonts w:ascii="Times New Roman" w:hAnsi="Times New Roman" w:cs="Times New Roman"/>
                <w:color w:val="000000"/>
                <w14:ligatures w14:val="none"/>
              </w:rPr>
            </w:pPr>
            <w:r w:rsidRPr="000B6AE5">
              <w:rPr>
                <w:rFonts w:ascii="Times New Roman" w:hAnsi="Times New Roman" w:cs="Times New Roman"/>
                <w:color w:val="000000"/>
                <w14:ligatures w14:val="none"/>
              </w:rPr>
              <w:t>AAGACGAAAAGACCCCGC</w:t>
            </w:r>
          </w:p>
        </w:tc>
        <w:tc>
          <w:tcPr>
            <w:tcW w:w="442" w:type="pct"/>
            <w:gridSpan w:val="2"/>
            <w:vMerge/>
            <w:tcBorders>
              <w:top w:val="nil"/>
              <w:left w:val="nil"/>
              <w:bottom w:val="single" w:sz="4" w:space="0" w:color="000000"/>
              <w:right w:val="nil"/>
            </w:tcBorders>
            <w:vAlign w:val="center"/>
            <w:hideMark/>
          </w:tcPr>
          <w:p w14:paraId="747A130A" w14:textId="77777777" w:rsidR="009D2526" w:rsidRPr="000B6AE5" w:rsidRDefault="009D2526" w:rsidP="000B6AE5">
            <w:pPr>
              <w:rPr>
                <w:rFonts w:ascii="Times New Roman" w:hAnsi="Times New Roman" w:cs="Times New Roman"/>
                <w:color w:val="000000"/>
                <w14:ligatures w14:val="none"/>
              </w:rPr>
            </w:pPr>
          </w:p>
        </w:tc>
        <w:tc>
          <w:tcPr>
            <w:tcW w:w="561" w:type="pct"/>
            <w:vMerge/>
            <w:tcBorders>
              <w:left w:val="nil"/>
              <w:bottom w:val="single" w:sz="4" w:space="0" w:color="000000"/>
              <w:right w:val="nil"/>
            </w:tcBorders>
            <w:shd w:val="clear" w:color="000000" w:fill="FFFFFF"/>
            <w:vAlign w:val="center"/>
            <w:hideMark/>
          </w:tcPr>
          <w:p w14:paraId="0A395BC0" w14:textId="77777777" w:rsidR="009D2526" w:rsidRPr="000B6AE5" w:rsidRDefault="009D2526" w:rsidP="000B6AE5">
            <w:pPr>
              <w:rPr>
                <w:rFonts w:ascii="Times New Roman" w:hAnsi="Times New Roman" w:cs="Times New Roman"/>
                <w:color w:val="000000"/>
                <w14:ligatures w14:val="none"/>
              </w:rPr>
            </w:pPr>
          </w:p>
        </w:tc>
      </w:tr>
    </w:tbl>
    <w:p w14:paraId="6BC52BC1" w14:textId="77777777" w:rsidR="00CD3548" w:rsidRPr="000B6AE5" w:rsidRDefault="00CD3548" w:rsidP="000B6AE5">
      <w:pPr>
        <w:pStyle w:val="normale"/>
        <w:spacing w:line="240" w:lineRule="auto"/>
      </w:pPr>
    </w:p>
    <w:p w14:paraId="70564153" w14:textId="6155E07C" w:rsidR="00800673" w:rsidRPr="000B6AE5" w:rsidRDefault="00800673" w:rsidP="00800673">
      <w:pPr>
        <w:pStyle w:val="normale"/>
      </w:pPr>
      <w:r w:rsidRPr="000B6AE5">
        <w:t xml:space="preserve">For fish, a two-step PCR protocol was used to amplify the 12S rRNA gene from both eDNA and cDNA templates. The first PCR amplified the target 12S rRNA region while simultaneously incorporating Illumina adapter overhangs attached to the </w:t>
      </w:r>
      <w:proofErr w:type="spellStart"/>
      <w:r w:rsidRPr="000B6AE5">
        <w:t>MiFish</w:t>
      </w:r>
      <w:proofErr w:type="spellEnd"/>
      <w:r w:rsidRPr="000B6AE5">
        <w:t xml:space="preserve">-U primers. Reactions were prepared in 25 µL volumes containing 12.5 µL KAPA HiFi </w:t>
      </w:r>
      <w:proofErr w:type="spellStart"/>
      <w:r w:rsidRPr="000B6AE5">
        <w:t>HotStart</w:t>
      </w:r>
      <w:proofErr w:type="spellEnd"/>
      <w:r w:rsidRPr="000B6AE5">
        <w:t xml:space="preserve"> </w:t>
      </w:r>
      <w:proofErr w:type="spellStart"/>
      <w:r w:rsidRPr="000B6AE5">
        <w:t>ReadyMix</w:t>
      </w:r>
      <w:proofErr w:type="spellEnd"/>
      <w:r w:rsidRPr="000B6AE5">
        <w:t xml:space="preserve"> (Roche), 5 µL of each primer (2 µM), and 2.5 µL of template. Thermocycling conditions were 95 °C for 3 minutes; 25 cycles of 95 °C for 30 seconds, 55 °C for 30 seconds, and 72 °C for 30 seconds; followed by a final extension at 72 °C for 5 minutes. Each sample was amplified in triplicate, pooled, and purified using </w:t>
      </w:r>
      <w:proofErr w:type="spellStart"/>
      <w:r w:rsidRPr="000B6AE5">
        <w:t>AMPure</w:t>
      </w:r>
      <w:proofErr w:type="spellEnd"/>
      <w:r w:rsidRPr="000B6AE5">
        <w:t xml:space="preserve"> XP beads (Beckman Coulter) at a 0.25× bead-to-product ratio, then eluted in 45 µL of 10 mM Tris. A second PCR (indexing) was used to attach dual </w:t>
      </w:r>
      <w:proofErr w:type="spellStart"/>
      <w:r w:rsidRPr="000B6AE5">
        <w:t>Nextera</w:t>
      </w:r>
      <w:proofErr w:type="spellEnd"/>
      <w:r w:rsidRPr="000B6AE5">
        <w:t xml:space="preserve"> XT indices </w:t>
      </w:r>
      <w:r w:rsidRPr="000B6AE5">
        <w:lastRenderedPageBreak/>
        <w:t xml:space="preserve">and sequencing adapters using the </w:t>
      </w:r>
      <w:proofErr w:type="spellStart"/>
      <w:r w:rsidRPr="000B6AE5">
        <w:t>Nextera</w:t>
      </w:r>
      <w:proofErr w:type="spellEnd"/>
      <w:r w:rsidRPr="000B6AE5">
        <w:t xml:space="preserve"> XT Index Kit v2 (Illumina). Reactions were prepared in 25 µL total volume containing 5 µL purified PCR I product, 5 µL of each </w:t>
      </w:r>
      <w:proofErr w:type="spellStart"/>
      <w:r w:rsidRPr="000B6AE5">
        <w:t>Nextera</w:t>
      </w:r>
      <w:proofErr w:type="spellEnd"/>
      <w:r w:rsidRPr="000B6AE5">
        <w:t xml:space="preserve"> XT index primer (i5/i7), 25 µL of 2× KAPA HiFi </w:t>
      </w:r>
      <w:proofErr w:type="spellStart"/>
      <w:r w:rsidRPr="000B6AE5">
        <w:t>HotStart</w:t>
      </w:r>
      <w:proofErr w:type="spellEnd"/>
      <w:r w:rsidRPr="000B6AE5">
        <w:t xml:space="preserve"> </w:t>
      </w:r>
      <w:proofErr w:type="spellStart"/>
      <w:r w:rsidRPr="000B6AE5">
        <w:t>ReadyMix</w:t>
      </w:r>
      <w:proofErr w:type="spellEnd"/>
      <w:r w:rsidRPr="000B6AE5">
        <w:t xml:space="preserve">, and 10 µL </w:t>
      </w:r>
      <w:proofErr w:type="spellStart"/>
      <w:r w:rsidRPr="000B6AE5">
        <w:t>HyPure</w:t>
      </w:r>
      <w:proofErr w:type="spellEnd"/>
      <w:r w:rsidRPr="000B6AE5">
        <w:t>™ water (</w:t>
      </w:r>
      <w:proofErr w:type="spellStart"/>
      <w:r w:rsidRPr="000B6AE5">
        <w:t>Cytiva</w:t>
      </w:r>
      <w:proofErr w:type="spellEnd"/>
      <w:r w:rsidRPr="000B6AE5">
        <w:t xml:space="preserve">). Cycling conditions consisted of 95 °C for 3 minutes; 8 cycles of 95 °C for 30 seconds, 55 °C for 30 seconds, and 72 °C for 30 seconds; with a final extension at 72 °C for 5 minutes. Indexed amplicons were cleaned using 56 µL </w:t>
      </w:r>
      <w:proofErr w:type="spellStart"/>
      <w:r w:rsidRPr="000B6AE5">
        <w:t>AMPure</w:t>
      </w:r>
      <w:proofErr w:type="spellEnd"/>
      <w:r w:rsidRPr="000B6AE5">
        <w:t xml:space="preserve"> XP beads per sample and eluted in 25 µL of 10 mM Tris. The resulting 12S libraries were normalized and pooled equimolarly to a final concentration of 4 </w:t>
      </w:r>
      <w:proofErr w:type="spellStart"/>
      <w:r w:rsidRPr="000B6AE5">
        <w:t>nM</w:t>
      </w:r>
      <w:proofErr w:type="spellEnd"/>
      <w:r w:rsidRPr="000B6AE5">
        <w:t xml:space="preserve"> prior to sequencing.</w:t>
      </w:r>
    </w:p>
    <w:p w14:paraId="639F65B6" w14:textId="77777777" w:rsidR="009E3AAA" w:rsidRPr="009E3AAA" w:rsidRDefault="009E3AAA" w:rsidP="009E3AAA">
      <w:pPr>
        <w:pStyle w:val="normale"/>
      </w:pPr>
      <w:r w:rsidRPr="009E3AAA">
        <w:t xml:space="preserve">Mussel libraries were constructed from eDNA only using a three-step PCR protocol for both COI and 16S targets. For COI, the initial amplification was performed in 20 µL reactions containing 10 µL </w:t>
      </w:r>
      <w:proofErr w:type="spellStart"/>
      <w:r w:rsidRPr="009E3AAA">
        <w:t>AmpliTaq</w:t>
      </w:r>
      <w:proofErr w:type="spellEnd"/>
      <w:r w:rsidRPr="009E3AAA">
        <w:t xml:space="preserve"> Gold 360 Master Mix (</w:t>
      </w:r>
      <w:proofErr w:type="spellStart"/>
      <w:r w:rsidRPr="009E3AAA">
        <w:t>Thermo</w:t>
      </w:r>
      <w:proofErr w:type="spellEnd"/>
      <w:r w:rsidRPr="009E3AAA">
        <w:t xml:space="preserve"> Fisher Scientific), 0.6 µL each of the </w:t>
      </w:r>
      <w:r w:rsidRPr="009E3AAA">
        <w:rPr>
          <w:i/>
          <w:iCs/>
        </w:rPr>
        <w:t>Pfa</w:t>
      </w:r>
      <w:r w:rsidRPr="009E3AAA">
        <w:t xml:space="preserve">COI2-Degen forward and reverse primers (10 µM), 6.8 µL nuclease-free water, and 2 µL of eDNA template. The PCR program consisted of 95 °C for 5 minutes; six touchdown cycles of 95 °C for 30 seconds, 60.3 °C decreasing by 1 °C per cycle for 30 seconds, and 72 °C for 1 minute; followed by 34 cycles of 95 °C for 30 seconds, 54.3 °C for 30 seconds, and 72 °C for 1 minute; with a final extension at 72 °C for 5 minutes. Triplicate reactions were pooled and purified using a 0.7× </w:t>
      </w:r>
      <w:proofErr w:type="spellStart"/>
      <w:r w:rsidRPr="009E3AAA">
        <w:t>AMPure</w:t>
      </w:r>
      <w:proofErr w:type="spellEnd"/>
      <w:r w:rsidRPr="009E3AAA">
        <w:t xml:space="preserve"> XP bead cleanup and eluted in 50 µL of 10 mM Tris. The second PCR added Illumina adapter tails using the same overhang-tailed primers in 20 µL reactions containing 10 µL KAPA HiFi </w:t>
      </w:r>
      <w:proofErr w:type="spellStart"/>
      <w:r w:rsidRPr="009E3AAA">
        <w:t>HotStart</w:t>
      </w:r>
      <w:proofErr w:type="spellEnd"/>
      <w:r w:rsidRPr="009E3AAA">
        <w:t xml:space="preserve"> </w:t>
      </w:r>
      <w:proofErr w:type="spellStart"/>
      <w:r w:rsidRPr="009E3AAA">
        <w:t>ReadyMix</w:t>
      </w:r>
      <w:proofErr w:type="spellEnd"/>
      <w:r w:rsidRPr="009E3AAA">
        <w:t xml:space="preserve">, 0.6 µL of each primer (10 µM), and 6.8 µL of water. Conditions were 95 °C for 3 minutes followed by 12 cycles of 98 °C for 20 seconds, 64 </w:t>
      </w:r>
      <w:r w:rsidRPr="009E3AAA">
        <w:lastRenderedPageBreak/>
        <w:t xml:space="preserve">°C for 30 seconds, and 72 °C for 1 minute, then held at 4 °C. Products were purified again with 0.7× </w:t>
      </w:r>
      <w:proofErr w:type="spellStart"/>
      <w:r w:rsidRPr="009E3AAA">
        <w:t>AMPure</w:t>
      </w:r>
      <w:proofErr w:type="spellEnd"/>
      <w:r w:rsidRPr="009E3AAA">
        <w:t xml:space="preserve"> XP beads and eluted in 50 µL of 10 mM Tris. A final indexing PCR was conducted in 20 µL reactions containing 10 µL KAPA HiFi </w:t>
      </w:r>
      <w:proofErr w:type="spellStart"/>
      <w:r w:rsidRPr="009E3AAA">
        <w:t>HotStart</w:t>
      </w:r>
      <w:proofErr w:type="spellEnd"/>
      <w:r w:rsidRPr="009E3AAA">
        <w:t xml:space="preserve"> </w:t>
      </w:r>
      <w:proofErr w:type="spellStart"/>
      <w:r w:rsidRPr="009E3AAA">
        <w:t>ReadyMix</w:t>
      </w:r>
      <w:proofErr w:type="spellEnd"/>
      <w:r w:rsidRPr="009E3AAA">
        <w:t xml:space="preserve">, 2 µL each of the </w:t>
      </w:r>
      <w:proofErr w:type="spellStart"/>
      <w:r w:rsidRPr="009E3AAA">
        <w:t>Nextera</w:t>
      </w:r>
      <w:proofErr w:type="spellEnd"/>
      <w:r w:rsidRPr="009E3AAA">
        <w:t xml:space="preserve"> XT index primers, 2 µL </w:t>
      </w:r>
      <w:proofErr w:type="spellStart"/>
      <w:r w:rsidRPr="009E3AAA">
        <w:t>HyPure</w:t>
      </w:r>
      <w:proofErr w:type="spellEnd"/>
      <w:r w:rsidRPr="009E3AAA">
        <w:t xml:space="preserve"> water, and 4 µL template. Cycling conditions were 95 °C for 3 minutes; eight cycles of 95 °C for 30 seconds, 55 °C for 30 seconds, and 72 °C for 30 seconds; followed by a 5-minute extension at 72 °C. The indexed libraries were cleaned with 0.8× </w:t>
      </w:r>
      <w:proofErr w:type="spellStart"/>
      <w:r w:rsidRPr="009E3AAA">
        <w:t>AMPure</w:t>
      </w:r>
      <w:proofErr w:type="spellEnd"/>
      <w:r w:rsidRPr="009E3AAA">
        <w:t xml:space="preserve"> XP beads and eluted in approximately 25 µL of 10 mM Tris. Libraries were then normalized and pooled equimolarly to a final concentration of 4 </w:t>
      </w:r>
      <w:proofErr w:type="spellStart"/>
      <w:r w:rsidRPr="009E3AAA">
        <w:t>nM</w:t>
      </w:r>
      <w:proofErr w:type="spellEnd"/>
      <w:r w:rsidRPr="009E3AAA">
        <w:t xml:space="preserve"> prior to sequencing.</w:t>
      </w:r>
    </w:p>
    <w:p w14:paraId="750DE555" w14:textId="77777777" w:rsidR="009E3AAA" w:rsidRPr="009E3AAA" w:rsidRDefault="009E3AAA" w:rsidP="009E3AAA">
      <w:pPr>
        <w:pStyle w:val="normale"/>
      </w:pPr>
      <w:r w:rsidRPr="009E3AAA">
        <w:t>The 16S mussel libraries followed a similar three-step approach, with modifications based on the Marshall et al., 2022 protocol. The first amplification used the Unionid-16S primer set in 10 µL reactions containing 5 µL Environmental TaqMan® Master Mix (</w:t>
      </w:r>
      <w:proofErr w:type="spellStart"/>
      <w:r w:rsidRPr="009E3AAA">
        <w:t>Thermo</w:t>
      </w:r>
      <w:proofErr w:type="spellEnd"/>
      <w:r w:rsidRPr="009E3AAA">
        <w:t xml:space="preserve"> Fisher Scientific), 0.4 µL of each primer (10 µM), 2.2 µL nuclease-free water, and 2 µL eDNA template. Cycling conditions were 95 °C for 5 minutes, followed by 35 cycles of 95 °C for 15 seconds, a 5% ramp down to 55 °C for 30 seconds, and 72 °C for 30 seconds, with a final hold at 4 °C. Triplicate reactions were pooled and diluted 1:10 for the next step. The second PCR added Illumina adapters in 12 µL reactions consisting of 6 µL </w:t>
      </w:r>
      <w:proofErr w:type="spellStart"/>
      <w:r w:rsidRPr="009E3AAA">
        <w:t>AmpliTaq</w:t>
      </w:r>
      <w:proofErr w:type="spellEnd"/>
      <w:r w:rsidRPr="009E3AAA">
        <w:t xml:space="preserve"> Gold 360 Master Mix, 0.5 µL of each primer (10 µM), 2 µL water, and 3 µL of template. The thermocycling program included an initial denaturation at 95 °C for 5 minutes, six cycles of 98 °C for 20 seconds with a 1% ramp down to 65 °C for 15 seconds and 72 °C for 15 seconds, followed by seven similar cycles but with a 5% ramp rate. Samples were diluted 1:10 before the indexing PCR, which was performed in </w:t>
      </w:r>
      <w:r w:rsidRPr="009E3AAA">
        <w:lastRenderedPageBreak/>
        <w:t xml:space="preserve">12 µL reactions containing 6 µL KAPA HiFi </w:t>
      </w:r>
      <w:proofErr w:type="spellStart"/>
      <w:r w:rsidRPr="009E3AAA">
        <w:t>HotStart</w:t>
      </w:r>
      <w:proofErr w:type="spellEnd"/>
      <w:r w:rsidRPr="009E3AAA">
        <w:t xml:space="preserve"> </w:t>
      </w:r>
      <w:proofErr w:type="spellStart"/>
      <w:r w:rsidRPr="009E3AAA">
        <w:t>ReadyMix</w:t>
      </w:r>
      <w:proofErr w:type="spellEnd"/>
      <w:r w:rsidRPr="009E3AAA">
        <w:t xml:space="preserve">, 0.75 µL of each index primer, 3.5 µL water, and 1 µL template. The program consisted of 95 °C for 3 minutes, 10 cycles of 98 °C for 20 seconds with a 5% ramp down to 72 °C for 15 seconds, and a final 5-minute extension at 72 °C. The indexed library was pooled and run on 2% </w:t>
      </w:r>
      <w:proofErr w:type="spellStart"/>
      <w:r w:rsidRPr="009E3AAA">
        <w:t>TopVision</w:t>
      </w:r>
      <w:proofErr w:type="spellEnd"/>
      <w:r w:rsidRPr="009E3AAA">
        <w:t xml:space="preserve">™ agarose gels in 1× TAE buffer containing </w:t>
      </w:r>
      <w:proofErr w:type="spellStart"/>
      <w:r w:rsidRPr="009E3AAA">
        <w:t>GelRed</w:t>
      </w:r>
      <w:proofErr w:type="spellEnd"/>
      <w:r w:rsidRPr="009E3AAA">
        <w:t xml:space="preserve">®, and the target bands were excised and purified using the </w:t>
      </w:r>
      <w:proofErr w:type="spellStart"/>
      <w:r w:rsidRPr="009E3AAA">
        <w:t>QIAquick</w:t>
      </w:r>
      <w:proofErr w:type="spellEnd"/>
      <w:r w:rsidRPr="009E3AAA">
        <w:t xml:space="preserve"> Gel Extraction Kit (Qiagen) according to the manufacturer’s instructions. Following gel extraction, 16S libraries were pooled in equal volumes and subsequently diluted to 4 </w:t>
      </w:r>
      <w:proofErr w:type="spellStart"/>
      <w:r w:rsidRPr="009E3AAA">
        <w:t>nM</w:t>
      </w:r>
      <w:proofErr w:type="spellEnd"/>
      <w:r w:rsidRPr="009E3AAA">
        <w:t xml:space="preserve"> prior to sequencing.</w:t>
      </w:r>
    </w:p>
    <w:p w14:paraId="3123F580" w14:textId="77777777" w:rsidR="009E3AAA" w:rsidRPr="009E3AAA" w:rsidRDefault="009E3AAA" w:rsidP="009E3AAA">
      <w:pPr>
        <w:pStyle w:val="normale"/>
      </w:pPr>
      <w:r w:rsidRPr="009E3AAA">
        <w:t xml:space="preserve">Library fragment size and quality were verified using an Agilent </w:t>
      </w:r>
      <w:proofErr w:type="spellStart"/>
      <w:r w:rsidRPr="009E3AAA">
        <w:t>TapeStation</w:t>
      </w:r>
      <w:proofErr w:type="spellEnd"/>
      <w:r w:rsidRPr="009E3AAA">
        <w:t>, and concentrations were quantified with a Qubit® Fluorometer and dsDNA HS Assay Kit (</w:t>
      </w:r>
      <w:proofErr w:type="spellStart"/>
      <w:r w:rsidRPr="009E3AAA">
        <w:t>Thermo</w:t>
      </w:r>
      <w:proofErr w:type="spellEnd"/>
      <w:r w:rsidRPr="009E3AAA">
        <w:t xml:space="preserve"> Fisher Scientific). A 25% </w:t>
      </w:r>
      <w:proofErr w:type="spellStart"/>
      <w:r w:rsidRPr="009E3AAA">
        <w:t>PhiX</w:t>
      </w:r>
      <w:proofErr w:type="spellEnd"/>
      <w:r w:rsidRPr="009E3AAA">
        <w:t xml:space="preserve"> control was spiked in to increase base diversity, and the pooled library was denatured and loaded at 8 </w:t>
      </w:r>
      <w:proofErr w:type="spellStart"/>
      <w:r w:rsidRPr="009E3AAA">
        <w:t>pM</w:t>
      </w:r>
      <w:proofErr w:type="spellEnd"/>
      <w:r w:rsidRPr="009E3AAA">
        <w:t xml:space="preserve"> on an Illumina </w:t>
      </w:r>
      <w:proofErr w:type="spellStart"/>
      <w:r w:rsidRPr="009E3AAA">
        <w:t>MiSeq</w:t>
      </w:r>
      <w:proofErr w:type="spellEnd"/>
      <w:r w:rsidRPr="009E3AAA">
        <w:t xml:space="preserve"> using a </w:t>
      </w:r>
      <w:proofErr w:type="spellStart"/>
      <w:r w:rsidRPr="009E3AAA">
        <w:t>MiSeq</w:t>
      </w:r>
      <w:proofErr w:type="spellEnd"/>
      <w:r w:rsidRPr="009E3AAA">
        <w:t xml:space="preserve"> v3 reagent kit (2 × 250 bp paired-end reads). Demultiplexed FASTQ files for all samples and controls were generated using Illumina’s onboard demultiplexing workflow.</w:t>
      </w:r>
    </w:p>
    <w:p w14:paraId="5441D32C" w14:textId="77777777" w:rsidR="00C30A40" w:rsidRDefault="009A272C" w:rsidP="00763CF0">
      <w:pPr>
        <w:pStyle w:val="Heading3"/>
      </w:pPr>
      <w:bookmarkStart w:id="47" w:name="_Toc211651632"/>
      <w:r w:rsidRPr="009A272C">
        <w:t>Bioinformatics</w:t>
      </w:r>
      <w:r w:rsidR="00416F84">
        <w:t xml:space="preserve"> </w:t>
      </w:r>
      <w:r w:rsidRPr="009A272C">
        <w:t>Analys</w:t>
      </w:r>
      <w:r w:rsidR="00416F84">
        <w:t>i</w:t>
      </w:r>
      <w:r w:rsidRPr="009A272C">
        <w:t>s</w:t>
      </w:r>
      <w:bookmarkEnd w:id="47"/>
    </w:p>
    <w:p w14:paraId="56B8B7D7" w14:textId="3F5BE087" w:rsidR="00C30A40" w:rsidRDefault="00524864" w:rsidP="00C30A40">
      <w:pPr>
        <w:pStyle w:val="normale"/>
      </w:pPr>
      <w:r w:rsidRPr="00524864">
        <w:t xml:space="preserve">Raw sequence reads were demultiplexed by the Illumina </w:t>
      </w:r>
      <w:proofErr w:type="spellStart"/>
      <w:r w:rsidRPr="00524864">
        <w:t>MiSeq</w:t>
      </w:r>
      <w:proofErr w:type="spellEnd"/>
      <w:r w:rsidRPr="00524864">
        <w:t xml:space="preserve"> system based on dual </w:t>
      </w:r>
      <w:proofErr w:type="spellStart"/>
      <w:r w:rsidRPr="00524864">
        <w:t>Nextera</w:t>
      </w:r>
      <w:proofErr w:type="spellEnd"/>
      <w:r w:rsidRPr="00524864">
        <w:t xml:space="preserve"> i7/i5 index combinations. Demultiplexed reads were processed using the </w:t>
      </w:r>
      <w:proofErr w:type="spellStart"/>
      <w:r w:rsidRPr="00524864">
        <w:t>Barque</w:t>
      </w:r>
      <w:proofErr w:type="spellEnd"/>
      <w:r w:rsidRPr="00524864">
        <w:t xml:space="preserve"> pipeline v1.8.5 </w:t>
      </w:r>
      <w:r w:rsidR="009E1664" w:rsidRPr="009E1664">
        <w:t xml:space="preserve"> (Mathon et al., 2021; </w:t>
      </w:r>
      <w:hyperlink r:id="rId13" w:history="1">
        <w:r w:rsidR="00891F95" w:rsidRPr="005B1688">
          <w:rPr>
            <w:rStyle w:val="Hyperlink"/>
            <w:rFonts w:ascii="Times New Roman" w:hAnsi="Times New Roman"/>
          </w:rPr>
          <w:t>https://github.com/enormandeau/barque</w:t>
        </w:r>
      </w:hyperlink>
      <w:r w:rsidRPr="00524864">
        <w:t xml:space="preserve">). Within </w:t>
      </w:r>
      <w:proofErr w:type="spellStart"/>
      <w:r w:rsidRPr="00524864">
        <w:t>Barque</w:t>
      </w:r>
      <w:proofErr w:type="spellEnd"/>
      <w:r w:rsidRPr="00524864">
        <w:t xml:space="preserve">, raw reads were quality trimmed using </w:t>
      </w:r>
      <w:proofErr w:type="spellStart"/>
      <w:r w:rsidRPr="00524864">
        <w:t>Trimmomatic</w:t>
      </w:r>
      <w:proofErr w:type="spellEnd"/>
      <w:r w:rsidRPr="00524864">
        <w:t xml:space="preserve"> v0.39 (Bolger et al., 2014) to remove low-quality bases and adapters, then merged by overlapping paired-end reads with FLASH v1.2.11 (</w:t>
      </w:r>
      <w:proofErr w:type="spellStart"/>
      <w:r w:rsidRPr="00524864">
        <w:t>Magoč</w:t>
      </w:r>
      <w:proofErr w:type="spellEnd"/>
      <w:r w:rsidRPr="00524864">
        <w:t xml:space="preserve"> &amp; Salzberg, 2011). Reads falling outside the expected amplicon length range (150–200 bp for 12S, 170–240 bp for 16S, and 220–260 bp for </w:t>
      </w:r>
      <w:r w:rsidRPr="00524864">
        <w:lastRenderedPageBreak/>
        <w:t xml:space="preserve">COI) were excluded from further analysis using a custom </w:t>
      </w:r>
      <w:proofErr w:type="spellStart"/>
      <w:r w:rsidRPr="00524864">
        <w:t>Barque</w:t>
      </w:r>
      <w:proofErr w:type="spellEnd"/>
      <w:r w:rsidRPr="00524864">
        <w:t xml:space="preserve"> script. Chimeric sequences were identified and removed using VSEARCH v2.27.0 (Rognes et al., 2016). All unique reads were dereplicated into amplicon sequence variants (ASVs), which were taxonomically assigned using </w:t>
      </w:r>
      <w:proofErr w:type="spellStart"/>
      <w:r w:rsidRPr="00524864">
        <w:t>BLASTn</w:t>
      </w:r>
      <w:proofErr w:type="spellEnd"/>
      <w:r w:rsidRPr="00524864">
        <w:t xml:space="preserve"> against the corresponding reference database for each target. Assignments were accepted for the species-level at ≥97% sequence identity and ≥80% query coverage. For fish data, the 12S reference database was downloaded from the </w:t>
      </w:r>
      <w:proofErr w:type="spellStart"/>
      <w:r w:rsidRPr="00524864">
        <w:t>MitoFish</w:t>
      </w:r>
      <w:proofErr w:type="spellEnd"/>
      <w:r w:rsidRPr="00524864">
        <w:t xml:space="preserve"> eDNA metabarcoding repository (Miya et al., 2020; Sato et al., 2018; Zhu et al., 2023; updated April 2025). For mussel target genes, reference databases were constructed for each the 16S and COI markers using CRABS v1.12.0</w:t>
      </w:r>
      <w:r w:rsidR="006576CB" w:rsidRPr="006576CB">
        <w:t> </w:t>
      </w:r>
      <w:hyperlink r:id="rId14" w:history="1">
        <w:r w:rsidR="006576CB" w:rsidRPr="006576CB">
          <w:rPr>
            <w:rStyle w:val="Hyperlink"/>
            <w:rFonts w:ascii="Times New Roman" w:hAnsi="Times New Roman"/>
          </w:rPr>
          <w:t>(</w:t>
        </w:r>
        <w:proofErr w:type="spellStart"/>
        <w:r w:rsidR="006576CB" w:rsidRPr="006576CB">
          <w:rPr>
            <w:rStyle w:val="Hyperlink"/>
            <w:rFonts w:ascii="Times New Roman" w:hAnsi="Times New Roman"/>
          </w:rPr>
          <w:t>Jeunen</w:t>
        </w:r>
        <w:proofErr w:type="spellEnd"/>
        <w:r w:rsidR="006576CB" w:rsidRPr="006576CB">
          <w:rPr>
            <w:rStyle w:val="Hyperlink"/>
            <w:rFonts w:ascii="Times New Roman" w:hAnsi="Times New Roman"/>
          </w:rPr>
          <w:t xml:space="preserve"> et al., 2023)</w:t>
        </w:r>
      </w:hyperlink>
      <w:r w:rsidRPr="00524864">
        <w:t xml:space="preserve"> to download all available GenBank sequences corresponding to the order </w:t>
      </w:r>
      <w:proofErr w:type="spellStart"/>
      <w:r w:rsidRPr="00662C71">
        <w:rPr>
          <w:i/>
          <w:iCs/>
        </w:rPr>
        <w:t>Unionida</w:t>
      </w:r>
      <w:proofErr w:type="spellEnd"/>
      <w:r w:rsidRPr="00524864">
        <w:t xml:space="preserve">. CRABS was used to trim and de-replicate the reference databases, then they were exported and modified to accommodate for the format that </w:t>
      </w:r>
      <w:proofErr w:type="spellStart"/>
      <w:r w:rsidRPr="00524864">
        <w:t>Barque</w:t>
      </w:r>
      <w:proofErr w:type="spellEnd"/>
      <w:r w:rsidRPr="00524864">
        <w:t xml:space="preserve"> tool requires.</w:t>
      </w:r>
    </w:p>
    <w:p w14:paraId="20B228DC" w14:textId="454DD964" w:rsidR="00524864" w:rsidRPr="00C30A40" w:rsidRDefault="00662C71" w:rsidP="00C30A40">
      <w:pPr>
        <w:pStyle w:val="normale"/>
      </w:pPr>
      <w:r w:rsidRPr="00662C71">
        <w:t xml:space="preserve">Following taxonomic assignment, all ASVs were manually inspected to remove taxa considered highly improbable for the study area based on historical records from the Tennessee Valley Authority (TVA) and publicly available databases (e.g., USGS, </w:t>
      </w:r>
      <w:proofErr w:type="spellStart"/>
      <w:r w:rsidRPr="00662C71">
        <w:t>FishBase</w:t>
      </w:r>
      <w:proofErr w:type="spellEnd"/>
      <w:r w:rsidRPr="00662C71">
        <w:t xml:space="preserve">). To reduce potential false positives, ASVs with fewer than ten reads per site were excluded. Multi-hit ASVs that could not be resolved to a single species were retained at the genus level (e.g., </w:t>
      </w:r>
      <w:proofErr w:type="spellStart"/>
      <w:r w:rsidRPr="00662C71">
        <w:rPr>
          <w:i/>
          <w:iCs/>
        </w:rPr>
        <w:t>Campostoma</w:t>
      </w:r>
      <w:proofErr w:type="spellEnd"/>
      <w:r w:rsidRPr="00662C71">
        <w:rPr>
          <w:i/>
          <w:iCs/>
        </w:rPr>
        <w:t xml:space="preserve"> sp</w:t>
      </w:r>
      <w:r w:rsidRPr="00662C71">
        <w:t xml:space="preserve">., </w:t>
      </w:r>
      <w:r w:rsidRPr="00662C71">
        <w:rPr>
          <w:i/>
          <w:iCs/>
        </w:rPr>
        <w:t>Notropis sp.).</w:t>
      </w:r>
    </w:p>
    <w:p w14:paraId="29C05A79" w14:textId="2EBD76C4" w:rsidR="00416F84" w:rsidRDefault="00C30A40" w:rsidP="00763CF0">
      <w:pPr>
        <w:pStyle w:val="Heading3"/>
      </w:pPr>
      <w:bookmarkStart w:id="48" w:name="_Toc211651633"/>
      <w:r>
        <w:t>C</w:t>
      </w:r>
      <w:r w:rsidRPr="00C30A40">
        <w:t>ommunity and Diversity Analyses</w:t>
      </w:r>
      <w:bookmarkEnd w:id="48"/>
    </w:p>
    <w:p w14:paraId="4B873618" w14:textId="61FBAFB0" w:rsidR="005E01AE" w:rsidRDefault="005E01AE" w:rsidP="005E01AE">
      <w:pPr>
        <w:pStyle w:val="normale"/>
      </w:pPr>
      <w:r w:rsidRPr="005E01AE">
        <w:t>All statistical analyses were conducted in R v4.4.2 (R Core Team, 2024). Species detections were compiled into site-by-species matrices for each molecular assay (12S eDNA, 12S eRNA, 16S eDNA, and COI eDNA). For mussel datasets, binary (presence–</w:t>
      </w:r>
      <w:r w:rsidRPr="005E01AE">
        <w:lastRenderedPageBreak/>
        <w:t>absence) matrices were used to minimize the influence of the COI amplification bias and current incomplete reference coverage. Analyses for both taxa incorporated available conventional survey data to the extent possible. For fish, the 12S eDNA and eRNA results were compared with concurrent 2023 morphological surveys conducted at partially overlapping sites. Similarly, for mussels, the 16S and COI eDNA datasets were evaluated alongside results from the 2023 conventional survey.</w:t>
      </w:r>
    </w:p>
    <w:p w14:paraId="6032E62D" w14:textId="159F0727" w:rsidR="00A52EBF" w:rsidRPr="00A52EBF" w:rsidRDefault="005E01AE" w:rsidP="00A52EBF">
      <w:pPr>
        <w:pStyle w:val="normale"/>
      </w:pPr>
      <w:r w:rsidRPr="005E01AE">
        <w:t>Alpha diversity (species richness) was calculated for each method, and pairwise Wilcoxon signed-rank tests were used to compare richness between detection methods at paired sites.</w:t>
      </w:r>
      <w:r w:rsidR="00546598">
        <w:t xml:space="preserve"> </w:t>
      </w:r>
      <w:r w:rsidRPr="005E01AE">
        <w:t xml:space="preserve">Venn diagrams were generated using the </w:t>
      </w:r>
      <w:proofErr w:type="spellStart"/>
      <w:r w:rsidRPr="005E01AE">
        <w:t>VennDiagram</w:t>
      </w:r>
      <w:proofErr w:type="spellEnd"/>
      <w:r w:rsidRPr="005E01AE">
        <w:t xml:space="preserve"> R package (Chen &amp; Boutros, 2011) to visualize species overlap among molecular and conventional (morphological) surveys for both fish and mussels.</w:t>
      </w:r>
      <w:r w:rsidR="00546598">
        <w:t xml:space="preserve"> Moreover, be</w:t>
      </w:r>
      <w:r w:rsidR="00A52EBF" w:rsidRPr="00A52EBF">
        <w:t xml:space="preserve">ta diversity (community composition) was examined using Non-metric Multidimensional Scaling (NMDS) ordination based on Jaccard dissimilarities computed from site-level read counts (fish) or presence–absence data (mussels). NMDS analyses were implemented with the </w:t>
      </w:r>
      <w:proofErr w:type="spellStart"/>
      <w:r w:rsidR="00A52EBF" w:rsidRPr="00A52EBF">
        <w:t>metaMDS</w:t>
      </w:r>
      <w:proofErr w:type="spellEnd"/>
      <w:r w:rsidR="00A52EBF" w:rsidRPr="00A52EBF">
        <w:t>() function in the vegan v2.7–1 package (Oksanen et al., 20</w:t>
      </w:r>
      <w:r w:rsidR="002B30EA">
        <w:t>01</w:t>
      </w:r>
      <w:r w:rsidR="00A52EBF" w:rsidRPr="00A52EBF">
        <w:t>) using 999 permutations.</w:t>
      </w:r>
    </w:p>
    <w:p w14:paraId="77A0C055" w14:textId="5550E1BE" w:rsidR="00802A70" w:rsidRPr="00802A70" w:rsidRDefault="00A52EBF" w:rsidP="00802A70">
      <w:pPr>
        <w:pStyle w:val="normale"/>
      </w:pPr>
      <w:r w:rsidRPr="00A52EBF">
        <w:t>For the 12S datasets, ordinations were generated separately for eDNA and eRNA libraries using aggregated site-level read counts (summed across technical replicates). For the 16S and COI datasets, NMDS was conducted using presence–absence (binary) data, as amplification bias and incomplete reference coverage precluded quantitative interpretation.</w:t>
      </w:r>
      <w:r w:rsidR="00546598">
        <w:t xml:space="preserve"> </w:t>
      </w:r>
      <w:r w:rsidR="00802A70" w:rsidRPr="00802A70">
        <w:t xml:space="preserve">Community dissimilarities were computed using the Bray–Curtis index with binary transformation (Sørensen equivalent). Procrustes analyses (protest()) were </w:t>
      </w:r>
      <w:r w:rsidR="00802A70" w:rsidRPr="00802A70">
        <w:lastRenderedPageBreak/>
        <w:t>used to evaluate the degree of alignment between ordination configurations (e.g., eDNA vs. eRNA, COI vs. 16S), while Mantel tests (mantel()) were performed to assess correlations between corresponding distance matrices. All tests were based on 999 permutations.</w:t>
      </w:r>
    </w:p>
    <w:p w14:paraId="07E234BA" w14:textId="77777777" w:rsidR="001129A0" w:rsidRDefault="00802A70" w:rsidP="001129A0">
      <w:pPr>
        <w:pStyle w:val="normale"/>
      </w:pPr>
      <w:r w:rsidRPr="00802A70">
        <w:t xml:space="preserve">The influence of environmental variables (temperature, pH, dissolved oxygen, conductivity, turbidity, and distance from dam) on NMDS ordination structure was assessed using </w:t>
      </w:r>
      <w:proofErr w:type="spellStart"/>
      <w:r w:rsidRPr="00802A70">
        <w:t>envfit</w:t>
      </w:r>
      <w:proofErr w:type="spellEnd"/>
      <w:r w:rsidRPr="00802A70">
        <w:t xml:space="preserve">() in vegan. PERMANOVA analyses (adonis2()) were used to test for significant effects of dam distance on community composition, and </w:t>
      </w:r>
      <w:proofErr w:type="spellStart"/>
      <w:r w:rsidRPr="00802A70">
        <w:t>betadisper</w:t>
      </w:r>
      <w:proofErr w:type="spellEnd"/>
      <w:r w:rsidRPr="00802A70">
        <w:t>() was applied to verify homogeneity of dispersion among groups.</w:t>
      </w:r>
    </w:p>
    <w:p w14:paraId="34646085" w14:textId="04DE52BA" w:rsidR="00236285" w:rsidRDefault="00DB0972" w:rsidP="00763CF0">
      <w:pPr>
        <w:pStyle w:val="Heading3"/>
      </w:pPr>
      <w:bookmarkStart w:id="49" w:name="_Toc211651634"/>
      <w:r w:rsidRPr="00DB0972">
        <w:t>Hellbender qPCR analysis</w:t>
      </w:r>
      <w:bookmarkEnd w:id="49"/>
    </w:p>
    <w:p w14:paraId="3E3B11F3" w14:textId="5D1ACC51" w:rsidR="001129A0" w:rsidRPr="001129A0" w:rsidRDefault="001129A0" w:rsidP="001129A0">
      <w:pPr>
        <w:pStyle w:val="normale"/>
      </w:pPr>
      <w:r w:rsidRPr="001129A0">
        <w:t>Quantitative PCR (qPCR) assays targeting the Eastern Hellbender (</w:t>
      </w:r>
      <w:proofErr w:type="spellStart"/>
      <w:r w:rsidRPr="00546598">
        <w:rPr>
          <w:i/>
          <w:iCs/>
        </w:rPr>
        <w:t>Cryptobranchus</w:t>
      </w:r>
      <w:proofErr w:type="spellEnd"/>
      <w:r w:rsidRPr="00546598">
        <w:rPr>
          <w:i/>
          <w:iCs/>
        </w:rPr>
        <w:t xml:space="preserve"> </w:t>
      </w:r>
      <w:proofErr w:type="spellStart"/>
      <w:r w:rsidRPr="00546598">
        <w:rPr>
          <w:i/>
          <w:iCs/>
        </w:rPr>
        <w:t>alleganiensis</w:t>
      </w:r>
      <w:proofErr w:type="spellEnd"/>
      <w:r w:rsidRPr="00546598">
        <w:rPr>
          <w:i/>
          <w:iCs/>
        </w:rPr>
        <w:t xml:space="preserve"> </w:t>
      </w:r>
      <w:proofErr w:type="spellStart"/>
      <w:r w:rsidRPr="00546598">
        <w:rPr>
          <w:i/>
          <w:iCs/>
        </w:rPr>
        <w:t>alleganiensis</w:t>
      </w:r>
      <w:proofErr w:type="spellEnd"/>
      <w:r w:rsidRPr="00546598">
        <w:t xml:space="preserve">) </w:t>
      </w:r>
      <w:r w:rsidRPr="001129A0">
        <w:t xml:space="preserve">were performed using the CRALQ </w:t>
      </w:r>
      <w:proofErr w:type="spellStart"/>
      <w:r w:rsidRPr="001129A0">
        <w:t>Cyt</w:t>
      </w:r>
      <w:r w:rsidR="0033163D">
        <w:t>B</w:t>
      </w:r>
      <w:proofErr w:type="spellEnd"/>
      <w:r w:rsidRPr="001129A0">
        <w:t xml:space="preserve"> assay developed by Spear et al. (2015). The published primers CRALQ-F (5′-GTTTGCATGAGTATTRCGGATT-3′) and CRALQ-R (5′-TCGCTATRCATTATACAGCAGATACA-3′), along with the species-specific hydrolysis probe 5′-6FAM-CATCTCGGCAGATATG-MGB-NFQ-3′, were used to amplify a 104 bp fragment of the mitochondrial cytochrome b gene.</w:t>
      </w:r>
    </w:p>
    <w:p w14:paraId="1DFE409F" w14:textId="77777777" w:rsidR="001129A0" w:rsidRDefault="001129A0" w:rsidP="001129A0">
      <w:pPr>
        <w:pStyle w:val="normale"/>
      </w:pPr>
      <w:r w:rsidRPr="001129A0">
        <w:t>Each 20 µL qPCR reaction contained 10 µL of Environmental TaqMan® Master Mix (</w:t>
      </w:r>
      <w:proofErr w:type="spellStart"/>
      <w:r w:rsidRPr="001129A0">
        <w:t>Thermo</w:t>
      </w:r>
      <w:proofErr w:type="spellEnd"/>
      <w:r w:rsidRPr="001129A0">
        <w:t xml:space="preserve"> Fisher Scientific), 1.8 µL of each primer (10 µM), 0.5 µL of probe (10 µM), 3.9 µL of nuclease-free water, and 2 µL of DNA or cDNA template. Reactions were run on a </w:t>
      </w:r>
      <w:proofErr w:type="spellStart"/>
      <w:r w:rsidRPr="001129A0">
        <w:t>QuantStudio</w:t>
      </w:r>
      <w:proofErr w:type="spellEnd"/>
      <w:r w:rsidRPr="001129A0">
        <w:t>™ 3 Real-Time PCR System (</w:t>
      </w:r>
      <w:proofErr w:type="spellStart"/>
      <w:r w:rsidRPr="001129A0">
        <w:t>Thermo</w:t>
      </w:r>
      <w:proofErr w:type="spellEnd"/>
      <w:r w:rsidRPr="001129A0">
        <w:t xml:space="preserve"> Fisher Scientific) under the following </w:t>
      </w:r>
      <w:r w:rsidRPr="001129A0">
        <w:lastRenderedPageBreak/>
        <w:t>cycling conditions: 95 °C for 15 min, followed by 50 cycles of 94 °C for 60 s and 60 °C for 60 s, with fluorescence data collected during the annealing/extension step.</w:t>
      </w:r>
    </w:p>
    <w:p w14:paraId="2AE584A2" w14:textId="52447793" w:rsidR="00876E22" w:rsidRDefault="00876E22" w:rsidP="00876E22">
      <w:pPr>
        <w:pStyle w:val="normale"/>
      </w:pPr>
      <w:r>
        <w:t xml:space="preserve">Each plate included a no-template control, extraction and field blanks, and a </w:t>
      </w:r>
      <w:proofErr w:type="spellStart"/>
      <w:r>
        <w:t>gBlock</w:t>
      </w:r>
      <w:proofErr w:type="spellEnd"/>
      <w:r>
        <w:t xml:space="preserve">® synthetic DNA standard curve diluted in two series (10,000–0.1 and 5,000–5 copies µL⁻¹). All standards, samples, and controls were run in triplicate. Standard curves were </w:t>
      </w:r>
      <w:r w:rsidR="00BC1B5C">
        <w:t xml:space="preserve">retrieved from </w:t>
      </w:r>
      <w:r w:rsidR="00BC1B5C" w:rsidRPr="00BC1B5C">
        <w:t xml:space="preserve">Design &amp; Analysis 2 (DA2) software </w:t>
      </w:r>
      <w:r w:rsidR="00BC1B5C">
        <w:t xml:space="preserve">(version 2.8.0) </w:t>
      </w:r>
      <w:r w:rsidR="008B0AA0">
        <w:t>to be</w:t>
      </w:r>
      <w:r w:rsidR="00BC1B5C">
        <w:t xml:space="preserve"> </w:t>
      </w:r>
      <w:r>
        <w:t xml:space="preserve">used </w:t>
      </w:r>
      <w:r w:rsidR="008B0AA0">
        <w:t>in</w:t>
      </w:r>
      <w:r>
        <w:t xml:space="preserve"> determin</w:t>
      </w:r>
      <w:r w:rsidR="008B0AA0">
        <w:t>ing</w:t>
      </w:r>
      <w:r>
        <w:t xml:space="preserve"> amplification efficiency and the limit of detection (LOD) following Hunter et al. (2017), where LOD = 3.3 × σ / S (σ = standard deviation of the y-intercept; S = slope of the standard curve). Runs in which any negative controls amplified were repeated in full or partially repeated for the samples concurring with those field negatives. Samples were considered a positive detection when at least one of three technical replicates showed a quantifiable amplification above the </w:t>
      </w:r>
      <w:proofErr w:type="spellStart"/>
      <w:r>
        <w:t>LoD</w:t>
      </w:r>
      <w:proofErr w:type="spellEnd"/>
      <w:r>
        <w:t xml:space="preserve">. Replicates below the </w:t>
      </w:r>
      <w:proofErr w:type="spellStart"/>
      <w:r>
        <w:t>LoD</w:t>
      </w:r>
      <w:proofErr w:type="spellEnd"/>
      <w:r>
        <w:t xml:space="preserve"> were noted but treated separately during analysis. Site-level detection was recorded when at least one positive sample occurred per site</w:t>
      </w:r>
      <w:r w:rsidR="00DA12A0">
        <w:t>.</w:t>
      </w:r>
      <w:r>
        <w:t xml:space="preserve"> </w:t>
      </w:r>
    </w:p>
    <w:p w14:paraId="6E5640B0" w14:textId="77777777" w:rsidR="005808B0" w:rsidRDefault="00876E22" w:rsidP="005808B0">
      <w:pPr>
        <w:pStyle w:val="normale"/>
      </w:pPr>
      <w:r>
        <w:t xml:space="preserve">To estimate occupancy and detection probabilities, single-season occupancy models were fitted using the unmarked R package (Fiske &amp; Chandler, 2011). Two detection datasets were analyzed: (1) </w:t>
      </w:r>
      <w:r w:rsidR="004C08E6">
        <w:t xml:space="preserve">all detections </w:t>
      </w:r>
      <w:r w:rsidR="00CE0F5E">
        <w:t>(either</w:t>
      </w:r>
      <w:r>
        <w:t xml:space="preserve"> above or below the </w:t>
      </w:r>
      <w:proofErr w:type="spellStart"/>
      <w:r>
        <w:t>LoD</w:t>
      </w:r>
      <w:proofErr w:type="spellEnd"/>
      <w:r w:rsidR="00CE0F5E">
        <w:t>)</w:t>
      </w:r>
      <w:r>
        <w:t>; and (2) ≥</w:t>
      </w:r>
      <w:r w:rsidR="007B688F">
        <w:t xml:space="preserve"> </w:t>
      </w:r>
      <w:proofErr w:type="spellStart"/>
      <w:r>
        <w:t>LoD</w:t>
      </w:r>
      <w:proofErr w:type="spellEnd"/>
      <w:r>
        <w:t xml:space="preserve"> detections</w:t>
      </w:r>
      <w:r w:rsidR="00CE0F5E">
        <w:t xml:space="preserve">, which were </w:t>
      </w:r>
      <w:r>
        <w:t xml:space="preserve">restricted to quantifiable amplifications above the </w:t>
      </w:r>
      <w:proofErr w:type="spellStart"/>
      <w:r>
        <w:t>LoD</w:t>
      </w:r>
      <w:proofErr w:type="spellEnd"/>
      <w:r>
        <w:t xml:space="preserve"> threshold. Candidate models incorporated site-level covariates including conductivity, temperature, and dissolved oxygen, which were measured concurrently at each sampling location.</w:t>
      </w:r>
      <w:bookmarkStart w:id="50" w:name="_Toc211651635"/>
    </w:p>
    <w:p w14:paraId="590EB876" w14:textId="7DFC84F0" w:rsidR="0002039D" w:rsidRPr="005808B0" w:rsidRDefault="0002039D" w:rsidP="002510DC">
      <w:pPr>
        <w:pStyle w:val="Heading2"/>
      </w:pPr>
      <w:r>
        <w:lastRenderedPageBreak/>
        <w:t>Results and Discussion</w:t>
      </w:r>
      <w:bookmarkEnd w:id="50"/>
    </w:p>
    <w:p w14:paraId="5E9EEAC1" w14:textId="586BF44B" w:rsidR="0002039D" w:rsidRDefault="00222814" w:rsidP="00763CF0">
      <w:pPr>
        <w:pStyle w:val="Heading3"/>
      </w:pPr>
      <w:bookmarkStart w:id="51" w:name="_Toc211651636"/>
      <w:r>
        <w:t>Water Chemistry Analysis</w:t>
      </w:r>
      <w:bookmarkEnd w:id="51"/>
    </w:p>
    <w:p w14:paraId="29A34ADE" w14:textId="77777777" w:rsidR="00264420" w:rsidRDefault="00222814" w:rsidP="00264420">
      <w:pPr>
        <w:pStyle w:val="normale"/>
        <w:keepNext/>
      </w:pPr>
      <w:r w:rsidRPr="00222814">
        <w:t xml:space="preserve">Majority of water chemistry parameters were found to be uniform along the ACR (average temperature = 23.7 ± 1.4 (SD) °C, average pH = 7.14 ± 0.14, average DO = 7.95 ± 0.47 mg/L, average conductivity = 32.0 ± 5.3 µs/cm).  However, turbidity (NTU) increased significantly downstream of </w:t>
      </w:r>
      <w:proofErr w:type="spellStart"/>
      <w:r w:rsidRPr="00222814">
        <w:t>Turtletown</w:t>
      </w:r>
      <w:proofErr w:type="spellEnd"/>
      <w:r w:rsidRPr="00222814">
        <w:t xml:space="preserve"> Creek (upstream average = 0.30± 0.20, downstream average = 2.17 ± 0.26, p&lt;0.05)</w:t>
      </w:r>
      <w:r>
        <w:t xml:space="preserve">. </w:t>
      </w:r>
      <w:r w:rsidRPr="00222814">
        <w:t xml:space="preserve">The turbidity measured within </w:t>
      </w:r>
      <w:proofErr w:type="spellStart"/>
      <w:r w:rsidRPr="00222814">
        <w:t>Turtletown</w:t>
      </w:r>
      <w:proofErr w:type="spellEnd"/>
      <w:r w:rsidRPr="00222814">
        <w:t xml:space="preserve"> Creek had the highest turbidity measurement of any sampling site at 7.49 NTU</w:t>
      </w:r>
      <w:r>
        <w:t xml:space="preserve">. </w:t>
      </w:r>
      <w:r w:rsidRPr="00222814">
        <w:t xml:space="preserve">The high level of turbidity may lead to the presence of environmental inhibitors within the samples collected downstream of </w:t>
      </w:r>
      <w:proofErr w:type="spellStart"/>
      <w:r w:rsidRPr="00222814">
        <w:t>Turtletown</w:t>
      </w:r>
      <w:proofErr w:type="spellEnd"/>
      <w:r w:rsidRPr="00222814">
        <w:t xml:space="preserve"> Creek</w:t>
      </w:r>
      <w:r>
        <w:t xml:space="preserve"> </w:t>
      </w:r>
      <w:r w:rsidRPr="00222814">
        <w:t>(</w:t>
      </w:r>
      <w:r w:rsidRPr="00222814">
        <w:rPr>
          <w:b/>
          <w:bCs/>
        </w:rPr>
        <w:t>Figure 2</w:t>
      </w:r>
      <w:r w:rsidRPr="00222814">
        <w:t>).</w:t>
      </w:r>
      <w:r>
        <w:t xml:space="preserve"> </w:t>
      </w:r>
    </w:p>
    <w:p w14:paraId="0720AD0D" w14:textId="77777777" w:rsidR="00B44D9F" w:rsidRDefault="00B44D9F" w:rsidP="00B44D9F">
      <w:pPr>
        <w:pStyle w:val="normale"/>
        <w:keepNext/>
        <w:jc w:val="center"/>
      </w:pPr>
      <w:r>
        <w:rPr>
          <w:noProof/>
        </w:rPr>
        <w:drawing>
          <wp:inline distT="0" distB="0" distL="0" distR="0" wp14:anchorId="12208179" wp14:editId="49B38F94">
            <wp:extent cx="4748296" cy="3561226"/>
            <wp:effectExtent l="0" t="0" r="0" b="0"/>
            <wp:docPr id="1675032891" name="Picture 3"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032891" name="Picture 3" descr="Chart, line char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64935" cy="3573706"/>
                    </a:xfrm>
                    <a:prstGeom prst="rect">
                      <a:avLst/>
                    </a:prstGeom>
                  </pic:spPr>
                </pic:pic>
              </a:graphicData>
            </a:graphic>
          </wp:inline>
        </w:drawing>
      </w:r>
    </w:p>
    <w:p w14:paraId="68EF7CB9" w14:textId="77777777" w:rsidR="002C0BB1" w:rsidRDefault="00B44D9F" w:rsidP="0082280B">
      <w:pPr>
        <w:pStyle w:val="Caption"/>
      </w:pPr>
      <w:bookmarkStart w:id="52" w:name="_Toc211656146"/>
      <w:r w:rsidRPr="0065446A">
        <w:rPr>
          <w:b/>
          <w:bCs/>
        </w:rPr>
        <w:t xml:space="preserve">Figure </w:t>
      </w:r>
      <w:r w:rsidRPr="0065446A">
        <w:rPr>
          <w:b/>
          <w:bCs/>
        </w:rPr>
        <w:fldChar w:fldCharType="begin"/>
      </w:r>
      <w:r w:rsidRPr="0065446A">
        <w:rPr>
          <w:b/>
          <w:bCs/>
        </w:rPr>
        <w:instrText xml:space="preserve"> SEQ Figure \* ARABIC </w:instrText>
      </w:r>
      <w:r w:rsidRPr="0065446A">
        <w:rPr>
          <w:b/>
          <w:bCs/>
        </w:rPr>
        <w:fldChar w:fldCharType="separate"/>
      </w:r>
      <w:r w:rsidR="008C02C3" w:rsidRPr="0065446A">
        <w:rPr>
          <w:b/>
          <w:bCs/>
          <w:noProof/>
        </w:rPr>
        <w:t>2</w:t>
      </w:r>
      <w:r w:rsidRPr="0065446A">
        <w:rPr>
          <w:b/>
          <w:bCs/>
        </w:rPr>
        <w:fldChar w:fldCharType="end"/>
      </w:r>
      <w:r w:rsidRPr="0065446A">
        <w:rPr>
          <w:b/>
          <w:bCs/>
        </w:rPr>
        <w:t>.</w:t>
      </w:r>
      <w:r w:rsidRPr="00A154B9">
        <w:t xml:space="preserve"> Spatial variation in water chemistry parameters along the </w:t>
      </w:r>
      <w:proofErr w:type="spellStart"/>
      <w:r w:rsidRPr="00A154B9">
        <w:t>Apalachia</w:t>
      </w:r>
      <w:proofErr w:type="spellEnd"/>
      <w:r w:rsidRPr="00A154B9">
        <w:t xml:space="preserve"> Cutoff Reach mainstem.</w:t>
      </w:r>
      <w:bookmarkEnd w:id="52"/>
    </w:p>
    <w:p w14:paraId="0E7E5D9D" w14:textId="5292E888" w:rsidR="00264420" w:rsidRPr="00A154B9" w:rsidRDefault="004032BE" w:rsidP="0082280B">
      <w:pPr>
        <w:pStyle w:val="Caption"/>
      </w:pPr>
      <w:r>
        <w:br/>
      </w:r>
    </w:p>
    <w:p w14:paraId="6358405A" w14:textId="4550D1DB" w:rsidR="00D92300" w:rsidRDefault="00D92300" w:rsidP="00763CF0">
      <w:pPr>
        <w:pStyle w:val="Heading3"/>
      </w:pPr>
      <w:bookmarkStart w:id="53" w:name="_Toc211651637"/>
      <w:r>
        <w:lastRenderedPageBreak/>
        <w:t>Metabarcoding Libraries Sequencing Quality</w:t>
      </w:r>
      <w:bookmarkEnd w:id="53"/>
    </w:p>
    <w:p w14:paraId="093AA02B" w14:textId="68FC714A" w:rsidR="00B74ABC" w:rsidRDefault="00B74ABC" w:rsidP="00FC086C">
      <w:pPr>
        <w:pStyle w:val="normale"/>
      </w:pPr>
      <w:r w:rsidRPr="00B74ABC">
        <w:t xml:space="preserve">The sequencing output summary for all metabarcoding libraries is provided in </w:t>
      </w:r>
      <w:r w:rsidRPr="00B74ABC">
        <w:rPr>
          <w:b/>
          <w:bCs/>
        </w:rPr>
        <w:t>Table 4</w:t>
      </w:r>
      <w:r>
        <w:t>.</w:t>
      </w:r>
      <w:r w:rsidRPr="00B74ABC">
        <w:t xml:space="preserve"> These values represent only positive samples and exclude negative controls.</w:t>
      </w:r>
    </w:p>
    <w:p w14:paraId="2B8DD3DD" w14:textId="58707C54" w:rsidR="00A154B9" w:rsidRPr="000040DA" w:rsidRDefault="00FC086C" w:rsidP="00FC086C">
      <w:pPr>
        <w:pStyle w:val="normale"/>
        <w:rPr>
          <w:color w:val="000000" w:themeColor="text1"/>
        </w:rPr>
      </w:pPr>
      <w:r w:rsidRPr="00A154B9">
        <w:rPr>
          <w:color w:val="000000" w:themeColor="text1"/>
        </w:rPr>
        <w:t xml:space="preserve">For the Fish 12S sequencing results, the majority of raw reads from both eDNA and eRNA libraries corresponded to non-target bacterial 16S rRNA sequences, representing more than 99% of the total dataset. This off-target amplification is consistent with the known limitations of </w:t>
      </w:r>
      <w:proofErr w:type="spellStart"/>
      <w:r w:rsidRPr="00A154B9">
        <w:rPr>
          <w:color w:val="000000" w:themeColor="text1"/>
        </w:rPr>
        <w:t>MiFish</w:t>
      </w:r>
      <w:proofErr w:type="spellEnd"/>
      <w:r w:rsidRPr="00A154B9">
        <w:rPr>
          <w:color w:val="000000" w:themeColor="text1"/>
        </w:rPr>
        <w:t xml:space="preserve"> 12S primers when used in complex environmental extracts containing abundant microbial DNA. However, we still used the ASV results for preliminary community analyses. The 12S eDNA and eRNA assays will both be repeated with modified library preparation protocols to reduce the non-target amplification and improve efficiency in future runs. Moreover, all eDNA and eRNA negative controls were clean, except for one extraction blank that yielded a single detection of </w:t>
      </w:r>
      <w:r w:rsidRPr="00A154B9">
        <w:rPr>
          <w:i/>
          <w:iCs/>
          <w:color w:val="000000" w:themeColor="text1"/>
        </w:rPr>
        <w:t>Oncorhynchus mykiss</w:t>
      </w:r>
      <w:r w:rsidRPr="00A154B9">
        <w:rPr>
          <w:color w:val="000000" w:themeColor="text1"/>
        </w:rPr>
        <w:t xml:space="preserve">. However, </w:t>
      </w:r>
      <w:r w:rsidRPr="00A154B9">
        <w:rPr>
          <w:i/>
          <w:iCs/>
          <w:color w:val="000000" w:themeColor="text1"/>
        </w:rPr>
        <w:t>O. mykiss</w:t>
      </w:r>
      <w:r w:rsidRPr="00A154B9">
        <w:rPr>
          <w:color w:val="000000" w:themeColor="text1"/>
        </w:rPr>
        <w:t xml:space="preserve"> was not detected in any positive samples, so it was just discarded. </w:t>
      </w:r>
    </w:p>
    <w:p w14:paraId="715EFCB9" w14:textId="5B1D3692" w:rsidR="00A154B9" w:rsidRDefault="00A154B9" w:rsidP="0082280B">
      <w:pPr>
        <w:pStyle w:val="Caption"/>
      </w:pPr>
      <w:bookmarkStart w:id="54" w:name="_Toc211656505"/>
      <w:r w:rsidRPr="00A24448">
        <w:rPr>
          <w:b/>
          <w:bCs/>
        </w:rPr>
        <w:t xml:space="preserve">Table </w:t>
      </w:r>
      <w:r w:rsidR="00EC2FC4" w:rsidRPr="00A24448">
        <w:rPr>
          <w:b/>
          <w:bCs/>
        </w:rPr>
        <w:fldChar w:fldCharType="begin"/>
      </w:r>
      <w:r w:rsidR="00EC2FC4" w:rsidRPr="00A24448">
        <w:rPr>
          <w:b/>
          <w:bCs/>
        </w:rPr>
        <w:instrText xml:space="preserve"> SEQ Table \* ARABIC </w:instrText>
      </w:r>
      <w:r w:rsidR="00EC2FC4" w:rsidRPr="00A24448">
        <w:rPr>
          <w:b/>
          <w:bCs/>
        </w:rPr>
        <w:fldChar w:fldCharType="separate"/>
      </w:r>
      <w:r w:rsidR="00EC2FC4" w:rsidRPr="00A24448">
        <w:rPr>
          <w:b/>
          <w:bCs/>
          <w:noProof/>
        </w:rPr>
        <w:t>4</w:t>
      </w:r>
      <w:r w:rsidR="00EC2FC4" w:rsidRPr="00A24448">
        <w:rPr>
          <w:b/>
          <w:bCs/>
        </w:rPr>
        <w:fldChar w:fldCharType="end"/>
      </w:r>
      <w:r w:rsidRPr="00A24448">
        <w:rPr>
          <w:b/>
          <w:bCs/>
        </w:rPr>
        <w:t>.</w:t>
      </w:r>
      <w:r>
        <w:t xml:space="preserve"> Summary of sequencing read counts across positive samples in all metabarcoding libraries.</w:t>
      </w:r>
      <w:bookmarkEnd w:id="54"/>
    </w:p>
    <w:tbl>
      <w:tblPr>
        <w:tblW w:w="5086" w:type="pct"/>
        <w:tblLook w:val="04A0" w:firstRow="1" w:lastRow="0" w:firstColumn="1" w:lastColumn="0" w:noHBand="0" w:noVBand="1"/>
      </w:tblPr>
      <w:tblGrid>
        <w:gridCol w:w="1229"/>
        <w:gridCol w:w="1380"/>
        <w:gridCol w:w="1380"/>
        <w:gridCol w:w="1227"/>
        <w:gridCol w:w="1297"/>
        <w:gridCol w:w="1382"/>
        <w:gridCol w:w="1113"/>
      </w:tblGrid>
      <w:tr w:rsidR="00A154B9" w:rsidRPr="00A154B9" w14:paraId="4C096610" w14:textId="77777777" w:rsidTr="00A154B9">
        <w:trPr>
          <w:trHeight w:val="535"/>
        </w:trPr>
        <w:tc>
          <w:tcPr>
            <w:tcW w:w="682" w:type="pct"/>
            <w:tcBorders>
              <w:top w:val="single" w:sz="4" w:space="0" w:color="000000"/>
              <w:left w:val="nil"/>
              <w:bottom w:val="single" w:sz="4" w:space="0" w:color="000000"/>
              <w:right w:val="nil"/>
            </w:tcBorders>
            <w:shd w:val="clear" w:color="000000" w:fill="FFFFFF"/>
            <w:vAlign w:val="center"/>
            <w:hideMark/>
          </w:tcPr>
          <w:p w14:paraId="63BF6B1C"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Marker</w:t>
            </w:r>
          </w:p>
        </w:tc>
        <w:tc>
          <w:tcPr>
            <w:tcW w:w="766" w:type="pct"/>
            <w:tcBorders>
              <w:top w:val="single" w:sz="4" w:space="0" w:color="000000"/>
              <w:left w:val="nil"/>
              <w:bottom w:val="single" w:sz="4" w:space="0" w:color="000000"/>
              <w:right w:val="nil"/>
            </w:tcBorders>
            <w:shd w:val="clear" w:color="000000" w:fill="FFFFFF"/>
            <w:vAlign w:val="center"/>
            <w:hideMark/>
          </w:tcPr>
          <w:p w14:paraId="417CFF8B"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Raw Reads</w:t>
            </w:r>
          </w:p>
        </w:tc>
        <w:tc>
          <w:tcPr>
            <w:tcW w:w="766" w:type="pct"/>
            <w:tcBorders>
              <w:top w:val="single" w:sz="4" w:space="0" w:color="000000"/>
              <w:left w:val="nil"/>
              <w:bottom w:val="single" w:sz="4" w:space="0" w:color="000000"/>
              <w:right w:val="nil"/>
            </w:tcBorders>
            <w:shd w:val="clear" w:color="000000" w:fill="FFFFFF"/>
            <w:vAlign w:val="center"/>
            <w:hideMark/>
          </w:tcPr>
          <w:p w14:paraId="73644053"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Trimmed</w:t>
            </w:r>
          </w:p>
        </w:tc>
        <w:tc>
          <w:tcPr>
            <w:tcW w:w="681" w:type="pct"/>
            <w:tcBorders>
              <w:top w:val="single" w:sz="4" w:space="0" w:color="000000"/>
              <w:left w:val="nil"/>
              <w:bottom w:val="single" w:sz="4" w:space="0" w:color="000000"/>
              <w:right w:val="nil"/>
            </w:tcBorders>
            <w:shd w:val="clear" w:color="000000" w:fill="FFFFFF"/>
            <w:vAlign w:val="center"/>
            <w:hideMark/>
          </w:tcPr>
          <w:p w14:paraId="68049F45"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Merged</w:t>
            </w:r>
          </w:p>
        </w:tc>
        <w:tc>
          <w:tcPr>
            <w:tcW w:w="720" w:type="pct"/>
            <w:tcBorders>
              <w:top w:val="single" w:sz="4" w:space="0" w:color="000000"/>
              <w:left w:val="nil"/>
              <w:bottom w:val="single" w:sz="4" w:space="0" w:color="000000"/>
              <w:right w:val="nil"/>
            </w:tcBorders>
            <w:shd w:val="clear" w:color="000000" w:fill="FFFFFF"/>
            <w:vAlign w:val="center"/>
            <w:hideMark/>
          </w:tcPr>
          <w:p w14:paraId="145F024B"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Split Amplicons</w:t>
            </w:r>
          </w:p>
        </w:tc>
        <w:tc>
          <w:tcPr>
            <w:tcW w:w="767" w:type="pct"/>
            <w:tcBorders>
              <w:top w:val="single" w:sz="4" w:space="0" w:color="000000"/>
              <w:left w:val="nil"/>
              <w:bottom w:val="single" w:sz="4" w:space="0" w:color="000000"/>
              <w:right w:val="nil"/>
            </w:tcBorders>
            <w:shd w:val="clear" w:color="000000" w:fill="FFFFFF"/>
            <w:vAlign w:val="center"/>
            <w:hideMark/>
          </w:tcPr>
          <w:p w14:paraId="1BE7C420"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Non-chimeras</w:t>
            </w:r>
          </w:p>
        </w:tc>
        <w:tc>
          <w:tcPr>
            <w:tcW w:w="619" w:type="pct"/>
            <w:tcBorders>
              <w:top w:val="single" w:sz="4" w:space="0" w:color="000000"/>
              <w:left w:val="nil"/>
              <w:bottom w:val="single" w:sz="4" w:space="0" w:color="000000"/>
              <w:right w:val="nil"/>
            </w:tcBorders>
            <w:shd w:val="clear" w:color="000000" w:fill="FFFFFF"/>
            <w:vAlign w:val="center"/>
            <w:hideMark/>
          </w:tcPr>
          <w:p w14:paraId="255BC10A"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Final Results</w:t>
            </w:r>
          </w:p>
        </w:tc>
      </w:tr>
      <w:tr w:rsidR="00A154B9" w:rsidRPr="00A154B9" w14:paraId="422DA02B" w14:textId="77777777" w:rsidTr="00A154B9">
        <w:trPr>
          <w:trHeight w:val="330"/>
        </w:trPr>
        <w:tc>
          <w:tcPr>
            <w:tcW w:w="682" w:type="pct"/>
            <w:tcBorders>
              <w:top w:val="nil"/>
              <w:left w:val="nil"/>
              <w:bottom w:val="nil"/>
              <w:right w:val="nil"/>
            </w:tcBorders>
            <w:shd w:val="clear" w:color="000000" w:fill="FFFFFF"/>
            <w:vAlign w:val="center"/>
            <w:hideMark/>
          </w:tcPr>
          <w:p w14:paraId="1F9D4DF4"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12S eDNA</w:t>
            </w:r>
          </w:p>
        </w:tc>
        <w:tc>
          <w:tcPr>
            <w:tcW w:w="766" w:type="pct"/>
            <w:tcBorders>
              <w:top w:val="nil"/>
              <w:left w:val="nil"/>
              <w:bottom w:val="nil"/>
              <w:right w:val="nil"/>
            </w:tcBorders>
            <w:shd w:val="clear" w:color="000000" w:fill="FFFFFF"/>
            <w:vAlign w:val="center"/>
            <w:hideMark/>
          </w:tcPr>
          <w:p w14:paraId="70C450D2"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22,455,563</w:t>
            </w:r>
          </w:p>
        </w:tc>
        <w:tc>
          <w:tcPr>
            <w:tcW w:w="766" w:type="pct"/>
            <w:tcBorders>
              <w:top w:val="nil"/>
              <w:left w:val="nil"/>
              <w:bottom w:val="nil"/>
              <w:right w:val="nil"/>
            </w:tcBorders>
            <w:shd w:val="clear" w:color="000000" w:fill="FFFFFF"/>
            <w:vAlign w:val="center"/>
            <w:hideMark/>
          </w:tcPr>
          <w:p w14:paraId="365D778F"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20,289,329</w:t>
            </w:r>
          </w:p>
        </w:tc>
        <w:tc>
          <w:tcPr>
            <w:tcW w:w="681" w:type="pct"/>
            <w:tcBorders>
              <w:top w:val="nil"/>
              <w:left w:val="nil"/>
              <w:bottom w:val="nil"/>
              <w:right w:val="nil"/>
            </w:tcBorders>
            <w:shd w:val="clear" w:color="000000" w:fill="FFFFFF"/>
            <w:vAlign w:val="center"/>
            <w:hideMark/>
          </w:tcPr>
          <w:p w14:paraId="3AC078C0"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19,423,289</w:t>
            </w:r>
          </w:p>
        </w:tc>
        <w:tc>
          <w:tcPr>
            <w:tcW w:w="720" w:type="pct"/>
            <w:tcBorders>
              <w:top w:val="nil"/>
              <w:left w:val="nil"/>
              <w:bottom w:val="nil"/>
              <w:right w:val="nil"/>
            </w:tcBorders>
            <w:shd w:val="clear" w:color="000000" w:fill="FFFFFF"/>
            <w:vAlign w:val="center"/>
            <w:hideMark/>
          </w:tcPr>
          <w:p w14:paraId="04E52263"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111,745</w:t>
            </w:r>
          </w:p>
        </w:tc>
        <w:tc>
          <w:tcPr>
            <w:tcW w:w="767" w:type="pct"/>
            <w:tcBorders>
              <w:top w:val="nil"/>
              <w:left w:val="nil"/>
              <w:bottom w:val="nil"/>
              <w:right w:val="nil"/>
            </w:tcBorders>
            <w:shd w:val="clear" w:color="000000" w:fill="FFFFFF"/>
            <w:vAlign w:val="center"/>
            <w:hideMark/>
          </w:tcPr>
          <w:p w14:paraId="6564F220"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111,745</w:t>
            </w:r>
          </w:p>
        </w:tc>
        <w:tc>
          <w:tcPr>
            <w:tcW w:w="619" w:type="pct"/>
            <w:tcBorders>
              <w:top w:val="nil"/>
              <w:left w:val="nil"/>
              <w:bottom w:val="nil"/>
              <w:right w:val="nil"/>
            </w:tcBorders>
            <w:shd w:val="clear" w:color="000000" w:fill="FFFFFF"/>
            <w:vAlign w:val="center"/>
            <w:hideMark/>
          </w:tcPr>
          <w:p w14:paraId="6CA99E5F"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52,396</w:t>
            </w:r>
          </w:p>
        </w:tc>
      </w:tr>
      <w:tr w:rsidR="00A154B9" w:rsidRPr="00A154B9" w14:paraId="602130E3" w14:textId="77777777" w:rsidTr="00A154B9">
        <w:trPr>
          <w:trHeight w:val="330"/>
        </w:trPr>
        <w:tc>
          <w:tcPr>
            <w:tcW w:w="682" w:type="pct"/>
            <w:tcBorders>
              <w:top w:val="nil"/>
              <w:left w:val="nil"/>
              <w:bottom w:val="nil"/>
              <w:right w:val="nil"/>
            </w:tcBorders>
            <w:shd w:val="clear" w:color="000000" w:fill="FFFFFF"/>
            <w:vAlign w:val="center"/>
            <w:hideMark/>
          </w:tcPr>
          <w:p w14:paraId="6B665C9F"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12S eRNA</w:t>
            </w:r>
          </w:p>
        </w:tc>
        <w:tc>
          <w:tcPr>
            <w:tcW w:w="766" w:type="pct"/>
            <w:tcBorders>
              <w:top w:val="nil"/>
              <w:left w:val="nil"/>
              <w:bottom w:val="nil"/>
              <w:right w:val="nil"/>
            </w:tcBorders>
            <w:shd w:val="clear" w:color="000000" w:fill="FFFFFF"/>
            <w:vAlign w:val="center"/>
            <w:hideMark/>
          </w:tcPr>
          <w:p w14:paraId="50FC3925"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21,316,774</w:t>
            </w:r>
          </w:p>
        </w:tc>
        <w:tc>
          <w:tcPr>
            <w:tcW w:w="766" w:type="pct"/>
            <w:tcBorders>
              <w:top w:val="nil"/>
              <w:left w:val="nil"/>
              <w:bottom w:val="nil"/>
              <w:right w:val="nil"/>
            </w:tcBorders>
            <w:shd w:val="clear" w:color="000000" w:fill="FFFFFF"/>
            <w:vAlign w:val="center"/>
            <w:hideMark/>
          </w:tcPr>
          <w:p w14:paraId="7729242B"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19,462,277</w:t>
            </w:r>
          </w:p>
        </w:tc>
        <w:tc>
          <w:tcPr>
            <w:tcW w:w="681" w:type="pct"/>
            <w:tcBorders>
              <w:top w:val="nil"/>
              <w:left w:val="nil"/>
              <w:bottom w:val="nil"/>
              <w:right w:val="nil"/>
            </w:tcBorders>
            <w:shd w:val="clear" w:color="000000" w:fill="FFFFFF"/>
            <w:vAlign w:val="center"/>
            <w:hideMark/>
          </w:tcPr>
          <w:p w14:paraId="005D7CC3"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18,676,207</w:t>
            </w:r>
          </w:p>
        </w:tc>
        <w:tc>
          <w:tcPr>
            <w:tcW w:w="720" w:type="pct"/>
            <w:tcBorders>
              <w:top w:val="nil"/>
              <w:left w:val="nil"/>
              <w:bottom w:val="nil"/>
              <w:right w:val="nil"/>
            </w:tcBorders>
            <w:shd w:val="clear" w:color="000000" w:fill="FFFFFF"/>
            <w:vAlign w:val="center"/>
            <w:hideMark/>
          </w:tcPr>
          <w:p w14:paraId="1D87F120"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36,143</w:t>
            </w:r>
          </w:p>
        </w:tc>
        <w:tc>
          <w:tcPr>
            <w:tcW w:w="767" w:type="pct"/>
            <w:tcBorders>
              <w:top w:val="nil"/>
              <w:left w:val="nil"/>
              <w:bottom w:val="nil"/>
              <w:right w:val="nil"/>
            </w:tcBorders>
            <w:shd w:val="clear" w:color="000000" w:fill="FFFFFF"/>
            <w:vAlign w:val="center"/>
            <w:hideMark/>
          </w:tcPr>
          <w:p w14:paraId="033A1985"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36,068</w:t>
            </w:r>
          </w:p>
        </w:tc>
        <w:tc>
          <w:tcPr>
            <w:tcW w:w="619" w:type="pct"/>
            <w:tcBorders>
              <w:top w:val="nil"/>
              <w:left w:val="nil"/>
              <w:bottom w:val="nil"/>
              <w:right w:val="nil"/>
            </w:tcBorders>
            <w:shd w:val="clear" w:color="000000" w:fill="FFFFFF"/>
            <w:vAlign w:val="center"/>
            <w:hideMark/>
          </w:tcPr>
          <w:p w14:paraId="66F1AA5A"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11,076</w:t>
            </w:r>
          </w:p>
        </w:tc>
      </w:tr>
      <w:tr w:rsidR="00A154B9" w:rsidRPr="00A154B9" w14:paraId="169B7304" w14:textId="77777777" w:rsidTr="00A154B9">
        <w:trPr>
          <w:trHeight w:val="330"/>
        </w:trPr>
        <w:tc>
          <w:tcPr>
            <w:tcW w:w="682" w:type="pct"/>
            <w:tcBorders>
              <w:top w:val="nil"/>
              <w:left w:val="nil"/>
              <w:bottom w:val="nil"/>
              <w:right w:val="nil"/>
            </w:tcBorders>
            <w:shd w:val="clear" w:color="000000" w:fill="FFFFFF"/>
            <w:vAlign w:val="center"/>
            <w:hideMark/>
          </w:tcPr>
          <w:p w14:paraId="745D5E69"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COI eDNA</w:t>
            </w:r>
          </w:p>
        </w:tc>
        <w:tc>
          <w:tcPr>
            <w:tcW w:w="766" w:type="pct"/>
            <w:tcBorders>
              <w:top w:val="nil"/>
              <w:left w:val="nil"/>
              <w:bottom w:val="nil"/>
              <w:right w:val="nil"/>
            </w:tcBorders>
            <w:shd w:val="clear" w:color="000000" w:fill="FFFFFF"/>
            <w:vAlign w:val="center"/>
            <w:hideMark/>
          </w:tcPr>
          <w:p w14:paraId="3CFBDC34"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5,229,089</w:t>
            </w:r>
          </w:p>
        </w:tc>
        <w:tc>
          <w:tcPr>
            <w:tcW w:w="766" w:type="pct"/>
            <w:tcBorders>
              <w:top w:val="nil"/>
              <w:left w:val="nil"/>
              <w:bottom w:val="nil"/>
              <w:right w:val="nil"/>
            </w:tcBorders>
            <w:shd w:val="clear" w:color="000000" w:fill="FFFFFF"/>
            <w:vAlign w:val="center"/>
            <w:hideMark/>
          </w:tcPr>
          <w:p w14:paraId="253B8CAF"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3,267,318</w:t>
            </w:r>
          </w:p>
        </w:tc>
        <w:tc>
          <w:tcPr>
            <w:tcW w:w="681" w:type="pct"/>
            <w:tcBorders>
              <w:top w:val="nil"/>
              <w:left w:val="nil"/>
              <w:bottom w:val="nil"/>
              <w:right w:val="nil"/>
            </w:tcBorders>
            <w:shd w:val="clear" w:color="000000" w:fill="FFFFFF"/>
            <w:vAlign w:val="center"/>
            <w:hideMark/>
          </w:tcPr>
          <w:p w14:paraId="7890EE96"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3,119,884</w:t>
            </w:r>
          </w:p>
        </w:tc>
        <w:tc>
          <w:tcPr>
            <w:tcW w:w="720" w:type="pct"/>
            <w:tcBorders>
              <w:top w:val="nil"/>
              <w:left w:val="nil"/>
              <w:bottom w:val="nil"/>
              <w:right w:val="nil"/>
            </w:tcBorders>
            <w:shd w:val="clear" w:color="000000" w:fill="FFFFFF"/>
            <w:vAlign w:val="center"/>
            <w:hideMark/>
          </w:tcPr>
          <w:p w14:paraId="6B1DE89A"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3,072,972</w:t>
            </w:r>
          </w:p>
        </w:tc>
        <w:tc>
          <w:tcPr>
            <w:tcW w:w="767" w:type="pct"/>
            <w:tcBorders>
              <w:top w:val="nil"/>
              <w:left w:val="nil"/>
              <w:bottom w:val="nil"/>
              <w:right w:val="nil"/>
            </w:tcBorders>
            <w:shd w:val="clear" w:color="000000" w:fill="FFFFFF"/>
            <w:vAlign w:val="center"/>
            <w:hideMark/>
          </w:tcPr>
          <w:p w14:paraId="75713C60"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3,072,972</w:t>
            </w:r>
          </w:p>
        </w:tc>
        <w:tc>
          <w:tcPr>
            <w:tcW w:w="619" w:type="pct"/>
            <w:tcBorders>
              <w:top w:val="nil"/>
              <w:left w:val="nil"/>
              <w:bottom w:val="nil"/>
              <w:right w:val="nil"/>
            </w:tcBorders>
            <w:shd w:val="clear" w:color="000000" w:fill="FFFFFF"/>
            <w:vAlign w:val="center"/>
            <w:hideMark/>
          </w:tcPr>
          <w:p w14:paraId="14262663"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2,988,877</w:t>
            </w:r>
          </w:p>
        </w:tc>
      </w:tr>
      <w:tr w:rsidR="00A154B9" w:rsidRPr="00A154B9" w14:paraId="52577017" w14:textId="77777777" w:rsidTr="00A154B9">
        <w:trPr>
          <w:trHeight w:val="330"/>
        </w:trPr>
        <w:tc>
          <w:tcPr>
            <w:tcW w:w="682" w:type="pct"/>
            <w:tcBorders>
              <w:top w:val="nil"/>
              <w:left w:val="nil"/>
              <w:bottom w:val="single" w:sz="4" w:space="0" w:color="000000"/>
              <w:right w:val="nil"/>
            </w:tcBorders>
            <w:shd w:val="clear" w:color="000000" w:fill="FFFFFF"/>
            <w:vAlign w:val="center"/>
            <w:hideMark/>
          </w:tcPr>
          <w:p w14:paraId="64982C21"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16S eDNA</w:t>
            </w:r>
          </w:p>
        </w:tc>
        <w:tc>
          <w:tcPr>
            <w:tcW w:w="766" w:type="pct"/>
            <w:tcBorders>
              <w:top w:val="nil"/>
              <w:left w:val="nil"/>
              <w:bottom w:val="single" w:sz="4" w:space="0" w:color="000000"/>
              <w:right w:val="nil"/>
            </w:tcBorders>
            <w:shd w:val="clear" w:color="000000" w:fill="FFFFFF"/>
            <w:vAlign w:val="center"/>
            <w:hideMark/>
          </w:tcPr>
          <w:p w14:paraId="3CE1D95C"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9,979,580</w:t>
            </w:r>
          </w:p>
        </w:tc>
        <w:tc>
          <w:tcPr>
            <w:tcW w:w="766" w:type="pct"/>
            <w:tcBorders>
              <w:top w:val="nil"/>
              <w:left w:val="nil"/>
              <w:bottom w:val="single" w:sz="4" w:space="0" w:color="000000"/>
              <w:right w:val="nil"/>
            </w:tcBorders>
            <w:shd w:val="clear" w:color="000000" w:fill="FFFFFF"/>
            <w:vAlign w:val="center"/>
            <w:hideMark/>
          </w:tcPr>
          <w:p w14:paraId="3F5C836D"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9,437,752</w:t>
            </w:r>
          </w:p>
        </w:tc>
        <w:tc>
          <w:tcPr>
            <w:tcW w:w="681" w:type="pct"/>
            <w:tcBorders>
              <w:top w:val="nil"/>
              <w:left w:val="nil"/>
              <w:bottom w:val="single" w:sz="4" w:space="0" w:color="000000"/>
              <w:right w:val="nil"/>
            </w:tcBorders>
            <w:shd w:val="clear" w:color="000000" w:fill="FFFFFF"/>
            <w:vAlign w:val="center"/>
            <w:hideMark/>
          </w:tcPr>
          <w:p w14:paraId="5B2AC0BE"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6,773,560</w:t>
            </w:r>
          </w:p>
        </w:tc>
        <w:tc>
          <w:tcPr>
            <w:tcW w:w="720" w:type="pct"/>
            <w:tcBorders>
              <w:top w:val="nil"/>
              <w:left w:val="nil"/>
              <w:bottom w:val="single" w:sz="4" w:space="0" w:color="000000"/>
              <w:right w:val="nil"/>
            </w:tcBorders>
            <w:shd w:val="clear" w:color="000000" w:fill="FFFFFF"/>
            <w:vAlign w:val="center"/>
            <w:hideMark/>
          </w:tcPr>
          <w:p w14:paraId="12311231"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6,537,448</w:t>
            </w:r>
          </w:p>
        </w:tc>
        <w:tc>
          <w:tcPr>
            <w:tcW w:w="767" w:type="pct"/>
            <w:tcBorders>
              <w:top w:val="nil"/>
              <w:left w:val="nil"/>
              <w:bottom w:val="single" w:sz="4" w:space="0" w:color="000000"/>
              <w:right w:val="nil"/>
            </w:tcBorders>
            <w:shd w:val="clear" w:color="000000" w:fill="FFFFFF"/>
            <w:vAlign w:val="center"/>
            <w:hideMark/>
          </w:tcPr>
          <w:p w14:paraId="7F939B1E"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6,307,948</w:t>
            </w:r>
          </w:p>
        </w:tc>
        <w:tc>
          <w:tcPr>
            <w:tcW w:w="619" w:type="pct"/>
            <w:tcBorders>
              <w:top w:val="nil"/>
              <w:left w:val="nil"/>
              <w:bottom w:val="single" w:sz="4" w:space="0" w:color="000000"/>
              <w:right w:val="nil"/>
            </w:tcBorders>
            <w:shd w:val="clear" w:color="000000" w:fill="FFFFFF"/>
            <w:vAlign w:val="center"/>
            <w:hideMark/>
          </w:tcPr>
          <w:p w14:paraId="5CB2CC60" w14:textId="77777777" w:rsidR="00A154B9" w:rsidRPr="00A154B9" w:rsidRDefault="00A154B9" w:rsidP="00A154B9">
            <w:pPr>
              <w:jc w:val="center"/>
              <w:rPr>
                <w:rFonts w:ascii="Times New Roman" w:hAnsi="Times New Roman" w:cs="Times New Roman"/>
                <w:color w:val="000000"/>
                <w:sz w:val="22"/>
                <w:szCs w:val="22"/>
                <w14:ligatures w14:val="none"/>
              </w:rPr>
            </w:pPr>
            <w:r w:rsidRPr="00A154B9">
              <w:rPr>
                <w:rFonts w:ascii="Times New Roman" w:hAnsi="Times New Roman" w:cs="Times New Roman"/>
                <w:color w:val="000000"/>
                <w:sz w:val="22"/>
                <w:szCs w:val="22"/>
                <w14:ligatures w14:val="none"/>
              </w:rPr>
              <w:t>4,777,999</w:t>
            </w:r>
          </w:p>
        </w:tc>
      </w:tr>
    </w:tbl>
    <w:p w14:paraId="3478B39B" w14:textId="77777777" w:rsidR="008F636E" w:rsidRDefault="008F636E" w:rsidP="00FC086C">
      <w:pPr>
        <w:pStyle w:val="normale"/>
      </w:pPr>
    </w:p>
    <w:p w14:paraId="355FF549" w14:textId="77777777" w:rsidR="00FC086C" w:rsidRDefault="00FC086C" w:rsidP="00FC086C">
      <w:pPr>
        <w:pStyle w:val="normale"/>
      </w:pPr>
      <w:r>
        <w:t xml:space="preserve">For the mussel metabarcoding datasets, the COI libraries showed strong carry-over contamination of </w:t>
      </w:r>
      <w:proofErr w:type="spellStart"/>
      <w:r w:rsidRPr="00FC086C">
        <w:rPr>
          <w:i/>
          <w:iCs/>
        </w:rPr>
        <w:t>Cambarunio</w:t>
      </w:r>
      <w:proofErr w:type="spellEnd"/>
      <w:r w:rsidRPr="00FC086C">
        <w:rPr>
          <w:i/>
          <w:iCs/>
        </w:rPr>
        <w:t xml:space="preserve"> iris</w:t>
      </w:r>
      <w:r>
        <w:t xml:space="preserve"> DNA across both positive and negative samples, dominating read counts in most libraries. Since C. iris was highly abundant at all sites, </w:t>
      </w:r>
      <w:r>
        <w:lastRenderedPageBreak/>
        <w:t>representing 266 individuals out of a total of 369 mussels identified morphologically (~72%), the COI results were only interpreted qualitatively. The 16S eDNA libraries, in contrast, showed better sequencing and cleaner negative controls. This library data will be analyzed qualitatively alongside the COI results until the corresponding eRNA sequencing data for both COI and 16S become available. These additional datasets, currently in progress, will allow for a more complete comparison of mussel community detection across markers and methods.</w:t>
      </w:r>
    </w:p>
    <w:p w14:paraId="7FD888EE" w14:textId="77777777" w:rsidR="001003F4" w:rsidRDefault="001003F4" w:rsidP="001003F4">
      <w:pPr>
        <w:pStyle w:val="normale"/>
        <w:keepNext/>
      </w:pPr>
      <w:r>
        <w:rPr>
          <w:noProof/>
        </w:rPr>
        <w:drawing>
          <wp:inline distT="0" distB="0" distL="0" distR="0" wp14:anchorId="5F067FAC" wp14:editId="61DD8FA6">
            <wp:extent cx="5486400" cy="3084830"/>
            <wp:effectExtent l="0" t="0" r="0" b="0"/>
            <wp:docPr id="206717467" name="Picture 4"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7467" name="Picture 4" descr="Chart&#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486400" cy="3084830"/>
                    </a:xfrm>
                    <a:prstGeom prst="rect">
                      <a:avLst/>
                    </a:prstGeom>
                  </pic:spPr>
                </pic:pic>
              </a:graphicData>
            </a:graphic>
          </wp:inline>
        </w:drawing>
      </w:r>
    </w:p>
    <w:p w14:paraId="310A0A46" w14:textId="2D781DB3" w:rsidR="001003F4" w:rsidRPr="00A9376C" w:rsidRDefault="001003F4" w:rsidP="0082280B">
      <w:pPr>
        <w:pStyle w:val="Caption"/>
      </w:pPr>
      <w:bookmarkStart w:id="55" w:name="_Toc211656147"/>
      <w:r w:rsidRPr="00330345">
        <w:rPr>
          <w:b/>
          <w:bCs/>
        </w:rPr>
        <w:t xml:space="preserve">Figure </w:t>
      </w:r>
      <w:r w:rsidRPr="00330345">
        <w:rPr>
          <w:b/>
          <w:bCs/>
        </w:rPr>
        <w:fldChar w:fldCharType="begin"/>
      </w:r>
      <w:r w:rsidRPr="00330345">
        <w:rPr>
          <w:b/>
          <w:bCs/>
        </w:rPr>
        <w:instrText xml:space="preserve"> SEQ Figure \* ARABIC </w:instrText>
      </w:r>
      <w:r w:rsidRPr="00330345">
        <w:rPr>
          <w:b/>
          <w:bCs/>
        </w:rPr>
        <w:fldChar w:fldCharType="separate"/>
      </w:r>
      <w:r w:rsidR="008C02C3" w:rsidRPr="00330345">
        <w:rPr>
          <w:b/>
          <w:bCs/>
          <w:noProof/>
        </w:rPr>
        <w:t>3</w:t>
      </w:r>
      <w:r w:rsidRPr="00330345">
        <w:rPr>
          <w:b/>
          <w:bCs/>
        </w:rPr>
        <w:fldChar w:fldCharType="end"/>
      </w:r>
      <w:r w:rsidRPr="00330345">
        <w:rPr>
          <w:b/>
          <w:bCs/>
        </w:rPr>
        <w:t>.</w:t>
      </w:r>
      <w:r w:rsidRPr="00E53BAC">
        <w:t xml:space="preserve"> Comparison of fish species detected across methods in the Apalachia Cutoff Reach.</w:t>
      </w:r>
      <w:bookmarkEnd w:id="55"/>
      <w:r w:rsidRPr="00E53BAC">
        <w:t xml:space="preserve"> </w:t>
      </w:r>
      <w:r w:rsidRPr="008F1AA1">
        <w:t xml:space="preserve">(A) Venn diagram showing species overlap among eDNA, eRNA, and conventional morphological surveys (MS); (B) total number of unique fish species detected by each </w:t>
      </w:r>
      <w:r w:rsidR="0016138C" w:rsidRPr="008F1AA1">
        <w:t>method; and (C) tile plot showing detection patterns of individual species across methods, with hollow tiles indicating detections at the genus level.</w:t>
      </w:r>
      <w:r w:rsidR="00C61A8E" w:rsidRPr="00A9376C">
        <w:br/>
      </w:r>
    </w:p>
    <w:p w14:paraId="4CE0BFBC" w14:textId="77777777" w:rsidR="00D54E18" w:rsidRDefault="00FC086C" w:rsidP="00D54E18">
      <w:pPr>
        <w:pStyle w:val="normale"/>
      </w:pPr>
      <w:r>
        <w:t xml:space="preserve">It is worth noting that the CRABS-based retrieval relied solely on downloading already annotated records (of COI and 16S genes), which may have excluded valid but unannotated sequences in GenBank. Future iterations of the reference database will incorporate non-annotated </w:t>
      </w:r>
      <w:proofErr w:type="spellStart"/>
      <w:r w:rsidRPr="00D81A4A">
        <w:t>Unionida</w:t>
      </w:r>
      <w:proofErr w:type="spellEnd"/>
      <w:r>
        <w:t xml:space="preserve"> </w:t>
      </w:r>
      <w:r w:rsidR="0042055E">
        <w:t xml:space="preserve">(order) </w:t>
      </w:r>
      <w:r>
        <w:t xml:space="preserve">sequences identified through targeted </w:t>
      </w:r>
      <w:r>
        <w:lastRenderedPageBreak/>
        <w:t>GenBank scraping, as well as newly generated Sanger barcode sequences from regional mussel and fish specimens. These improvements are expected to expand taxonomic coverage and enhance assignment accuracy in subsequent analyses.</w:t>
      </w:r>
      <w:bookmarkStart w:id="56" w:name="_Toc211651638"/>
    </w:p>
    <w:p w14:paraId="672D868B" w14:textId="77777777" w:rsidR="00D54E18" w:rsidRDefault="00240A38" w:rsidP="00E0475F">
      <w:pPr>
        <w:pStyle w:val="Heading3"/>
      </w:pPr>
      <w:r w:rsidRPr="00240A38">
        <w:t>Fish Community Detection and Environmental Pattern</w:t>
      </w:r>
      <w:r>
        <w:t>s</w:t>
      </w:r>
      <w:bookmarkEnd w:id="56"/>
    </w:p>
    <w:p w14:paraId="15FA3D94" w14:textId="6604F4BB" w:rsidR="00924ED5" w:rsidRDefault="00312B51" w:rsidP="00D54E18">
      <w:pPr>
        <w:pStyle w:val="normale"/>
      </w:pPr>
      <w:r w:rsidRPr="00312B51">
        <w:t xml:space="preserve">Across all sites, eDNA detected the highest number of fish species (n = 26), followed by eRNA (n = 18) and conventional morphological surveys (n = 16) </w:t>
      </w:r>
      <w:r w:rsidR="00E269B5" w:rsidRPr="00E269B5">
        <w:rPr>
          <w:b/>
          <w:bCs/>
        </w:rPr>
        <w:t xml:space="preserve">(Figure </w:t>
      </w:r>
      <w:r w:rsidR="00E269B5">
        <w:rPr>
          <w:b/>
          <w:bCs/>
        </w:rPr>
        <w:t>3</w:t>
      </w:r>
      <w:r w:rsidR="00E269B5" w:rsidRPr="00E269B5">
        <w:rPr>
          <w:b/>
          <w:bCs/>
        </w:rPr>
        <w:t>A–C)</w:t>
      </w:r>
      <w:r w:rsidRPr="00312B51">
        <w:t xml:space="preserve">. All taxa identified by eRNA were also detected by eDNA, showing complete overlap between the two molecular fractions. Ten of the eRNA-detected species were also found in the morphological surveys. </w:t>
      </w:r>
      <w:r w:rsidR="00330B6A">
        <w:t xml:space="preserve">Moreover, </w:t>
      </w:r>
      <w:r w:rsidRPr="00312B51">
        <w:t xml:space="preserve">eDNA revealed six unique species not observed by any other method, while the morphological surveys detected four species that were missed by both molecular approaches. At the genus level, all three methods detected </w:t>
      </w:r>
      <w:proofErr w:type="spellStart"/>
      <w:r w:rsidRPr="00A506B6">
        <w:rPr>
          <w:i/>
          <w:iCs/>
        </w:rPr>
        <w:t>Campostoma</w:t>
      </w:r>
      <w:proofErr w:type="spellEnd"/>
      <w:r w:rsidRPr="00312B51">
        <w:t xml:space="preserve">, and eDNA alone detected </w:t>
      </w:r>
      <w:r w:rsidRPr="00A506B6">
        <w:rPr>
          <w:i/>
          <w:iCs/>
        </w:rPr>
        <w:t>Notropis</w:t>
      </w:r>
      <w:r w:rsidRPr="00312B51">
        <w:t>. Overall, eDNA captured the most complete picture of the fish community, while eRNA and morphological surveys showed overlapping but partially incomplete subsets of the same assemblage.</w:t>
      </w:r>
      <w:r w:rsidR="00A506B6">
        <w:t xml:space="preserve"> </w:t>
      </w:r>
      <w:r w:rsidR="00754ABB" w:rsidRPr="00754ABB">
        <w:t xml:space="preserve">However, it is worth noting that the smaller number of detections from eRNA may reflect a more recent “snapshot” of the community, as eDNA signals are more persistent in the environment and </w:t>
      </w:r>
      <w:r w:rsidR="00FC770F">
        <w:t>can have higher</w:t>
      </w:r>
      <w:r w:rsidR="00754ABB" w:rsidRPr="00754ABB">
        <w:t xml:space="preserve"> false-positive detections.</w:t>
      </w:r>
      <w:r w:rsidR="00D77BA0">
        <w:t xml:space="preserve"> </w:t>
      </w:r>
      <w:r w:rsidR="00F733AD" w:rsidRPr="00F733AD">
        <w:t xml:space="preserve">Relative read abundance (%) of each detected species across sampling sites for both eDNA and eRNA libraries is shown in </w:t>
      </w:r>
      <w:r w:rsidR="00F733AD" w:rsidRPr="00F733AD">
        <w:rPr>
          <w:b/>
          <w:bCs/>
        </w:rPr>
        <w:t>Figure 4</w:t>
      </w:r>
      <w:r w:rsidR="00F733AD" w:rsidRPr="00F733AD">
        <w:t xml:space="preserve">, </w:t>
      </w:r>
      <w:r w:rsidR="00B946CB" w:rsidRPr="00B946CB">
        <w:t>with panels A and B representing eDNA and eRNA datasets, respectively.</w:t>
      </w:r>
    </w:p>
    <w:p w14:paraId="130511A3" w14:textId="14C6929D" w:rsidR="001536A0" w:rsidRDefault="000B1155" w:rsidP="00D92300">
      <w:r>
        <w:rPr>
          <w:noProof/>
        </w:rPr>
        <w:lastRenderedPageBreak/>
        <w:t>s</w:t>
      </w:r>
      <w:r w:rsidR="00F45091">
        <w:rPr>
          <w:noProof/>
        </w:rPr>
        <w:drawing>
          <wp:inline distT="0" distB="0" distL="0" distR="0" wp14:anchorId="3688AD4F" wp14:editId="77013135">
            <wp:extent cx="5745480" cy="2197100"/>
            <wp:effectExtent l="0" t="0" r="0" b="0"/>
            <wp:docPr id="1028701952" name="Picture 8" descr="Scatt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01952" name="Picture 8" descr="Scatter chart&#10;&#10;AI-generated content may be incorrec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246" t="3423" r="4431" b="2689"/>
                    <a:stretch>
                      <a:fillRect/>
                    </a:stretch>
                  </pic:blipFill>
                  <pic:spPr bwMode="auto">
                    <a:xfrm>
                      <a:off x="0" y="0"/>
                      <a:ext cx="5745480" cy="2197100"/>
                    </a:xfrm>
                    <a:prstGeom prst="rect">
                      <a:avLst/>
                    </a:prstGeom>
                    <a:noFill/>
                    <a:ln>
                      <a:noFill/>
                    </a:ln>
                    <a:extLst>
                      <a:ext uri="{53640926-AAD7-44D8-BBD7-CCE9431645EC}">
                        <a14:shadowObscured xmlns:a14="http://schemas.microsoft.com/office/drawing/2010/main"/>
                      </a:ext>
                    </a:extLst>
                  </pic:spPr>
                </pic:pic>
              </a:graphicData>
            </a:graphic>
          </wp:inline>
        </w:drawing>
      </w:r>
    </w:p>
    <w:p w14:paraId="44584366" w14:textId="15C5D02E" w:rsidR="00F45091" w:rsidRDefault="00000000" w:rsidP="00D92300">
      <w:r>
        <w:rPr>
          <w:noProof/>
        </w:rPr>
        <w:pict w14:anchorId="46257E52">
          <v:shapetype id="_x0000_t202" coordsize="21600,21600" o:spt="202" path="m,l,21600r21600,l21600,xe">
            <v:stroke joinstyle="miter"/>
            <v:path gradientshapeok="t" o:connecttype="rect"/>
          </v:shapetype>
          <v:shape id="_x0000_s1031" type="#_x0000_t202" style="position:absolute;margin-left:.15pt;margin-top:7.65pt;width:450.6pt;height:58pt;z-index:251658240;mso-position-horizontal-relative:text;mso-position-vertical-relative:text" stroked="f">
            <v:textbox style="mso-next-textbox:#_x0000_s1031;mso-fit-shape-to-text:t" inset="0,0,0,0">
              <w:txbxContent>
                <w:p w14:paraId="276BF8B1" w14:textId="206BBE56" w:rsidR="00DB0A78" w:rsidRPr="0082280B" w:rsidRDefault="00DB0A78" w:rsidP="0082280B">
                  <w:pPr>
                    <w:pStyle w:val="Caption"/>
                  </w:pPr>
                  <w:bookmarkStart w:id="57" w:name="_Toc211656148"/>
                  <w:r w:rsidRPr="003D5105">
                    <w:rPr>
                      <w:b/>
                      <w:bCs/>
                    </w:rPr>
                    <w:t xml:space="preserve">Figure </w:t>
                  </w:r>
                  <w:r w:rsidRPr="003D5105">
                    <w:rPr>
                      <w:b/>
                      <w:bCs/>
                    </w:rPr>
                    <w:fldChar w:fldCharType="begin"/>
                  </w:r>
                  <w:r w:rsidRPr="003D5105">
                    <w:rPr>
                      <w:b/>
                      <w:bCs/>
                    </w:rPr>
                    <w:instrText xml:space="preserve"> SEQ Figure \* ARABIC </w:instrText>
                  </w:r>
                  <w:r w:rsidRPr="003D5105">
                    <w:rPr>
                      <w:b/>
                      <w:bCs/>
                    </w:rPr>
                    <w:fldChar w:fldCharType="separate"/>
                  </w:r>
                  <w:r w:rsidR="008C02C3" w:rsidRPr="003D5105">
                    <w:rPr>
                      <w:b/>
                      <w:bCs/>
                      <w:noProof/>
                    </w:rPr>
                    <w:t>4</w:t>
                  </w:r>
                  <w:r w:rsidRPr="003D5105">
                    <w:rPr>
                      <w:b/>
                      <w:bCs/>
                    </w:rPr>
                    <w:fldChar w:fldCharType="end"/>
                  </w:r>
                  <w:r w:rsidRPr="003D5105">
                    <w:rPr>
                      <w:b/>
                      <w:bCs/>
                    </w:rPr>
                    <w:t>.</w:t>
                  </w:r>
                  <w:r w:rsidRPr="007544DB">
                    <w:t xml:space="preserve"> </w:t>
                  </w:r>
                  <w:r w:rsidR="00AB532A" w:rsidRPr="0082280B">
                    <w:t xml:space="preserve">Bubble heat maps showing fish species composition and relative abundance across sampling sites in the Apalachia Cutoff Reach. </w:t>
                  </w:r>
                  <w:r w:rsidR="00805F1B" w:rsidRPr="0082280B">
                    <w:t>(A) eDNA and (B) eRNA datasets generated using the MiFish-U 12S primers. Bubble size represents proportional read abundance (%) of each taxon within sites, illustrating spatial variation and compositional differences between molecular fractions.</w:t>
                  </w:r>
                  <w:bookmarkEnd w:id="57"/>
                </w:p>
              </w:txbxContent>
            </v:textbox>
            <w10:wrap type="topAndBottom"/>
          </v:shape>
        </w:pict>
      </w:r>
    </w:p>
    <w:p w14:paraId="2C5D9D37" w14:textId="79455FD9" w:rsidR="001536A0" w:rsidRDefault="001536A0" w:rsidP="00E45F7D">
      <w:pPr>
        <w:pStyle w:val="normale"/>
      </w:pPr>
      <w:r w:rsidRPr="001536A0">
        <w:t>Non-metric multidimensional scaling (NMDS) ordinations based on Jaccard dissimilarities produced relatively low stress values (0.14 for eDNA and 0.16 for eRNA), indicating reliable two-dimensional representations of community dissimilarities (</w:t>
      </w:r>
      <w:r w:rsidRPr="001536A0">
        <w:rPr>
          <w:b/>
          <w:bCs/>
        </w:rPr>
        <w:t xml:space="preserve">Figure </w:t>
      </w:r>
      <w:r w:rsidR="00F733AD">
        <w:rPr>
          <w:b/>
          <w:bCs/>
        </w:rPr>
        <w:t>5</w:t>
      </w:r>
      <w:r w:rsidRPr="001536A0">
        <w:t>). The ordinations revealed strong downstream structuring of communities, consistent with PERMANOVA results, which indicated a significant effect of distance from the dam for both datasets (eDNA: R² = 0.096, F = 6.60, p = 0.001; eRNA: R² = 0.159, F = 5.87, p = 0.001). These results confirm that community composition varied significantly along the downstream gradient, with the higher R² for eRNA suggesting that RNA signals may capture more immediate biological responses to environmental gradients.</w:t>
      </w:r>
    </w:p>
    <w:p w14:paraId="3A0CFDED" w14:textId="77777777" w:rsidR="00E215EC" w:rsidRDefault="00E215EC" w:rsidP="00E215EC">
      <w:pPr>
        <w:pStyle w:val="normale"/>
        <w:keepNext/>
        <w:jc w:val="center"/>
      </w:pPr>
      <w:r>
        <w:rPr>
          <w:noProof/>
        </w:rPr>
        <w:lastRenderedPageBreak/>
        <w:drawing>
          <wp:inline distT="0" distB="0" distL="0" distR="0" wp14:anchorId="4C0C9371" wp14:editId="56C420CE">
            <wp:extent cx="4905440" cy="3388390"/>
            <wp:effectExtent l="0" t="0" r="0" b="0"/>
            <wp:docPr id="1869802680" name="Picture 5" descr="Chart, scatt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02680" name="Picture 5" descr="Chart, scatter chart&#10;&#10;AI-generated content may be incorrect."/>
                    <pic:cNvPicPr/>
                  </pic:nvPicPr>
                  <pic:blipFill rotWithShape="1">
                    <a:blip r:embed="rId18" cstate="print">
                      <a:extLst>
                        <a:ext uri="{28A0092B-C50C-407E-A947-70E740481C1C}">
                          <a14:useLocalDpi xmlns:a14="http://schemas.microsoft.com/office/drawing/2010/main" val="0"/>
                        </a:ext>
                      </a:extLst>
                    </a:blip>
                    <a:srcRect t="7890"/>
                    <a:stretch>
                      <a:fillRect/>
                    </a:stretch>
                  </pic:blipFill>
                  <pic:spPr bwMode="auto">
                    <a:xfrm>
                      <a:off x="0" y="0"/>
                      <a:ext cx="4924545" cy="3401587"/>
                    </a:xfrm>
                    <a:prstGeom prst="rect">
                      <a:avLst/>
                    </a:prstGeom>
                    <a:ln>
                      <a:noFill/>
                    </a:ln>
                    <a:extLst>
                      <a:ext uri="{53640926-AAD7-44D8-BBD7-CCE9431645EC}">
                        <a14:shadowObscured xmlns:a14="http://schemas.microsoft.com/office/drawing/2010/main"/>
                      </a:ext>
                    </a:extLst>
                  </pic:spPr>
                </pic:pic>
              </a:graphicData>
            </a:graphic>
          </wp:inline>
        </w:drawing>
      </w:r>
    </w:p>
    <w:p w14:paraId="1F764571" w14:textId="43A5BA3C" w:rsidR="00E215EC" w:rsidRDefault="00E215EC" w:rsidP="0082280B">
      <w:pPr>
        <w:pStyle w:val="Caption"/>
      </w:pPr>
      <w:bookmarkStart w:id="58" w:name="_Toc211656149"/>
      <w:r w:rsidRPr="00716AFB">
        <w:rPr>
          <w:b/>
          <w:bCs/>
        </w:rPr>
        <w:t xml:space="preserve">Figure </w:t>
      </w:r>
      <w:r w:rsidRPr="00716AFB">
        <w:rPr>
          <w:b/>
          <w:bCs/>
        </w:rPr>
        <w:fldChar w:fldCharType="begin"/>
      </w:r>
      <w:r w:rsidRPr="00716AFB">
        <w:rPr>
          <w:b/>
          <w:bCs/>
        </w:rPr>
        <w:instrText xml:space="preserve"> SEQ Figure \* ARABIC </w:instrText>
      </w:r>
      <w:r w:rsidRPr="00716AFB">
        <w:rPr>
          <w:b/>
          <w:bCs/>
        </w:rPr>
        <w:fldChar w:fldCharType="separate"/>
      </w:r>
      <w:r w:rsidR="008C02C3" w:rsidRPr="00716AFB">
        <w:rPr>
          <w:b/>
          <w:bCs/>
          <w:noProof/>
        </w:rPr>
        <w:t>5</w:t>
      </w:r>
      <w:r w:rsidRPr="00716AFB">
        <w:rPr>
          <w:b/>
          <w:bCs/>
        </w:rPr>
        <w:fldChar w:fldCharType="end"/>
      </w:r>
      <w:r w:rsidRPr="00716AFB">
        <w:rPr>
          <w:b/>
          <w:bCs/>
        </w:rPr>
        <w:t>.</w:t>
      </w:r>
      <w:r>
        <w:t xml:space="preserve"> </w:t>
      </w:r>
      <w:r w:rsidRPr="00807363">
        <w:t>NMDS ordinations showing fish community composition derived from eDNA and eRNA data.</w:t>
      </w:r>
      <w:bookmarkEnd w:id="58"/>
      <w:r w:rsidR="00E557EF">
        <w:br/>
      </w:r>
    </w:p>
    <w:p w14:paraId="321E57A3" w14:textId="5D344A23" w:rsidR="00E45F7D" w:rsidRPr="00C54DFA" w:rsidRDefault="00E45F7D" w:rsidP="00C54DFA">
      <w:pPr>
        <w:pStyle w:val="normale"/>
      </w:pPr>
      <w:r w:rsidRPr="00C54DFA">
        <w:t xml:space="preserve">Moreover, </w:t>
      </w:r>
      <w:proofErr w:type="spellStart"/>
      <w:r w:rsidRPr="00C54DFA">
        <w:t>procrustes</w:t>
      </w:r>
      <w:proofErr w:type="spellEnd"/>
      <w:r w:rsidRPr="00C54DFA">
        <w:t xml:space="preserve"> analysis further demonstrated strong concordance between eDNA- and eRNA-derived community structures (sum of squares = 0.68, RMSE = 0.21, p = 0.008), while the Mantel test indicated a significant correlation between their corresponding Jaccard distance matrices (r = 0.44, p = 0.001). Together, these results confirm that eDNA and eRNA recovered congruent spatial patterns in fish community composition across sites.</w:t>
      </w:r>
    </w:p>
    <w:p w14:paraId="0049FDB6" w14:textId="122F9174" w:rsidR="006D7DD1" w:rsidRDefault="00870022" w:rsidP="00E557EF">
      <w:pPr>
        <w:pStyle w:val="normale"/>
      </w:pPr>
      <w:r w:rsidRPr="00870022">
        <w:t>Environmental fitting (</w:t>
      </w:r>
      <w:proofErr w:type="spellStart"/>
      <w:r w:rsidRPr="00870022">
        <w:t>envfit</w:t>
      </w:r>
      <w:proofErr w:type="spellEnd"/>
      <w:r w:rsidRPr="00870022">
        <w:t>) analyses showed that conductivity, turbidity, and distance from the dam were strongly correlated with community composition (r² = 0.37–0.69, p ≤ 0.001) in both datasets</w:t>
      </w:r>
      <w:r w:rsidR="00906447">
        <w:t xml:space="preserve"> </w:t>
      </w:r>
      <w:r w:rsidR="00465C4A">
        <w:t>(</w:t>
      </w:r>
      <w:r w:rsidR="00465C4A">
        <w:rPr>
          <w:b/>
          <w:bCs/>
        </w:rPr>
        <w:t>Table 5)</w:t>
      </w:r>
      <w:r w:rsidRPr="00870022">
        <w:t xml:space="preserve">. For eDNA, pH, DO, conductivity, turbidity, and dam distance were significant, whereas temperature was not. In contrast, eRNA showed significant relationships with temperature, DO, conductivity, turbidity, and dam distance. </w:t>
      </w:r>
      <w:r w:rsidRPr="00870022">
        <w:lastRenderedPageBreak/>
        <w:t>The emergence of temperature as a significant factor in eRNA but not in eDNA suggests that RNA signals may reflect short-term or recent biological activity more sensitively. These findings collectively indicate that eDNA and eRNA capture overlapping but distinct ecological information: eDNA reflects longer-term species presence, while eRNA emphasizes metabolically active or recently present taxa, providing a more comprehensive view of fish community dynamics along the Hiwassee River.</w:t>
      </w:r>
    </w:p>
    <w:p w14:paraId="5B26E015" w14:textId="41953D5E" w:rsidR="0042779C" w:rsidRDefault="0042779C" w:rsidP="0082280B">
      <w:pPr>
        <w:pStyle w:val="Caption"/>
      </w:pPr>
      <w:bookmarkStart w:id="59" w:name="_Toc211656506"/>
      <w:r w:rsidRPr="00716AFB">
        <w:rPr>
          <w:b/>
          <w:bCs/>
        </w:rPr>
        <w:t xml:space="preserve">Table </w:t>
      </w:r>
      <w:r w:rsidR="00EC2FC4" w:rsidRPr="00716AFB">
        <w:rPr>
          <w:b/>
          <w:bCs/>
        </w:rPr>
        <w:fldChar w:fldCharType="begin"/>
      </w:r>
      <w:r w:rsidR="00EC2FC4" w:rsidRPr="00716AFB">
        <w:rPr>
          <w:b/>
          <w:bCs/>
        </w:rPr>
        <w:instrText xml:space="preserve"> SEQ Table \* ARABIC </w:instrText>
      </w:r>
      <w:r w:rsidR="00EC2FC4" w:rsidRPr="00716AFB">
        <w:rPr>
          <w:b/>
          <w:bCs/>
        </w:rPr>
        <w:fldChar w:fldCharType="separate"/>
      </w:r>
      <w:r w:rsidR="00EC2FC4" w:rsidRPr="00716AFB">
        <w:rPr>
          <w:b/>
          <w:bCs/>
          <w:noProof/>
        </w:rPr>
        <w:t>5</w:t>
      </w:r>
      <w:r w:rsidR="00EC2FC4" w:rsidRPr="00716AFB">
        <w:rPr>
          <w:b/>
          <w:bCs/>
        </w:rPr>
        <w:fldChar w:fldCharType="end"/>
      </w:r>
      <w:r w:rsidRPr="00716AFB">
        <w:rPr>
          <w:b/>
          <w:bCs/>
        </w:rPr>
        <w:t>.</w:t>
      </w:r>
      <w:r>
        <w:t xml:space="preserve"> Results of </w:t>
      </w:r>
      <w:proofErr w:type="spellStart"/>
      <w:r>
        <w:t>envfit</w:t>
      </w:r>
      <w:proofErr w:type="spellEnd"/>
      <w:r>
        <w:t xml:space="preserve"> analyses for </w:t>
      </w:r>
      <w:proofErr w:type="spellStart"/>
      <w:r>
        <w:t>MiFish</w:t>
      </w:r>
      <w:proofErr w:type="spellEnd"/>
      <w:r>
        <w:t xml:space="preserve"> eDNA and eRNA NMDS ordinations.</w:t>
      </w:r>
      <w:r w:rsidR="009304F8">
        <w:t xml:space="preserve"> </w:t>
      </w:r>
      <w:r w:rsidR="009304F8" w:rsidRPr="009304F8">
        <w:t>Shown are r² values and permutation p-values (999 permutations).</w:t>
      </w:r>
      <w:r w:rsidR="00245191">
        <w:t xml:space="preserve"> </w:t>
      </w:r>
      <w:r w:rsidR="00245191" w:rsidRPr="00245191">
        <w:t>Asterisks indicate significance: p &lt; 0.05 = *, p &lt; 0.01 = **, p ≤ 0.001 = ***</w:t>
      </w:r>
      <w:bookmarkEnd w:id="59"/>
    </w:p>
    <w:tbl>
      <w:tblPr>
        <w:tblW w:w="5000" w:type="pct"/>
        <w:jc w:val="center"/>
        <w:tblLook w:val="04A0" w:firstRow="1" w:lastRow="0" w:firstColumn="1" w:lastColumn="0" w:noHBand="0" w:noVBand="1"/>
      </w:tblPr>
      <w:tblGrid>
        <w:gridCol w:w="1573"/>
        <w:gridCol w:w="1429"/>
        <w:gridCol w:w="1121"/>
        <w:gridCol w:w="1141"/>
        <w:gridCol w:w="1160"/>
        <w:gridCol w:w="2432"/>
      </w:tblGrid>
      <w:tr w:rsidR="00FA7203" w:rsidRPr="00FA7203" w14:paraId="131A182A" w14:textId="77777777" w:rsidTr="007B1966">
        <w:trPr>
          <w:trHeight w:val="560"/>
          <w:jc w:val="center"/>
        </w:trPr>
        <w:tc>
          <w:tcPr>
            <w:tcW w:w="888" w:type="pct"/>
            <w:tcBorders>
              <w:top w:val="single" w:sz="4" w:space="0" w:color="000000"/>
              <w:left w:val="nil"/>
              <w:bottom w:val="single" w:sz="4" w:space="0" w:color="000000"/>
              <w:right w:val="nil"/>
            </w:tcBorders>
            <w:shd w:val="clear" w:color="000000" w:fill="FFFFFF"/>
            <w:vAlign w:val="center"/>
            <w:hideMark/>
          </w:tcPr>
          <w:p w14:paraId="1FB34947"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Variable</w:t>
            </w:r>
          </w:p>
        </w:tc>
        <w:tc>
          <w:tcPr>
            <w:tcW w:w="807" w:type="pct"/>
            <w:tcBorders>
              <w:top w:val="single" w:sz="4" w:space="0" w:color="000000"/>
              <w:left w:val="nil"/>
              <w:bottom w:val="single" w:sz="4" w:space="0" w:color="000000"/>
              <w:right w:val="nil"/>
            </w:tcBorders>
            <w:shd w:val="clear" w:color="000000" w:fill="FFFFFF"/>
            <w:vAlign w:val="center"/>
            <w:hideMark/>
          </w:tcPr>
          <w:p w14:paraId="3C0EE676"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r² (eDNA)</w:t>
            </w:r>
          </w:p>
        </w:tc>
        <w:tc>
          <w:tcPr>
            <w:tcW w:w="633" w:type="pct"/>
            <w:tcBorders>
              <w:top w:val="single" w:sz="4" w:space="0" w:color="000000"/>
              <w:left w:val="nil"/>
              <w:bottom w:val="single" w:sz="4" w:space="0" w:color="000000"/>
              <w:right w:val="nil"/>
            </w:tcBorders>
            <w:shd w:val="clear" w:color="000000" w:fill="FFFFFF"/>
            <w:vAlign w:val="center"/>
            <w:hideMark/>
          </w:tcPr>
          <w:p w14:paraId="22AC0327"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p (eDNA)</w:t>
            </w:r>
          </w:p>
        </w:tc>
        <w:tc>
          <w:tcPr>
            <w:tcW w:w="644" w:type="pct"/>
            <w:tcBorders>
              <w:top w:val="single" w:sz="4" w:space="0" w:color="000000"/>
              <w:left w:val="nil"/>
              <w:bottom w:val="single" w:sz="4" w:space="0" w:color="000000"/>
              <w:right w:val="nil"/>
            </w:tcBorders>
            <w:shd w:val="clear" w:color="000000" w:fill="FFFFFF"/>
            <w:vAlign w:val="center"/>
            <w:hideMark/>
          </w:tcPr>
          <w:p w14:paraId="3C01B12E"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r² (eRNA)</w:t>
            </w:r>
          </w:p>
        </w:tc>
        <w:tc>
          <w:tcPr>
            <w:tcW w:w="655" w:type="pct"/>
            <w:tcBorders>
              <w:top w:val="single" w:sz="4" w:space="0" w:color="000000"/>
              <w:left w:val="nil"/>
              <w:bottom w:val="single" w:sz="4" w:space="0" w:color="000000"/>
              <w:right w:val="nil"/>
            </w:tcBorders>
            <w:shd w:val="clear" w:color="000000" w:fill="FFFFFF"/>
            <w:vAlign w:val="center"/>
            <w:hideMark/>
          </w:tcPr>
          <w:p w14:paraId="27F70C87"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p (eRNA)</w:t>
            </w:r>
          </w:p>
        </w:tc>
        <w:tc>
          <w:tcPr>
            <w:tcW w:w="1373" w:type="pct"/>
            <w:tcBorders>
              <w:top w:val="single" w:sz="4" w:space="0" w:color="000000"/>
              <w:left w:val="nil"/>
              <w:bottom w:val="single" w:sz="4" w:space="0" w:color="000000"/>
              <w:right w:val="nil"/>
            </w:tcBorders>
            <w:shd w:val="clear" w:color="000000" w:fill="FFFFFF"/>
            <w:vAlign w:val="center"/>
            <w:hideMark/>
          </w:tcPr>
          <w:p w14:paraId="4BA85036"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Common significance</w:t>
            </w:r>
          </w:p>
        </w:tc>
      </w:tr>
      <w:tr w:rsidR="00FA7203" w:rsidRPr="00FA7203" w14:paraId="43DF62E8" w14:textId="77777777" w:rsidTr="007B1966">
        <w:trPr>
          <w:trHeight w:val="290"/>
          <w:jc w:val="center"/>
        </w:trPr>
        <w:tc>
          <w:tcPr>
            <w:tcW w:w="888" w:type="pct"/>
            <w:tcBorders>
              <w:top w:val="nil"/>
              <w:left w:val="nil"/>
              <w:bottom w:val="nil"/>
              <w:right w:val="nil"/>
            </w:tcBorders>
            <w:shd w:val="clear" w:color="000000" w:fill="FFFFFF"/>
            <w:vAlign w:val="center"/>
            <w:hideMark/>
          </w:tcPr>
          <w:p w14:paraId="6B1DAFFD"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Temp</w:t>
            </w:r>
          </w:p>
        </w:tc>
        <w:tc>
          <w:tcPr>
            <w:tcW w:w="807" w:type="pct"/>
            <w:tcBorders>
              <w:top w:val="nil"/>
              <w:left w:val="nil"/>
              <w:bottom w:val="nil"/>
              <w:right w:val="nil"/>
            </w:tcBorders>
            <w:shd w:val="clear" w:color="000000" w:fill="FFFFFF"/>
            <w:vAlign w:val="center"/>
            <w:hideMark/>
          </w:tcPr>
          <w:p w14:paraId="6CF5679B"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0.04</w:t>
            </w:r>
          </w:p>
        </w:tc>
        <w:tc>
          <w:tcPr>
            <w:tcW w:w="633" w:type="pct"/>
            <w:tcBorders>
              <w:top w:val="nil"/>
              <w:left w:val="nil"/>
              <w:bottom w:val="nil"/>
              <w:right w:val="nil"/>
            </w:tcBorders>
            <w:shd w:val="clear" w:color="000000" w:fill="FFFFFF"/>
            <w:vAlign w:val="center"/>
            <w:hideMark/>
          </w:tcPr>
          <w:p w14:paraId="1D949853"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0.354</w:t>
            </w:r>
          </w:p>
        </w:tc>
        <w:tc>
          <w:tcPr>
            <w:tcW w:w="644" w:type="pct"/>
            <w:tcBorders>
              <w:top w:val="nil"/>
              <w:left w:val="nil"/>
              <w:bottom w:val="nil"/>
              <w:right w:val="nil"/>
            </w:tcBorders>
            <w:shd w:val="clear" w:color="000000" w:fill="FFFFFF"/>
            <w:vAlign w:val="center"/>
            <w:hideMark/>
          </w:tcPr>
          <w:p w14:paraId="68A47B19"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0.34</w:t>
            </w:r>
          </w:p>
        </w:tc>
        <w:tc>
          <w:tcPr>
            <w:tcW w:w="655" w:type="pct"/>
            <w:tcBorders>
              <w:top w:val="nil"/>
              <w:left w:val="nil"/>
              <w:bottom w:val="nil"/>
              <w:right w:val="nil"/>
            </w:tcBorders>
            <w:shd w:val="clear" w:color="000000" w:fill="FFFFFF"/>
            <w:vAlign w:val="center"/>
            <w:hideMark/>
          </w:tcPr>
          <w:p w14:paraId="09134AD9"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0.002 **</w:t>
            </w:r>
          </w:p>
        </w:tc>
        <w:tc>
          <w:tcPr>
            <w:tcW w:w="1373" w:type="pct"/>
            <w:tcBorders>
              <w:top w:val="nil"/>
              <w:left w:val="nil"/>
              <w:bottom w:val="nil"/>
              <w:right w:val="nil"/>
            </w:tcBorders>
            <w:shd w:val="clear" w:color="000000" w:fill="FFFFFF"/>
            <w:vAlign w:val="center"/>
            <w:hideMark/>
          </w:tcPr>
          <w:p w14:paraId="442B155D"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eRNA only</w:t>
            </w:r>
          </w:p>
        </w:tc>
      </w:tr>
      <w:tr w:rsidR="00FA7203" w:rsidRPr="00FA7203" w14:paraId="271E6831" w14:textId="77777777" w:rsidTr="007B1966">
        <w:trPr>
          <w:trHeight w:val="290"/>
          <w:jc w:val="center"/>
        </w:trPr>
        <w:tc>
          <w:tcPr>
            <w:tcW w:w="888" w:type="pct"/>
            <w:tcBorders>
              <w:top w:val="nil"/>
              <w:left w:val="nil"/>
              <w:bottom w:val="nil"/>
              <w:right w:val="nil"/>
            </w:tcBorders>
            <w:shd w:val="clear" w:color="000000" w:fill="FFFFFF"/>
            <w:vAlign w:val="center"/>
            <w:hideMark/>
          </w:tcPr>
          <w:p w14:paraId="6BE23B1D"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pH</w:t>
            </w:r>
          </w:p>
        </w:tc>
        <w:tc>
          <w:tcPr>
            <w:tcW w:w="807" w:type="pct"/>
            <w:tcBorders>
              <w:top w:val="nil"/>
              <w:left w:val="nil"/>
              <w:bottom w:val="nil"/>
              <w:right w:val="nil"/>
            </w:tcBorders>
            <w:shd w:val="clear" w:color="000000" w:fill="FFFFFF"/>
            <w:vAlign w:val="center"/>
            <w:hideMark/>
          </w:tcPr>
          <w:p w14:paraId="6102C9C2"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0.16</w:t>
            </w:r>
          </w:p>
        </w:tc>
        <w:tc>
          <w:tcPr>
            <w:tcW w:w="633" w:type="pct"/>
            <w:tcBorders>
              <w:top w:val="nil"/>
              <w:left w:val="nil"/>
              <w:bottom w:val="nil"/>
              <w:right w:val="nil"/>
            </w:tcBorders>
            <w:shd w:val="clear" w:color="000000" w:fill="FFFFFF"/>
            <w:vAlign w:val="center"/>
            <w:hideMark/>
          </w:tcPr>
          <w:p w14:paraId="43030BFD"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0.007 **</w:t>
            </w:r>
          </w:p>
        </w:tc>
        <w:tc>
          <w:tcPr>
            <w:tcW w:w="644" w:type="pct"/>
            <w:tcBorders>
              <w:top w:val="nil"/>
              <w:left w:val="nil"/>
              <w:bottom w:val="nil"/>
              <w:right w:val="nil"/>
            </w:tcBorders>
            <w:shd w:val="clear" w:color="000000" w:fill="FFFFFF"/>
            <w:vAlign w:val="center"/>
            <w:hideMark/>
          </w:tcPr>
          <w:p w14:paraId="66EFD40E"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0.1</w:t>
            </w:r>
          </w:p>
        </w:tc>
        <w:tc>
          <w:tcPr>
            <w:tcW w:w="655" w:type="pct"/>
            <w:tcBorders>
              <w:top w:val="nil"/>
              <w:left w:val="nil"/>
              <w:bottom w:val="nil"/>
              <w:right w:val="nil"/>
            </w:tcBorders>
            <w:shd w:val="clear" w:color="000000" w:fill="FFFFFF"/>
            <w:vAlign w:val="center"/>
            <w:hideMark/>
          </w:tcPr>
          <w:p w14:paraId="19A7138D"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0.213</w:t>
            </w:r>
          </w:p>
        </w:tc>
        <w:tc>
          <w:tcPr>
            <w:tcW w:w="1373" w:type="pct"/>
            <w:tcBorders>
              <w:top w:val="nil"/>
              <w:left w:val="nil"/>
              <w:bottom w:val="nil"/>
              <w:right w:val="nil"/>
            </w:tcBorders>
            <w:shd w:val="clear" w:color="000000" w:fill="FFFFFF"/>
            <w:vAlign w:val="center"/>
            <w:hideMark/>
          </w:tcPr>
          <w:p w14:paraId="39A5C25E"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eDNA only</w:t>
            </w:r>
          </w:p>
        </w:tc>
      </w:tr>
      <w:tr w:rsidR="00FA7203" w:rsidRPr="00FA7203" w14:paraId="6C2BBC01" w14:textId="77777777" w:rsidTr="007B1966">
        <w:trPr>
          <w:trHeight w:val="290"/>
          <w:jc w:val="center"/>
        </w:trPr>
        <w:tc>
          <w:tcPr>
            <w:tcW w:w="888" w:type="pct"/>
            <w:tcBorders>
              <w:top w:val="nil"/>
              <w:left w:val="nil"/>
              <w:bottom w:val="nil"/>
              <w:right w:val="nil"/>
            </w:tcBorders>
            <w:shd w:val="clear" w:color="000000" w:fill="FFFFFF"/>
            <w:vAlign w:val="center"/>
            <w:hideMark/>
          </w:tcPr>
          <w:p w14:paraId="548FE3AF"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DO</w:t>
            </w:r>
          </w:p>
        </w:tc>
        <w:tc>
          <w:tcPr>
            <w:tcW w:w="807" w:type="pct"/>
            <w:tcBorders>
              <w:top w:val="nil"/>
              <w:left w:val="nil"/>
              <w:bottom w:val="nil"/>
              <w:right w:val="nil"/>
            </w:tcBorders>
            <w:shd w:val="clear" w:color="000000" w:fill="FFFFFF"/>
            <w:vAlign w:val="center"/>
            <w:hideMark/>
          </w:tcPr>
          <w:p w14:paraId="2F1EA025"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0.2</w:t>
            </w:r>
          </w:p>
        </w:tc>
        <w:tc>
          <w:tcPr>
            <w:tcW w:w="633" w:type="pct"/>
            <w:tcBorders>
              <w:top w:val="nil"/>
              <w:left w:val="nil"/>
              <w:bottom w:val="nil"/>
              <w:right w:val="nil"/>
            </w:tcBorders>
            <w:shd w:val="clear" w:color="000000" w:fill="FFFFFF"/>
            <w:vAlign w:val="center"/>
            <w:hideMark/>
          </w:tcPr>
          <w:p w14:paraId="44F270AD"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0.004 **</w:t>
            </w:r>
          </w:p>
        </w:tc>
        <w:tc>
          <w:tcPr>
            <w:tcW w:w="644" w:type="pct"/>
            <w:tcBorders>
              <w:top w:val="nil"/>
              <w:left w:val="nil"/>
              <w:bottom w:val="nil"/>
              <w:right w:val="nil"/>
            </w:tcBorders>
            <w:shd w:val="clear" w:color="000000" w:fill="FFFFFF"/>
            <w:vAlign w:val="center"/>
            <w:hideMark/>
          </w:tcPr>
          <w:p w14:paraId="23D97065"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0.21</w:t>
            </w:r>
          </w:p>
        </w:tc>
        <w:tc>
          <w:tcPr>
            <w:tcW w:w="655" w:type="pct"/>
            <w:tcBorders>
              <w:top w:val="nil"/>
              <w:left w:val="nil"/>
              <w:bottom w:val="nil"/>
              <w:right w:val="nil"/>
            </w:tcBorders>
            <w:shd w:val="clear" w:color="000000" w:fill="FFFFFF"/>
            <w:vAlign w:val="center"/>
            <w:hideMark/>
          </w:tcPr>
          <w:p w14:paraId="67B99A78"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0.027 *</w:t>
            </w:r>
          </w:p>
        </w:tc>
        <w:tc>
          <w:tcPr>
            <w:tcW w:w="1373" w:type="pct"/>
            <w:tcBorders>
              <w:top w:val="nil"/>
              <w:left w:val="nil"/>
              <w:bottom w:val="nil"/>
              <w:right w:val="nil"/>
            </w:tcBorders>
            <w:shd w:val="clear" w:color="000000" w:fill="FFFFFF"/>
            <w:vAlign w:val="center"/>
            <w:hideMark/>
          </w:tcPr>
          <w:p w14:paraId="5667EE3F"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 xml:space="preserve">eDNA </w:t>
            </w:r>
            <w:r w:rsidRPr="00FA7203">
              <w:rPr>
                <w:rFonts w:ascii="Cambria Math" w:hAnsi="Cambria Math" w:cs="Cambria Math"/>
                <w:color w:val="000000"/>
                <w14:ligatures w14:val="none"/>
              </w:rPr>
              <w:t>≫</w:t>
            </w:r>
            <w:r w:rsidRPr="00FA7203">
              <w:rPr>
                <w:rFonts w:ascii="Times New Roman" w:hAnsi="Times New Roman" w:cs="Times New Roman"/>
                <w:color w:val="000000"/>
                <w14:ligatures w14:val="none"/>
              </w:rPr>
              <w:t xml:space="preserve"> eRNA</w:t>
            </w:r>
          </w:p>
        </w:tc>
      </w:tr>
      <w:tr w:rsidR="00FA7203" w:rsidRPr="00FA7203" w14:paraId="308B176A" w14:textId="77777777" w:rsidTr="007B1966">
        <w:trPr>
          <w:trHeight w:val="290"/>
          <w:jc w:val="center"/>
        </w:trPr>
        <w:tc>
          <w:tcPr>
            <w:tcW w:w="888" w:type="pct"/>
            <w:tcBorders>
              <w:top w:val="nil"/>
              <w:left w:val="nil"/>
              <w:bottom w:val="nil"/>
              <w:right w:val="nil"/>
            </w:tcBorders>
            <w:shd w:val="clear" w:color="000000" w:fill="FFFFFF"/>
            <w:vAlign w:val="center"/>
            <w:hideMark/>
          </w:tcPr>
          <w:p w14:paraId="64D85963"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Conductivity</w:t>
            </w:r>
          </w:p>
        </w:tc>
        <w:tc>
          <w:tcPr>
            <w:tcW w:w="807" w:type="pct"/>
            <w:tcBorders>
              <w:top w:val="nil"/>
              <w:left w:val="nil"/>
              <w:bottom w:val="nil"/>
              <w:right w:val="nil"/>
            </w:tcBorders>
            <w:shd w:val="clear" w:color="000000" w:fill="FFFFFF"/>
            <w:vAlign w:val="center"/>
            <w:hideMark/>
          </w:tcPr>
          <w:p w14:paraId="5AEA21E0"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0.37</w:t>
            </w:r>
          </w:p>
        </w:tc>
        <w:tc>
          <w:tcPr>
            <w:tcW w:w="633" w:type="pct"/>
            <w:tcBorders>
              <w:top w:val="nil"/>
              <w:left w:val="nil"/>
              <w:bottom w:val="nil"/>
              <w:right w:val="nil"/>
            </w:tcBorders>
            <w:shd w:val="clear" w:color="000000" w:fill="FFFFFF"/>
            <w:vAlign w:val="center"/>
            <w:hideMark/>
          </w:tcPr>
          <w:p w14:paraId="63227254"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0.001 ***</w:t>
            </w:r>
          </w:p>
        </w:tc>
        <w:tc>
          <w:tcPr>
            <w:tcW w:w="644" w:type="pct"/>
            <w:tcBorders>
              <w:top w:val="nil"/>
              <w:left w:val="nil"/>
              <w:bottom w:val="nil"/>
              <w:right w:val="nil"/>
            </w:tcBorders>
            <w:shd w:val="clear" w:color="000000" w:fill="FFFFFF"/>
            <w:vAlign w:val="center"/>
            <w:hideMark/>
          </w:tcPr>
          <w:p w14:paraId="3B88E632"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0.45</w:t>
            </w:r>
          </w:p>
        </w:tc>
        <w:tc>
          <w:tcPr>
            <w:tcW w:w="655" w:type="pct"/>
            <w:tcBorders>
              <w:top w:val="nil"/>
              <w:left w:val="nil"/>
              <w:bottom w:val="nil"/>
              <w:right w:val="nil"/>
            </w:tcBorders>
            <w:shd w:val="clear" w:color="000000" w:fill="FFFFFF"/>
            <w:vAlign w:val="center"/>
            <w:hideMark/>
          </w:tcPr>
          <w:p w14:paraId="0DF3D24D"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0.001 ***</w:t>
            </w:r>
          </w:p>
        </w:tc>
        <w:tc>
          <w:tcPr>
            <w:tcW w:w="1373" w:type="pct"/>
            <w:tcBorders>
              <w:top w:val="nil"/>
              <w:left w:val="nil"/>
              <w:bottom w:val="nil"/>
              <w:right w:val="nil"/>
            </w:tcBorders>
            <w:shd w:val="clear" w:color="000000" w:fill="FFFFFF"/>
            <w:vAlign w:val="center"/>
            <w:hideMark/>
          </w:tcPr>
          <w:p w14:paraId="5DD7880C"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both</w:t>
            </w:r>
          </w:p>
        </w:tc>
      </w:tr>
      <w:tr w:rsidR="00FA7203" w:rsidRPr="00FA7203" w14:paraId="13C22A22" w14:textId="77777777" w:rsidTr="007B1966">
        <w:trPr>
          <w:trHeight w:val="290"/>
          <w:jc w:val="center"/>
        </w:trPr>
        <w:tc>
          <w:tcPr>
            <w:tcW w:w="888" w:type="pct"/>
            <w:tcBorders>
              <w:top w:val="nil"/>
              <w:left w:val="nil"/>
              <w:bottom w:val="nil"/>
              <w:right w:val="nil"/>
            </w:tcBorders>
            <w:shd w:val="clear" w:color="000000" w:fill="FFFFFF"/>
            <w:vAlign w:val="center"/>
            <w:hideMark/>
          </w:tcPr>
          <w:p w14:paraId="630E1C4A"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Turbidity</w:t>
            </w:r>
          </w:p>
        </w:tc>
        <w:tc>
          <w:tcPr>
            <w:tcW w:w="807" w:type="pct"/>
            <w:tcBorders>
              <w:top w:val="nil"/>
              <w:left w:val="nil"/>
              <w:bottom w:val="nil"/>
              <w:right w:val="nil"/>
            </w:tcBorders>
            <w:shd w:val="clear" w:color="000000" w:fill="FFFFFF"/>
            <w:vAlign w:val="center"/>
            <w:hideMark/>
          </w:tcPr>
          <w:p w14:paraId="2F603A78"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0.56</w:t>
            </w:r>
          </w:p>
        </w:tc>
        <w:tc>
          <w:tcPr>
            <w:tcW w:w="633" w:type="pct"/>
            <w:tcBorders>
              <w:top w:val="nil"/>
              <w:left w:val="nil"/>
              <w:bottom w:val="nil"/>
              <w:right w:val="nil"/>
            </w:tcBorders>
            <w:shd w:val="clear" w:color="000000" w:fill="FFFFFF"/>
            <w:vAlign w:val="center"/>
            <w:hideMark/>
          </w:tcPr>
          <w:p w14:paraId="19AFE38A"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0.001 ***</w:t>
            </w:r>
          </w:p>
        </w:tc>
        <w:tc>
          <w:tcPr>
            <w:tcW w:w="644" w:type="pct"/>
            <w:tcBorders>
              <w:top w:val="nil"/>
              <w:left w:val="nil"/>
              <w:bottom w:val="nil"/>
              <w:right w:val="nil"/>
            </w:tcBorders>
            <w:shd w:val="clear" w:color="000000" w:fill="FFFFFF"/>
            <w:vAlign w:val="center"/>
            <w:hideMark/>
          </w:tcPr>
          <w:p w14:paraId="0BB8E5B9"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0.69</w:t>
            </w:r>
          </w:p>
        </w:tc>
        <w:tc>
          <w:tcPr>
            <w:tcW w:w="655" w:type="pct"/>
            <w:tcBorders>
              <w:top w:val="nil"/>
              <w:left w:val="nil"/>
              <w:bottom w:val="nil"/>
              <w:right w:val="nil"/>
            </w:tcBorders>
            <w:shd w:val="clear" w:color="000000" w:fill="FFFFFF"/>
            <w:vAlign w:val="center"/>
            <w:hideMark/>
          </w:tcPr>
          <w:p w14:paraId="4F51B3B6"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0.001 ***</w:t>
            </w:r>
          </w:p>
        </w:tc>
        <w:tc>
          <w:tcPr>
            <w:tcW w:w="1373" w:type="pct"/>
            <w:tcBorders>
              <w:top w:val="nil"/>
              <w:left w:val="nil"/>
              <w:bottom w:val="nil"/>
              <w:right w:val="nil"/>
            </w:tcBorders>
            <w:shd w:val="clear" w:color="000000" w:fill="FFFFFF"/>
            <w:vAlign w:val="center"/>
            <w:hideMark/>
          </w:tcPr>
          <w:p w14:paraId="0C682E3A"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both</w:t>
            </w:r>
          </w:p>
        </w:tc>
      </w:tr>
      <w:tr w:rsidR="00FA7203" w:rsidRPr="00FA7203" w14:paraId="7C1358A7" w14:textId="77777777" w:rsidTr="007B1966">
        <w:trPr>
          <w:trHeight w:val="290"/>
          <w:jc w:val="center"/>
        </w:trPr>
        <w:tc>
          <w:tcPr>
            <w:tcW w:w="888" w:type="pct"/>
            <w:tcBorders>
              <w:top w:val="nil"/>
              <w:left w:val="nil"/>
              <w:bottom w:val="single" w:sz="4" w:space="0" w:color="000000"/>
              <w:right w:val="nil"/>
            </w:tcBorders>
            <w:shd w:val="clear" w:color="000000" w:fill="FFFFFF"/>
            <w:vAlign w:val="center"/>
            <w:hideMark/>
          </w:tcPr>
          <w:p w14:paraId="1AD723A2" w14:textId="77777777" w:rsidR="00FA7203" w:rsidRPr="00FA7203" w:rsidRDefault="00FA7203" w:rsidP="00C351A3">
            <w:pPr>
              <w:jc w:val="center"/>
              <w:rPr>
                <w:rFonts w:ascii="Times New Roman" w:hAnsi="Times New Roman" w:cs="Times New Roman"/>
                <w:color w:val="000000"/>
                <w:sz w:val="22"/>
                <w:szCs w:val="22"/>
                <w14:ligatures w14:val="none"/>
              </w:rPr>
            </w:pPr>
            <w:proofErr w:type="spellStart"/>
            <w:r w:rsidRPr="00FA7203">
              <w:rPr>
                <w:rFonts w:ascii="Times New Roman" w:hAnsi="Times New Roman" w:cs="Times New Roman"/>
                <w:color w:val="000000"/>
                <w14:ligatures w14:val="none"/>
              </w:rPr>
              <w:t>DamDist</w:t>
            </w:r>
            <w:proofErr w:type="spellEnd"/>
          </w:p>
        </w:tc>
        <w:tc>
          <w:tcPr>
            <w:tcW w:w="807" w:type="pct"/>
            <w:tcBorders>
              <w:top w:val="nil"/>
              <w:left w:val="nil"/>
              <w:bottom w:val="single" w:sz="4" w:space="0" w:color="000000"/>
              <w:right w:val="nil"/>
            </w:tcBorders>
            <w:shd w:val="clear" w:color="000000" w:fill="FFFFFF"/>
            <w:vAlign w:val="center"/>
            <w:hideMark/>
          </w:tcPr>
          <w:p w14:paraId="4A7ECA0E"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0.62</w:t>
            </w:r>
          </w:p>
        </w:tc>
        <w:tc>
          <w:tcPr>
            <w:tcW w:w="633" w:type="pct"/>
            <w:tcBorders>
              <w:top w:val="nil"/>
              <w:left w:val="nil"/>
              <w:bottom w:val="single" w:sz="4" w:space="0" w:color="000000"/>
              <w:right w:val="nil"/>
            </w:tcBorders>
            <w:shd w:val="clear" w:color="000000" w:fill="FFFFFF"/>
            <w:vAlign w:val="center"/>
            <w:hideMark/>
          </w:tcPr>
          <w:p w14:paraId="7D1A4A82"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0.001 ***</w:t>
            </w:r>
          </w:p>
        </w:tc>
        <w:tc>
          <w:tcPr>
            <w:tcW w:w="644" w:type="pct"/>
            <w:tcBorders>
              <w:top w:val="nil"/>
              <w:left w:val="nil"/>
              <w:bottom w:val="single" w:sz="4" w:space="0" w:color="000000"/>
              <w:right w:val="nil"/>
            </w:tcBorders>
            <w:shd w:val="clear" w:color="000000" w:fill="FFFFFF"/>
            <w:vAlign w:val="center"/>
            <w:hideMark/>
          </w:tcPr>
          <w:p w14:paraId="74A94BBE"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0.69</w:t>
            </w:r>
          </w:p>
        </w:tc>
        <w:tc>
          <w:tcPr>
            <w:tcW w:w="655" w:type="pct"/>
            <w:tcBorders>
              <w:top w:val="nil"/>
              <w:left w:val="nil"/>
              <w:bottom w:val="single" w:sz="4" w:space="0" w:color="000000"/>
              <w:right w:val="nil"/>
            </w:tcBorders>
            <w:shd w:val="clear" w:color="000000" w:fill="FFFFFF"/>
            <w:vAlign w:val="center"/>
            <w:hideMark/>
          </w:tcPr>
          <w:p w14:paraId="1DCBB53B"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0.001 ***</w:t>
            </w:r>
          </w:p>
        </w:tc>
        <w:tc>
          <w:tcPr>
            <w:tcW w:w="1373" w:type="pct"/>
            <w:tcBorders>
              <w:top w:val="nil"/>
              <w:left w:val="nil"/>
              <w:bottom w:val="single" w:sz="4" w:space="0" w:color="000000"/>
              <w:right w:val="nil"/>
            </w:tcBorders>
            <w:shd w:val="clear" w:color="000000" w:fill="FFFFFF"/>
            <w:vAlign w:val="center"/>
            <w:hideMark/>
          </w:tcPr>
          <w:p w14:paraId="2AF45FFE" w14:textId="77777777" w:rsidR="00FA7203" w:rsidRPr="00FA7203" w:rsidRDefault="00FA7203" w:rsidP="00C351A3">
            <w:pPr>
              <w:jc w:val="center"/>
              <w:rPr>
                <w:rFonts w:ascii="Times New Roman" w:hAnsi="Times New Roman" w:cs="Times New Roman"/>
                <w:color w:val="000000"/>
                <w:sz w:val="22"/>
                <w:szCs w:val="22"/>
                <w14:ligatures w14:val="none"/>
              </w:rPr>
            </w:pPr>
            <w:r w:rsidRPr="00FA7203">
              <w:rPr>
                <w:rFonts w:ascii="Times New Roman" w:hAnsi="Times New Roman" w:cs="Times New Roman"/>
                <w:color w:val="000000"/>
                <w14:ligatures w14:val="none"/>
              </w:rPr>
              <w:t>both</w:t>
            </w:r>
          </w:p>
        </w:tc>
      </w:tr>
    </w:tbl>
    <w:p w14:paraId="5F3BB56A" w14:textId="3E66C2D6" w:rsidR="007930CC" w:rsidRDefault="007930CC">
      <w:pPr>
        <w:spacing w:after="160" w:line="278" w:lineRule="auto"/>
        <w:rPr>
          <w:rFonts w:ascii="Times New Roman" w:hAnsi="Times New Roman" w:cs="Times New Roman"/>
          <w:b/>
          <w:bCs/>
          <w:i/>
        </w:rPr>
      </w:pPr>
      <w:bookmarkStart w:id="60" w:name="_Toc211651639"/>
    </w:p>
    <w:p w14:paraId="209A9548" w14:textId="4B503630" w:rsidR="00A85036" w:rsidRDefault="00A85036" w:rsidP="007B1966">
      <w:pPr>
        <w:pStyle w:val="Heading3"/>
        <w:numPr>
          <w:ilvl w:val="0"/>
          <w:numId w:val="0"/>
        </w:numPr>
      </w:pPr>
      <w:r w:rsidRPr="00A85036">
        <w:t xml:space="preserve">Mussel Community Detection and </w:t>
      </w:r>
      <w:r>
        <w:t>Molecular Marker</w:t>
      </w:r>
      <w:r w:rsidRPr="00A85036">
        <w:t xml:space="preserve"> Comparison</w:t>
      </w:r>
      <w:bookmarkEnd w:id="60"/>
    </w:p>
    <w:p w14:paraId="3599146F" w14:textId="6183C512" w:rsidR="00A85036" w:rsidRDefault="00A85036" w:rsidP="00A85036">
      <w:pPr>
        <w:pStyle w:val="normale"/>
      </w:pPr>
      <w:r w:rsidRPr="00A85036">
        <w:t>Across all</w:t>
      </w:r>
      <w:r>
        <w:t xml:space="preserve"> </w:t>
      </w:r>
      <w:r w:rsidRPr="00A85036">
        <w:t>sites, the COI assay detected eight mussel species, the 16S assay detected five, and the 2023 morphological surveys (MS) recorded seven species</w:t>
      </w:r>
      <w:r w:rsidR="00F92099">
        <w:t xml:space="preserve"> (</w:t>
      </w:r>
      <w:r w:rsidR="00F92099">
        <w:rPr>
          <w:b/>
          <w:bCs/>
        </w:rPr>
        <w:t xml:space="preserve">Figure </w:t>
      </w:r>
      <w:r w:rsidR="00A17C51">
        <w:rPr>
          <w:b/>
          <w:bCs/>
        </w:rPr>
        <w:t>6A-B</w:t>
      </w:r>
      <w:r w:rsidR="00F92099">
        <w:rPr>
          <w:b/>
          <w:bCs/>
        </w:rPr>
        <w:t>)</w:t>
      </w:r>
      <w:r w:rsidRPr="00A85036">
        <w:t>. Pairwise Wilcoxon signed-rank tests based on binary richness data indicated no significant differences in richness between either metabarcoding assay (COI or 16S) and morphological surveys (p = 0.19 and 0.75, respectively). However, COI detected significantly higher richness than 16S (p = 0.048), consistent with the broader taxonomic coverage of COI.</w:t>
      </w:r>
    </w:p>
    <w:p w14:paraId="7768F5C7" w14:textId="77777777" w:rsidR="00934BE6" w:rsidRDefault="00F92099" w:rsidP="00934BE6">
      <w:pPr>
        <w:pStyle w:val="normale"/>
        <w:keepNext/>
      </w:pPr>
      <w:r>
        <w:rPr>
          <w:noProof/>
        </w:rPr>
        <w:lastRenderedPageBreak/>
        <w:drawing>
          <wp:inline distT="0" distB="0" distL="0" distR="0" wp14:anchorId="75D33D1B" wp14:editId="66179740">
            <wp:extent cx="5486400" cy="2127885"/>
            <wp:effectExtent l="0" t="0" r="0" b="0"/>
            <wp:docPr id="1879751443" name="Picture 13"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51443" name="Picture 13" descr="Chart, bar chart&#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86400" cy="2127885"/>
                    </a:xfrm>
                    <a:prstGeom prst="rect">
                      <a:avLst/>
                    </a:prstGeom>
                    <a:noFill/>
                    <a:ln>
                      <a:noFill/>
                    </a:ln>
                  </pic:spPr>
                </pic:pic>
              </a:graphicData>
            </a:graphic>
          </wp:inline>
        </w:drawing>
      </w:r>
    </w:p>
    <w:p w14:paraId="43B99D58" w14:textId="4D46E4A1" w:rsidR="00584214" w:rsidRDefault="00934BE6" w:rsidP="0082280B">
      <w:pPr>
        <w:pStyle w:val="Caption"/>
      </w:pPr>
      <w:bookmarkStart w:id="61" w:name="_Toc211656150"/>
      <w:r w:rsidRPr="002C0BB1">
        <w:rPr>
          <w:b/>
          <w:bCs/>
        </w:rPr>
        <w:t xml:space="preserve">Figure </w:t>
      </w:r>
      <w:r w:rsidRPr="002C0BB1">
        <w:rPr>
          <w:b/>
          <w:bCs/>
        </w:rPr>
        <w:fldChar w:fldCharType="begin"/>
      </w:r>
      <w:r w:rsidRPr="002C0BB1">
        <w:rPr>
          <w:b/>
          <w:bCs/>
        </w:rPr>
        <w:instrText xml:space="preserve"> SEQ Figure \* ARABIC </w:instrText>
      </w:r>
      <w:r w:rsidRPr="002C0BB1">
        <w:rPr>
          <w:b/>
          <w:bCs/>
        </w:rPr>
        <w:fldChar w:fldCharType="separate"/>
      </w:r>
      <w:r w:rsidR="008C02C3" w:rsidRPr="002C0BB1">
        <w:rPr>
          <w:b/>
          <w:bCs/>
          <w:noProof/>
        </w:rPr>
        <w:t>6</w:t>
      </w:r>
      <w:r w:rsidRPr="002C0BB1">
        <w:rPr>
          <w:b/>
          <w:bCs/>
        </w:rPr>
        <w:fldChar w:fldCharType="end"/>
      </w:r>
      <w:r w:rsidRPr="002C0BB1">
        <w:rPr>
          <w:b/>
          <w:bCs/>
        </w:rPr>
        <w:t>.</w:t>
      </w:r>
      <w:r w:rsidRPr="00934BE6">
        <w:t xml:space="preserve"> Comparison of mussel species detections across methods. </w:t>
      </w:r>
      <w:r w:rsidRPr="005808B0">
        <w:t>(A) Number of unique species detected by COI, 16S, and 2023 morphological surveys (MS). (B) Venn diagram showing species overlap among methods.</w:t>
      </w:r>
      <w:bookmarkEnd w:id="61"/>
    </w:p>
    <w:p w14:paraId="6127C1E9" w14:textId="7C75B5CB" w:rsidR="00F92099" w:rsidRPr="00584214" w:rsidRDefault="00F92099" w:rsidP="00584214">
      <w:pPr>
        <w:spacing w:after="160" w:line="278" w:lineRule="auto"/>
        <w:rPr>
          <w:rFonts w:ascii="Times New Roman" w:hAnsi="Times New Roman" w:cs="Times New Roman"/>
          <w:iCs/>
          <w:color w:val="000000" w:themeColor="text1"/>
          <w:sz w:val="20"/>
          <w:szCs w:val="18"/>
        </w:rPr>
      </w:pPr>
    </w:p>
    <w:p w14:paraId="05DA4850" w14:textId="3275BF3A" w:rsidR="007E1C7E" w:rsidRDefault="007E1C7E" w:rsidP="00A85036">
      <w:pPr>
        <w:pStyle w:val="normale"/>
      </w:pPr>
      <w:r w:rsidRPr="007E1C7E">
        <w:t xml:space="preserve">Non-metric multidimensional scaling (NMDS) ordinations using binary Jaccard distances yielded low stress values (0.12 for COI and 0.09 for 16S), </w:t>
      </w:r>
      <w:r w:rsidR="002B4923" w:rsidRPr="002B4923">
        <w:t>indicating good two-dimensional representation of community dissimilarities</w:t>
      </w:r>
      <w:r w:rsidR="002B4923">
        <w:t xml:space="preserve"> (</w:t>
      </w:r>
      <w:r w:rsidR="002B4923">
        <w:rPr>
          <w:b/>
          <w:bCs/>
        </w:rPr>
        <w:t>Figure 7)</w:t>
      </w:r>
      <w:r w:rsidRPr="007E1C7E">
        <w:t>. PERMANOVA revealed significant effects of dam distance on mussel community composition for both markers (COI: R² = 0.062, F = 4.54, p = 0.006; 16S: R² = 0.055, F = 3.99, p = 0.017), suggesting consistent downstream turnover in assemblage structure across datasets.</w:t>
      </w:r>
    </w:p>
    <w:p w14:paraId="4C0EFC6F" w14:textId="0530ACF6" w:rsidR="007E1C7E" w:rsidRDefault="007E1C7E" w:rsidP="00A85036">
      <w:pPr>
        <w:pStyle w:val="normale"/>
      </w:pPr>
      <w:r>
        <w:t xml:space="preserve">Moreover, </w:t>
      </w:r>
      <w:r w:rsidRPr="007E1C7E">
        <w:t>Procrustes and Mantel tests further demonstrated strong concordance between COI and 16S ordinations (sum of squares = 0.64, RMSE = 0.17, p = 0.001; Mantel r = 0.46, p = 0.001), confirming that both markers recovered broadly similar community-level patterns despite differences in taxonomic resolution.</w:t>
      </w:r>
    </w:p>
    <w:p w14:paraId="584DF606" w14:textId="77777777" w:rsidR="00D14F95" w:rsidRDefault="00B535DC" w:rsidP="00D14F95">
      <w:pPr>
        <w:pStyle w:val="normale"/>
        <w:keepNext/>
      </w:pPr>
      <w:r w:rsidRPr="00B535DC">
        <w:rPr>
          <w:noProof/>
        </w:rPr>
        <w:lastRenderedPageBreak/>
        <w:drawing>
          <wp:inline distT="0" distB="0" distL="0" distR="0" wp14:anchorId="76F025E2" wp14:editId="554DE1D9">
            <wp:extent cx="5486400" cy="3758540"/>
            <wp:effectExtent l="0" t="0" r="0" b="0"/>
            <wp:docPr id="985283382" name="Picture 15" descr="Chart, scatt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83382" name="Picture 15" descr="Chart, scatter chart&#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8658"/>
                    <a:stretch>
                      <a:fillRect/>
                    </a:stretch>
                  </pic:blipFill>
                  <pic:spPr bwMode="auto">
                    <a:xfrm>
                      <a:off x="0" y="0"/>
                      <a:ext cx="5486400" cy="3758540"/>
                    </a:xfrm>
                    <a:prstGeom prst="rect">
                      <a:avLst/>
                    </a:prstGeom>
                    <a:noFill/>
                    <a:ln>
                      <a:noFill/>
                    </a:ln>
                    <a:extLst>
                      <a:ext uri="{53640926-AAD7-44D8-BBD7-CCE9431645EC}">
                        <a14:shadowObscured xmlns:a14="http://schemas.microsoft.com/office/drawing/2010/main"/>
                      </a:ext>
                    </a:extLst>
                  </pic:spPr>
                </pic:pic>
              </a:graphicData>
            </a:graphic>
          </wp:inline>
        </w:drawing>
      </w:r>
    </w:p>
    <w:p w14:paraId="6847C141" w14:textId="360B4A82" w:rsidR="00B535DC" w:rsidRDefault="00D14F95" w:rsidP="00584214">
      <w:pPr>
        <w:pStyle w:val="Caption"/>
      </w:pPr>
      <w:bookmarkStart w:id="62" w:name="_Toc211656151"/>
      <w:r w:rsidRPr="004E4050">
        <w:rPr>
          <w:b/>
          <w:bCs/>
        </w:rPr>
        <w:t xml:space="preserve">Figure </w:t>
      </w:r>
      <w:r w:rsidRPr="004E4050">
        <w:rPr>
          <w:b/>
          <w:bCs/>
        </w:rPr>
        <w:fldChar w:fldCharType="begin"/>
      </w:r>
      <w:r w:rsidRPr="004E4050">
        <w:rPr>
          <w:b/>
          <w:bCs/>
        </w:rPr>
        <w:instrText xml:space="preserve"> SEQ Figure \* ARABIC </w:instrText>
      </w:r>
      <w:r w:rsidRPr="004E4050">
        <w:rPr>
          <w:b/>
          <w:bCs/>
        </w:rPr>
        <w:fldChar w:fldCharType="separate"/>
      </w:r>
      <w:r w:rsidR="008C02C3" w:rsidRPr="004E4050">
        <w:rPr>
          <w:b/>
          <w:bCs/>
          <w:noProof/>
        </w:rPr>
        <w:t>7</w:t>
      </w:r>
      <w:r w:rsidRPr="004E4050">
        <w:rPr>
          <w:b/>
          <w:bCs/>
        </w:rPr>
        <w:fldChar w:fldCharType="end"/>
      </w:r>
      <w:r w:rsidRPr="004E4050">
        <w:rPr>
          <w:b/>
          <w:bCs/>
        </w:rPr>
        <w:t>.</w:t>
      </w:r>
      <w:r>
        <w:t xml:space="preserve"> </w:t>
      </w:r>
      <w:r w:rsidRPr="003477DC">
        <w:t>Combined NMDS ordination showing mussel community composition derived from COI and 16S eDNA data.</w:t>
      </w:r>
      <w:bookmarkEnd w:id="62"/>
      <w:r w:rsidR="00584214">
        <w:br/>
      </w:r>
    </w:p>
    <w:p w14:paraId="3112B099" w14:textId="346EED5C" w:rsidR="00874CCF" w:rsidRDefault="007E1C7E" w:rsidP="00A85036">
      <w:pPr>
        <w:pStyle w:val="normale"/>
      </w:pPr>
      <w:r w:rsidRPr="007E1C7E">
        <w:t>Environmental fitting (</w:t>
      </w:r>
      <w:proofErr w:type="spellStart"/>
      <w:r w:rsidRPr="007E1C7E">
        <w:t>envfit</w:t>
      </w:r>
      <w:proofErr w:type="spellEnd"/>
      <w:r w:rsidRPr="007E1C7E">
        <w:t>) analyses identified several physicochemical variables correlated with NMDS structure (</w:t>
      </w:r>
      <w:r w:rsidRPr="00AE1F3B">
        <w:rPr>
          <w:b/>
          <w:bCs/>
        </w:rPr>
        <w:t xml:space="preserve">Table </w:t>
      </w:r>
      <w:r w:rsidR="00D14F95">
        <w:rPr>
          <w:b/>
          <w:bCs/>
        </w:rPr>
        <w:t>6</w:t>
      </w:r>
      <w:r w:rsidRPr="00AE1F3B">
        <w:t>)</w:t>
      </w:r>
      <w:r w:rsidRPr="00AE1F3B">
        <w:rPr>
          <w:b/>
          <w:bCs/>
        </w:rPr>
        <w:t>.</w:t>
      </w:r>
      <w:r w:rsidRPr="007E1C7E">
        <w:t xml:space="preserve"> For COI, temperature (r² = 0.28, p = 0.079) and turbidity (r² = 0.27, p = 0.073) showed weak but notable relationships, while conductivity displayed a moderate association (r² = 0.24, p = 0.098). In contrast, the 16S dataset showed stronger and more consistent correlations, with dissolved oxygen (r² = 0.11, p = 0.007), conductivity (r² = 0.33, p = 0.001), and turbidity (r² = 0.09, p = 0.035) emerging as significant predictors of community structure. These results suggest that both markers captured downstream environmental gradients, though 16S was more closely aligned with measured environmental variables, indicating greater ecological sensitivity despite its reduced taxonomic completeness.</w:t>
      </w:r>
    </w:p>
    <w:p w14:paraId="38F9C26B" w14:textId="51108B1B" w:rsidR="00EC2FC4" w:rsidRDefault="00EC2FC4" w:rsidP="0082280B">
      <w:pPr>
        <w:pStyle w:val="Caption"/>
      </w:pPr>
      <w:bookmarkStart w:id="63" w:name="_Toc211656507"/>
      <w:r w:rsidRPr="00135665">
        <w:rPr>
          <w:b/>
          <w:bCs/>
        </w:rPr>
        <w:lastRenderedPageBreak/>
        <w:t xml:space="preserve">Table </w:t>
      </w:r>
      <w:r w:rsidRPr="00135665">
        <w:rPr>
          <w:b/>
          <w:bCs/>
        </w:rPr>
        <w:fldChar w:fldCharType="begin"/>
      </w:r>
      <w:r w:rsidRPr="00135665">
        <w:rPr>
          <w:b/>
          <w:bCs/>
        </w:rPr>
        <w:instrText xml:space="preserve"> SEQ Table \* ARABIC </w:instrText>
      </w:r>
      <w:r w:rsidRPr="00135665">
        <w:rPr>
          <w:b/>
          <w:bCs/>
        </w:rPr>
        <w:fldChar w:fldCharType="separate"/>
      </w:r>
      <w:r w:rsidRPr="00135665">
        <w:rPr>
          <w:b/>
          <w:bCs/>
          <w:noProof/>
        </w:rPr>
        <w:t>6</w:t>
      </w:r>
      <w:r w:rsidRPr="00135665">
        <w:rPr>
          <w:b/>
          <w:bCs/>
        </w:rPr>
        <w:fldChar w:fldCharType="end"/>
      </w:r>
      <w:r w:rsidRPr="00135665">
        <w:rPr>
          <w:b/>
          <w:bCs/>
        </w:rPr>
        <w:t>.</w:t>
      </w:r>
      <w:r w:rsidRPr="00921736">
        <w:t xml:space="preserve"> Results of </w:t>
      </w:r>
      <w:proofErr w:type="spellStart"/>
      <w:r w:rsidRPr="00921736">
        <w:t>envfit</w:t>
      </w:r>
      <w:proofErr w:type="spellEnd"/>
      <w:r w:rsidRPr="00921736">
        <w:t xml:space="preserve"> analyses for COI and 16S NMDS ordinations. </w:t>
      </w:r>
      <w:r w:rsidRPr="00EC2FC4">
        <w:t>Shown are r² values and permutation p-values (999 permutations). Significance: * p &lt; 0.05; ** p &lt; 0.01; *** p ≤ 0.001.</w:t>
      </w:r>
      <w:bookmarkEnd w:id="63"/>
    </w:p>
    <w:tbl>
      <w:tblPr>
        <w:tblW w:w="5000" w:type="pct"/>
        <w:jc w:val="center"/>
        <w:tblLook w:val="04A0" w:firstRow="1" w:lastRow="0" w:firstColumn="1" w:lastColumn="0" w:noHBand="0" w:noVBand="1"/>
      </w:tblPr>
      <w:tblGrid>
        <w:gridCol w:w="2059"/>
        <w:gridCol w:w="1067"/>
        <w:gridCol w:w="1017"/>
        <w:gridCol w:w="992"/>
        <w:gridCol w:w="1190"/>
        <w:gridCol w:w="2531"/>
      </w:tblGrid>
      <w:tr w:rsidR="00173385" w:rsidRPr="00AC5142" w14:paraId="756A9929" w14:textId="77777777" w:rsidTr="0090109B">
        <w:trPr>
          <w:trHeight w:val="290"/>
          <w:jc w:val="center"/>
        </w:trPr>
        <w:tc>
          <w:tcPr>
            <w:tcW w:w="1162" w:type="pct"/>
            <w:tcBorders>
              <w:top w:val="single" w:sz="4" w:space="0" w:color="000000"/>
              <w:left w:val="nil"/>
              <w:bottom w:val="single" w:sz="4" w:space="0" w:color="000000"/>
              <w:right w:val="nil"/>
            </w:tcBorders>
            <w:shd w:val="clear" w:color="000000" w:fill="FFFFFF"/>
            <w:vAlign w:val="center"/>
            <w:hideMark/>
          </w:tcPr>
          <w:p w14:paraId="0A5D81CA"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Variable</w:t>
            </w:r>
          </w:p>
        </w:tc>
        <w:tc>
          <w:tcPr>
            <w:tcW w:w="602" w:type="pct"/>
            <w:tcBorders>
              <w:top w:val="single" w:sz="4" w:space="0" w:color="000000"/>
              <w:left w:val="nil"/>
              <w:bottom w:val="single" w:sz="4" w:space="0" w:color="000000"/>
              <w:right w:val="nil"/>
            </w:tcBorders>
            <w:shd w:val="clear" w:color="000000" w:fill="FFFFFF"/>
            <w:vAlign w:val="center"/>
            <w:hideMark/>
          </w:tcPr>
          <w:p w14:paraId="4048CFDD"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r² (COI)</w:t>
            </w:r>
          </w:p>
        </w:tc>
        <w:tc>
          <w:tcPr>
            <w:tcW w:w="574" w:type="pct"/>
            <w:tcBorders>
              <w:top w:val="single" w:sz="4" w:space="0" w:color="000000"/>
              <w:left w:val="nil"/>
              <w:bottom w:val="single" w:sz="4" w:space="0" w:color="000000"/>
              <w:right w:val="nil"/>
            </w:tcBorders>
            <w:shd w:val="clear" w:color="000000" w:fill="FFFFFF"/>
            <w:vAlign w:val="center"/>
            <w:hideMark/>
          </w:tcPr>
          <w:p w14:paraId="445B34F1"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p (COI)</w:t>
            </w:r>
          </w:p>
        </w:tc>
        <w:tc>
          <w:tcPr>
            <w:tcW w:w="560" w:type="pct"/>
            <w:tcBorders>
              <w:top w:val="single" w:sz="4" w:space="0" w:color="000000"/>
              <w:left w:val="nil"/>
              <w:bottom w:val="single" w:sz="4" w:space="0" w:color="000000"/>
              <w:right w:val="nil"/>
            </w:tcBorders>
            <w:shd w:val="clear" w:color="000000" w:fill="FFFFFF"/>
            <w:vAlign w:val="center"/>
            <w:hideMark/>
          </w:tcPr>
          <w:p w14:paraId="7A0ACB5A"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r² (16S)</w:t>
            </w:r>
          </w:p>
        </w:tc>
        <w:tc>
          <w:tcPr>
            <w:tcW w:w="672" w:type="pct"/>
            <w:tcBorders>
              <w:top w:val="single" w:sz="4" w:space="0" w:color="000000"/>
              <w:left w:val="nil"/>
              <w:bottom w:val="single" w:sz="4" w:space="0" w:color="000000"/>
              <w:right w:val="nil"/>
            </w:tcBorders>
            <w:shd w:val="clear" w:color="000000" w:fill="FFFFFF"/>
            <w:vAlign w:val="center"/>
            <w:hideMark/>
          </w:tcPr>
          <w:p w14:paraId="0B2838AE"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p (16S)</w:t>
            </w:r>
          </w:p>
        </w:tc>
        <w:tc>
          <w:tcPr>
            <w:tcW w:w="1429" w:type="pct"/>
            <w:tcBorders>
              <w:top w:val="single" w:sz="4" w:space="0" w:color="000000"/>
              <w:left w:val="nil"/>
              <w:bottom w:val="single" w:sz="4" w:space="0" w:color="000000"/>
              <w:right w:val="nil"/>
            </w:tcBorders>
            <w:shd w:val="clear" w:color="000000" w:fill="FFFFFF"/>
            <w:vAlign w:val="center"/>
            <w:hideMark/>
          </w:tcPr>
          <w:p w14:paraId="21131DCA"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Common significance</w:t>
            </w:r>
          </w:p>
        </w:tc>
      </w:tr>
      <w:tr w:rsidR="00173385" w:rsidRPr="00AC5142" w14:paraId="7C310E71" w14:textId="77777777" w:rsidTr="0090109B">
        <w:trPr>
          <w:trHeight w:val="400"/>
          <w:jc w:val="center"/>
        </w:trPr>
        <w:tc>
          <w:tcPr>
            <w:tcW w:w="1162" w:type="pct"/>
            <w:tcBorders>
              <w:top w:val="nil"/>
              <w:left w:val="nil"/>
              <w:bottom w:val="nil"/>
              <w:right w:val="nil"/>
            </w:tcBorders>
            <w:shd w:val="clear" w:color="000000" w:fill="FFFFFF"/>
            <w:vAlign w:val="center"/>
            <w:hideMark/>
          </w:tcPr>
          <w:p w14:paraId="15829E60"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Temp</w:t>
            </w:r>
          </w:p>
        </w:tc>
        <w:tc>
          <w:tcPr>
            <w:tcW w:w="602" w:type="pct"/>
            <w:tcBorders>
              <w:top w:val="nil"/>
              <w:left w:val="nil"/>
              <w:bottom w:val="nil"/>
              <w:right w:val="nil"/>
            </w:tcBorders>
            <w:shd w:val="clear" w:color="000000" w:fill="FFFFFF"/>
            <w:vAlign w:val="center"/>
            <w:hideMark/>
          </w:tcPr>
          <w:p w14:paraId="4F0292AE"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0.28</w:t>
            </w:r>
          </w:p>
        </w:tc>
        <w:tc>
          <w:tcPr>
            <w:tcW w:w="574" w:type="pct"/>
            <w:tcBorders>
              <w:top w:val="nil"/>
              <w:left w:val="nil"/>
              <w:bottom w:val="nil"/>
              <w:right w:val="nil"/>
            </w:tcBorders>
            <w:shd w:val="clear" w:color="000000" w:fill="FFFFFF"/>
            <w:vAlign w:val="center"/>
            <w:hideMark/>
          </w:tcPr>
          <w:p w14:paraId="30C1F3D4"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0.079 ·</w:t>
            </w:r>
          </w:p>
        </w:tc>
        <w:tc>
          <w:tcPr>
            <w:tcW w:w="560" w:type="pct"/>
            <w:tcBorders>
              <w:top w:val="nil"/>
              <w:left w:val="nil"/>
              <w:bottom w:val="nil"/>
              <w:right w:val="nil"/>
            </w:tcBorders>
            <w:shd w:val="clear" w:color="000000" w:fill="FFFFFF"/>
            <w:vAlign w:val="center"/>
            <w:hideMark/>
          </w:tcPr>
          <w:p w14:paraId="1BB3E4F5"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0.001</w:t>
            </w:r>
          </w:p>
        </w:tc>
        <w:tc>
          <w:tcPr>
            <w:tcW w:w="672" w:type="pct"/>
            <w:tcBorders>
              <w:top w:val="nil"/>
              <w:left w:val="nil"/>
              <w:bottom w:val="nil"/>
              <w:right w:val="nil"/>
            </w:tcBorders>
            <w:shd w:val="clear" w:color="000000" w:fill="FFFFFF"/>
            <w:vAlign w:val="center"/>
            <w:hideMark/>
          </w:tcPr>
          <w:p w14:paraId="5F6355C8"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0.968</w:t>
            </w:r>
          </w:p>
        </w:tc>
        <w:tc>
          <w:tcPr>
            <w:tcW w:w="1429" w:type="pct"/>
            <w:tcBorders>
              <w:top w:val="nil"/>
              <w:left w:val="nil"/>
              <w:bottom w:val="nil"/>
              <w:right w:val="nil"/>
            </w:tcBorders>
            <w:shd w:val="clear" w:color="000000" w:fill="FFFFFF"/>
            <w:vAlign w:val="center"/>
            <w:hideMark/>
          </w:tcPr>
          <w:p w14:paraId="00DEBE24"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COI only (weak)</w:t>
            </w:r>
          </w:p>
        </w:tc>
      </w:tr>
      <w:tr w:rsidR="00173385" w:rsidRPr="00AC5142" w14:paraId="748B153A" w14:textId="77777777" w:rsidTr="0090109B">
        <w:trPr>
          <w:trHeight w:val="400"/>
          <w:jc w:val="center"/>
        </w:trPr>
        <w:tc>
          <w:tcPr>
            <w:tcW w:w="1162" w:type="pct"/>
            <w:tcBorders>
              <w:top w:val="nil"/>
              <w:left w:val="nil"/>
              <w:bottom w:val="nil"/>
              <w:right w:val="nil"/>
            </w:tcBorders>
            <w:shd w:val="clear" w:color="000000" w:fill="FFFFFF"/>
            <w:vAlign w:val="center"/>
            <w:hideMark/>
          </w:tcPr>
          <w:p w14:paraId="0103FB11"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pH</w:t>
            </w:r>
          </w:p>
        </w:tc>
        <w:tc>
          <w:tcPr>
            <w:tcW w:w="602" w:type="pct"/>
            <w:tcBorders>
              <w:top w:val="nil"/>
              <w:left w:val="nil"/>
              <w:bottom w:val="nil"/>
              <w:right w:val="nil"/>
            </w:tcBorders>
            <w:shd w:val="clear" w:color="000000" w:fill="FFFFFF"/>
            <w:vAlign w:val="center"/>
            <w:hideMark/>
          </w:tcPr>
          <w:p w14:paraId="10C37D7E"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0.16</w:t>
            </w:r>
          </w:p>
        </w:tc>
        <w:tc>
          <w:tcPr>
            <w:tcW w:w="574" w:type="pct"/>
            <w:tcBorders>
              <w:top w:val="nil"/>
              <w:left w:val="nil"/>
              <w:bottom w:val="nil"/>
              <w:right w:val="nil"/>
            </w:tcBorders>
            <w:shd w:val="clear" w:color="000000" w:fill="FFFFFF"/>
            <w:vAlign w:val="center"/>
            <w:hideMark/>
          </w:tcPr>
          <w:p w14:paraId="36B1F4BC"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0.234</w:t>
            </w:r>
          </w:p>
        </w:tc>
        <w:tc>
          <w:tcPr>
            <w:tcW w:w="560" w:type="pct"/>
            <w:tcBorders>
              <w:top w:val="nil"/>
              <w:left w:val="nil"/>
              <w:bottom w:val="nil"/>
              <w:right w:val="nil"/>
            </w:tcBorders>
            <w:shd w:val="clear" w:color="000000" w:fill="FFFFFF"/>
            <w:vAlign w:val="center"/>
            <w:hideMark/>
          </w:tcPr>
          <w:p w14:paraId="6406AAD9"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0.05</w:t>
            </w:r>
          </w:p>
        </w:tc>
        <w:tc>
          <w:tcPr>
            <w:tcW w:w="672" w:type="pct"/>
            <w:tcBorders>
              <w:top w:val="nil"/>
              <w:left w:val="nil"/>
              <w:bottom w:val="nil"/>
              <w:right w:val="nil"/>
            </w:tcBorders>
            <w:shd w:val="clear" w:color="000000" w:fill="FFFFFF"/>
            <w:vAlign w:val="center"/>
            <w:hideMark/>
          </w:tcPr>
          <w:p w14:paraId="6ED52131"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0.177</w:t>
            </w:r>
          </w:p>
        </w:tc>
        <w:tc>
          <w:tcPr>
            <w:tcW w:w="1429" w:type="pct"/>
            <w:tcBorders>
              <w:top w:val="nil"/>
              <w:left w:val="nil"/>
              <w:bottom w:val="nil"/>
              <w:right w:val="nil"/>
            </w:tcBorders>
            <w:shd w:val="clear" w:color="000000" w:fill="FFFFFF"/>
            <w:vAlign w:val="center"/>
            <w:hideMark/>
          </w:tcPr>
          <w:p w14:paraId="01675741"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none</w:t>
            </w:r>
          </w:p>
        </w:tc>
      </w:tr>
      <w:tr w:rsidR="00173385" w:rsidRPr="00AC5142" w14:paraId="5F95AC3E" w14:textId="77777777" w:rsidTr="0090109B">
        <w:trPr>
          <w:trHeight w:val="400"/>
          <w:jc w:val="center"/>
        </w:trPr>
        <w:tc>
          <w:tcPr>
            <w:tcW w:w="1162" w:type="pct"/>
            <w:tcBorders>
              <w:top w:val="nil"/>
              <w:left w:val="nil"/>
              <w:bottom w:val="nil"/>
              <w:right w:val="nil"/>
            </w:tcBorders>
            <w:shd w:val="clear" w:color="000000" w:fill="FFFFFF"/>
            <w:vAlign w:val="center"/>
            <w:hideMark/>
          </w:tcPr>
          <w:p w14:paraId="16BA5041"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DO</w:t>
            </w:r>
          </w:p>
        </w:tc>
        <w:tc>
          <w:tcPr>
            <w:tcW w:w="602" w:type="pct"/>
            <w:tcBorders>
              <w:top w:val="nil"/>
              <w:left w:val="nil"/>
              <w:bottom w:val="nil"/>
              <w:right w:val="nil"/>
            </w:tcBorders>
            <w:shd w:val="clear" w:color="000000" w:fill="FFFFFF"/>
            <w:vAlign w:val="center"/>
            <w:hideMark/>
          </w:tcPr>
          <w:p w14:paraId="04A58823"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0.06</w:t>
            </w:r>
          </w:p>
        </w:tc>
        <w:tc>
          <w:tcPr>
            <w:tcW w:w="574" w:type="pct"/>
            <w:tcBorders>
              <w:top w:val="nil"/>
              <w:left w:val="nil"/>
              <w:bottom w:val="nil"/>
              <w:right w:val="nil"/>
            </w:tcBorders>
            <w:shd w:val="clear" w:color="000000" w:fill="FFFFFF"/>
            <w:vAlign w:val="center"/>
            <w:hideMark/>
          </w:tcPr>
          <w:p w14:paraId="5D6454DF"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0.535</w:t>
            </w:r>
          </w:p>
        </w:tc>
        <w:tc>
          <w:tcPr>
            <w:tcW w:w="560" w:type="pct"/>
            <w:tcBorders>
              <w:top w:val="nil"/>
              <w:left w:val="nil"/>
              <w:bottom w:val="nil"/>
              <w:right w:val="nil"/>
            </w:tcBorders>
            <w:shd w:val="clear" w:color="000000" w:fill="FFFFFF"/>
            <w:vAlign w:val="center"/>
            <w:hideMark/>
          </w:tcPr>
          <w:p w14:paraId="6D18C4A7"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0.11</w:t>
            </w:r>
          </w:p>
        </w:tc>
        <w:tc>
          <w:tcPr>
            <w:tcW w:w="672" w:type="pct"/>
            <w:tcBorders>
              <w:top w:val="nil"/>
              <w:left w:val="nil"/>
              <w:bottom w:val="nil"/>
              <w:right w:val="nil"/>
            </w:tcBorders>
            <w:shd w:val="clear" w:color="000000" w:fill="FFFFFF"/>
            <w:vAlign w:val="center"/>
            <w:hideMark/>
          </w:tcPr>
          <w:p w14:paraId="6A3D2C1B"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0.007 **</w:t>
            </w:r>
          </w:p>
        </w:tc>
        <w:tc>
          <w:tcPr>
            <w:tcW w:w="1429" w:type="pct"/>
            <w:tcBorders>
              <w:top w:val="nil"/>
              <w:left w:val="nil"/>
              <w:bottom w:val="nil"/>
              <w:right w:val="nil"/>
            </w:tcBorders>
            <w:shd w:val="clear" w:color="000000" w:fill="FFFFFF"/>
            <w:vAlign w:val="center"/>
            <w:hideMark/>
          </w:tcPr>
          <w:p w14:paraId="47D2084F"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16S only</w:t>
            </w:r>
          </w:p>
        </w:tc>
      </w:tr>
      <w:tr w:rsidR="00173385" w:rsidRPr="00AC5142" w14:paraId="5765CD5F" w14:textId="77777777" w:rsidTr="0090109B">
        <w:trPr>
          <w:trHeight w:val="400"/>
          <w:jc w:val="center"/>
        </w:trPr>
        <w:tc>
          <w:tcPr>
            <w:tcW w:w="1162" w:type="pct"/>
            <w:tcBorders>
              <w:top w:val="nil"/>
              <w:left w:val="nil"/>
              <w:bottom w:val="nil"/>
              <w:right w:val="nil"/>
            </w:tcBorders>
            <w:shd w:val="clear" w:color="000000" w:fill="FFFFFF"/>
            <w:vAlign w:val="center"/>
            <w:hideMark/>
          </w:tcPr>
          <w:p w14:paraId="0BFDB5CC"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Conductivity</w:t>
            </w:r>
          </w:p>
        </w:tc>
        <w:tc>
          <w:tcPr>
            <w:tcW w:w="602" w:type="pct"/>
            <w:tcBorders>
              <w:top w:val="nil"/>
              <w:left w:val="nil"/>
              <w:bottom w:val="nil"/>
              <w:right w:val="nil"/>
            </w:tcBorders>
            <w:shd w:val="clear" w:color="000000" w:fill="FFFFFF"/>
            <w:vAlign w:val="center"/>
            <w:hideMark/>
          </w:tcPr>
          <w:p w14:paraId="1F33FC79"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0.24</w:t>
            </w:r>
          </w:p>
        </w:tc>
        <w:tc>
          <w:tcPr>
            <w:tcW w:w="574" w:type="pct"/>
            <w:tcBorders>
              <w:top w:val="nil"/>
              <w:left w:val="nil"/>
              <w:bottom w:val="nil"/>
              <w:right w:val="nil"/>
            </w:tcBorders>
            <w:shd w:val="clear" w:color="000000" w:fill="FFFFFF"/>
            <w:vAlign w:val="center"/>
            <w:hideMark/>
          </w:tcPr>
          <w:p w14:paraId="28696BA0"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0.098 ·</w:t>
            </w:r>
          </w:p>
        </w:tc>
        <w:tc>
          <w:tcPr>
            <w:tcW w:w="560" w:type="pct"/>
            <w:tcBorders>
              <w:top w:val="nil"/>
              <w:left w:val="nil"/>
              <w:bottom w:val="nil"/>
              <w:right w:val="nil"/>
            </w:tcBorders>
            <w:shd w:val="clear" w:color="000000" w:fill="FFFFFF"/>
            <w:vAlign w:val="center"/>
            <w:hideMark/>
          </w:tcPr>
          <w:p w14:paraId="6F529F68"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0.33</w:t>
            </w:r>
          </w:p>
        </w:tc>
        <w:tc>
          <w:tcPr>
            <w:tcW w:w="672" w:type="pct"/>
            <w:tcBorders>
              <w:top w:val="nil"/>
              <w:left w:val="nil"/>
              <w:bottom w:val="nil"/>
              <w:right w:val="nil"/>
            </w:tcBorders>
            <w:shd w:val="clear" w:color="000000" w:fill="FFFFFF"/>
            <w:vAlign w:val="center"/>
            <w:hideMark/>
          </w:tcPr>
          <w:p w14:paraId="4FBA4128"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0.001 ***</w:t>
            </w:r>
          </w:p>
        </w:tc>
        <w:tc>
          <w:tcPr>
            <w:tcW w:w="1429" w:type="pct"/>
            <w:tcBorders>
              <w:top w:val="nil"/>
              <w:left w:val="nil"/>
              <w:bottom w:val="nil"/>
              <w:right w:val="nil"/>
            </w:tcBorders>
            <w:shd w:val="clear" w:color="000000" w:fill="FFFFFF"/>
            <w:vAlign w:val="center"/>
            <w:hideMark/>
          </w:tcPr>
          <w:p w14:paraId="3762766C"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 xml:space="preserve">16S </w:t>
            </w:r>
            <w:r w:rsidRPr="00AC5142">
              <w:rPr>
                <w:rFonts w:ascii="Cambria Math" w:hAnsi="Cambria Math" w:cs="Cambria Math"/>
              </w:rPr>
              <w:t>≫</w:t>
            </w:r>
            <w:r w:rsidRPr="00AC5142">
              <w:rPr>
                <w:rFonts w:ascii="Times New Roman" w:hAnsi="Times New Roman" w:cs="Times New Roman"/>
              </w:rPr>
              <w:t xml:space="preserve"> COI</w:t>
            </w:r>
          </w:p>
        </w:tc>
      </w:tr>
      <w:tr w:rsidR="00173385" w:rsidRPr="00AC5142" w14:paraId="075BFD15" w14:textId="77777777" w:rsidTr="0090109B">
        <w:trPr>
          <w:trHeight w:val="400"/>
          <w:jc w:val="center"/>
        </w:trPr>
        <w:tc>
          <w:tcPr>
            <w:tcW w:w="1162" w:type="pct"/>
            <w:tcBorders>
              <w:top w:val="nil"/>
              <w:left w:val="nil"/>
              <w:bottom w:val="nil"/>
              <w:right w:val="nil"/>
            </w:tcBorders>
            <w:shd w:val="clear" w:color="000000" w:fill="FFFFFF"/>
            <w:vAlign w:val="center"/>
            <w:hideMark/>
          </w:tcPr>
          <w:p w14:paraId="7784A1EE"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Turbidity</w:t>
            </w:r>
          </w:p>
        </w:tc>
        <w:tc>
          <w:tcPr>
            <w:tcW w:w="602" w:type="pct"/>
            <w:tcBorders>
              <w:top w:val="nil"/>
              <w:left w:val="nil"/>
              <w:bottom w:val="nil"/>
              <w:right w:val="nil"/>
            </w:tcBorders>
            <w:shd w:val="clear" w:color="000000" w:fill="FFFFFF"/>
            <w:vAlign w:val="center"/>
            <w:hideMark/>
          </w:tcPr>
          <w:p w14:paraId="3645214C"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0.27</w:t>
            </w:r>
          </w:p>
        </w:tc>
        <w:tc>
          <w:tcPr>
            <w:tcW w:w="574" w:type="pct"/>
            <w:tcBorders>
              <w:top w:val="nil"/>
              <w:left w:val="nil"/>
              <w:bottom w:val="nil"/>
              <w:right w:val="nil"/>
            </w:tcBorders>
            <w:shd w:val="clear" w:color="000000" w:fill="FFFFFF"/>
            <w:vAlign w:val="center"/>
            <w:hideMark/>
          </w:tcPr>
          <w:p w14:paraId="151B2193"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0.073 ·</w:t>
            </w:r>
          </w:p>
        </w:tc>
        <w:tc>
          <w:tcPr>
            <w:tcW w:w="560" w:type="pct"/>
            <w:tcBorders>
              <w:top w:val="nil"/>
              <w:left w:val="nil"/>
              <w:bottom w:val="nil"/>
              <w:right w:val="nil"/>
            </w:tcBorders>
            <w:shd w:val="clear" w:color="000000" w:fill="FFFFFF"/>
            <w:vAlign w:val="center"/>
            <w:hideMark/>
          </w:tcPr>
          <w:p w14:paraId="4CE3CA63"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0.09</w:t>
            </w:r>
          </w:p>
        </w:tc>
        <w:tc>
          <w:tcPr>
            <w:tcW w:w="672" w:type="pct"/>
            <w:tcBorders>
              <w:top w:val="nil"/>
              <w:left w:val="nil"/>
              <w:bottom w:val="nil"/>
              <w:right w:val="nil"/>
            </w:tcBorders>
            <w:shd w:val="clear" w:color="000000" w:fill="FFFFFF"/>
            <w:vAlign w:val="center"/>
            <w:hideMark/>
          </w:tcPr>
          <w:p w14:paraId="59D80477"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0.035 *</w:t>
            </w:r>
          </w:p>
        </w:tc>
        <w:tc>
          <w:tcPr>
            <w:tcW w:w="1429" w:type="pct"/>
            <w:tcBorders>
              <w:top w:val="nil"/>
              <w:left w:val="nil"/>
              <w:bottom w:val="nil"/>
              <w:right w:val="nil"/>
            </w:tcBorders>
            <w:shd w:val="clear" w:color="000000" w:fill="FFFFFF"/>
            <w:vAlign w:val="center"/>
            <w:hideMark/>
          </w:tcPr>
          <w:p w14:paraId="4F303487"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 xml:space="preserve">16S </w:t>
            </w:r>
            <w:r w:rsidRPr="00AC5142">
              <w:rPr>
                <w:rFonts w:ascii="Cambria Math" w:hAnsi="Cambria Math" w:cs="Cambria Math"/>
              </w:rPr>
              <w:t>≫</w:t>
            </w:r>
            <w:r w:rsidRPr="00AC5142">
              <w:rPr>
                <w:rFonts w:ascii="Times New Roman" w:hAnsi="Times New Roman" w:cs="Times New Roman"/>
              </w:rPr>
              <w:t xml:space="preserve"> COI</w:t>
            </w:r>
          </w:p>
        </w:tc>
      </w:tr>
      <w:tr w:rsidR="00173385" w:rsidRPr="00AC5142" w14:paraId="6B580101" w14:textId="77777777" w:rsidTr="0090109B">
        <w:trPr>
          <w:trHeight w:val="400"/>
          <w:jc w:val="center"/>
        </w:trPr>
        <w:tc>
          <w:tcPr>
            <w:tcW w:w="1162" w:type="pct"/>
            <w:tcBorders>
              <w:top w:val="nil"/>
              <w:left w:val="nil"/>
              <w:bottom w:val="single" w:sz="4" w:space="0" w:color="000000"/>
              <w:right w:val="nil"/>
            </w:tcBorders>
            <w:shd w:val="clear" w:color="000000" w:fill="FFFFFF"/>
            <w:vAlign w:val="center"/>
            <w:hideMark/>
          </w:tcPr>
          <w:p w14:paraId="6F08C087" w14:textId="77777777" w:rsidR="00173385" w:rsidRPr="00AC5142" w:rsidRDefault="00173385" w:rsidP="0090109B">
            <w:pPr>
              <w:jc w:val="center"/>
              <w:rPr>
                <w:rFonts w:ascii="Times New Roman" w:hAnsi="Times New Roman" w:cs="Times New Roman"/>
              </w:rPr>
            </w:pPr>
            <w:proofErr w:type="spellStart"/>
            <w:r w:rsidRPr="00AC5142">
              <w:rPr>
                <w:rFonts w:ascii="Times New Roman" w:hAnsi="Times New Roman" w:cs="Times New Roman"/>
              </w:rPr>
              <w:t>DamDist</w:t>
            </w:r>
            <w:proofErr w:type="spellEnd"/>
          </w:p>
        </w:tc>
        <w:tc>
          <w:tcPr>
            <w:tcW w:w="602" w:type="pct"/>
            <w:tcBorders>
              <w:top w:val="nil"/>
              <w:left w:val="nil"/>
              <w:bottom w:val="single" w:sz="4" w:space="0" w:color="000000"/>
              <w:right w:val="nil"/>
            </w:tcBorders>
            <w:shd w:val="clear" w:color="000000" w:fill="FFFFFF"/>
            <w:vAlign w:val="center"/>
            <w:hideMark/>
          </w:tcPr>
          <w:p w14:paraId="3DCEFA32"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0.12</w:t>
            </w:r>
          </w:p>
        </w:tc>
        <w:tc>
          <w:tcPr>
            <w:tcW w:w="574" w:type="pct"/>
            <w:tcBorders>
              <w:top w:val="nil"/>
              <w:left w:val="nil"/>
              <w:bottom w:val="single" w:sz="4" w:space="0" w:color="000000"/>
              <w:right w:val="nil"/>
            </w:tcBorders>
            <w:shd w:val="clear" w:color="000000" w:fill="FFFFFF"/>
            <w:vAlign w:val="center"/>
            <w:hideMark/>
          </w:tcPr>
          <w:p w14:paraId="48613372"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0.35</w:t>
            </w:r>
          </w:p>
        </w:tc>
        <w:tc>
          <w:tcPr>
            <w:tcW w:w="560" w:type="pct"/>
            <w:tcBorders>
              <w:top w:val="nil"/>
              <w:left w:val="nil"/>
              <w:bottom w:val="single" w:sz="4" w:space="0" w:color="000000"/>
              <w:right w:val="nil"/>
            </w:tcBorders>
            <w:shd w:val="clear" w:color="000000" w:fill="FFFFFF"/>
            <w:vAlign w:val="center"/>
            <w:hideMark/>
          </w:tcPr>
          <w:p w14:paraId="53FF69BD"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0.05</w:t>
            </w:r>
          </w:p>
        </w:tc>
        <w:tc>
          <w:tcPr>
            <w:tcW w:w="672" w:type="pct"/>
            <w:tcBorders>
              <w:top w:val="nil"/>
              <w:left w:val="nil"/>
              <w:bottom w:val="single" w:sz="4" w:space="0" w:color="000000"/>
              <w:right w:val="nil"/>
            </w:tcBorders>
            <w:shd w:val="clear" w:color="000000" w:fill="FFFFFF"/>
            <w:vAlign w:val="center"/>
            <w:hideMark/>
          </w:tcPr>
          <w:p w14:paraId="088862E3" w14:textId="77777777" w:rsidR="00173385" w:rsidRPr="00AC5142" w:rsidRDefault="00173385" w:rsidP="0090109B">
            <w:pPr>
              <w:jc w:val="center"/>
              <w:rPr>
                <w:rFonts w:ascii="Times New Roman" w:hAnsi="Times New Roman" w:cs="Times New Roman"/>
              </w:rPr>
            </w:pPr>
            <w:r w:rsidRPr="00AC5142">
              <w:rPr>
                <w:rFonts w:ascii="Times New Roman" w:hAnsi="Times New Roman" w:cs="Times New Roman"/>
              </w:rPr>
              <w:t>0.141</w:t>
            </w:r>
          </w:p>
        </w:tc>
        <w:tc>
          <w:tcPr>
            <w:tcW w:w="1429" w:type="pct"/>
            <w:tcBorders>
              <w:top w:val="nil"/>
              <w:left w:val="nil"/>
              <w:bottom w:val="single" w:sz="4" w:space="0" w:color="000000"/>
              <w:right w:val="nil"/>
            </w:tcBorders>
            <w:shd w:val="clear" w:color="000000" w:fill="FFFFFF"/>
            <w:vAlign w:val="center"/>
            <w:hideMark/>
          </w:tcPr>
          <w:p w14:paraId="73464F2A" w14:textId="77777777" w:rsidR="00173385" w:rsidRPr="00AC5142" w:rsidRDefault="00173385" w:rsidP="00B63339">
            <w:pPr>
              <w:keepNext/>
              <w:jc w:val="center"/>
              <w:rPr>
                <w:rFonts w:ascii="Times New Roman" w:hAnsi="Times New Roman" w:cs="Times New Roman"/>
              </w:rPr>
            </w:pPr>
            <w:r w:rsidRPr="00AC5142">
              <w:rPr>
                <w:rFonts w:ascii="Times New Roman" w:hAnsi="Times New Roman" w:cs="Times New Roman"/>
              </w:rPr>
              <w:t>none</w:t>
            </w:r>
          </w:p>
        </w:tc>
      </w:tr>
    </w:tbl>
    <w:p w14:paraId="0616F25E" w14:textId="1EE86916" w:rsidR="009556F8" w:rsidRPr="009556F8" w:rsidRDefault="00C87A73" w:rsidP="009556F8">
      <w:pPr>
        <w:pStyle w:val="normale"/>
      </w:pPr>
      <w:r>
        <w:br/>
      </w:r>
      <w:r w:rsidR="009556F8" w:rsidRPr="009556F8">
        <w:t xml:space="preserve">Despite the overall consistency among methods, some marker-specific differences in detections were </w:t>
      </w:r>
      <w:r w:rsidR="004A4D72">
        <w:t>notewort</w:t>
      </w:r>
      <w:r w:rsidR="00D0560A">
        <w:t>h</w:t>
      </w:r>
      <w:r w:rsidR="004A4D72">
        <w:t>y (</w:t>
      </w:r>
      <w:r w:rsidR="004A4D72">
        <w:rPr>
          <w:b/>
          <w:bCs/>
        </w:rPr>
        <w:t>Figure 8)</w:t>
      </w:r>
      <w:r w:rsidR="009556F8" w:rsidRPr="009556F8">
        <w:t xml:space="preserve">. The 2023 morphological surveys recorded a single individual of </w:t>
      </w:r>
      <w:proofErr w:type="spellStart"/>
      <w:r w:rsidR="009556F8" w:rsidRPr="009556F8">
        <w:rPr>
          <w:i/>
          <w:iCs/>
        </w:rPr>
        <w:t>Venustaconcha</w:t>
      </w:r>
      <w:proofErr w:type="spellEnd"/>
      <w:r w:rsidR="009556F8" w:rsidRPr="009556F8">
        <w:rPr>
          <w:i/>
          <w:iCs/>
        </w:rPr>
        <w:t xml:space="preserve"> </w:t>
      </w:r>
      <w:proofErr w:type="spellStart"/>
      <w:r w:rsidR="009556F8" w:rsidRPr="009556F8">
        <w:rPr>
          <w:i/>
          <w:iCs/>
        </w:rPr>
        <w:t>trabalis</w:t>
      </w:r>
      <w:proofErr w:type="spellEnd"/>
      <w:r w:rsidR="009556F8" w:rsidRPr="009556F8">
        <w:t xml:space="preserve"> (Endangered) near the TN-68 </w:t>
      </w:r>
      <w:proofErr w:type="spellStart"/>
      <w:r w:rsidR="009556F8" w:rsidRPr="009556F8">
        <w:t>pulloff</w:t>
      </w:r>
      <w:proofErr w:type="spellEnd"/>
      <w:r w:rsidR="009556F8" w:rsidRPr="009556F8">
        <w:t xml:space="preserve">, while the COI eDNA assay detected this species in three replicates at site HR12 and two at HR11, both near the powerhouse. These detections showed clear amplification patterns with minimal background noise, suggesting that </w:t>
      </w:r>
      <w:r w:rsidR="009556F8" w:rsidRPr="009556F8">
        <w:rPr>
          <w:i/>
          <w:iCs/>
        </w:rPr>
        <w:t xml:space="preserve">V. </w:t>
      </w:r>
      <w:proofErr w:type="spellStart"/>
      <w:r w:rsidR="009556F8" w:rsidRPr="009556F8">
        <w:rPr>
          <w:i/>
          <w:iCs/>
        </w:rPr>
        <w:t>trabalis</w:t>
      </w:r>
      <w:proofErr w:type="spellEnd"/>
      <w:r w:rsidR="009556F8" w:rsidRPr="009556F8">
        <w:t xml:space="preserve"> may still persist within the lower reach of the ACR. Although this represents an encouraging finding, additional verification is needed to confirm its presence given the limited number of detections.</w:t>
      </w:r>
    </w:p>
    <w:p w14:paraId="395CA8FC" w14:textId="666ADCE3" w:rsidR="009556F8" w:rsidRPr="009556F8" w:rsidRDefault="009556F8" w:rsidP="009556F8">
      <w:pPr>
        <w:pStyle w:val="normale"/>
      </w:pPr>
      <w:r w:rsidRPr="009556F8">
        <w:t xml:space="preserve">The COI dataset also produced a detection of </w:t>
      </w:r>
      <w:proofErr w:type="spellStart"/>
      <w:r w:rsidRPr="009556F8">
        <w:rPr>
          <w:i/>
          <w:iCs/>
        </w:rPr>
        <w:t>Lampsilis</w:t>
      </w:r>
      <w:proofErr w:type="spellEnd"/>
      <w:r w:rsidRPr="009556F8">
        <w:rPr>
          <w:i/>
          <w:iCs/>
        </w:rPr>
        <w:t xml:space="preserve"> ovata</w:t>
      </w:r>
      <w:r w:rsidRPr="009556F8">
        <w:t xml:space="preserve"> at site HR13, a species last reported in 2016 (and previously in 1992), potentially indicating persistence of this taxon downstream of the powerhouse</w:t>
      </w:r>
      <w:r w:rsidR="00705A69">
        <w:t xml:space="preserve"> </w:t>
      </w:r>
      <w:hyperlink r:id="rId21" w:history="1">
        <w:r w:rsidR="00882D76" w:rsidRPr="00882D76">
          <w:rPr>
            <w:rStyle w:val="Hyperlink"/>
            <w:rFonts w:ascii="Times New Roman" w:hAnsi="Times New Roman"/>
          </w:rPr>
          <w:t>(Ahlstedt et al., 2016; Bogan, 1993)</w:t>
        </w:r>
      </w:hyperlink>
      <w:r w:rsidRPr="009556F8">
        <w:t xml:space="preserve">. </w:t>
      </w:r>
      <w:proofErr w:type="spellStart"/>
      <w:r w:rsidRPr="009556F8">
        <w:rPr>
          <w:i/>
          <w:iCs/>
        </w:rPr>
        <w:t>Alasmidonta</w:t>
      </w:r>
      <w:proofErr w:type="spellEnd"/>
      <w:r w:rsidRPr="009556F8">
        <w:rPr>
          <w:i/>
          <w:iCs/>
        </w:rPr>
        <w:t xml:space="preserve"> marginata</w:t>
      </w:r>
      <w:r w:rsidRPr="009556F8">
        <w:t xml:space="preserve"> was detected once in the COI dataset (single replicate, low read count), but this result should be interpreted cautiously due to the known </w:t>
      </w:r>
      <w:proofErr w:type="spellStart"/>
      <w:r w:rsidRPr="009556F8">
        <w:rPr>
          <w:i/>
          <w:iCs/>
        </w:rPr>
        <w:t>Cambarunio</w:t>
      </w:r>
      <w:proofErr w:type="spellEnd"/>
      <w:r w:rsidRPr="009556F8">
        <w:rPr>
          <w:i/>
          <w:iCs/>
        </w:rPr>
        <w:t xml:space="preserve"> iris</w:t>
      </w:r>
      <w:r w:rsidRPr="009556F8">
        <w:t xml:space="preserve"> carry-over contamination.</w:t>
      </w:r>
    </w:p>
    <w:p w14:paraId="618D5CB5" w14:textId="77777777" w:rsidR="00965BDC" w:rsidRDefault="00AE458E" w:rsidP="00965BDC">
      <w:pPr>
        <w:pStyle w:val="normale"/>
        <w:keepNext/>
        <w:jc w:val="center"/>
      </w:pPr>
      <w:r>
        <w:rPr>
          <w:noProof/>
        </w:rPr>
        <w:lastRenderedPageBreak/>
        <w:drawing>
          <wp:inline distT="0" distB="0" distL="0" distR="0" wp14:anchorId="73DE5906" wp14:editId="38BA8905">
            <wp:extent cx="4440016" cy="2744692"/>
            <wp:effectExtent l="0" t="0" r="0" b="0"/>
            <wp:docPr id="1500448502" name="Picture 17"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48502" name="Picture 17" descr="Chart&#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41914" cy="2745865"/>
                    </a:xfrm>
                    <a:prstGeom prst="rect">
                      <a:avLst/>
                    </a:prstGeom>
                  </pic:spPr>
                </pic:pic>
              </a:graphicData>
            </a:graphic>
          </wp:inline>
        </w:drawing>
      </w:r>
    </w:p>
    <w:p w14:paraId="57A1DA24" w14:textId="11E0D9FF" w:rsidR="00965BDC" w:rsidRDefault="00965BDC" w:rsidP="0082280B">
      <w:pPr>
        <w:pStyle w:val="Caption"/>
      </w:pPr>
      <w:bookmarkStart w:id="64" w:name="_Toc211656152"/>
      <w:r w:rsidRPr="00FE114D">
        <w:rPr>
          <w:b/>
          <w:bCs/>
        </w:rPr>
        <w:t xml:space="preserve">Figure </w:t>
      </w:r>
      <w:r w:rsidRPr="00FE114D">
        <w:rPr>
          <w:b/>
          <w:bCs/>
        </w:rPr>
        <w:fldChar w:fldCharType="begin"/>
      </w:r>
      <w:r w:rsidRPr="00FE114D">
        <w:rPr>
          <w:b/>
          <w:bCs/>
        </w:rPr>
        <w:instrText xml:space="preserve"> SEQ Figure \* ARABIC </w:instrText>
      </w:r>
      <w:r w:rsidRPr="00FE114D">
        <w:rPr>
          <w:b/>
          <w:bCs/>
        </w:rPr>
        <w:fldChar w:fldCharType="separate"/>
      </w:r>
      <w:r w:rsidR="008C02C3" w:rsidRPr="00FE114D">
        <w:rPr>
          <w:b/>
          <w:bCs/>
          <w:noProof/>
        </w:rPr>
        <w:t>8</w:t>
      </w:r>
      <w:r w:rsidRPr="00FE114D">
        <w:rPr>
          <w:b/>
          <w:bCs/>
        </w:rPr>
        <w:fldChar w:fldCharType="end"/>
      </w:r>
      <w:r w:rsidRPr="00FE114D">
        <w:rPr>
          <w:b/>
          <w:bCs/>
        </w:rPr>
        <w:t>.</w:t>
      </w:r>
      <w:r>
        <w:t xml:space="preserve"> </w:t>
      </w:r>
      <w:r w:rsidRPr="00DE688B">
        <w:t xml:space="preserve">Historical and contemporary mussel detections in the Hiwassee River. </w:t>
      </w:r>
      <w:r w:rsidRPr="007B57CD">
        <w:t>Tile plot showing species recorded across historical surveys (1918–2016)</w:t>
      </w:r>
      <w:r w:rsidR="00E34313">
        <w:t xml:space="preserve"> </w:t>
      </w:r>
      <w:hyperlink r:id="rId23" w:history="1">
        <w:r w:rsidR="00E34313" w:rsidRPr="00E34313">
          <w:rPr>
            <w:rStyle w:val="Hyperlink"/>
            <w:rFonts w:ascii="Times New Roman" w:hAnsi="Times New Roman"/>
            <w:sz w:val="20"/>
          </w:rPr>
          <w:t>(Ahlstedt, 2002, 2003; Ahlstedt et al., 2016; Bogan, 1993; Ortmann, 1918; Parmalee &amp; Hughes, 1994)</w:t>
        </w:r>
      </w:hyperlink>
      <w:r w:rsidRPr="007B57CD">
        <w:t>, the 2023 morphological survey (MS), and eDNA metabarcoding results from COI and 16S markers.</w:t>
      </w:r>
      <w:bookmarkEnd w:id="64"/>
      <w:r>
        <w:br/>
      </w:r>
    </w:p>
    <w:p w14:paraId="5CB4517B" w14:textId="555F3301" w:rsidR="000D5B77" w:rsidRPr="009556F8" w:rsidRDefault="000D5B77" w:rsidP="000D5B77">
      <w:pPr>
        <w:pStyle w:val="normale"/>
      </w:pPr>
      <w:r w:rsidRPr="009556F8">
        <w:t xml:space="preserve">Both COI and 16S assays detected </w:t>
      </w:r>
      <w:proofErr w:type="spellStart"/>
      <w:r w:rsidRPr="009556F8">
        <w:rPr>
          <w:i/>
          <w:iCs/>
        </w:rPr>
        <w:t>Utterbackia</w:t>
      </w:r>
      <w:proofErr w:type="spellEnd"/>
      <w:r w:rsidRPr="009556F8">
        <w:rPr>
          <w:i/>
          <w:iCs/>
        </w:rPr>
        <w:t xml:space="preserve"> </w:t>
      </w:r>
      <w:proofErr w:type="spellStart"/>
      <w:r w:rsidRPr="009556F8">
        <w:rPr>
          <w:i/>
          <w:iCs/>
        </w:rPr>
        <w:t>imbecillis</w:t>
      </w:r>
      <w:proofErr w:type="spellEnd"/>
      <w:r w:rsidRPr="009556F8">
        <w:t>, a species previously recorded in 1992 and 2016, across multiple sites</w:t>
      </w:r>
      <w:r w:rsidR="0013126E">
        <w:t xml:space="preserve"> </w:t>
      </w:r>
      <w:hyperlink r:id="rId24" w:history="1">
        <w:r w:rsidR="0013126E" w:rsidRPr="0013126E">
          <w:rPr>
            <w:rStyle w:val="Hyperlink"/>
            <w:rFonts w:ascii="Times New Roman" w:hAnsi="Times New Roman"/>
          </w:rPr>
          <w:t>(Ahlstedt, 2002, 2003; Ahlstedt et al., 2016; Bogan, 1993; Ortmann, 1918; Parmalee &amp; Hughes, 1994)</w:t>
        </w:r>
      </w:hyperlink>
      <w:r w:rsidRPr="009556F8">
        <w:t>. Its repeated detection across two independent markers provides moderate support for its continued occurrence, even though it was not found in the 2023 morphological surveys.</w:t>
      </w:r>
      <w:r>
        <w:t xml:space="preserve"> </w:t>
      </w:r>
      <w:r w:rsidRPr="000D5B77">
        <w:rPr>
          <w:b/>
          <w:bCs/>
        </w:rPr>
        <w:t>Figure 9</w:t>
      </w:r>
      <w:r>
        <w:t xml:space="preserve"> further shows the detection of </w:t>
      </w:r>
      <w:r w:rsidR="008C02C3">
        <w:t>COI</w:t>
      </w:r>
      <w:r>
        <w:t xml:space="preserve"> and </w:t>
      </w:r>
      <w:r w:rsidR="008C02C3">
        <w:t>16S</w:t>
      </w:r>
      <w:r>
        <w:t xml:space="preserve"> eDNA</w:t>
      </w:r>
      <w:r w:rsidR="008C02C3">
        <w:t>, respectively,</w:t>
      </w:r>
      <w:r>
        <w:t xml:space="preserve"> throughout the ACR sites. </w:t>
      </w:r>
    </w:p>
    <w:p w14:paraId="0CA6B228" w14:textId="77777777" w:rsidR="000D5B77" w:rsidRDefault="000D5B77" w:rsidP="000D5B77">
      <w:pPr>
        <w:pStyle w:val="normale"/>
      </w:pPr>
      <w:r w:rsidRPr="00FC55DE">
        <w:t>Ongoing work aims to improve reference coverage and detection reliability by expanding the 16S database through retrieval of unannotated GenBank sequences and Sanger sequencing of regional mussel and fish voucher specimens. These efforts are expected to enhance taxonomic resolution and improve the complementarity of COI and 16S in future eDNA/eRNA analyses.</w:t>
      </w:r>
    </w:p>
    <w:p w14:paraId="18D7C33F" w14:textId="77777777" w:rsidR="008C02C3" w:rsidRDefault="008C02C3" w:rsidP="008C02C3">
      <w:pPr>
        <w:pStyle w:val="normale"/>
        <w:keepNext/>
      </w:pPr>
      <w:r>
        <w:rPr>
          <w:noProof/>
        </w:rPr>
        <w:lastRenderedPageBreak/>
        <w:drawing>
          <wp:inline distT="0" distB="0" distL="0" distR="0" wp14:anchorId="0C234596" wp14:editId="089B6600">
            <wp:extent cx="5780042" cy="2104500"/>
            <wp:effectExtent l="0" t="0" r="0" b="0"/>
            <wp:docPr id="1847632257" name="Picture 1"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32257" name="Picture 1" descr="Chart&#10;&#10;AI-generated content may be incorrect."/>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154" r="4073"/>
                    <a:stretch>
                      <a:fillRect/>
                    </a:stretch>
                  </pic:blipFill>
                  <pic:spPr bwMode="auto">
                    <a:xfrm>
                      <a:off x="0" y="0"/>
                      <a:ext cx="5801046" cy="2112147"/>
                    </a:xfrm>
                    <a:prstGeom prst="rect">
                      <a:avLst/>
                    </a:prstGeom>
                    <a:noFill/>
                    <a:ln>
                      <a:noFill/>
                    </a:ln>
                    <a:extLst>
                      <a:ext uri="{53640926-AAD7-44D8-BBD7-CCE9431645EC}">
                        <a14:shadowObscured xmlns:a14="http://schemas.microsoft.com/office/drawing/2010/main"/>
                      </a:ext>
                    </a:extLst>
                  </pic:spPr>
                </pic:pic>
              </a:graphicData>
            </a:graphic>
          </wp:inline>
        </w:drawing>
      </w:r>
    </w:p>
    <w:p w14:paraId="194D98CC" w14:textId="399BC94F" w:rsidR="000D5B77" w:rsidRDefault="008C02C3" w:rsidP="0082280B">
      <w:pPr>
        <w:pStyle w:val="Caption"/>
      </w:pPr>
      <w:bookmarkStart w:id="65" w:name="_Toc211656153"/>
      <w:r w:rsidRPr="00747DAB">
        <w:rPr>
          <w:b/>
          <w:bCs/>
        </w:rPr>
        <w:t xml:space="preserve">Figure </w:t>
      </w:r>
      <w:r w:rsidRPr="00747DAB">
        <w:rPr>
          <w:b/>
          <w:bCs/>
        </w:rPr>
        <w:fldChar w:fldCharType="begin"/>
      </w:r>
      <w:r w:rsidRPr="00747DAB">
        <w:rPr>
          <w:b/>
          <w:bCs/>
        </w:rPr>
        <w:instrText xml:space="preserve"> SEQ Figure \* ARABIC </w:instrText>
      </w:r>
      <w:r w:rsidRPr="00747DAB">
        <w:rPr>
          <w:b/>
          <w:bCs/>
        </w:rPr>
        <w:fldChar w:fldCharType="separate"/>
      </w:r>
      <w:r w:rsidRPr="00747DAB">
        <w:rPr>
          <w:b/>
          <w:bCs/>
          <w:noProof/>
        </w:rPr>
        <w:t>9</w:t>
      </w:r>
      <w:r w:rsidRPr="00747DAB">
        <w:rPr>
          <w:b/>
          <w:bCs/>
        </w:rPr>
        <w:fldChar w:fldCharType="end"/>
      </w:r>
      <w:r w:rsidRPr="00747DAB">
        <w:rPr>
          <w:b/>
          <w:bCs/>
        </w:rPr>
        <w:t>.</w:t>
      </w:r>
      <w:r>
        <w:t xml:space="preserve"> </w:t>
      </w:r>
      <w:r w:rsidR="000C709F" w:rsidRPr="000C709F">
        <w:t>eDNA-based detection of mussel species across sites using (A) COI and (B) 16S markers.</w:t>
      </w:r>
      <w:bookmarkEnd w:id="65"/>
    </w:p>
    <w:p w14:paraId="4954BAD5" w14:textId="773A6D51" w:rsidR="001B4B5D" w:rsidRDefault="001B4B5D" w:rsidP="0082280B">
      <w:pPr>
        <w:pStyle w:val="Caption"/>
      </w:pPr>
    </w:p>
    <w:p w14:paraId="1C61BCFF" w14:textId="55B30056" w:rsidR="00C01F13" w:rsidRDefault="00C01F13" w:rsidP="00763CF0">
      <w:pPr>
        <w:pStyle w:val="Heading3"/>
      </w:pPr>
      <w:bookmarkStart w:id="66" w:name="_Toc211651640"/>
      <w:r>
        <w:t>Detection of Hellbender Salamanders</w:t>
      </w:r>
      <w:bookmarkEnd w:id="66"/>
    </w:p>
    <w:p w14:paraId="40472950" w14:textId="60D4A026" w:rsidR="00331599" w:rsidRDefault="008A15B6" w:rsidP="008A15B6">
      <w:pPr>
        <w:pStyle w:val="normale"/>
      </w:pPr>
      <w:r>
        <w:t>Hellbender DNA and RNA were detected at multiple sites across the Apalachia Cutoff Reach (ACR) of the Hiwassee River</w:t>
      </w:r>
      <w:r w:rsidR="00043937">
        <w:t xml:space="preserve"> </w:t>
      </w:r>
      <w:r w:rsidR="00043937" w:rsidRPr="00043937">
        <w:t>(</w:t>
      </w:r>
      <w:r w:rsidR="00043937" w:rsidRPr="00043937">
        <w:rPr>
          <w:b/>
          <w:bCs/>
        </w:rPr>
        <w:t xml:space="preserve">Figure </w:t>
      </w:r>
      <w:r w:rsidR="000C709F">
        <w:rPr>
          <w:b/>
          <w:bCs/>
        </w:rPr>
        <w:t>10</w:t>
      </w:r>
      <w:r w:rsidR="00043937" w:rsidRPr="00043937">
        <w:rPr>
          <w:b/>
          <w:bCs/>
        </w:rPr>
        <w:t>A–B</w:t>
      </w:r>
      <w:r w:rsidR="00043937" w:rsidRPr="00043937">
        <w:t>)</w:t>
      </w:r>
      <w:r>
        <w:t xml:space="preserve">. </w:t>
      </w:r>
      <w:r w:rsidR="00331599" w:rsidRPr="00331599">
        <w:t xml:space="preserve">Interestingly, eDNA sampling occurred in September, coinciding with the </w:t>
      </w:r>
      <w:r w:rsidR="00A770A9" w:rsidRPr="00331599">
        <w:t>species</w:t>
      </w:r>
      <w:r w:rsidR="00A770A9">
        <w:t>’</w:t>
      </w:r>
      <w:r w:rsidR="00331599" w:rsidRPr="00331599">
        <w:t xml:space="preserve"> documented breeding period (Nickerson &amp; Mays, 1973). Elevated eDNA release during mating activities</w:t>
      </w:r>
      <w:r w:rsidR="001456B7">
        <w:t xml:space="preserve">, </w:t>
      </w:r>
      <w:r w:rsidR="00331599" w:rsidRPr="00331599">
        <w:t>such as male combat, nest guarding, and gamete release</w:t>
      </w:r>
      <w:r w:rsidR="001456B7">
        <w:t xml:space="preserve">, </w:t>
      </w:r>
      <w:r w:rsidR="00331599" w:rsidRPr="00331599">
        <w:t>may have contributed to the strong detection rates observed, despite the species’ typically low abundance and cryptic behavior. Similar seasonal peaks in eDNA concentration during reproductive periods have been documented in other studies (Olson et al., 2012; Spear et al., 2015).</w:t>
      </w:r>
    </w:p>
    <w:p w14:paraId="3BC706B3" w14:textId="04E42AB6" w:rsidR="00284D95" w:rsidRDefault="006C2A03" w:rsidP="008A15B6">
      <w:pPr>
        <w:pStyle w:val="normale"/>
      </w:pPr>
      <w:r>
        <w:t>These sites include ones</w:t>
      </w:r>
      <w:r w:rsidRPr="006C2A03">
        <w:t xml:space="preserve"> where individuals were previously </w:t>
      </w:r>
      <w:r>
        <w:t>observed</w:t>
      </w:r>
      <w:r w:rsidRPr="006C2A03">
        <w:t xml:space="preserve"> by Ahlstedt et al. (2016). That survey recorded live individuals at three locations</w:t>
      </w:r>
      <w:r>
        <w:t xml:space="preserve"> </w:t>
      </w:r>
      <w:r w:rsidR="005E1702">
        <w:t xml:space="preserve">corresponding to sites </w:t>
      </w:r>
      <w:r w:rsidR="002E0C4E">
        <w:t>HR17, HR16, and HR11 in this study, first</w:t>
      </w:r>
      <w:r w:rsidR="00576D99">
        <w:t xml:space="preserve"> two</w:t>
      </w:r>
      <w:r w:rsidR="002E0C4E">
        <w:t xml:space="preserve"> of which have almost perfect detection across </w:t>
      </w:r>
      <w:r w:rsidR="00693966">
        <w:t xml:space="preserve">eDNA </w:t>
      </w:r>
      <w:r w:rsidR="00B40C40">
        <w:t>replicates</w:t>
      </w:r>
      <w:r w:rsidR="002E0C4E">
        <w:t xml:space="preserve">. </w:t>
      </w:r>
      <w:r w:rsidR="009D587D" w:rsidRPr="009D587D">
        <w:t xml:space="preserve">These results suggest that Hellbender populations persist within </w:t>
      </w:r>
      <w:r w:rsidR="009D587D" w:rsidRPr="009D587D">
        <w:lastRenderedPageBreak/>
        <w:t>the bypassed reach and may represent locally sustaining groups that have survived since the previous field surveys.</w:t>
      </w:r>
    </w:p>
    <w:p w14:paraId="67736DE8" w14:textId="77777777" w:rsidR="003C34B3" w:rsidRDefault="00CF3157" w:rsidP="003C34B3">
      <w:pPr>
        <w:pStyle w:val="normale"/>
        <w:keepNext/>
      </w:pPr>
      <w:r>
        <w:rPr>
          <w:noProof/>
        </w:rPr>
        <w:drawing>
          <wp:inline distT="0" distB="0" distL="0" distR="0" wp14:anchorId="6FBA47DE" wp14:editId="0E0EBA8E">
            <wp:extent cx="5480685" cy="3307278"/>
            <wp:effectExtent l="0" t="0" r="0" b="0"/>
            <wp:docPr id="5690440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81824" cy="3307965"/>
                    </a:xfrm>
                    <a:prstGeom prst="rect">
                      <a:avLst/>
                    </a:prstGeom>
                    <a:noFill/>
                    <a:ln>
                      <a:noFill/>
                    </a:ln>
                  </pic:spPr>
                </pic:pic>
              </a:graphicData>
            </a:graphic>
          </wp:inline>
        </w:drawing>
      </w:r>
    </w:p>
    <w:p w14:paraId="0C9FBC38" w14:textId="3D2B53BB" w:rsidR="00DD2CC7" w:rsidRPr="00DD2CC7" w:rsidRDefault="003C34B3" w:rsidP="0082280B">
      <w:pPr>
        <w:pStyle w:val="Caption"/>
      </w:pPr>
      <w:bookmarkStart w:id="67" w:name="_Toc211656154"/>
      <w:r w:rsidRPr="00F427AD">
        <w:rPr>
          <w:b/>
          <w:bCs/>
        </w:rPr>
        <w:t xml:space="preserve">Figure </w:t>
      </w:r>
      <w:r w:rsidRPr="00F427AD">
        <w:rPr>
          <w:b/>
          <w:bCs/>
        </w:rPr>
        <w:fldChar w:fldCharType="begin"/>
      </w:r>
      <w:r w:rsidRPr="00F427AD">
        <w:rPr>
          <w:b/>
          <w:bCs/>
        </w:rPr>
        <w:instrText xml:space="preserve"> SEQ Figure \* ARABIC </w:instrText>
      </w:r>
      <w:r w:rsidRPr="00F427AD">
        <w:rPr>
          <w:b/>
          <w:bCs/>
        </w:rPr>
        <w:fldChar w:fldCharType="separate"/>
      </w:r>
      <w:r w:rsidR="008C02C3" w:rsidRPr="00F427AD">
        <w:rPr>
          <w:b/>
          <w:bCs/>
          <w:noProof/>
        </w:rPr>
        <w:t>10</w:t>
      </w:r>
      <w:r w:rsidRPr="00F427AD">
        <w:rPr>
          <w:b/>
          <w:bCs/>
        </w:rPr>
        <w:fldChar w:fldCharType="end"/>
      </w:r>
      <w:r>
        <w:t>. Detection of Eastern Hellbender (</w:t>
      </w:r>
      <w:proofErr w:type="spellStart"/>
      <w:r w:rsidRPr="003C34B3">
        <w:rPr>
          <w:i/>
        </w:rPr>
        <w:t>Cryptobranchus</w:t>
      </w:r>
      <w:proofErr w:type="spellEnd"/>
      <w:r w:rsidRPr="003C34B3">
        <w:rPr>
          <w:i/>
        </w:rPr>
        <w:t xml:space="preserve"> </w:t>
      </w:r>
      <w:proofErr w:type="spellStart"/>
      <w:r w:rsidRPr="003C34B3">
        <w:rPr>
          <w:i/>
        </w:rPr>
        <w:t>alleganiensis</w:t>
      </w:r>
      <w:proofErr w:type="spellEnd"/>
      <w:r w:rsidRPr="003C34B3">
        <w:rPr>
          <w:i/>
        </w:rPr>
        <w:t xml:space="preserve"> </w:t>
      </w:r>
      <w:proofErr w:type="spellStart"/>
      <w:r w:rsidRPr="003C34B3">
        <w:rPr>
          <w:i/>
        </w:rPr>
        <w:t>alleganiensis</w:t>
      </w:r>
      <w:proofErr w:type="spellEnd"/>
      <w:r>
        <w:t xml:space="preserve">) across sampling sites in the Apalachia Cutoff Reach. </w:t>
      </w:r>
      <w:r w:rsidRPr="007B57CD">
        <w:t xml:space="preserve">(A) Proportion of eDNA replicates showing positive amplification, distinguishing detections above (≥ </w:t>
      </w:r>
      <w:proofErr w:type="spellStart"/>
      <w:r w:rsidRPr="007B57CD">
        <w:t>LoD</w:t>
      </w:r>
      <w:proofErr w:type="spellEnd"/>
      <w:r w:rsidRPr="007B57CD">
        <w:t>) and below the limit of detection.</w:t>
      </w:r>
      <w:r w:rsidRPr="007B57CD">
        <w:br/>
        <w:t xml:space="preserve">(B) Proportion of eRNA replicates showing positive amplification using the same </w:t>
      </w:r>
      <w:proofErr w:type="spellStart"/>
      <w:r w:rsidRPr="007B57CD">
        <w:t>Cytb</w:t>
      </w:r>
      <w:proofErr w:type="spellEnd"/>
      <w:r w:rsidRPr="007B57CD">
        <w:t xml:space="preserve"> assay.</w:t>
      </w:r>
      <w:bookmarkEnd w:id="67"/>
      <w:r w:rsidR="002D35ED">
        <w:br/>
      </w:r>
    </w:p>
    <w:p w14:paraId="3BB5C18A" w14:textId="77777777" w:rsidR="006C0AF3" w:rsidRDefault="006C0AF3" w:rsidP="006517E7">
      <w:pPr>
        <w:pStyle w:val="normale"/>
      </w:pPr>
      <w:r w:rsidRPr="006C0AF3">
        <w:t>Although eRNA samples were analyzed using the same cytochrome b (</w:t>
      </w:r>
      <w:proofErr w:type="spellStart"/>
      <w:r w:rsidRPr="006C0AF3">
        <w:t>Cytb</w:t>
      </w:r>
      <w:proofErr w:type="spellEnd"/>
      <w:r w:rsidRPr="006C0AF3">
        <w:t xml:space="preserve">) qPCR assay, detections were limited to very low levels and were therefore not included in occupancy modeling. This low recovery aligns with recent experimental findings showing that </w:t>
      </w:r>
      <w:proofErr w:type="spellStart"/>
      <w:r w:rsidRPr="006C0AF3">
        <w:t>Cytb</w:t>
      </w:r>
      <w:proofErr w:type="spellEnd"/>
      <w:r w:rsidRPr="006C0AF3">
        <w:t xml:space="preserve"> messenger RNA (mRNA) is extremely labile, degrading to undetectable levels within approximately three hours under ambient conditions (Brandão-Dias et al., 2025). Given this rapid decay rate, the few RNA detections obtained here are nevertheless notable, as they may indicate biological activity that occurred within just a few hours prior to sampling.</w:t>
      </w:r>
    </w:p>
    <w:p w14:paraId="0E7ECB3F" w14:textId="048C8CA1" w:rsidR="006517E7" w:rsidRPr="006517E7" w:rsidRDefault="006517E7" w:rsidP="006517E7">
      <w:pPr>
        <w:pStyle w:val="normale"/>
      </w:pPr>
      <w:r w:rsidRPr="006517E7">
        <w:lastRenderedPageBreak/>
        <w:t>Single-season occupancy models were fitted to two detection datasets: (1) an “all detections” dataset that included both above- and below-</w:t>
      </w:r>
      <w:proofErr w:type="spellStart"/>
      <w:r w:rsidRPr="006517E7">
        <w:t>LoD</w:t>
      </w:r>
      <w:proofErr w:type="spellEnd"/>
      <w:r w:rsidRPr="006517E7">
        <w:t xml:space="preserve"> amplifications, and (2) a “≥</w:t>
      </w:r>
      <w:proofErr w:type="spellStart"/>
      <w:r w:rsidRPr="006517E7">
        <w:t>LoD</w:t>
      </w:r>
      <w:proofErr w:type="spellEnd"/>
      <w:r w:rsidRPr="006517E7">
        <w:t>” dataset restricted to quantifiable detections.</w:t>
      </w:r>
      <w:r w:rsidR="00AA5D77">
        <w:t xml:space="preserve"> </w:t>
      </w:r>
      <w:r w:rsidRPr="006517E7">
        <w:t xml:space="preserve">For the all-detections dataset, occupancy estimates were high (mean ψ = 0.86, 95% CI = 0.56–0.97) with moderate detection probability </w:t>
      </w:r>
      <w:r w:rsidR="00751A17" w:rsidRPr="006517E7">
        <w:t xml:space="preserve"> </w:t>
      </w:r>
      <w:r w:rsidRPr="006517E7">
        <w:t>(p = 0.65, 95% CI = 0.49–0.78). Models including conductivity as a covariate produced slightly better fit (ΔAIC &lt; 2), but the effect was weak and uncertain (β = −0.59 ± 0.68 SE).</w:t>
      </w:r>
      <w:r w:rsidR="00AA5D77">
        <w:t xml:space="preserve"> </w:t>
      </w:r>
    </w:p>
    <w:p w14:paraId="484EDA5D" w14:textId="4B6D7E82" w:rsidR="008A15B6" w:rsidRDefault="006517E7" w:rsidP="006517E7">
      <w:pPr>
        <w:pStyle w:val="normale"/>
      </w:pPr>
      <w:r w:rsidRPr="006517E7">
        <w:t>When only ≥</w:t>
      </w:r>
      <w:proofErr w:type="spellStart"/>
      <w:r w:rsidRPr="006517E7">
        <w:t>LoD</w:t>
      </w:r>
      <w:proofErr w:type="spellEnd"/>
      <w:r w:rsidRPr="006517E7">
        <w:t xml:space="preserve"> detections were used, mean occupancy declined (ψ = 0.47, 95% CI = 0.22–0.73), while detection probability remained similar (p = 0.63, 95% CI = 0.46–0.78).</w:t>
      </w:r>
      <w:r w:rsidRPr="006517E7">
        <w:br/>
        <w:t>Parameter uncertainty was high due to the limited number of quantifiable detections (9 of 20 sites), and no environmental covariates were statistically significant.</w:t>
      </w:r>
      <w:r w:rsidR="00AA5D77">
        <w:t xml:space="preserve"> </w:t>
      </w:r>
      <w:r w:rsidRPr="006517E7">
        <w:t xml:space="preserve">Overall, </w:t>
      </w:r>
      <w:r w:rsidR="00CD15E7">
        <w:t>despite how</w:t>
      </w:r>
      <w:r w:rsidRPr="006517E7">
        <w:t xml:space="preserve"> Hellbenders were detected at several sites, the limited number of positive detections and high uncertainty</w:t>
      </w:r>
      <w:r w:rsidR="00CD15E7">
        <w:t xml:space="preserve"> is</w:t>
      </w:r>
      <w:r w:rsidRPr="006517E7">
        <w:t xml:space="preserve"> prevent</w:t>
      </w:r>
      <w:r w:rsidR="00CD15E7">
        <w:t xml:space="preserve">ing drawing significant conclusions </w:t>
      </w:r>
      <w:r w:rsidRPr="006517E7">
        <w:t>about environmental predictors.</w:t>
      </w:r>
      <w:r w:rsidR="00903268">
        <w:t xml:space="preserve"> </w:t>
      </w:r>
      <w:r w:rsidR="00903268" w:rsidRPr="00903268">
        <w:t xml:space="preserve">Spatial variation in eDNA detection rates along the ACR is shown in </w:t>
      </w:r>
      <w:r w:rsidR="00903268" w:rsidRPr="00903268">
        <w:rPr>
          <w:b/>
          <w:bCs/>
        </w:rPr>
        <w:t>Figure 1</w:t>
      </w:r>
      <w:r w:rsidR="00787CB7">
        <w:rPr>
          <w:b/>
          <w:bCs/>
        </w:rPr>
        <w:t>1</w:t>
      </w:r>
      <w:r w:rsidR="00903268" w:rsidRPr="00903268">
        <w:t>, where detection probability increases toward the mid-reach and declines again near the downstream end.</w:t>
      </w:r>
    </w:p>
    <w:p w14:paraId="1587BBF7" w14:textId="77777777" w:rsidR="002C0BB1" w:rsidRPr="009D2AA9" w:rsidRDefault="002C0BB1" w:rsidP="002C0BB1">
      <w:pPr>
        <w:pStyle w:val="Heading2"/>
      </w:pPr>
      <w:bookmarkStart w:id="68" w:name="_Toc211651641"/>
      <w:r>
        <w:t>Conclusion</w:t>
      </w:r>
      <w:bookmarkEnd w:id="68"/>
    </w:p>
    <w:p w14:paraId="008BFD79" w14:textId="35A7CDF7" w:rsidR="002C0BB1" w:rsidRDefault="002C0BB1" w:rsidP="002C0BB1">
      <w:pPr>
        <w:pStyle w:val="normale"/>
      </w:pPr>
      <w:r w:rsidRPr="00EC56CB">
        <w:t>Even with limited sequencing yield and extensive off-target amplification, this study shows that environmental DNA and RNA can reveal biologically meaningful patterns across multiple taxonomic groups. Clear spatial and environmental trends emerged</w:t>
      </w:r>
      <w:r w:rsidRPr="002C0BB1">
        <w:t xml:space="preserve"> </w:t>
      </w:r>
      <w:r w:rsidRPr="00EC56CB">
        <w:t xml:space="preserve">despite technical challenges, reflecting the inherent strength of </w:t>
      </w:r>
      <w:proofErr w:type="spellStart"/>
      <w:r w:rsidRPr="00EC56CB">
        <w:t>eNA</w:t>
      </w:r>
      <w:proofErr w:type="spellEnd"/>
      <w:r w:rsidRPr="00EC56CB">
        <w:t>-based detection.</w:t>
      </w:r>
    </w:p>
    <w:p w14:paraId="35E414EF" w14:textId="77777777" w:rsidR="00EF4183" w:rsidRDefault="00751A17" w:rsidP="00EF4183">
      <w:pPr>
        <w:pStyle w:val="normale"/>
        <w:keepNext/>
      </w:pPr>
      <w:r>
        <w:rPr>
          <w:noProof/>
        </w:rPr>
        <w:lastRenderedPageBreak/>
        <w:drawing>
          <wp:inline distT="0" distB="0" distL="0" distR="0" wp14:anchorId="2DC85C39" wp14:editId="7A86BB43">
            <wp:extent cx="5361709" cy="1787359"/>
            <wp:effectExtent l="19050" t="19050" r="0" b="3810"/>
            <wp:docPr id="874670426" name="Picture 1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670426" name="Picture 11" descr="Map&#10;&#10;AI-generated content may be incorrect."/>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300" r="861"/>
                    <a:stretch>
                      <a:fillRect/>
                    </a:stretch>
                  </pic:blipFill>
                  <pic:spPr bwMode="auto">
                    <a:xfrm>
                      <a:off x="0" y="0"/>
                      <a:ext cx="5362208" cy="178752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0DF3706" w14:textId="21C7023F" w:rsidR="00751A17" w:rsidRPr="006D7DD1" w:rsidRDefault="00EF4183" w:rsidP="0082280B">
      <w:pPr>
        <w:pStyle w:val="Caption"/>
      </w:pPr>
      <w:bookmarkStart w:id="69" w:name="_Toc211656155"/>
      <w:r w:rsidRPr="00F427AD">
        <w:rPr>
          <w:b/>
          <w:bCs/>
        </w:rPr>
        <w:t xml:space="preserve">Figure </w:t>
      </w:r>
      <w:r w:rsidRPr="00F427AD">
        <w:rPr>
          <w:b/>
          <w:bCs/>
        </w:rPr>
        <w:fldChar w:fldCharType="begin"/>
      </w:r>
      <w:r w:rsidRPr="00F427AD">
        <w:rPr>
          <w:b/>
          <w:bCs/>
        </w:rPr>
        <w:instrText xml:space="preserve"> SEQ Figure \* ARABIC </w:instrText>
      </w:r>
      <w:r w:rsidRPr="00F427AD">
        <w:rPr>
          <w:b/>
          <w:bCs/>
        </w:rPr>
        <w:fldChar w:fldCharType="separate"/>
      </w:r>
      <w:r w:rsidR="008C02C3" w:rsidRPr="00F427AD">
        <w:rPr>
          <w:b/>
          <w:bCs/>
          <w:noProof/>
        </w:rPr>
        <w:t>11</w:t>
      </w:r>
      <w:r w:rsidRPr="00F427AD">
        <w:rPr>
          <w:b/>
          <w:bCs/>
        </w:rPr>
        <w:fldChar w:fldCharType="end"/>
      </w:r>
      <w:r w:rsidR="000F0C71">
        <w:t xml:space="preserve">. Percentage of </w:t>
      </w:r>
      <w:r w:rsidR="00681559">
        <w:t xml:space="preserve">Hellbender </w:t>
      </w:r>
      <w:proofErr w:type="spellStart"/>
      <w:r w:rsidR="00681559">
        <w:t>CytB</w:t>
      </w:r>
      <w:proofErr w:type="spellEnd"/>
      <w:r w:rsidR="00681559">
        <w:t xml:space="preserve"> eDNA detection along the Apalachia Cutoff Reach.</w:t>
      </w:r>
      <w:bookmarkEnd w:id="69"/>
    </w:p>
    <w:p w14:paraId="37CBABBD" w14:textId="77777777" w:rsidR="00C01F13" w:rsidRPr="00C01F13" w:rsidRDefault="00C01F13" w:rsidP="00C01F13"/>
    <w:p w14:paraId="74599DA6" w14:textId="03A22B7A" w:rsidR="000C27F5" w:rsidRDefault="00EC56CB" w:rsidP="00F613A1">
      <w:pPr>
        <w:pStyle w:val="normale"/>
      </w:pPr>
      <w:r w:rsidRPr="00EC56CB">
        <w:t>At the same time, these results highlight how essential it is to understand the weaknesses of each molecular assay in order to interpret them correctly and develop them reliably.</w:t>
      </w:r>
    </w:p>
    <w:p w14:paraId="38F573B0" w14:textId="1A65D486" w:rsidR="003C6F66" w:rsidRDefault="003C6F66" w:rsidP="00F613A1">
      <w:pPr>
        <w:pStyle w:val="normale"/>
      </w:pPr>
      <w:r w:rsidRPr="003C6F66">
        <w:t xml:space="preserve">The 12S libraries had strong bacterial co-amplification yet still produced fish community patterns consistent with morphological data. For the mussel assays, the COI marker showed carry-over contamination and a high abundance of </w:t>
      </w:r>
      <w:proofErr w:type="spellStart"/>
      <w:r w:rsidRPr="003C6F66">
        <w:rPr>
          <w:i/>
          <w:iCs/>
        </w:rPr>
        <w:t>Cambarunio</w:t>
      </w:r>
      <w:proofErr w:type="spellEnd"/>
      <w:r w:rsidRPr="003C6F66">
        <w:rPr>
          <w:i/>
          <w:iCs/>
        </w:rPr>
        <w:t xml:space="preserve"> iris</w:t>
      </w:r>
      <w:r w:rsidRPr="003C6F66">
        <w:t>, while the 16S libraries were cleaner but limited by incomplete and poorly annotated reference databases. Together, these results indicate that methodological imperfections can obscure biological signals if they are not identified and accounted for.</w:t>
      </w:r>
    </w:p>
    <w:p w14:paraId="56A71170" w14:textId="27E2C8D1" w:rsidR="005B15B4" w:rsidRDefault="005B15B4" w:rsidP="005B15B4">
      <w:pPr>
        <w:pStyle w:val="normale"/>
      </w:pPr>
      <w:r>
        <w:t>For Hellbender detection, molecular results indicated continued presence in the Apalachia Cutoff Reach. This species is difficult to observe through conventional surveys because of its cryptic behavior and the risk of disturbing its habitat. eDNA and eRNA offer a practical alternative for monitoring without physical disruption. Current studies are also testing improved eRNA targets for Hellbenders to increase detection reliability and to evaluate the potential of RNA-based monitoring for other species.</w:t>
      </w:r>
    </w:p>
    <w:p w14:paraId="699EEBBD" w14:textId="2D169754" w:rsidR="005B15B4" w:rsidRDefault="005B15B4" w:rsidP="005B15B4">
      <w:pPr>
        <w:pStyle w:val="normale"/>
      </w:pPr>
      <w:r>
        <w:lastRenderedPageBreak/>
        <w:t>Ongoing research continues to refine molecular approaches by improving primer specificity, minimizing contamination, and expanding reference databases. These databases should be taxonomically complete, accurately annotated, and include ecological metadata such as habitat, region, and voucher information. Such improvements will reduce analytical uncertainty, increase reproducibility, and improve ecological interpretation.</w:t>
      </w:r>
    </w:p>
    <w:p w14:paraId="4683F8F1" w14:textId="10C6B10B" w:rsidR="005B15B4" w:rsidRPr="006517E7" w:rsidRDefault="005B15B4" w:rsidP="005B15B4">
      <w:pPr>
        <w:pStyle w:val="normale"/>
      </w:pPr>
      <w:r>
        <w:t>Using eDNA alone before methodological and interpretive frameworks are fully standardized could repeat some of the early credibility issues seen in this field. Continued validation and transparent reporting are needed to ensure consistent progress and confidence in these approaches. With careful refinement, eDNA and eRNA can become dependable tools for long-term freshwater biodiversity assessment and conservation.</w:t>
      </w:r>
    </w:p>
    <w:p w14:paraId="0F659ABE" w14:textId="25CAC1AB" w:rsidR="00FD209D" w:rsidRPr="00FD209D" w:rsidRDefault="003537EF">
      <w:pPr>
        <w:spacing w:after="160" w:line="278" w:lineRule="auto"/>
      </w:pPr>
      <w:r>
        <w:br w:type="page"/>
      </w:r>
    </w:p>
    <w:p w14:paraId="7B46D11E" w14:textId="1C6F63A5" w:rsidR="00324C32" w:rsidRDefault="00063EA7" w:rsidP="0013395F">
      <w:pPr>
        <w:pStyle w:val="AltHeading1"/>
      </w:pPr>
      <w:bookmarkStart w:id="70" w:name="_Toc211651642"/>
      <w:r>
        <w:lastRenderedPageBreak/>
        <w:t>Re</w:t>
      </w:r>
      <w:r w:rsidR="001B324D">
        <w:t>ferences</w:t>
      </w:r>
      <w:bookmarkEnd w:id="70"/>
    </w:p>
    <w:p w14:paraId="5838DE96" w14:textId="77777777" w:rsidR="00FB4867" w:rsidRPr="00FB4867" w:rsidRDefault="00FB4867" w:rsidP="002C0BB1">
      <w:pPr>
        <w:spacing w:line="480" w:lineRule="auto"/>
        <w:ind w:left="720" w:hanging="720"/>
        <w:rPr>
          <w:rFonts w:ascii="Times New Roman" w:hAnsi="Times New Roman" w:cs="Times New Roman"/>
          <w14:ligatures w14:val="none"/>
        </w:rPr>
      </w:pPr>
      <w:hyperlink r:id="rId28" w:history="1">
        <w:r w:rsidRPr="00FB4867">
          <w:rPr>
            <w:rFonts w:ascii="Times New Roman" w:hAnsi="Times New Roman" w:cs="Times New Roman"/>
            <w:color w:val="000000"/>
            <w14:ligatures w14:val="none"/>
          </w:rPr>
          <w:t xml:space="preserve">Ahlstedt, S. A. (2002). </w:t>
        </w:r>
        <w:r w:rsidRPr="00FB4867">
          <w:rPr>
            <w:rFonts w:ascii="Times New Roman" w:hAnsi="Times New Roman" w:cs="Times New Roman"/>
            <w:i/>
            <w:iCs/>
            <w:color w:val="000000"/>
            <w14:ligatures w14:val="none"/>
          </w:rPr>
          <w:t>Preliminary survey for federally listed and non-listed mussel species in the upper Nolichucky River and Hiwassee River (Apalachia Cutoff) bordering the Cherokee National Forest</w:t>
        </w:r>
        <w:r w:rsidRPr="00FB4867">
          <w:rPr>
            <w:rFonts w:ascii="Times New Roman" w:hAnsi="Times New Roman" w:cs="Times New Roman"/>
            <w:color w:val="000000"/>
            <w14:ligatures w14:val="none"/>
          </w:rPr>
          <w:t xml:space="preserve"> [Final Report]. U.S. Forest Service, Cherokee National Forest. </w:t>
        </w:r>
      </w:hyperlink>
    </w:p>
    <w:p w14:paraId="18BFF829" w14:textId="77777777" w:rsidR="00FB4867" w:rsidRPr="00FB4867" w:rsidRDefault="00FB4867" w:rsidP="002C0BB1">
      <w:pPr>
        <w:spacing w:line="480" w:lineRule="auto"/>
        <w:ind w:left="720" w:hanging="720"/>
        <w:rPr>
          <w:rFonts w:ascii="Times New Roman" w:hAnsi="Times New Roman" w:cs="Times New Roman"/>
          <w14:ligatures w14:val="none"/>
        </w:rPr>
      </w:pPr>
      <w:hyperlink r:id="rId29" w:history="1">
        <w:r w:rsidRPr="00FB4867">
          <w:rPr>
            <w:rFonts w:ascii="Times New Roman" w:hAnsi="Times New Roman" w:cs="Times New Roman"/>
            <w:color w:val="000000"/>
            <w14:ligatures w14:val="none"/>
          </w:rPr>
          <w:t xml:space="preserve">Ahlstedt, S. A. (2003). </w:t>
        </w:r>
        <w:r w:rsidRPr="00FB4867">
          <w:rPr>
            <w:rFonts w:ascii="Times New Roman" w:hAnsi="Times New Roman" w:cs="Times New Roman"/>
            <w:i/>
            <w:iCs/>
            <w:color w:val="000000"/>
            <w14:ligatures w14:val="none"/>
          </w:rPr>
          <w:t xml:space="preserve">Search for tan </w:t>
        </w:r>
        <w:proofErr w:type="spellStart"/>
        <w:r w:rsidRPr="00FB4867">
          <w:rPr>
            <w:rFonts w:ascii="Times New Roman" w:hAnsi="Times New Roman" w:cs="Times New Roman"/>
            <w:i/>
            <w:iCs/>
            <w:color w:val="000000"/>
            <w14:ligatures w14:val="none"/>
          </w:rPr>
          <w:t>riffleshell</w:t>
        </w:r>
        <w:proofErr w:type="spellEnd"/>
        <w:r w:rsidRPr="00FB4867">
          <w:rPr>
            <w:rFonts w:ascii="Times New Roman" w:hAnsi="Times New Roman" w:cs="Times New Roman"/>
            <w:i/>
            <w:iCs/>
            <w:color w:val="000000"/>
            <w14:ligatures w14:val="none"/>
          </w:rPr>
          <w:t xml:space="preserve"> (</w:t>
        </w:r>
        <w:proofErr w:type="spellStart"/>
        <w:r w:rsidRPr="00FB4867">
          <w:rPr>
            <w:rFonts w:ascii="Times New Roman" w:hAnsi="Times New Roman" w:cs="Times New Roman"/>
            <w:i/>
            <w:iCs/>
            <w:color w:val="000000"/>
            <w14:ligatures w14:val="none"/>
          </w:rPr>
          <w:t>Epioblasma</w:t>
        </w:r>
        <w:proofErr w:type="spellEnd"/>
        <w:r w:rsidRPr="00FB4867">
          <w:rPr>
            <w:rFonts w:ascii="Times New Roman" w:hAnsi="Times New Roman" w:cs="Times New Roman"/>
            <w:i/>
            <w:iCs/>
            <w:color w:val="000000"/>
            <w14:ligatures w14:val="none"/>
          </w:rPr>
          <w:t xml:space="preserve"> walkeri) in the Hiwassee River (Apalachia Cutoff), and update the current status of mussel populations in the </w:t>
        </w:r>
        <w:proofErr w:type="spellStart"/>
        <w:r w:rsidRPr="00FB4867">
          <w:rPr>
            <w:rFonts w:ascii="Times New Roman" w:hAnsi="Times New Roman" w:cs="Times New Roman"/>
            <w:i/>
            <w:iCs/>
            <w:color w:val="000000"/>
            <w14:ligatures w14:val="none"/>
          </w:rPr>
          <w:t>Conasauga</w:t>
        </w:r>
        <w:proofErr w:type="spellEnd"/>
        <w:r w:rsidRPr="00FB4867">
          <w:rPr>
            <w:rFonts w:ascii="Times New Roman" w:hAnsi="Times New Roman" w:cs="Times New Roman"/>
            <w:i/>
            <w:iCs/>
            <w:color w:val="000000"/>
            <w14:ligatures w14:val="none"/>
          </w:rPr>
          <w:t xml:space="preserve"> River (Aug.–Sept. 2003)</w:t>
        </w:r>
        <w:r w:rsidRPr="00FB4867">
          <w:rPr>
            <w:rFonts w:ascii="Times New Roman" w:hAnsi="Times New Roman" w:cs="Times New Roman"/>
            <w:color w:val="000000"/>
            <w14:ligatures w14:val="none"/>
          </w:rPr>
          <w:t xml:space="preserve"> [Final Report]. U.S. Forest Service, Cherokee National Forest. </w:t>
        </w:r>
      </w:hyperlink>
    </w:p>
    <w:p w14:paraId="17A0044E" w14:textId="77777777" w:rsidR="00FB4867" w:rsidRPr="00FB4867" w:rsidRDefault="00FB4867" w:rsidP="002C0BB1">
      <w:pPr>
        <w:spacing w:line="480" w:lineRule="auto"/>
        <w:ind w:left="720" w:hanging="720"/>
        <w:rPr>
          <w:rFonts w:ascii="Times New Roman" w:hAnsi="Times New Roman" w:cs="Times New Roman"/>
          <w14:ligatures w14:val="none"/>
        </w:rPr>
      </w:pPr>
      <w:hyperlink r:id="rId30" w:history="1">
        <w:r w:rsidRPr="00FB4867">
          <w:rPr>
            <w:rFonts w:ascii="Times New Roman" w:hAnsi="Times New Roman" w:cs="Times New Roman"/>
            <w:color w:val="000000"/>
            <w14:ligatures w14:val="none"/>
          </w:rPr>
          <w:t xml:space="preserve">Ahlstedt, S. A., Howard, C., Reed, M., Saylor, C., &amp; Herrig, J. (2016). </w:t>
        </w:r>
        <w:r w:rsidRPr="00FB4867">
          <w:rPr>
            <w:rFonts w:ascii="Times New Roman" w:hAnsi="Times New Roman" w:cs="Times New Roman"/>
            <w:i/>
            <w:iCs/>
            <w:color w:val="000000"/>
            <w14:ligatures w14:val="none"/>
          </w:rPr>
          <w:t>Evaluation of freshwater mussels in the Hiwassee River Appalachia Cutoff (Polk County, Tennessee) following high flow releases from Appalachia Dam</w:t>
        </w:r>
        <w:r w:rsidRPr="00FB4867">
          <w:rPr>
            <w:rFonts w:ascii="Times New Roman" w:hAnsi="Times New Roman" w:cs="Times New Roman"/>
            <w:color w:val="000000"/>
            <w14:ligatures w14:val="none"/>
          </w:rPr>
          <w:t xml:space="preserve"> [Report]. Cherokee National Forest and Tennessee Valley Authority. </w:t>
        </w:r>
      </w:hyperlink>
    </w:p>
    <w:p w14:paraId="70D1DBC8" w14:textId="77777777" w:rsidR="00FB4867" w:rsidRPr="00FB4867" w:rsidRDefault="00FB4867" w:rsidP="002C0BB1">
      <w:pPr>
        <w:spacing w:line="480" w:lineRule="auto"/>
        <w:ind w:left="720" w:hanging="720"/>
        <w:rPr>
          <w:rFonts w:ascii="Times New Roman" w:hAnsi="Times New Roman" w:cs="Times New Roman"/>
          <w14:ligatures w14:val="none"/>
        </w:rPr>
      </w:pPr>
      <w:hyperlink r:id="rId31" w:history="1">
        <w:r w:rsidRPr="00FB4867">
          <w:rPr>
            <w:rFonts w:ascii="Times New Roman" w:hAnsi="Times New Roman" w:cs="Times New Roman"/>
            <w:color w:val="000000"/>
            <w14:ligatures w14:val="none"/>
          </w:rPr>
          <w:t xml:space="preserve">Albert, J. S., Destouni, G., Duke-Sylvester, S. M., Magurran, A. E., Oberdorff, T., Reis, R. E., Winemiller, K. O., &amp; Ripple, W. J. (2021). Scientists’ warning to humanity on the freshwater biodiversity crisis. </w:t>
        </w:r>
        <w:r w:rsidRPr="00FB4867">
          <w:rPr>
            <w:rFonts w:ascii="Times New Roman" w:hAnsi="Times New Roman" w:cs="Times New Roman"/>
            <w:i/>
            <w:iCs/>
            <w:color w:val="000000"/>
            <w14:ligatures w14:val="none"/>
          </w:rPr>
          <w:t>Ambio</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50</w:t>
        </w:r>
        <w:r w:rsidRPr="00FB4867">
          <w:rPr>
            <w:rFonts w:ascii="Times New Roman" w:hAnsi="Times New Roman" w:cs="Times New Roman"/>
            <w:color w:val="000000"/>
            <w14:ligatures w14:val="none"/>
          </w:rPr>
          <w:t>(1), 85–94. https://doi.org/10.1007/s13280-020-01318-8 </w:t>
        </w:r>
      </w:hyperlink>
    </w:p>
    <w:p w14:paraId="3DE97161" w14:textId="77777777" w:rsidR="00FB4867" w:rsidRPr="00FB4867" w:rsidRDefault="00FB4867" w:rsidP="002C0BB1">
      <w:pPr>
        <w:spacing w:line="480" w:lineRule="auto"/>
        <w:ind w:left="720" w:hanging="720"/>
        <w:rPr>
          <w:rFonts w:ascii="Times New Roman" w:hAnsi="Times New Roman" w:cs="Times New Roman"/>
          <w14:ligatures w14:val="none"/>
        </w:rPr>
      </w:pPr>
      <w:hyperlink r:id="rId32" w:history="1">
        <w:r w:rsidRPr="00FB4867">
          <w:rPr>
            <w:rFonts w:ascii="Times New Roman" w:hAnsi="Times New Roman" w:cs="Times New Roman"/>
            <w:color w:val="000000"/>
            <w14:ligatures w14:val="none"/>
          </w:rPr>
          <w:t xml:space="preserve">Andres, K. J., Sethi, S. A., Lodge, D. M., &amp; Andrés, J. (2021). Nuclear eDNA estimates population allele frequencies and abundance in experimental mesocosms and field samples.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30</w:t>
        </w:r>
        <w:r w:rsidRPr="00FB4867">
          <w:rPr>
            <w:rFonts w:ascii="Times New Roman" w:hAnsi="Times New Roman" w:cs="Times New Roman"/>
            <w:color w:val="000000"/>
            <w14:ligatures w14:val="none"/>
          </w:rPr>
          <w:t>(3), 685–697. https://doi.org/10.1111/mec.15765 </w:t>
        </w:r>
      </w:hyperlink>
    </w:p>
    <w:p w14:paraId="3FAF7B77" w14:textId="77777777" w:rsidR="00FB4867" w:rsidRPr="00FB4867" w:rsidRDefault="00FB4867" w:rsidP="002C0BB1">
      <w:pPr>
        <w:spacing w:line="480" w:lineRule="auto"/>
        <w:ind w:left="720" w:hanging="720"/>
        <w:rPr>
          <w:rFonts w:ascii="Times New Roman" w:hAnsi="Times New Roman" w:cs="Times New Roman"/>
          <w14:ligatures w14:val="none"/>
        </w:rPr>
      </w:pPr>
      <w:hyperlink r:id="rId33" w:history="1">
        <w:r w:rsidRPr="00FB4867">
          <w:rPr>
            <w:rFonts w:ascii="Times New Roman" w:hAnsi="Times New Roman" w:cs="Times New Roman"/>
            <w:color w:val="000000"/>
            <w14:ligatures w14:val="none"/>
          </w:rPr>
          <w:t xml:space="preserve">Barata, I. M., Griffiths, R. A., &amp; Ridout, M. S. (2017). The power of monitoring: Optimizing survey designs to detect occupancy changes in a rare amphibian </w:t>
        </w:r>
        <w:r w:rsidRPr="00FB4867">
          <w:rPr>
            <w:rFonts w:ascii="Times New Roman" w:hAnsi="Times New Roman" w:cs="Times New Roman"/>
            <w:color w:val="000000"/>
            <w14:ligatures w14:val="none"/>
          </w:rPr>
          <w:lastRenderedPageBreak/>
          <w:t xml:space="preserve">population. </w:t>
        </w:r>
        <w:r w:rsidRPr="00FB4867">
          <w:rPr>
            <w:rFonts w:ascii="Times New Roman" w:hAnsi="Times New Roman" w:cs="Times New Roman"/>
            <w:i/>
            <w:iCs/>
            <w:color w:val="000000"/>
            <w14:ligatures w14:val="none"/>
          </w:rPr>
          <w:t>Scientific Reports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7</w:t>
        </w:r>
        <w:r w:rsidRPr="00FB4867">
          <w:rPr>
            <w:rFonts w:ascii="Times New Roman" w:hAnsi="Times New Roman" w:cs="Times New Roman"/>
            <w:color w:val="000000"/>
            <w14:ligatures w14:val="none"/>
          </w:rPr>
          <w:t>(1), 16491. https://doi.org/10.1038/s41598-017-16534-8 </w:t>
        </w:r>
      </w:hyperlink>
    </w:p>
    <w:p w14:paraId="4A206D48" w14:textId="77777777" w:rsidR="00FB4867" w:rsidRPr="00FB4867" w:rsidRDefault="00FB4867" w:rsidP="002C0BB1">
      <w:pPr>
        <w:spacing w:line="480" w:lineRule="auto"/>
        <w:ind w:left="720" w:hanging="720"/>
        <w:rPr>
          <w:rFonts w:ascii="Times New Roman" w:hAnsi="Times New Roman" w:cs="Times New Roman"/>
          <w14:ligatures w14:val="none"/>
        </w:rPr>
      </w:pPr>
      <w:hyperlink r:id="rId34" w:history="1">
        <w:r w:rsidRPr="00FB4867">
          <w:rPr>
            <w:rFonts w:ascii="Times New Roman" w:hAnsi="Times New Roman" w:cs="Times New Roman"/>
            <w:color w:val="000000"/>
            <w14:ligatures w14:val="none"/>
          </w:rPr>
          <w:t xml:space="preserve">Barbarossa, V., Schmitt, R. J. P., Huijbregts, M. A. J., Zarfl, C., King, H., &amp; Schipper, A. M. (2020). Impacts of current and future large dams on the geographic range connectivity of freshwater fish worldwide. </w:t>
        </w:r>
        <w:r w:rsidRPr="00FB4867">
          <w:rPr>
            <w:rFonts w:ascii="Times New Roman" w:hAnsi="Times New Roman" w:cs="Times New Roman"/>
            <w:i/>
            <w:iCs/>
            <w:color w:val="000000"/>
            <w14:ligatures w14:val="none"/>
          </w:rPr>
          <w:t>Proceedings of the National Academy of Sciences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117</w:t>
        </w:r>
        <w:r w:rsidRPr="00FB4867">
          <w:rPr>
            <w:rFonts w:ascii="Times New Roman" w:hAnsi="Times New Roman" w:cs="Times New Roman"/>
            <w:color w:val="000000"/>
            <w14:ligatures w14:val="none"/>
          </w:rPr>
          <w:t>(7), 3648–3655. https://doi.org/10.1073/pnas.1912776117 </w:t>
        </w:r>
      </w:hyperlink>
    </w:p>
    <w:p w14:paraId="590D2FF5" w14:textId="77777777" w:rsidR="00FB4867" w:rsidRPr="00FB4867" w:rsidRDefault="00FB4867" w:rsidP="002C0BB1">
      <w:pPr>
        <w:spacing w:line="480" w:lineRule="auto"/>
        <w:ind w:left="720" w:hanging="720"/>
        <w:rPr>
          <w:rFonts w:ascii="Times New Roman" w:hAnsi="Times New Roman" w:cs="Times New Roman"/>
          <w14:ligatures w14:val="none"/>
        </w:rPr>
      </w:pPr>
      <w:hyperlink r:id="rId35" w:history="1">
        <w:r w:rsidRPr="00FB4867">
          <w:rPr>
            <w:rFonts w:ascii="Times New Roman" w:hAnsi="Times New Roman" w:cs="Times New Roman"/>
            <w:color w:val="000000"/>
            <w14:ligatures w14:val="none"/>
          </w:rPr>
          <w:t xml:space="preserve">Barnes, M. A., &amp; Turner, C. R. (2016). The ecology of environmental DNA and implications for conservation genetics. </w:t>
        </w:r>
        <w:r w:rsidRPr="00FB4867">
          <w:rPr>
            <w:rFonts w:ascii="Times New Roman" w:hAnsi="Times New Roman" w:cs="Times New Roman"/>
            <w:i/>
            <w:iCs/>
            <w:color w:val="000000"/>
            <w14:ligatures w14:val="none"/>
          </w:rPr>
          <w:t>Conservation Genetics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17</w:t>
        </w:r>
        <w:r w:rsidRPr="00FB4867">
          <w:rPr>
            <w:rFonts w:ascii="Times New Roman" w:hAnsi="Times New Roman" w:cs="Times New Roman"/>
            <w:color w:val="000000"/>
            <w14:ligatures w14:val="none"/>
          </w:rPr>
          <w:t>(1), 1–17. https://doi.org/10.1007/s10592-015-0775-4 </w:t>
        </w:r>
      </w:hyperlink>
    </w:p>
    <w:p w14:paraId="69F5AACF" w14:textId="77777777" w:rsidR="00FB4867" w:rsidRPr="00FB4867" w:rsidRDefault="00FB4867" w:rsidP="002C0BB1">
      <w:pPr>
        <w:spacing w:line="480" w:lineRule="auto"/>
        <w:ind w:left="720" w:hanging="720"/>
        <w:rPr>
          <w:rFonts w:ascii="Times New Roman" w:hAnsi="Times New Roman" w:cs="Times New Roman"/>
          <w14:ligatures w14:val="none"/>
        </w:rPr>
      </w:pPr>
      <w:hyperlink r:id="rId36" w:history="1">
        <w:r w:rsidRPr="00FB4867">
          <w:rPr>
            <w:rFonts w:ascii="Times New Roman" w:hAnsi="Times New Roman" w:cs="Times New Roman"/>
            <w:color w:val="000000"/>
            <w14:ligatures w14:val="none"/>
          </w:rPr>
          <w:t xml:space="preserve">Barnes, M. A., Turner, C. R., Jerde, C. L., Renshaw, M. A., Chadderton, W. L., &amp; Lodge, D. M. (2014). Environmental Conditions Influence eDNA Persistence in Aquatic Systems. </w:t>
        </w:r>
        <w:r w:rsidRPr="00FB4867">
          <w:rPr>
            <w:rFonts w:ascii="Times New Roman" w:hAnsi="Times New Roman" w:cs="Times New Roman"/>
            <w:i/>
            <w:iCs/>
            <w:color w:val="000000"/>
            <w14:ligatures w14:val="none"/>
          </w:rPr>
          <w:t>Environmental Science &amp; Technology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48</w:t>
        </w:r>
        <w:r w:rsidRPr="00FB4867">
          <w:rPr>
            <w:rFonts w:ascii="Times New Roman" w:hAnsi="Times New Roman" w:cs="Times New Roman"/>
            <w:color w:val="000000"/>
            <w14:ligatures w14:val="none"/>
          </w:rPr>
          <w:t>(3), 1819–1827. https://doi.org/10.1021/es404734p </w:t>
        </w:r>
      </w:hyperlink>
    </w:p>
    <w:p w14:paraId="10A6BB1E" w14:textId="77777777" w:rsidR="00FB4867" w:rsidRPr="00FB4867" w:rsidRDefault="00FB4867" w:rsidP="002C0BB1">
      <w:pPr>
        <w:spacing w:line="480" w:lineRule="auto"/>
        <w:ind w:left="720" w:hanging="720"/>
        <w:rPr>
          <w:rFonts w:ascii="Times New Roman" w:hAnsi="Times New Roman" w:cs="Times New Roman"/>
          <w14:ligatures w14:val="none"/>
        </w:rPr>
      </w:pPr>
      <w:hyperlink r:id="rId37" w:history="1">
        <w:r w:rsidRPr="00FB4867">
          <w:rPr>
            <w:rFonts w:ascii="Times New Roman" w:hAnsi="Times New Roman" w:cs="Times New Roman"/>
            <w:color w:val="000000"/>
            <w14:ligatures w14:val="none"/>
          </w:rPr>
          <w:t xml:space="preserve">Beng, K. C., &amp; Corlett, R. T. (2020). Applications of environmental DNA (eDNA) in ecology and conservation: Opportunities, challenges and prospects. </w:t>
        </w:r>
        <w:r w:rsidRPr="00FB4867">
          <w:rPr>
            <w:rFonts w:ascii="Times New Roman" w:hAnsi="Times New Roman" w:cs="Times New Roman"/>
            <w:i/>
            <w:iCs/>
            <w:color w:val="000000"/>
            <w14:ligatures w14:val="none"/>
          </w:rPr>
          <w:t>Biodiversity and Conservation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29</w:t>
        </w:r>
        <w:r w:rsidRPr="00FB4867">
          <w:rPr>
            <w:rFonts w:ascii="Times New Roman" w:hAnsi="Times New Roman" w:cs="Times New Roman"/>
            <w:color w:val="000000"/>
            <w14:ligatures w14:val="none"/>
          </w:rPr>
          <w:t>(7), 2089–2121. https://doi.org/10.1007/s10531-020-01980-0 </w:t>
        </w:r>
      </w:hyperlink>
    </w:p>
    <w:p w14:paraId="6765214C" w14:textId="77777777" w:rsidR="00FB4867" w:rsidRPr="00FB4867" w:rsidRDefault="00FB4867" w:rsidP="002C0BB1">
      <w:pPr>
        <w:spacing w:line="480" w:lineRule="auto"/>
        <w:ind w:left="720" w:hanging="720"/>
        <w:rPr>
          <w:rFonts w:ascii="Times New Roman" w:hAnsi="Times New Roman" w:cs="Times New Roman"/>
          <w14:ligatures w14:val="none"/>
        </w:rPr>
      </w:pPr>
      <w:hyperlink r:id="rId38" w:history="1">
        <w:r w:rsidRPr="00FB4867">
          <w:rPr>
            <w:rFonts w:ascii="Times New Roman" w:hAnsi="Times New Roman" w:cs="Times New Roman"/>
            <w:color w:val="000000"/>
            <w14:ligatures w14:val="none"/>
          </w:rPr>
          <w:t xml:space="preserve">Bizic, M., Ionescu, D., Karnatak, R., Musseau, C. L., Onandia, G., Berger, S. A., Nejstgaard, J. C., Lischeid, G., Gessner, M. O., Wollrab, S., &amp; Grossart, H. (2022). Land‐use type temporarily affects active pond community structure but not gene expression patterns.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31</w:t>
        </w:r>
        <w:r w:rsidRPr="00FB4867">
          <w:rPr>
            <w:rFonts w:ascii="Times New Roman" w:hAnsi="Times New Roman" w:cs="Times New Roman"/>
            <w:color w:val="000000"/>
            <w14:ligatures w14:val="none"/>
          </w:rPr>
          <w:t>(6), 1716–1734. https://doi.org/10.1111/mec.16348 </w:t>
        </w:r>
      </w:hyperlink>
    </w:p>
    <w:p w14:paraId="2DBB51AD" w14:textId="77777777" w:rsidR="00FB4867" w:rsidRPr="00FB4867" w:rsidRDefault="00FB4867" w:rsidP="002C0BB1">
      <w:pPr>
        <w:spacing w:line="480" w:lineRule="auto"/>
        <w:ind w:left="720" w:hanging="720"/>
        <w:rPr>
          <w:rFonts w:ascii="Times New Roman" w:hAnsi="Times New Roman" w:cs="Times New Roman"/>
          <w14:ligatures w14:val="none"/>
        </w:rPr>
      </w:pPr>
      <w:hyperlink r:id="rId39" w:history="1">
        <w:r w:rsidRPr="00FB4867">
          <w:rPr>
            <w:rFonts w:ascii="Times New Roman" w:hAnsi="Times New Roman" w:cs="Times New Roman"/>
            <w:color w:val="000000"/>
            <w14:ligatures w14:val="none"/>
          </w:rPr>
          <w:t xml:space="preserve">Bodinof Jachowski, C., Ross, B., &amp; Hopkins, W. (2020). Evaluating artificial shelter arrays as a minimally invasive monitoring tool for the hellbender Cryptobranchus alleganiensis. </w:t>
        </w:r>
        <w:r w:rsidRPr="00FB4867">
          <w:rPr>
            <w:rFonts w:ascii="Times New Roman" w:hAnsi="Times New Roman" w:cs="Times New Roman"/>
            <w:i/>
            <w:iCs/>
            <w:color w:val="000000"/>
            <w14:ligatures w14:val="none"/>
          </w:rPr>
          <w:t>Endangered Species Research</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41</w:t>
        </w:r>
        <w:r w:rsidRPr="00FB4867">
          <w:rPr>
            <w:rFonts w:ascii="Times New Roman" w:hAnsi="Times New Roman" w:cs="Times New Roman"/>
            <w:color w:val="000000"/>
            <w14:ligatures w14:val="none"/>
          </w:rPr>
          <w:t>, 167–181. https://doi.org/10.3354/esr01014 </w:t>
        </w:r>
      </w:hyperlink>
    </w:p>
    <w:p w14:paraId="0639375D" w14:textId="77777777" w:rsidR="00FB4867" w:rsidRPr="00FB4867" w:rsidRDefault="00FB4867" w:rsidP="002C0BB1">
      <w:pPr>
        <w:spacing w:line="480" w:lineRule="auto"/>
        <w:ind w:left="720" w:hanging="720"/>
        <w:rPr>
          <w:rFonts w:ascii="Times New Roman" w:hAnsi="Times New Roman" w:cs="Times New Roman"/>
          <w14:ligatures w14:val="none"/>
        </w:rPr>
      </w:pPr>
      <w:hyperlink r:id="rId40" w:history="1">
        <w:r w:rsidRPr="00FB4867">
          <w:rPr>
            <w:rFonts w:ascii="Times New Roman" w:hAnsi="Times New Roman" w:cs="Times New Roman"/>
            <w:color w:val="000000"/>
            <w14:ligatures w14:val="none"/>
          </w:rPr>
          <w:t xml:space="preserve">Bogan, A. E. (1993). Freshwater Bivalve Extinctions (Mollusca: Unionoida): A Search for Causes1. </w:t>
        </w:r>
        <w:r w:rsidRPr="00FB4867">
          <w:rPr>
            <w:rFonts w:ascii="Times New Roman" w:hAnsi="Times New Roman" w:cs="Times New Roman"/>
            <w:i/>
            <w:iCs/>
            <w:color w:val="000000"/>
            <w14:ligatures w14:val="none"/>
          </w:rPr>
          <w:t>American Zoologist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33</w:t>
        </w:r>
        <w:r w:rsidRPr="00FB4867">
          <w:rPr>
            <w:rFonts w:ascii="Times New Roman" w:hAnsi="Times New Roman" w:cs="Times New Roman"/>
            <w:color w:val="000000"/>
            <w14:ligatures w14:val="none"/>
          </w:rPr>
          <w:t>(6), 599–609. https://doi.org/10.1093/icb/33.6.599 </w:t>
        </w:r>
      </w:hyperlink>
    </w:p>
    <w:p w14:paraId="5C0D9245" w14:textId="77777777" w:rsidR="00FB4867" w:rsidRPr="00FB4867" w:rsidRDefault="00FB4867" w:rsidP="002C0BB1">
      <w:pPr>
        <w:spacing w:line="480" w:lineRule="auto"/>
        <w:ind w:left="720" w:hanging="720"/>
        <w:rPr>
          <w:rFonts w:ascii="Times New Roman" w:hAnsi="Times New Roman" w:cs="Times New Roman"/>
          <w14:ligatures w14:val="none"/>
        </w:rPr>
      </w:pPr>
      <w:hyperlink r:id="rId41" w:history="1">
        <w:r w:rsidRPr="00FB4867">
          <w:rPr>
            <w:rFonts w:ascii="Times New Roman" w:hAnsi="Times New Roman" w:cs="Times New Roman"/>
            <w:color w:val="000000"/>
            <w14:ligatures w14:val="none"/>
          </w:rPr>
          <w:t xml:space="preserve">Bogdanov, D., Farfan, J., Sadovskaia, K., Aghahosseini, A., Child, M., Gulagi, A., Oyewo, A. S., de Souza Noel Simas Barbosa, L., &amp; Breyer, C. (2019). Radical transformation pathway towards sustainable electricity via evolutionary steps. </w:t>
        </w:r>
        <w:r w:rsidRPr="00FB4867">
          <w:rPr>
            <w:rFonts w:ascii="Times New Roman" w:hAnsi="Times New Roman" w:cs="Times New Roman"/>
            <w:i/>
            <w:iCs/>
            <w:color w:val="000000"/>
            <w14:ligatures w14:val="none"/>
          </w:rPr>
          <w:t>Nature Communications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10</w:t>
        </w:r>
        <w:r w:rsidRPr="00FB4867">
          <w:rPr>
            <w:rFonts w:ascii="Times New Roman" w:hAnsi="Times New Roman" w:cs="Times New Roman"/>
            <w:color w:val="000000"/>
            <w14:ligatures w14:val="none"/>
          </w:rPr>
          <w:t>(1), 1077. https://doi.org/10.1038/s41467-019-08855-1 </w:t>
        </w:r>
      </w:hyperlink>
    </w:p>
    <w:p w14:paraId="0FB156B5" w14:textId="77777777" w:rsidR="00FB4867" w:rsidRPr="00FB4867" w:rsidRDefault="00FB4867" w:rsidP="002C0BB1">
      <w:pPr>
        <w:spacing w:line="480" w:lineRule="auto"/>
        <w:ind w:left="720" w:hanging="720"/>
        <w:rPr>
          <w:rFonts w:ascii="Times New Roman" w:hAnsi="Times New Roman" w:cs="Times New Roman"/>
          <w14:ligatures w14:val="none"/>
        </w:rPr>
      </w:pPr>
      <w:hyperlink r:id="rId42" w:history="1">
        <w:r w:rsidRPr="00FB4867">
          <w:rPr>
            <w:rFonts w:ascii="Times New Roman" w:hAnsi="Times New Roman" w:cs="Times New Roman"/>
            <w:color w:val="000000"/>
            <w14:ligatures w14:val="none"/>
          </w:rPr>
          <w:t xml:space="preserve">Bohmann, K., Evans, A., Gilbert, M. T. P., Carvalho, G. R., Creer, S., Knapp, M., Yu, D. W., &amp; de Bruyn, M. (2014). Environmental DNA for wildlife biology and biodiversity monitoring. </w:t>
        </w:r>
        <w:r w:rsidRPr="00FB4867">
          <w:rPr>
            <w:rFonts w:ascii="Times New Roman" w:hAnsi="Times New Roman" w:cs="Times New Roman"/>
            <w:i/>
            <w:iCs/>
            <w:color w:val="000000"/>
            <w14:ligatures w14:val="none"/>
          </w:rPr>
          <w:t>Trends in Ecology &amp;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29</w:t>
        </w:r>
        <w:r w:rsidRPr="00FB4867">
          <w:rPr>
            <w:rFonts w:ascii="Times New Roman" w:hAnsi="Times New Roman" w:cs="Times New Roman"/>
            <w:color w:val="000000"/>
            <w14:ligatures w14:val="none"/>
          </w:rPr>
          <w:t>(6), 358–367. https://doi.org/10.1016/j.tree.2014.04.003 </w:t>
        </w:r>
      </w:hyperlink>
    </w:p>
    <w:p w14:paraId="215817FA" w14:textId="77777777" w:rsidR="00FB4867" w:rsidRPr="00FB4867" w:rsidRDefault="00FB4867" w:rsidP="002C0BB1">
      <w:pPr>
        <w:spacing w:line="480" w:lineRule="auto"/>
        <w:ind w:left="720" w:hanging="720"/>
        <w:rPr>
          <w:rFonts w:ascii="Times New Roman" w:hAnsi="Times New Roman" w:cs="Times New Roman"/>
          <w14:ligatures w14:val="none"/>
        </w:rPr>
      </w:pPr>
      <w:hyperlink r:id="rId43" w:history="1">
        <w:r w:rsidRPr="00FB4867">
          <w:rPr>
            <w:rFonts w:ascii="Times New Roman" w:hAnsi="Times New Roman" w:cs="Times New Roman"/>
            <w:color w:val="000000"/>
            <w14:ligatures w14:val="none"/>
          </w:rPr>
          <w:t xml:space="preserve">Boivin-Delisle, D., Laporte, M., Burton, F., Dion, R., Normandeau, E., &amp; Bernatchez, L. (2021). Using environmental DNA for biomonitoring of freshwater fish communities: Comparison with established gillnet surveys in a boreal hydroelectric impoundment.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w:t>
        </w:r>
        <w:r w:rsidRPr="00FB4867">
          <w:rPr>
            <w:rFonts w:ascii="Times New Roman" w:hAnsi="Times New Roman" w:cs="Times New Roman"/>
            <w:color w:val="000000"/>
            <w14:ligatures w14:val="none"/>
          </w:rPr>
          <w:t>(1), 105–120. https://doi.org/10.1002/edn3.135 </w:t>
        </w:r>
      </w:hyperlink>
    </w:p>
    <w:p w14:paraId="4B9C8A77" w14:textId="77777777" w:rsidR="00FB4867" w:rsidRPr="00FB4867" w:rsidRDefault="00FB4867" w:rsidP="002C0BB1">
      <w:pPr>
        <w:spacing w:line="480" w:lineRule="auto"/>
        <w:ind w:left="720" w:hanging="720"/>
        <w:rPr>
          <w:rFonts w:ascii="Times New Roman" w:hAnsi="Times New Roman" w:cs="Times New Roman"/>
          <w14:ligatures w14:val="none"/>
        </w:rPr>
      </w:pPr>
      <w:hyperlink r:id="rId44" w:history="1">
        <w:r w:rsidRPr="00FB4867">
          <w:rPr>
            <w:rFonts w:ascii="Times New Roman" w:hAnsi="Times New Roman" w:cs="Times New Roman"/>
            <w:color w:val="000000"/>
            <w14:ligatures w14:val="none"/>
          </w:rPr>
          <w:t xml:space="preserve">Bolger, A. M., Lohse, M., &amp; Usadel, B. (2014). Trimmomatic: A flexible trimmer for Illumina sequence data. </w:t>
        </w:r>
        <w:r w:rsidRPr="00FB4867">
          <w:rPr>
            <w:rFonts w:ascii="Times New Roman" w:hAnsi="Times New Roman" w:cs="Times New Roman"/>
            <w:i/>
            <w:iCs/>
            <w:color w:val="000000"/>
            <w14:ligatures w14:val="none"/>
          </w:rPr>
          <w:t>Bioinformatics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30</w:t>
        </w:r>
        <w:r w:rsidRPr="00FB4867">
          <w:rPr>
            <w:rFonts w:ascii="Times New Roman" w:hAnsi="Times New Roman" w:cs="Times New Roman"/>
            <w:color w:val="000000"/>
            <w14:ligatures w14:val="none"/>
          </w:rPr>
          <w:t>(15), 2114–2120. https://doi.org/10.1093/bioinformatics/btu170 </w:t>
        </w:r>
      </w:hyperlink>
    </w:p>
    <w:p w14:paraId="4F78DD5B" w14:textId="77777777" w:rsidR="00FB4867" w:rsidRPr="00FB4867" w:rsidRDefault="00FB4867" w:rsidP="002C0BB1">
      <w:pPr>
        <w:spacing w:line="480" w:lineRule="auto"/>
        <w:ind w:left="720" w:hanging="720"/>
        <w:rPr>
          <w:rFonts w:ascii="Times New Roman" w:hAnsi="Times New Roman" w:cs="Times New Roman"/>
          <w14:ligatures w14:val="none"/>
        </w:rPr>
      </w:pPr>
      <w:hyperlink r:id="rId45" w:history="1">
        <w:r w:rsidRPr="00FB4867">
          <w:rPr>
            <w:rFonts w:ascii="Times New Roman" w:hAnsi="Times New Roman" w:cs="Times New Roman"/>
            <w:color w:val="000000"/>
            <w14:ligatures w14:val="none"/>
          </w:rPr>
          <w:t xml:space="preserve">Bonar, S. A., Hubert, W. A., &amp; Willis, D. W. (2009). </w:t>
        </w:r>
        <w:r w:rsidRPr="00FB4867">
          <w:rPr>
            <w:rFonts w:ascii="Times New Roman" w:hAnsi="Times New Roman" w:cs="Times New Roman"/>
            <w:i/>
            <w:iCs/>
            <w:color w:val="000000"/>
            <w14:ligatures w14:val="none"/>
          </w:rPr>
          <w:t>Standard methods for sampling North American freshwater fishes</w:t>
        </w:r>
        <w:r w:rsidRPr="00FB4867">
          <w:rPr>
            <w:rFonts w:ascii="Times New Roman" w:hAnsi="Times New Roman" w:cs="Times New Roman"/>
            <w:color w:val="000000"/>
            <w14:ligatures w14:val="none"/>
          </w:rPr>
          <w:t>. </w:t>
        </w:r>
      </w:hyperlink>
    </w:p>
    <w:p w14:paraId="6AD0DC00" w14:textId="77777777" w:rsidR="00FB4867" w:rsidRPr="00FB4867" w:rsidRDefault="00FB4867" w:rsidP="002C0BB1">
      <w:pPr>
        <w:spacing w:line="480" w:lineRule="auto"/>
        <w:ind w:left="720" w:hanging="720"/>
        <w:rPr>
          <w:rFonts w:ascii="Times New Roman" w:hAnsi="Times New Roman" w:cs="Times New Roman"/>
          <w14:ligatures w14:val="none"/>
        </w:rPr>
      </w:pPr>
      <w:hyperlink r:id="rId46" w:history="1">
        <w:r w:rsidRPr="00FB4867">
          <w:rPr>
            <w:rFonts w:ascii="Times New Roman" w:hAnsi="Times New Roman" w:cs="Times New Roman"/>
            <w:color w:val="000000"/>
            <w14:ligatures w14:val="none"/>
          </w:rPr>
          <w:t xml:space="preserve">Brandão-Dias, P. F., Shaffer, M., Guri, G., Parsons, K. M., Kelly, R. P., &amp; Allan, E. A. (2025). Differential decay of multiple environmental nucleic acid components. </w:t>
        </w:r>
        <w:r w:rsidRPr="00FB4867">
          <w:rPr>
            <w:rFonts w:ascii="Times New Roman" w:hAnsi="Times New Roman" w:cs="Times New Roman"/>
            <w:i/>
            <w:iCs/>
            <w:color w:val="000000"/>
            <w14:ligatures w14:val="none"/>
          </w:rPr>
          <w:t>Scientific Reports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15</w:t>
        </w:r>
        <w:r w:rsidRPr="00FB4867">
          <w:rPr>
            <w:rFonts w:ascii="Times New Roman" w:hAnsi="Times New Roman" w:cs="Times New Roman"/>
            <w:color w:val="000000"/>
            <w14:ligatures w14:val="none"/>
          </w:rPr>
          <w:t>(1), 26791. https://doi.org/10.1038/s41598-025-12916-5 </w:t>
        </w:r>
      </w:hyperlink>
    </w:p>
    <w:p w14:paraId="6994D413" w14:textId="77777777" w:rsidR="00FB4867" w:rsidRPr="00FB4867" w:rsidRDefault="00FB4867" w:rsidP="002C0BB1">
      <w:pPr>
        <w:spacing w:line="480" w:lineRule="auto"/>
        <w:ind w:left="720" w:hanging="720"/>
        <w:rPr>
          <w:rFonts w:ascii="Times New Roman" w:hAnsi="Times New Roman" w:cs="Times New Roman"/>
          <w14:ligatures w14:val="none"/>
        </w:rPr>
      </w:pPr>
      <w:hyperlink r:id="rId47" w:history="1">
        <w:r w:rsidRPr="00FB4867">
          <w:rPr>
            <w:rFonts w:ascii="Times New Roman" w:hAnsi="Times New Roman" w:cs="Times New Roman"/>
            <w:color w:val="000000"/>
            <w14:ligatures w14:val="none"/>
          </w:rPr>
          <w:t xml:space="preserve">Bunholi, I. V., Foster, N. R., &amp; Casey, J. M. (2023). Environmental DNA and RNA in aquatic community ecology: Toward methodological standardization.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w:t>
        </w:r>
        <w:r w:rsidRPr="00FB4867">
          <w:rPr>
            <w:rFonts w:ascii="Times New Roman" w:hAnsi="Times New Roman" w:cs="Times New Roman"/>
            <w:color w:val="000000"/>
            <w14:ligatures w14:val="none"/>
          </w:rPr>
          <w:t>(6), 1133–1147. https://doi.org/10.1002/edn3.476 </w:t>
        </w:r>
      </w:hyperlink>
    </w:p>
    <w:p w14:paraId="0D98C249" w14:textId="77777777" w:rsidR="00FB4867" w:rsidRPr="00FB4867" w:rsidRDefault="00FB4867" w:rsidP="002C0BB1">
      <w:pPr>
        <w:spacing w:line="480" w:lineRule="auto"/>
        <w:ind w:left="720" w:hanging="720"/>
        <w:rPr>
          <w:rFonts w:ascii="Times New Roman" w:hAnsi="Times New Roman" w:cs="Times New Roman"/>
          <w14:ligatures w14:val="none"/>
        </w:rPr>
      </w:pPr>
      <w:hyperlink r:id="rId48" w:history="1">
        <w:r w:rsidRPr="00FB4867">
          <w:rPr>
            <w:rFonts w:ascii="Times New Roman" w:hAnsi="Times New Roman" w:cs="Times New Roman"/>
            <w:color w:val="000000"/>
            <w14:ligatures w14:val="none"/>
          </w:rPr>
          <w:t xml:space="preserve">Bylemans, J., Gleeson, D. M., Lintermans, M., Hardy, C. M., Beitzel, M., Gilligan, D. M., &amp; Furlan, E. M. (2018). Monitoring riverine fish communities through eDNA metabarcoding: Determining optimal sampling strategies along an altitudinal and biodiversity gradient. </w:t>
        </w:r>
        <w:r w:rsidRPr="00FB4867">
          <w:rPr>
            <w:rFonts w:ascii="Times New Roman" w:hAnsi="Times New Roman" w:cs="Times New Roman"/>
            <w:i/>
            <w:iCs/>
            <w:color w:val="000000"/>
            <w14:ligatures w14:val="none"/>
          </w:rPr>
          <w:t>Metabarcoding and Metagenomics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w:t>
        </w:r>
        <w:r w:rsidRPr="00FB4867">
          <w:rPr>
            <w:rFonts w:ascii="Times New Roman" w:hAnsi="Times New Roman" w:cs="Times New Roman"/>
            <w:color w:val="000000"/>
            <w14:ligatures w14:val="none"/>
          </w:rPr>
          <w:t>, e30457. https://doi.org/10.3897/mbmg.2.30457 </w:t>
        </w:r>
      </w:hyperlink>
    </w:p>
    <w:p w14:paraId="386214C8" w14:textId="77777777" w:rsidR="00FB4867" w:rsidRPr="00FB4867" w:rsidRDefault="00FB4867" w:rsidP="002C0BB1">
      <w:pPr>
        <w:spacing w:line="480" w:lineRule="auto"/>
        <w:ind w:left="720" w:hanging="720"/>
        <w:rPr>
          <w:rFonts w:ascii="Times New Roman" w:hAnsi="Times New Roman" w:cs="Times New Roman"/>
          <w14:ligatures w14:val="none"/>
        </w:rPr>
      </w:pPr>
      <w:hyperlink r:id="rId49" w:history="1">
        <w:r w:rsidRPr="00FB4867">
          <w:rPr>
            <w:rFonts w:ascii="Times New Roman" w:hAnsi="Times New Roman" w:cs="Times New Roman"/>
            <w:color w:val="000000"/>
            <w14:ligatures w14:val="none"/>
          </w:rPr>
          <w:t xml:space="preserve">Chen, H., &amp; Boutros, P. C. (2011). VennDiagram: A package for the generation of highly-customizable Venn and Euler diagrams in R. </w:t>
        </w:r>
        <w:r w:rsidRPr="00FB4867">
          <w:rPr>
            <w:rFonts w:ascii="Times New Roman" w:hAnsi="Times New Roman" w:cs="Times New Roman"/>
            <w:i/>
            <w:iCs/>
            <w:color w:val="000000"/>
            <w14:ligatures w14:val="none"/>
          </w:rPr>
          <w:t>BMC Bioinformatics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12</w:t>
        </w:r>
        <w:r w:rsidRPr="00FB4867">
          <w:rPr>
            <w:rFonts w:ascii="Times New Roman" w:hAnsi="Times New Roman" w:cs="Times New Roman"/>
            <w:color w:val="000000"/>
            <w14:ligatures w14:val="none"/>
          </w:rPr>
          <w:t>(1), 35. https://doi.org/10.1186/1471-2105-12-35 </w:t>
        </w:r>
      </w:hyperlink>
    </w:p>
    <w:p w14:paraId="25C40138" w14:textId="77777777" w:rsidR="00FB4867" w:rsidRPr="00FB4867" w:rsidRDefault="00FB4867" w:rsidP="002C0BB1">
      <w:pPr>
        <w:spacing w:line="480" w:lineRule="auto"/>
        <w:ind w:left="720" w:hanging="720"/>
        <w:rPr>
          <w:rFonts w:ascii="Times New Roman" w:hAnsi="Times New Roman" w:cs="Times New Roman"/>
          <w14:ligatures w14:val="none"/>
        </w:rPr>
      </w:pPr>
      <w:hyperlink r:id="rId50" w:history="1">
        <w:r w:rsidRPr="00FB4867">
          <w:rPr>
            <w:rFonts w:ascii="Times New Roman" w:hAnsi="Times New Roman" w:cs="Times New Roman"/>
            <w:color w:val="000000"/>
            <w14:ligatures w14:val="none"/>
          </w:rPr>
          <w:t xml:space="preserve">Chen, Q., Li, Q., Lin, Y., Zhang, J., Xia, J., Ni, J., Cooke, S. J., Best, J., He, S., Feng, T., Chen, Y., Tonina, D., Benjankar, R., Birk, S., Fleischmann, A. S., Yan, H., &amp; Tang, L. (2023). River Damming Impacts on Fish Habitat and Associated </w:t>
        </w:r>
        <w:r w:rsidRPr="00FB4867">
          <w:rPr>
            <w:rFonts w:ascii="Times New Roman" w:hAnsi="Times New Roman" w:cs="Times New Roman"/>
            <w:color w:val="000000"/>
            <w14:ligatures w14:val="none"/>
          </w:rPr>
          <w:lastRenderedPageBreak/>
          <w:t xml:space="preserve">Conservation Measures. </w:t>
        </w:r>
        <w:r w:rsidRPr="00FB4867">
          <w:rPr>
            <w:rFonts w:ascii="Times New Roman" w:hAnsi="Times New Roman" w:cs="Times New Roman"/>
            <w:i/>
            <w:iCs/>
            <w:color w:val="000000"/>
            <w14:ligatures w14:val="none"/>
          </w:rPr>
          <w:t>Reviews of Geophysics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61</w:t>
        </w:r>
        <w:r w:rsidRPr="00FB4867">
          <w:rPr>
            <w:rFonts w:ascii="Times New Roman" w:hAnsi="Times New Roman" w:cs="Times New Roman"/>
            <w:color w:val="000000"/>
            <w14:ligatures w14:val="none"/>
          </w:rPr>
          <w:t>(4), e2023RG000819. https://doi.org/10.1029/2023RG000819 </w:t>
        </w:r>
      </w:hyperlink>
    </w:p>
    <w:p w14:paraId="6B6F7C89" w14:textId="77777777" w:rsidR="00FB4867" w:rsidRPr="00FB4867" w:rsidRDefault="00FB4867" w:rsidP="002C0BB1">
      <w:pPr>
        <w:spacing w:line="480" w:lineRule="auto"/>
        <w:ind w:left="720" w:hanging="720"/>
        <w:rPr>
          <w:rFonts w:ascii="Times New Roman" w:hAnsi="Times New Roman" w:cs="Times New Roman"/>
          <w14:ligatures w14:val="none"/>
        </w:rPr>
      </w:pPr>
      <w:hyperlink r:id="rId51" w:history="1">
        <w:r w:rsidRPr="00FB4867">
          <w:rPr>
            <w:rFonts w:ascii="Times New Roman" w:hAnsi="Times New Roman" w:cs="Times New Roman"/>
            <w:color w:val="000000"/>
            <w14:ligatures w14:val="none"/>
          </w:rPr>
          <w:t xml:space="preserve">Cilleros, K., Valentini, A., Allard, L., Dejean, T., Etienne, R., Grenouillet, G., Iribar, A., Taberlet, P., Vigouroux, R., &amp; Brosse, S. (2019). Unlocking biodiversity and conservation studies in high-diversity environments using environmental DNA (eDNA): A test with Guianese freshwater fishes. </w:t>
        </w:r>
        <w:r w:rsidRPr="00FB4867">
          <w:rPr>
            <w:rFonts w:ascii="Times New Roman" w:hAnsi="Times New Roman" w:cs="Times New Roman"/>
            <w:i/>
            <w:iCs/>
            <w:color w:val="000000"/>
            <w14:ligatures w14:val="none"/>
          </w:rPr>
          <w:t>Molecular Ecology Resources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19</w:t>
        </w:r>
        <w:r w:rsidRPr="00FB4867">
          <w:rPr>
            <w:rFonts w:ascii="Times New Roman" w:hAnsi="Times New Roman" w:cs="Times New Roman"/>
            <w:color w:val="000000"/>
            <w14:ligatures w14:val="none"/>
          </w:rPr>
          <w:t>(1), 27–46. https://doi.org/10.1111/1755-0998.12900 </w:t>
        </w:r>
      </w:hyperlink>
    </w:p>
    <w:p w14:paraId="2F0980A4" w14:textId="77777777" w:rsidR="00FB4867" w:rsidRPr="00FB4867" w:rsidRDefault="00FB4867" w:rsidP="002C0BB1">
      <w:pPr>
        <w:spacing w:line="480" w:lineRule="auto"/>
        <w:ind w:left="720" w:hanging="720"/>
        <w:rPr>
          <w:rFonts w:ascii="Times New Roman" w:hAnsi="Times New Roman" w:cs="Times New Roman"/>
          <w14:ligatures w14:val="none"/>
        </w:rPr>
      </w:pPr>
      <w:hyperlink r:id="rId52" w:history="1">
        <w:r w:rsidRPr="00FB4867">
          <w:rPr>
            <w:rFonts w:ascii="Times New Roman" w:hAnsi="Times New Roman" w:cs="Times New Roman"/>
            <w:color w:val="000000"/>
            <w14:ligatures w14:val="none"/>
          </w:rPr>
          <w:t xml:space="preserve">Coble, A. A., Flinders, C. A., Homyack, J. A., Penaluna, B. E., Cronn, R. C., &amp; Weitemier, K. (2019). eDNA as a tool for identifying freshwater species in sustainable forestry: A critical review and potential future applications. </w:t>
        </w:r>
        <w:r w:rsidRPr="00FB4867">
          <w:rPr>
            <w:rFonts w:ascii="Times New Roman" w:hAnsi="Times New Roman" w:cs="Times New Roman"/>
            <w:i/>
            <w:iCs/>
            <w:color w:val="000000"/>
            <w14:ligatures w14:val="none"/>
          </w:rPr>
          <w:t>Science of The Total Environment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649</w:t>
        </w:r>
        <w:r w:rsidRPr="00FB4867">
          <w:rPr>
            <w:rFonts w:ascii="Times New Roman" w:hAnsi="Times New Roman" w:cs="Times New Roman"/>
            <w:color w:val="000000"/>
            <w14:ligatures w14:val="none"/>
          </w:rPr>
          <w:t>, 1157–1170. https://doi.org/10.1016/j.scitotenv.2018.08.370 </w:t>
        </w:r>
      </w:hyperlink>
    </w:p>
    <w:p w14:paraId="1A98EA93" w14:textId="77777777" w:rsidR="00FB4867" w:rsidRPr="00FB4867" w:rsidRDefault="00FB4867" w:rsidP="002C0BB1">
      <w:pPr>
        <w:spacing w:line="480" w:lineRule="auto"/>
        <w:ind w:left="720" w:hanging="720"/>
        <w:rPr>
          <w:rFonts w:ascii="Times New Roman" w:hAnsi="Times New Roman" w:cs="Times New Roman"/>
          <w14:ligatures w14:val="none"/>
        </w:rPr>
      </w:pPr>
      <w:hyperlink r:id="rId53" w:history="1">
        <w:r w:rsidRPr="00FB4867">
          <w:rPr>
            <w:rFonts w:ascii="Times New Roman" w:hAnsi="Times New Roman" w:cs="Times New Roman"/>
            <w:color w:val="000000"/>
            <w14:ligatures w14:val="none"/>
          </w:rPr>
          <w:t xml:space="preserve">Collins, R. A., Bakker, J., Wangensteen, O. S., Soto, A. Z., Corrigan, L., Sims, D. W., Genner, M. J., &amp; Mariani, S. (2019). Non‐specific amplification compromises environmental DNA metabarcoding with COI. </w:t>
        </w:r>
        <w:r w:rsidRPr="00FB4867">
          <w:rPr>
            <w:rFonts w:ascii="Times New Roman" w:hAnsi="Times New Roman" w:cs="Times New Roman"/>
            <w:i/>
            <w:iCs/>
            <w:color w:val="000000"/>
            <w14:ligatures w14:val="none"/>
          </w:rPr>
          <w:t>Methods in Ecology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10</w:t>
        </w:r>
        <w:r w:rsidRPr="00FB4867">
          <w:rPr>
            <w:rFonts w:ascii="Times New Roman" w:hAnsi="Times New Roman" w:cs="Times New Roman"/>
            <w:color w:val="000000"/>
            <w14:ligatures w14:val="none"/>
          </w:rPr>
          <w:t>(11), 1985–2001. https://doi.org/10.1111/2041-210X.13276 </w:t>
        </w:r>
      </w:hyperlink>
    </w:p>
    <w:p w14:paraId="776BB874" w14:textId="77777777" w:rsidR="00FB4867" w:rsidRPr="00FB4867" w:rsidRDefault="00FB4867" w:rsidP="002C0BB1">
      <w:pPr>
        <w:spacing w:line="480" w:lineRule="auto"/>
        <w:ind w:left="720" w:hanging="720"/>
        <w:rPr>
          <w:rFonts w:ascii="Times New Roman" w:hAnsi="Times New Roman" w:cs="Times New Roman"/>
          <w14:ligatures w14:val="none"/>
        </w:rPr>
      </w:pPr>
      <w:hyperlink r:id="rId54" w:history="1">
        <w:r w:rsidRPr="00FB4867">
          <w:rPr>
            <w:rFonts w:ascii="Times New Roman" w:hAnsi="Times New Roman" w:cs="Times New Roman"/>
            <w:color w:val="000000"/>
            <w14:ligatures w14:val="none"/>
          </w:rPr>
          <w:t xml:space="preserve">Cordier, T., Alonso-Sáez, L., Apothéloz-Perret-Gentil, L., Aylagas, E., Bohan, D. A., Bouchez, A., Chariton, A., Creer, S., Frühe, L., Keck, F., Keeley, N., Laroche, O., Leese, F., Pochon, X., Stoeck, T., Pawlowski, J., &amp; Lanzén, A. (2021). Ecosystems monitoring powered by environmental genomics: A review of current strategies with an implementation roadmap.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30</w:t>
        </w:r>
        <w:r w:rsidRPr="00FB4867">
          <w:rPr>
            <w:rFonts w:ascii="Times New Roman" w:hAnsi="Times New Roman" w:cs="Times New Roman"/>
            <w:color w:val="000000"/>
            <w14:ligatures w14:val="none"/>
          </w:rPr>
          <w:t>(13), 2937–2958. https://doi.org/10.1111/mec.15472 </w:t>
        </w:r>
      </w:hyperlink>
    </w:p>
    <w:p w14:paraId="7A903D09" w14:textId="77777777" w:rsidR="00FB4867" w:rsidRPr="00FB4867" w:rsidRDefault="00FB4867" w:rsidP="002C0BB1">
      <w:pPr>
        <w:spacing w:line="480" w:lineRule="auto"/>
        <w:ind w:left="720" w:hanging="720"/>
        <w:rPr>
          <w:rFonts w:ascii="Times New Roman" w:hAnsi="Times New Roman" w:cs="Times New Roman"/>
          <w14:ligatures w14:val="none"/>
        </w:rPr>
      </w:pPr>
      <w:hyperlink r:id="rId55" w:history="1">
        <w:r w:rsidRPr="00FB4867">
          <w:rPr>
            <w:rFonts w:ascii="Times New Roman" w:hAnsi="Times New Roman" w:cs="Times New Roman"/>
            <w:color w:val="000000"/>
            <w14:ligatures w14:val="none"/>
          </w:rPr>
          <w:t xml:space="preserve">Corinaldesi, C., Beolchini, F., &amp; Dell’Anno, A. (2008). Damage and degradation rates of extracellular DNA in marine sediments: Implications for the preservation of gene sequences.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17</w:t>
        </w:r>
        <w:r w:rsidRPr="00FB4867">
          <w:rPr>
            <w:rFonts w:ascii="Times New Roman" w:hAnsi="Times New Roman" w:cs="Times New Roman"/>
            <w:color w:val="000000"/>
            <w14:ligatures w14:val="none"/>
          </w:rPr>
          <w:t>(17), 3939–3951. https://doi.org/10.1111/j.1365-294X.2008.03880.x </w:t>
        </w:r>
      </w:hyperlink>
    </w:p>
    <w:p w14:paraId="0A828F10" w14:textId="77777777" w:rsidR="00FB4867" w:rsidRPr="00FB4867" w:rsidRDefault="00FB4867" w:rsidP="002C0BB1">
      <w:pPr>
        <w:spacing w:line="480" w:lineRule="auto"/>
        <w:ind w:left="720" w:hanging="720"/>
        <w:rPr>
          <w:rFonts w:ascii="Times New Roman" w:hAnsi="Times New Roman" w:cs="Times New Roman"/>
          <w14:ligatures w14:val="none"/>
        </w:rPr>
      </w:pPr>
      <w:hyperlink r:id="rId56" w:history="1">
        <w:r w:rsidRPr="00FB4867">
          <w:rPr>
            <w:rFonts w:ascii="Times New Roman" w:hAnsi="Times New Roman" w:cs="Times New Roman"/>
            <w:color w:val="000000"/>
            <w14:ligatures w14:val="none"/>
          </w:rPr>
          <w:t xml:space="preserve">Creer, S., Enderby, P., Judge, S., &amp; John, A. (2016). Prevalence of people who could benefit from augmentative and alternative communication (AAC) in the UK: Determining the need. </w:t>
        </w:r>
        <w:r w:rsidRPr="00FB4867">
          <w:rPr>
            <w:rFonts w:ascii="Times New Roman" w:hAnsi="Times New Roman" w:cs="Times New Roman"/>
            <w:i/>
            <w:iCs/>
            <w:color w:val="000000"/>
            <w14:ligatures w14:val="none"/>
          </w:rPr>
          <w:t>International Journal of Language &amp; Communication Disorders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51</w:t>
        </w:r>
        <w:r w:rsidRPr="00FB4867">
          <w:rPr>
            <w:rFonts w:ascii="Times New Roman" w:hAnsi="Times New Roman" w:cs="Times New Roman"/>
            <w:color w:val="000000"/>
            <w14:ligatures w14:val="none"/>
          </w:rPr>
          <w:t>(6), 639–653. https://doi.org/10.1111/1460-6984.12235 </w:t>
        </w:r>
      </w:hyperlink>
    </w:p>
    <w:p w14:paraId="4DB717FA" w14:textId="77777777" w:rsidR="00FB4867" w:rsidRPr="00FB4867" w:rsidRDefault="00FB4867" w:rsidP="002C0BB1">
      <w:pPr>
        <w:spacing w:line="480" w:lineRule="auto"/>
        <w:ind w:left="720" w:hanging="720"/>
        <w:rPr>
          <w:rFonts w:ascii="Times New Roman" w:hAnsi="Times New Roman" w:cs="Times New Roman"/>
          <w14:ligatures w14:val="none"/>
        </w:rPr>
      </w:pPr>
      <w:hyperlink r:id="rId57" w:history="1">
        <w:r w:rsidRPr="00FB4867">
          <w:rPr>
            <w:rFonts w:ascii="Times New Roman" w:hAnsi="Times New Roman" w:cs="Times New Roman"/>
            <w:color w:val="000000"/>
            <w14:ligatures w14:val="none"/>
          </w:rPr>
          <w:t xml:space="preserve">Cressler, A. (2012). </w:t>
        </w:r>
        <w:r w:rsidRPr="00FB4867">
          <w:rPr>
            <w:rFonts w:ascii="Times New Roman" w:hAnsi="Times New Roman" w:cs="Times New Roman"/>
            <w:i/>
            <w:iCs/>
            <w:color w:val="000000"/>
            <w14:ligatures w14:val="none"/>
          </w:rPr>
          <w:t>Apalachia Powerhouse</w:t>
        </w:r>
        <w:r w:rsidRPr="00FB4867">
          <w:rPr>
            <w:rFonts w:ascii="Times New Roman" w:hAnsi="Times New Roman" w:cs="Times New Roman"/>
            <w:color w:val="000000"/>
            <w14:ligatures w14:val="none"/>
          </w:rPr>
          <w:t>. https://www.flickr.com/photos/alan_cressler/7532635950/player/db535b92c8 </w:t>
        </w:r>
      </w:hyperlink>
    </w:p>
    <w:p w14:paraId="041FB062" w14:textId="77777777" w:rsidR="00FB4867" w:rsidRPr="00FB4867" w:rsidRDefault="00FB4867" w:rsidP="002C0BB1">
      <w:pPr>
        <w:spacing w:line="480" w:lineRule="auto"/>
        <w:ind w:left="720" w:hanging="720"/>
        <w:rPr>
          <w:rFonts w:ascii="Times New Roman" w:hAnsi="Times New Roman" w:cs="Times New Roman"/>
          <w14:ligatures w14:val="none"/>
        </w:rPr>
      </w:pPr>
      <w:hyperlink r:id="rId58" w:history="1">
        <w:r w:rsidRPr="00FB4867">
          <w:rPr>
            <w:rFonts w:ascii="Times New Roman" w:hAnsi="Times New Roman" w:cs="Times New Roman"/>
            <w:color w:val="000000"/>
            <w14:ligatures w14:val="none"/>
          </w:rPr>
          <w:t xml:space="preserve">Cristescu, M. E. (2019). Can Environmental RNA Revolutionize Biodiversity Science? </w:t>
        </w:r>
        <w:r w:rsidRPr="00FB4867">
          <w:rPr>
            <w:rFonts w:ascii="Times New Roman" w:hAnsi="Times New Roman" w:cs="Times New Roman"/>
            <w:i/>
            <w:iCs/>
            <w:color w:val="000000"/>
            <w14:ligatures w14:val="none"/>
          </w:rPr>
          <w:t>Trends in Ecology &amp;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34</w:t>
        </w:r>
        <w:r w:rsidRPr="00FB4867">
          <w:rPr>
            <w:rFonts w:ascii="Times New Roman" w:hAnsi="Times New Roman" w:cs="Times New Roman"/>
            <w:color w:val="000000"/>
            <w14:ligatures w14:val="none"/>
          </w:rPr>
          <w:t>(8), 694–697. https://doi.org/10.1016/j.tree.2019.05.003 </w:t>
        </w:r>
      </w:hyperlink>
    </w:p>
    <w:p w14:paraId="4EBE5BEB" w14:textId="77777777" w:rsidR="00FB4867" w:rsidRPr="00FB4867" w:rsidRDefault="00FB4867" w:rsidP="002C0BB1">
      <w:pPr>
        <w:spacing w:line="480" w:lineRule="auto"/>
        <w:ind w:left="720" w:hanging="720"/>
        <w:rPr>
          <w:rFonts w:ascii="Times New Roman" w:hAnsi="Times New Roman" w:cs="Times New Roman"/>
          <w14:ligatures w14:val="none"/>
        </w:rPr>
      </w:pPr>
      <w:hyperlink r:id="rId59" w:history="1">
        <w:r w:rsidRPr="00FB4867">
          <w:rPr>
            <w:rFonts w:ascii="Times New Roman" w:hAnsi="Times New Roman" w:cs="Times New Roman"/>
            <w:color w:val="000000"/>
            <w14:ligatures w14:val="none"/>
          </w:rPr>
          <w:t xml:space="preserve">Cristescu, M. E., &amp; Hebert, P. D. N. (2018). Uses and Misuses of Environmental DNA in Biodiversity Science and Conservation. </w:t>
        </w:r>
        <w:r w:rsidRPr="00FB4867">
          <w:rPr>
            <w:rFonts w:ascii="Times New Roman" w:hAnsi="Times New Roman" w:cs="Times New Roman"/>
            <w:i/>
            <w:iCs/>
            <w:color w:val="000000"/>
            <w14:ligatures w14:val="none"/>
          </w:rPr>
          <w:t>Annual Review of Ecology, Evolution, and Systematics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49</w:t>
        </w:r>
        <w:r w:rsidRPr="00FB4867">
          <w:rPr>
            <w:rFonts w:ascii="Times New Roman" w:hAnsi="Times New Roman" w:cs="Times New Roman"/>
            <w:color w:val="000000"/>
            <w14:ligatures w14:val="none"/>
          </w:rPr>
          <w:t>(1), 209–230. https://doi.org/10.1146/annurev-ecolsys-110617-062306 </w:t>
        </w:r>
      </w:hyperlink>
    </w:p>
    <w:p w14:paraId="77D928AD" w14:textId="77777777" w:rsidR="00FB4867" w:rsidRPr="00FB4867" w:rsidRDefault="00FB4867" w:rsidP="002C0BB1">
      <w:pPr>
        <w:spacing w:line="480" w:lineRule="auto"/>
        <w:ind w:left="720" w:hanging="720"/>
        <w:rPr>
          <w:rFonts w:ascii="Times New Roman" w:hAnsi="Times New Roman" w:cs="Times New Roman"/>
          <w14:ligatures w14:val="none"/>
        </w:rPr>
      </w:pPr>
      <w:hyperlink r:id="rId60" w:history="1">
        <w:r w:rsidRPr="00FB4867">
          <w:rPr>
            <w:rFonts w:ascii="Times New Roman" w:hAnsi="Times New Roman" w:cs="Times New Roman"/>
            <w:color w:val="000000"/>
            <w14:ligatures w14:val="none"/>
          </w:rPr>
          <w:t xml:space="preserve">Darling, J. A., &amp; Mahon, A. R. (2011). From molecules to management: Adopting DNA-based methods for monitoring biological invasions in aquatic environments. </w:t>
        </w:r>
        <w:r w:rsidRPr="00FB4867">
          <w:rPr>
            <w:rFonts w:ascii="Times New Roman" w:hAnsi="Times New Roman" w:cs="Times New Roman"/>
            <w:i/>
            <w:iCs/>
            <w:color w:val="000000"/>
            <w14:ligatures w14:val="none"/>
          </w:rPr>
          <w:t>Environmental Research</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111</w:t>
        </w:r>
        <w:r w:rsidRPr="00FB4867">
          <w:rPr>
            <w:rFonts w:ascii="Times New Roman" w:hAnsi="Times New Roman" w:cs="Times New Roman"/>
            <w:color w:val="000000"/>
            <w14:ligatures w14:val="none"/>
          </w:rPr>
          <w:t>(7), 978–988. https://doi.org/10.1016/j.envres.2011.02.001 </w:t>
        </w:r>
      </w:hyperlink>
    </w:p>
    <w:p w14:paraId="60FA5AAC" w14:textId="77777777" w:rsidR="00FB4867" w:rsidRPr="00FB4867" w:rsidRDefault="00FB4867" w:rsidP="002C0BB1">
      <w:pPr>
        <w:spacing w:line="480" w:lineRule="auto"/>
        <w:ind w:left="720" w:hanging="720"/>
        <w:rPr>
          <w:rFonts w:ascii="Times New Roman" w:hAnsi="Times New Roman" w:cs="Times New Roman"/>
          <w14:ligatures w14:val="none"/>
        </w:rPr>
      </w:pPr>
      <w:hyperlink r:id="rId61" w:history="1">
        <w:r w:rsidRPr="00FB4867">
          <w:rPr>
            <w:rFonts w:ascii="Times New Roman" w:hAnsi="Times New Roman" w:cs="Times New Roman"/>
            <w:color w:val="000000"/>
            <w14:ligatures w14:val="none"/>
          </w:rPr>
          <w:t xml:space="preserve">Deagle, B. E., Jarman, S. N., Coissac, E., Pompanon, F., &amp; Taberlet, P. (2014). DNA metabarcoding and the cytochrome c oxidase subunit I marker: Not a perfect match. </w:t>
        </w:r>
        <w:r w:rsidRPr="00FB4867">
          <w:rPr>
            <w:rFonts w:ascii="Times New Roman" w:hAnsi="Times New Roman" w:cs="Times New Roman"/>
            <w:i/>
            <w:iCs/>
            <w:color w:val="000000"/>
            <w14:ligatures w14:val="none"/>
          </w:rPr>
          <w:t>Biology Letters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10</w:t>
        </w:r>
        <w:r w:rsidRPr="00FB4867">
          <w:rPr>
            <w:rFonts w:ascii="Times New Roman" w:hAnsi="Times New Roman" w:cs="Times New Roman"/>
            <w:color w:val="000000"/>
            <w14:ligatures w14:val="none"/>
          </w:rPr>
          <w:t>(9), 20140562. https://doi.org/10.1098/rsbl.2014.0562 </w:t>
        </w:r>
      </w:hyperlink>
    </w:p>
    <w:p w14:paraId="7F7572FD" w14:textId="77777777" w:rsidR="00FB4867" w:rsidRPr="00FB4867" w:rsidRDefault="00FB4867" w:rsidP="002C0BB1">
      <w:pPr>
        <w:spacing w:line="480" w:lineRule="auto"/>
        <w:ind w:left="720" w:hanging="720"/>
        <w:rPr>
          <w:rFonts w:ascii="Times New Roman" w:hAnsi="Times New Roman" w:cs="Times New Roman"/>
          <w14:ligatures w14:val="none"/>
        </w:rPr>
      </w:pPr>
      <w:hyperlink r:id="rId62" w:history="1">
        <w:r w:rsidRPr="00FB4867">
          <w:rPr>
            <w:rFonts w:ascii="Times New Roman" w:hAnsi="Times New Roman" w:cs="Times New Roman"/>
            <w:color w:val="000000"/>
            <w14:ligatures w14:val="none"/>
          </w:rPr>
          <w:t xml:space="preserve">Deiner, K., &amp; Altermatt, F. (2014). Transport Distance of Invertebrate Environmental DNA in a Natural River.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9</w:t>
        </w:r>
        <w:r w:rsidRPr="00FB4867">
          <w:rPr>
            <w:rFonts w:ascii="Times New Roman" w:hAnsi="Times New Roman" w:cs="Times New Roman"/>
            <w:color w:val="000000"/>
            <w14:ligatures w14:val="none"/>
          </w:rPr>
          <w:t>(2), e88786. https://doi.org/10.1371/journal.pone.0088786 </w:t>
        </w:r>
      </w:hyperlink>
    </w:p>
    <w:p w14:paraId="57C95370" w14:textId="77777777" w:rsidR="00FB4867" w:rsidRPr="00FB4867" w:rsidRDefault="00FB4867" w:rsidP="002C0BB1">
      <w:pPr>
        <w:spacing w:line="480" w:lineRule="auto"/>
        <w:ind w:left="720" w:hanging="720"/>
        <w:rPr>
          <w:rFonts w:ascii="Times New Roman" w:hAnsi="Times New Roman" w:cs="Times New Roman"/>
          <w14:ligatures w14:val="none"/>
        </w:rPr>
      </w:pPr>
      <w:hyperlink r:id="rId63" w:history="1">
        <w:r w:rsidRPr="00FB4867">
          <w:rPr>
            <w:rFonts w:ascii="Times New Roman" w:hAnsi="Times New Roman" w:cs="Times New Roman"/>
            <w:color w:val="000000"/>
            <w14:ligatures w14:val="none"/>
          </w:rPr>
          <w:t xml:space="preserve">Deiner, K., Bik, H. M., Mächler, E., Seymour, M., Lacoursière‐Roussel, A., Altermatt, F., Creer, S., Bista, I., Lodge, D. M., De Vere, N., Pfrender, M. E., &amp; Bernatchez, L. (2017). Environmental </w:t>
        </w:r>
        <w:r w:rsidRPr="00FB4867">
          <w:rPr>
            <w:rFonts w:ascii="Times New Roman" w:hAnsi="Times New Roman" w:cs="Times New Roman"/>
            <w:smallCaps/>
            <w:color w:val="000000"/>
            <w14:ligatures w14:val="none"/>
          </w:rPr>
          <w:t>DNA</w:t>
        </w:r>
        <w:r w:rsidRPr="00FB4867">
          <w:rPr>
            <w:rFonts w:ascii="Times New Roman" w:hAnsi="Times New Roman" w:cs="Times New Roman"/>
            <w:color w:val="000000"/>
            <w14:ligatures w14:val="none"/>
          </w:rPr>
          <w:t xml:space="preserve"> metabarcoding: Transforming how we survey animal and plant communities.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26</w:t>
        </w:r>
        <w:r w:rsidRPr="00FB4867">
          <w:rPr>
            <w:rFonts w:ascii="Times New Roman" w:hAnsi="Times New Roman" w:cs="Times New Roman"/>
            <w:color w:val="000000"/>
            <w14:ligatures w14:val="none"/>
          </w:rPr>
          <w:t>(21), 5872–5895. https://doi.org/10.1111/mec.14350 </w:t>
        </w:r>
      </w:hyperlink>
    </w:p>
    <w:p w14:paraId="6192CF85" w14:textId="77777777" w:rsidR="00FB4867" w:rsidRPr="00FB4867" w:rsidRDefault="00FB4867" w:rsidP="002C0BB1">
      <w:pPr>
        <w:spacing w:line="480" w:lineRule="auto"/>
        <w:ind w:left="720" w:hanging="720"/>
        <w:rPr>
          <w:rFonts w:ascii="Times New Roman" w:hAnsi="Times New Roman" w:cs="Times New Roman"/>
          <w14:ligatures w14:val="none"/>
        </w:rPr>
      </w:pPr>
      <w:hyperlink r:id="rId64" w:history="1">
        <w:r w:rsidRPr="00FB4867">
          <w:rPr>
            <w:rFonts w:ascii="Times New Roman" w:hAnsi="Times New Roman" w:cs="Times New Roman"/>
            <w:color w:val="000000"/>
            <w14:ligatures w14:val="none"/>
          </w:rPr>
          <w:t xml:space="preserve">Deiner, K., Fronhofer, E. A., Mächler, E., Walser, J.-C., &amp; Altermatt, F. (2016). Environmental DNA reveals that rivers are conveyer belts of biodiversity information. </w:t>
        </w:r>
        <w:r w:rsidRPr="00FB4867">
          <w:rPr>
            <w:rFonts w:ascii="Times New Roman" w:hAnsi="Times New Roman" w:cs="Times New Roman"/>
            <w:i/>
            <w:iCs/>
            <w:color w:val="000000"/>
            <w14:ligatures w14:val="none"/>
          </w:rPr>
          <w:t>Nature Communications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7</w:t>
        </w:r>
        <w:r w:rsidRPr="00FB4867">
          <w:rPr>
            <w:rFonts w:ascii="Times New Roman" w:hAnsi="Times New Roman" w:cs="Times New Roman"/>
            <w:color w:val="000000"/>
            <w14:ligatures w14:val="none"/>
          </w:rPr>
          <w:t>(1), 12544. https://doi.org/10.1038/ncomms12544 </w:t>
        </w:r>
      </w:hyperlink>
    </w:p>
    <w:p w14:paraId="5830075E" w14:textId="77777777" w:rsidR="00FB4867" w:rsidRPr="00FB4867" w:rsidRDefault="00FB4867" w:rsidP="002C0BB1">
      <w:pPr>
        <w:spacing w:line="480" w:lineRule="auto"/>
        <w:ind w:left="720" w:hanging="720"/>
        <w:rPr>
          <w:rFonts w:ascii="Times New Roman" w:hAnsi="Times New Roman" w:cs="Times New Roman"/>
          <w14:ligatures w14:val="none"/>
        </w:rPr>
      </w:pPr>
      <w:hyperlink r:id="rId65" w:history="1">
        <w:r w:rsidRPr="00FB4867">
          <w:rPr>
            <w:rFonts w:ascii="Times New Roman" w:hAnsi="Times New Roman" w:cs="Times New Roman"/>
            <w:color w:val="000000"/>
            <w14:ligatures w14:val="none"/>
          </w:rPr>
          <w:t xml:space="preserve">Dejean, T., Valentini, A., Miquel, C., Taberlet, P., Bellemain, E., &amp; Miaud, C. (2012). Improved detection of an alien invasive species through environmental DNA barcoding: The example of the American bullfrog </w:t>
        </w:r>
        <w:r w:rsidRPr="00FB4867">
          <w:rPr>
            <w:rFonts w:ascii="Times New Roman" w:hAnsi="Times New Roman" w:cs="Times New Roman"/>
            <w:i/>
            <w:iCs/>
            <w:color w:val="000000"/>
            <w14:ligatures w14:val="none"/>
          </w:rPr>
          <w:t>Lithobates catesbeianus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Journal of Applied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49</w:t>
        </w:r>
        <w:r w:rsidRPr="00FB4867">
          <w:rPr>
            <w:rFonts w:ascii="Times New Roman" w:hAnsi="Times New Roman" w:cs="Times New Roman"/>
            <w:color w:val="000000"/>
            <w14:ligatures w14:val="none"/>
          </w:rPr>
          <w:t>(4), 953–959. https://doi.org/10.1111/j.1365-2664.2012.02171.x </w:t>
        </w:r>
      </w:hyperlink>
    </w:p>
    <w:p w14:paraId="45978A1F" w14:textId="77777777" w:rsidR="00FB4867" w:rsidRPr="00FB4867" w:rsidRDefault="00FB4867" w:rsidP="002C0BB1">
      <w:pPr>
        <w:spacing w:line="480" w:lineRule="auto"/>
        <w:ind w:left="720" w:hanging="720"/>
        <w:rPr>
          <w:rFonts w:ascii="Times New Roman" w:hAnsi="Times New Roman" w:cs="Times New Roman"/>
          <w14:ligatures w14:val="none"/>
        </w:rPr>
      </w:pPr>
      <w:hyperlink r:id="rId66" w:history="1">
        <w:r w:rsidRPr="00FB4867">
          <w:rPr>
            <w:rFonts w:ascii="Times New Roman" w:hAnsi="Times New Roman" w:cs="Times New Roman"/>
            <w:color w:val="000000"/>
            <w14:ligatures w14:val="none"/>
          </w:rPr>
          <w:t>Dowle, E., Pochon, X., Keeley, N., &amp; Wood, S. A. (2015). Assessing the effects of salmon farming seabed enrichment using bacterial community diversity and high-</w:t>
        </w:r>
        <w:r w:rsidRPr="00FB4867">
          <w:rPr>
            <w:rFonts w:ascii="Times New Roman" w:hAnsi="Times New Roman" w:cs="Times New Roman"/>
            <w:color w:val="000000"/>
            <w14:ligatures w14:val="none"/>
          </w:rPr>
          <w:lastRenderedPageBreak/>
          <w:t xml:space="preserve">throughput sequencing. </w:t>
        </w:r>
        <w:r w:rsidRPr="00FB4867">
          <w:rPr>
            <w:rFonts w:ascii="Times New Roman" w:hAnsi="Times New Roman" w:cs="Times New Roman"/>
            <w:i/>
            <w:iCs/>
            <w:color w:val="000000"/>
            <w14:ligatures w14:val="none"/>
          </w:rPr>
          <w:t>FEMS Microbiology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91</w:t>
        </w:r>
        <w:r w:rsidRPr="00FB4867">
          <w:rPr>
            <w:rFonts w:ascii="Times New Roman" w:hAnsi="Times New Roman" w:cs="Times New Roman"/>
            <w:color w:val="000000"/>
            <w14:ligatures w14:val="none"/>
          </w:rPr>
          <w:t>(8), fiv089. https://doi.org/10.1093/femsec/fiv089 </w:t>
        </w:r>
      </w:hyperlink>
    </w:p>
    <w:p w14:paraId="619AB375" w14:textId="77777777" w:rsidR="00FB4867" w:rsidRPr="00FB4867" w:rsidRDefault="00FB4867" w:rsidP="002C0BB1">
      <w:pPr>
        <w:spacing w:line="480" w:lineRule="auto"/>
        <w:ind w:left="720" w:hanging="720"/>
        <w:rPr>
          <w:rFonts w:ascii="Times New Roman" w:hAnsi="Times New Roman" w:cs="Times New Roman"/>
          <w14:ligatures w14:val="none"/>
        </w:rPr>
      </w:pPr>
      <w:hyperlink r:id="rId67" w:history="1">
        <w:r w:rsidRPr="00FB4867">
          <w:rPr>
            <w:rFonts w:ascii="Times New Roman" w:hAnsi="Times New Roman" w:cs="Times New Roman"/>
            <w:color w:val="000000"/>
            <w14:ligatures w14:val="none"/>
          </w:rPr>
          <w:t xml:space="preserve">Dudgeon, D. (2019). Multiple threats imperil freshwater biodiversity in the Anthropocene. </w:t>
        </w:r>
        <w:r w:rsidRPr="00FB4867">
          <w:rPr>
            <w:rFonts w:ascii="Times New Roman" w:hAnsi="Times New Roman" w:cs="Times New Roman"/>
            <w:i/>
            <w:iCs/>
            <w:color w:val="000000"/>
            <w14:ligatures w14:val="none"/>
          </w:rPr>
          <w:t>Current Biology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29</w:t>
        </w:r>
        <w:r w:rsidRPr="00FB4867">
          <w:rPr>
            <w:rFonts w:ascii="Times New Roman" w:hAnsi="Times New Roman" w:cs="Times New Roman"/>
            <w:color w:val="000000"/>
            <w14:ligatures w14:val="none"/>
          </w:rPr>
          <w:t>(19), R960–R967. https://doi.org/10.1016/j.cub.2019.08.002 </w:t>
        </w:r>
      </w:hyperlink>
    </w:p>
    <w:p w14:paraId="06E37470" w14:textId="77777777" w:rsidR="00FB4867" w:rsidRPr="00FB4867" w:rsidRDefault="00FB4867" w:rsidP="002C0BB1">
      <w:pPr>
        <w:spacing w:line="480" w:lineRule="auto"/>
        <w:ind w:left="720" w:hanging="720"/>
        <w:rPr>
          <w:rFonts w:ascii="Times New Roman" w:hAnsi="Times New Roman" w:cs="Times New Roman"/>
          <w14:ligatures w14:val="none"/>
        </w:rPr>
      </w:pPr>
      <w:hyperlink r:id="rId68" w:history="1">
        <w:r w:rsidRPr="00FB4867">
          <w:rPr>
            <w:rFonts w:ascii="Times New Roman" w:hAnsi="Times New Roman" w:cs="Times New Roman"/>
            <w:color w:val="000000"/>
            <w14:ligatures w14:val="none"/>
          </w:rPr>
          <w:t xml:space="preserve">Eisenhauer, N., &amp; Hines, J. (2021). Invertebrate biodiversity and conservation. </w:t>
        </w:r>
        <w:r w:rsidRPr="00FB4867">
          <w:rPr>
            <w:rFonts w:ascii="Times New Roman" w:hAnsi="Times New Roman" w:cs="Times New Roman"/>
            <w:i/>
            <w:iCs/>
            <w:color w:val="000000"/>
            <w14:ligatures w14:val="none"/>
          </w:rPr>
          <w:t>Current Biology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31</w:t>
        </w:r>
        <w:r w:rsidRPr="00FB4867">
          <w:rPr>
            <w:rFonts w:ascii="Times New Roman" w:hAnsi="Times New Roman" w:cs="Times New Roman"/>
            <w:color w:val="000000"/>
            <w14:ligatures w14:val="none"/>
          </w:rPr>
          <w:t>(19), R1214–R1218. https://doi.org/10.1016/j.cub.2021.06.058 </w:t>
        </w:r>
      </w:hyperlink>
    </w:p>
    <w:p w14:paraId="5EF69380" w14:textId="77777777" w:rsidR="00FB4867" w:rsidRPr="00FB4867" w:rsidRDefault="00FB4867" w:rsidP="002C0BB1">
      <w:pPr>
        <w:spacing w:line="480" w:lineRule="auto"/>
        <w:ind w:left="720" w:hanging="720"/>
        <w:rPr>
          <w:rFonts w:ascii="Times New Roman" w:hAnsi="Times New Roman" w:cs="Times New Roman"/>
          <w14:ligatures w14:val="none"/>
        </w:rPr>
      </w:pPr>
      <w:hyperlink r:id="rId69" w:history="1">
        <w:r w:rsidRPr="00FB4867">
          <w:rPr>
            <w:rFonts w:ascii="Times New Roman" w:hAnsi="Times New Roman" w:cs="Times New Roman"/>
            <w:color w:val="000000"/>
            <w14:ligatures w14:val="none"/>
          </w:rPr>
          <w:t xml:space="preserve">Elbrecht, V., &amp; Leese, F. (2015). Can DNA-Based Ecosystem Assessments Quantify Species Abundance? Testing Primer Bias and Biomass—Sequence Relationships with an Innovative Metabarcoding Protocol.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10</w:t>
        </w:r>
        <w:r w:rsidRPr="00FB4867">
          <w:rPr>
            <w:rFonts w:ascii="Times New Roman" w:hAnsi="Times New Roman" w:cs="Times New Roman"/>
            <w:color w:val="000000"/>
            <w14:ligatures w14:val="none"/>
          </w:rPr>
          <w:t>(7), e0130324. https://doi.org/10.1371/journal.pone.0130324 </w:t>
        </w:r>
      </w:hyperlink>
    </w:p>
    <w:p w14:paraId="348572C9" w14:textId="77777777" w:rsidR="00FB4867" w:rsidRPr="00FB4867" w:rsidRDefault="00FB4867" w:rsidP="002C0BB1">
      <w:pPr>
        <w:spacing w:line="480" w:lineRule="auto"/>
        <w:ind w:left="720" w:hanging="720"/>
        <w:rPr>
          <w:rFonts w:ascii="Times New Roman" w:hAnsi="Times New Roman" w:cs="Times New Roman"/>
          <w14:ligatures w14:val="none"/>
        </w:rPr>
      </w:pPr>
      <w:hyperlink r:id="rId70" w:history="1">
        <w:r w:rsidRPr="00FB4867">
          <w:rPr>
            <w:rFonts w:ascii="Times New Roman" w:hAnsi="Times New Roman" w:cs="Times New Roman"/>
            <w:color w:val="000000"/>
            <w14:ligatures w14:val="none"/>
          </w:rPr>
          <w:t xml:space="preserve">Elbrecht, V., Vamos, E. E., Meissner, K., Aroviita, J., &amp; Leese, F. (2017). Assessing strengths and weaknesses of DNA metabarcoding‐based macroinvertebrate identification for routine stream monitoring. </w:t>
        </w:r>
        <w:r w:rsidRPr="00FB4867">
          <w:rPr>
            <w:rFonts w:ascii="Times New Roman" w:hAnsi="Times New Roman" w:cs="Times New Roman"/>
            <w:i/>
            <w:iCs/>
            <w:color w:val="000000"/>
            <w14:ligatures w14:val="none"/>
          </w:rPr>
          <w:t>Methods in Ecology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8</w:t>
        </w:r>
        <w:r w:rsidRPr="00FB4867">
          <w:rPr>
            <w:rFonts w:ascii="Times New Roman" w:hAnsi="Times New Roman" w:cs="Times New Roman"/>
            <w:color w:val="000000"/>
            <w14:ligatures w14:val="none"/>
          </w:rPr>
          <w:t>(10), 1265–1275. https://doi.org/10.1111/2041-210X.12789 </w:t>
        </w:r>
      </w:hyperlink>
    </w:p>
    <w:p w14:paraId="7E916853" w14:textId="77777777" w:rsidR="00FB4867" w:rsidRPr="00FB4867" w:rsidRDefault="00FB4867" w:rsidP="002C0BB1">
      <w:pPr>
        <w:spacing w:line="480" w:lineRule="auto"/>
        <w:ind w:left="720" w:hanging="720"/>
        <w:rPr>
          <w:rFonts w:ascii="Times New Roman" w:hAnsi="Times New Roman" w:cs="Times New Roman"/>
          <w14:ligatures w14:val="none"/>
        </w:rPr>
      </w:pPr>
      <w:hyperlink r:id="rId71" w:history="1">
        <w:r w:rsidRPr="00FB4867">
          <w:rPr>
            <w:rFonts w:ascii="Times New Roman" w:hAnsi="Times New Roman" w:cs="Times New Roman"/>
            <w:color w:val="000000"/>
            <w14:ligatures w14:val="none"/>
          </w:rPr>
          <w:t xml:space="preserve">FCMS. (2023). </w:t>
        </w:r>
        <w:r w:rsidRPr="00FB4867">
          <w:rPr>
            <w:rFonts w:ascii="Times New Roman" w:hAnsi="Times New Roman" w:cs="Times New Roman"/>
            <w:i/>
            <w:iCs/>
            <w:color w:val="000000"/>
            <w14:ligatures w14:val="none"/>
          </w:rPr>
          <w:t>The 2023 checklist of freshwater bivalves (Mollusca: Bivalvia: Unionida) of the United States and Canada. Considered and approved by the Bivalve Names Subcommittee. Updated September 2023</w:t>
        </w:r>
        <w:r w:rsidRPr="00FB4867">
          <w:rPr>
            <w:rFonts w:ascii="Times New Roman" w:hAnsi="Times New Roman" w:cs="Times New Roman"/>
            <w:color w:val="000000"/>
            <w14:ligatures w14:val="none"/>
          </w:rPr>
          <w:t>. https://molluskconservation.org/Library/Committees/Names/Appendix_1_Bivalves_Revised_Names_List_20230928_draft.pdf </w:t>
        </w:r>
      </w:hyperlink>
    </w:p>
    <w:p w14:paraId="2B5C3A28" w14:textId="77777777" w:rsidR="00FB4867" w:rsidRPr="00FB4867" w:rsidRDefault="00FB4867" w:rsidP="002C0BB1">
      <w:pPr>
        <w:spacing w:line="480" w:lineRule="auto"/>
        <w:ind w:left="720" w:hanging="720"/>
        <w:rPr>
          <w:rFonts w:ascii="Times New Roman" w:hAnsi="Times New Roman" w:cs="Times New Roman"/>
          <w14:ligatures w14:val="none"/>
        </w:rPr>
      </w:pPr>
      <w:hyperlink r:id="rId72" w:history="1">
        <w:r w:rsidRPr="00FB4867">
          <w:rPr>
            <w:rFonts w:ascii="Times New Roman" w:hAnsi="Times New Roman" w:cs="Times New Roman"/>
            <w:color w:val="000000"/>
            <w14:ligatures w14:val="none"/>
          </w:rPr>
          <w:t xml:space="preserve">Fediajevaite, J., Priestley, V., Arnold, R., &amp; Savolainen, V. (2021). Meta-analysis shows that environmental DNA outperforms traditional surveys, but warrants better </w:t>
        </w:r>
        <w:r w:rsidRPr="00FB4867">
          <w:rPr>
            <w:rFonts w:ascii="Times New Roman" w:hAnsi="Times New Roman" w:cs="Times New Roman"/>
            <w:color w:val="000000"/>
            <w14:ligatures w14:val="none"/>
          </w:rPr>
          <w:lastRenderedPageBreak/>
          <w:t xml:space="preserve">reporting standards. </w:t>
        </w:r>
        <w:r w:rsidRPr="00FB4867">
          <w:rPr>
            <w:rFonts w:ascii="Times New Roman" w:hAnsi="Times New Roman" w:cs="Times New Roman"/>
            <w:i/>
            <w:iCs/>
            <w:color w:val="000000"/>
            <w14:ligatures w14:val="none"/>
          </w:rPr>
          <w:t>Ecology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11</w:t>
        </w:r>
        <w:r w:rsidRPr="00FB4867">
          <w:rPr>
            <w:rFonts w:ascii="Times New Roman" w:hAnsi="Times New Roman" w:cs="Times New Roman"/>
            <w:color w:val="000000"/>
            <w14:ligatures w14:val="none"/>
          </w:rPr>
          <w:t>(9), 4803–4815. https://doi.org/10.1002/ece3.7382 </w:t>
        </w:r>
      </w:hyperlink>
    </w:p>
    <w:p w14:paraId="0C2FC9B4" w14:textId="77777777" w:rsidR="00FB4867" w:rsidRPr="00FB4867" w:rsidRDefault="00FB4867" w:rsidP="002C0BB1">
      <w:pPr>
        <w:spacing w:line="480" w:lineRule="auto"/>
        <w:ind w:left="720" w:hanging="720"/>
        <w:rPr>
          <w:rFonts w:ascii="Times New Roman" w:hAnsi="Times New Roman" w:cs="Times New Roman"/>
          <w14:ligatures w14:val="none"/>
        </w:rPr>
      </w:pPr>
      <w:hyperlink r:id="rId73" w:history="1">
        <w:r w:rsidRPr="00FB4867">
          <w:rPr>
            <w:rFonts w:ascii="Times New Roman" w:hAnsi="Times New Roman" w:cs="Times New Roman"/>
            <w:color w:val="000000"/>
            <w14:ligatures w14:val="none"/>
          </w:rPr>
          <w:t xml:space="preserve">Fernandez, N. B., Komoroske, L. M., Danylchuk, A. J., Primack, C., &amp; Cheng, B. S. (2024). Damming creates winners and losers: Life history traits fail to predict vulnerability in freshwater fishes. </w:t>
        </w:r>
        <w:r w:rsidRPr="00FB4867">
          <w:rPr>
            <w:rFonts w:ascii="Times New Roman" w:hAnsi="Times New Roman" w:cs="Times New Roman"/>
            <w:i/>
            <w:iCs/>
            <w:color w:val="000000"/>
            <w14:ligatures w14:val="none"/>
          </w:rPr>
          <w:t>Global Ecology and Conservation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52</w:t>
        </w:r>
        <w:r w:rsidRPr="00FB4867">
          <w:rPr>
            <w:rFonts w:ascii="Times New Roman" w:hAnsi="Times New Roman" w:cs="Times New Roman"/>
            <w:color w:val="000000"/>
            <w14:ligatures w14:val="none"/>
          </w:rPr>
          <w:t>, e02957. https://doi.org/10.1016/j.gecco.2024.e02957 </w:t>
        </w:r>
      </w:hyperlink>
    </w:p>
    <w:p w14:paraId="2059C892" w14:textId="77777777" w:rsidR="00FB4867" w:rsidRPr="00FB4867" w:rsidRDefault="00FB4867" w:rsidP="002C0BB1">
      <w:pPr>
        <w:spacing w:line="480" w:lineRule="auto"/>
        <w:ind w:left="720" w:hanging="720"/>
        <w:rPr>
          <w:rFonts w:ascii="Times New Roman" w:hAnsi="Times New Roman" w:cs="Times New Roman"/>
          <w14:ligatures w14:val="none"/>
        </w:rPr>
      </w:pPr>
      <w:hyperlink r:id="rId74" w:history="1">
        <w:r w:rsidRPr="00FB4867">
          <w:rPr>
            <w:rFonts w:ascii="Times New Roman" w:hAnsi="Times New Roman" w:cs="Times New Roman"/>
            <w:color w:val="000000"/>
            <w14:ligatures w14:val="none"/>
          </w:rPr>
          <w:t xml:space="preserve">Ficetola, G. F., Boyer, F., Valentini, A., Bonin, A., Meyer, A., Dejean, T., Gaboriaud, C., Usseglio‐Polatera, P., &amp; Taberlet, P. (2021). Comparison of markers for the monitoring of freshwater benthic biodiversity through DNA metabarcoding.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30</w:t>
        </w:r>
        <w:r w:rsidRPr="00FB4867">
          <w:rPr>
            <w:rFonts w:ascii="Times New Roman" w:hAnsi="Times New Roman" w:cs="Times New Roman"/>
            <w:color w:val="000000"/>
            <w14:ligatures w14:val="none"/>
          </w:rPr>
          <w:t>(13), 3189–3202. https://doi.org/10.1111/mec.15632 </w:t>
        </w:r>
      </w:hyperlink>
    </w:p>
    <w:p w14:paraId="2F705C23" w14:textId="77777777" w:rsidR="00FB4867" w:rsidRPr="00FB4867" w:rsidRDefault="00FB4867" w:rsidP="002C0BB1">
      <w:pPr>
        <w:spacing w:line="480" w:lineRule="auto"/>
        <w:ind w:left="720" w:hanging="720"/>
        <w:rPr>
          <w:rFonts w:ascii="Times New Roman" w:hAnsi="Times New Roman" w:cs="Times New Roman"/>
          <w14:ligatures w14:val="none"/>
        </w:rPr>
      </w:pPr>
      <w:hyperlink r:id="rId75" w:history="1">
        <w:r w:rsidRPr="00FB4867">
          <w:rPr>
            <w:rFonts w:ascii="Times New Roman" w:hAnsi="Times New Roman" w:cs="Times New Roman"/>
            <w:color w:val="000000"/>
            <w14:ligatures w14:val="none"/>
          </w:rPr>
          <w:t xml:space="preserve">Ficetola, G. F., Miaud, C., Pompanon, F., &amp; Taberlet, P. (2008). Species detection using environmental DNA from water samples. </w:t>
        </w:r>
        <w:r w:rsidRPr="00FB4867">
          <w:rPr>
            <w:rFonts w:ascii="Times New Roman" w:hAnsi="Times New Roman" w:cs="Times New Roman"/>
            <w:i/>
            <w:iCs/>
            <w:color w:val="000000"/>
            <w14:ligatures w14:val="none"/>
          </w:rPr>
          <w:t>Biology Letters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w:t>
        </w:r>
        <w:r w:rsidRPr="00FB4867">
          <w:rPr>
            <w:rFonts w:ascii="Times New Roman" w:hAnsi="Times New Roman" w:cs="Times New Roman"/>
            <w:color w:val="000000"/>
            <w14:ligatures w14:val="none"/>
          </w:rPr>
          <w:t>(4), 423–425. https://doi.org/10.1098/rsbl.2008.0118 </w:t>
        </w:r>
      </w:hyperlink>
    </w:p>
    <w:p w14:paraId="048B6F0E" w14:textId="77777777" w:rsidR="00FB4867" w:rsidRPr="00FB4867" w:rsidRDefault="00FB4867" w:rsidP="002C0BB1">
      <w:pPr>
        <w:spacing w:line="480" w:lineRule="auto"/>
        <w:ind w:left="720" w:hanging="720"/>
        <w:rPr>
          <w:rFonts w:ascii="Times New Roman" w:hAnsi="Times New Roman" w:cs="Times New Roman"/>
          <w14:ligatures w14:val="none"/>
        </w:rPr>
      </w:pPr>
      <w:hyperlink r:id="rId76" w:history="1">
        <w:r w:rsidRPr="00FB4867">
          <w:rPr>
            <w:rFonts w:ascii="Times New Roman" w:hAnsi="Times New Roman" w:cs="Times New Roman"/>
            <w:color w:val="000000"/>
            <w14:ligatures w14:val="none"/>
          </w:rPr>
          <w:t xml:space="preserve">Fiske, I., &amp; Chandler, R. (2011). unmarked: An R Package for Fitting Hierarchical Models of Wildlife Occurrence and Abundance. </w:t>
        </w:r>
        <w:r w:rsidRPr="00FB4867">
          <w:rPr>
            <w:rFonts w:ascii="Times New Roman" w:hAnsi="Times New Roman" w:cs="Times New Roman"/>
            <w:i/>
            <w:iCs/>
            <w:color w:val="000000"/>
            <w14:ligatures w14:val="none"/>
          </w:rPr>
          <w:t>Journal of Statistical Software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43</w:t>
        </w:r>
        <w:r w:rsidRPr="00FB4867">
          <w:rPr>
            <w:rFonts w:ascii="Times New Roman" w:hAnsi="Times New Roman" w:cs="Times New Roman"/>
            <w:color w:val="000000"/>
            <w14:ligatures w14:val="none"/>
          </w:rPr>
          <w:t>, 1–23. https://doi.org/10.18637/jss.v043.i10 </w:t>
        </w:r>
      </w:hyperlink>
    </w:p>
    <w:p w14:paraId="7430125F" w14:textId="77777777" w:rsidR="00FB4867" w:rsidRPr="00FB4867" w:rsidRDefault="00FB4867" w:rsidP="002C0BB1">
      <w:pPr>
        <w:spacing w:line="480" w:lineRule="auto"/>
        <w:ind w:left="720" w:hanging="720"/>
        <w:rPr>
          <w:rFonts w:ascii="Times New Roman" w:hAnsi="Times New Roman" w:cs="Times New Roman"/>
          <w14:ligatures w14:val="none"/>
        </w:rPr>
      </w:pPr>
      <w:hyperlink r:id="rId77" w:history="1">
        <w:r w:rsidRPr="00FB4867">
          <w:rPr>
            <w:rFonts w:ascii="Times New Roman" w:hAnsi="Times New Roman" w:cs="Times New Roman"/>
            <w:color w:val="000000"/>
            <w14:ligatures w14:val="none"/>
          </w:rPr>
          <w:t xml:space="preserve">Fujii, K., Doi, H., Matsuoka, S., Nagano, M., Sato, H., &amp; Yamanaka, H. (2019). Environmental DNA metabarcoding for fish community analysis in backwater lakes: A comparison of capture methods.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14</w:t>
        </w:r>
        <w:r w:rsidRPr="00FB4867">
          <w:rPr>
            <w:rFonts w:ascii="Times New Roman" w:hAnsi="Times New Roman" w:cs="Times New Roman"/>
            <w:color w:val="000000"/>
            <w14:ligatures w14:val="none"/>
          </w:rPr>
          <w:t>(1), e0210357. https://doi.org/10.1371/journal.pone.0210357 </w:t>
        </w:r>
      </w:hyperlink>
    </w:p>
    <w:p w14:paraId="733DBFBE" w14:textId="77777777" w:rsidR="00FB4867" w:rsidRPr="00FB4867" w:rsidRDefault="00FB4867" w:rsidP="002C0BB1">
      <w:pPr>
        <w:spacing w:line="480" w:lineRule="auto"/>
        <w:ind w:left="720" w:hanging="720"/>
        <w:rPr>
          <w:rFonts w:ascii="Times New Roman" w:hAnsi="Times New Roman" w:cs="Times New Roman"/>
          <w14:ligatures w14:val="none"/>
        </w:rPr>
      </w:pPr>
      <w:hyperlink r:id="rId78" w:history="1">
        <w:r w:rsidRPr="00FB4867">
          <w:rPr>
            <w:rFonts w:ascii="Times New Roman" w:hAnsi="Times New Roman" w:cs="Times New Roman"/>
            <w:color w:val="000000"/>
            <w14:ligatures w14:val="none"/>
          </w:rPr>
          <w:t xml:space="preserve">Giroux, M. S., Reichman, J. R., Langknecht, T., Burgess, R. M., &amp; Ho, K. T. (2022). Environmental RNA as a Tool for Marine Community Biodiversity Assessments. </w:t>
        </w:r>
        <w:r w:rsidRPr="00FB4867">
          <w:rPr>
            <w:rFonts w:ascii="Times New Roman" w:hAnsi="Times New Roman" w:cs="Times New Roman"/>
            <w:i/>
            <w:iCs/>
            <w:color w:val="000000"/>
            <w14:ligatures w14:val="none"/>
          </w:rPr>
          <w:t>Scientific Reports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12</w:t>
        </w:r>
        <w:r w:rsidRPr="00FB4867">
          <w:rPr>
            <w:rFonts w:ascii="Times New Roman" w:hAnsi="Times New Roman" w:cs="Times New Roman"/>
            <w:color w:val="000000"/>
            <w14:ligatures w14:val="none"/>
          </w:rPr>
          <w:t>(1), 17782. https://doi.org/10.1038/s41598-022-22198-w </w:t>
        </w:r>
      </w:hyperlink>
    </w:p>
    <w:p w14:paraId="22F1D855" w14:textId="77777777" w:rsidR="00FB4867" w:rsidRPr="00FB4867" w:rsidRDefault="00FB4867" w:rsidP="002C0BB1">
      <w:pPr>
        <w:spacing w:line="480" w:lineRule="auto"/>
        <w:ind w:left="720" w:hanging="720"/>
        <w:rPr>
          <w:rFonts w:ascii="Times New Roman" w:hAnsi="Times New Roman" w:cs="Times New Roman"/>
          <w14:ligatures w14:val="none"/>
        </w:rPr>
      </w:pPr>
      <w:hyperlink r:id="rId79" w:history="1">
        <w:r w:rsidRPr="00FB4867">
          <w:rPr>
            <w:rFonts w:ascii="Times New Roman" w:hAnsi="Times New Roman" w:cs="Times New Roman"/>
            <w:color w:val="000000"/>
            <w14:ligatures w14:val="none"/>
          </w:rPr>
          <w:t xml:space="preserve">Goffaux, D. G. (2005). Electrofishing versus gillnet sampling for the assessment of fish assemblages in large rivers. </w:t>
        </w:r>
        <w:r w:rsidRPr="00FB4867">
          <w:rPr>
            <w:rFonts w:ascii="Times New Roman" w:hAnsi="Times New Roman" w:cs="Times New Roman"/>
            <w:i/>
            <w:iCs/>
            <w:color w:val="000000"/>
            <w14:ligatures w14:val="none"/>
          </w:rPr>
          <w:t>Archiv Für Hydrobiologie</w:t>
        </w:r>
        <w:r w:rsidRPr="00FB4867">
          <w:rPr>
            <w:rFonts w:ascii="Times New Roman" w:hAnsi="Times New Roman" w:cs="Times New Roman"/>
            <w:color w:val="000000"/>
            <w14:ligatures w14:val="none"/>
          </w:rPr>
          <w:t>, 73–90. https://doi.org/10.1127/0003-9136/2005/0162-0073 </w:t>
        </w:r>
      </w:hyperlink>
    </w:p>
    <w:p w14:paraId="3304F58B" w14:textId="77777777" w:rsidR="00FB4867" w:rsidRPr="00FB4867" w:rsidRDefault="00FB4867" w:rsidP="002C0BB1">
      <w:pPr>
        <w:spacing w:line="480" w:lineRule="auto"/>
        <w:ind w:left="720" w:hanging="720"/>
        <w:rPr>
          <w:rFonts w:ascii="Times New Roman" w:hAnsi="Times New Roman" w:cs="Times New Roman"/>
          <w14:ligatures w14:val="none"/>
        </w:rPr>
      </w:pPr>
      <w:hyperlink r:id="rId80" w:history="1">
        <w:r w:rsidRPr="00FB4867">
          <w:rPr>
            <w:rFonts w:ascii="Times New Roman" w:hAnsi="Times New Roman" w:cs="Times New Roman"/>
            <w:color w:val="000000"/>
            <w14:ligatures w14:val="none"/>
          </w:rPr>
          <w:t xml:space="preserve">Goldberg, C. S., Pilliod, D. S., Arkle, R. S., &amp; Waits, L. P. (2011). Molecular Detection of Vertebrates in Stream Water: A Demonstration Using Rocky Mountain Tailed Frogs and Idaho Giant Salamanders.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w:t>
        </w:r>
        <w:r w:rsidRPr="00FB4867">
          <w:rPr>
            <w:rFonts w:ascii="Times New Roman" w:hAnsi="Times New Roman" w:cs="Times New Roman"/>
            <w:color w:val="000000"/>
            <w14:ligatures w14:val="none"/>
          </w:rPr>
          <w:t>(7), e22746. https://doi.org/10.1371/journal.pone.0022746 </w:t>
        </w:r>
      </w:hyperlink>
    </w:p>
    <w:p w14:paraId="604CA5F8" w14:textId="77777777" w:rsidR="00FB4867" w:rsidRPr="00FB4867" w:rsidRDefault="00FB4867" w:rsidP="002C0BB1">
      <w:pPr>
        <w:spacing w:line="480" w:lineRule="auto"/>
        <w:ind w:left="720" w:hanging="720"/>
        <w:rPr>
          <w:rFonts w:ascii="Times New Roman" w:hAnsi="Times New Roman" w:cs="Times New Roman"/>
          <w14:ligatures w14:val="none"/>
        </w:rPr>
      </w:pPr>
      <w:hyperlink r:id="rId81" w:history="1">
        <w:r w:rsidRPr="00FB4867">
          <w:rPr>
            <w:rFonts w:ascii="Times New Roman" w:hAnsi="Times New Roman" w:cs="Times New Roman"/>
            <w:color w:val="000000"/>
            <w14:ligatures w14:val="none"/>
          </w:rPr>
          <w:t xml:space="preserve">Greco, M., Lejzerowicz, F., Reo, E., Caruso, A., Maccotta, A., Coccioni, R., Pawlowski, J., &amp; Frontalini, F. (2022). Environmental RNA outperforms eDNA metabarcoding in assessing impact of marine pollution: A chromium-spiked mesocosm test. </w:t>
        </w:r>
        <w:r w:rsidRPr="00FB4867">
          <w:rPr>
            <w:rFonts w:ascii="Times New Roman" w:hAnsi="Times New Roman" w:cs="Times New Roman"/>
            <w:i/>
            <w:iCs/>
            <w:color w:val="000000"/>
            <w14:ligatures w14:val="none"/>
          </w:rPr>
          <w:t>Chemosphere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298</w:t>
        </w:r>
        <w:r w:rsidRPr="00FB4867">
          <w:rPr>
            <w:rFonts w:ascii="Times New Roman" w:hAnsi="Times New Roman" w:cs="Times New Roman"/>
            <w:color w:val="000000"/>
            <w14:ligatures w14:val="none"/>
          </w:rPr>
          <w:t>, 134239. https://doi.org/10.1016/j.chemosphere.2022.134239 </w:t>
        </w:r>
      </w:hyperlink>
    </w:p>
    <w:p w14:paraId="7787F814" w14:textId="77777777" w:rsidR="00FB4867" w:rsidRPr="00FB4867" w:rsidRDefault="00FB4867" w:rsidP="002C0BB1">
      <w:pPr>
        <w:spacing w:line="480" w:lineRule="auto"/>
        <w:ind w:left="720" w:hanging="720"/>
        <w:rPr>
          <w:rFonts w:ascii="Times New Roman" w:hAnsi="Times New Roman" w:cs="Times New Roman"/>
          <w14:ligatures w14:val="none"/>
        </w:rPr>
      </w:pPr>
      <w:hyperlink r:id="rId82" w:history="1">
        <w:r w:rsidRPr="00FB4867">
          <w:rPr>
            <w:rFonts w:ascii="Times New Roman" w:hAnsi="Times New Roman" w:cs="Times New Roman"/>
            <w:color w:val="000000"/>
            <w14:ligatures w14:val="none"/>
          </w:rPr>
          <w:t xml:space="preserve">Griffiths, N. P., Bolland, J. D., Wright, R. M., Murphy, L. A., Donnelly, R. K., Watson, H. V., &amp; Hänfling, B. (2020). </w:t>
        </w:r>
        <w:r w:rsidRPr="00FB4867">
          <w:rPr>
            <w:rFonts w:ascii="Times New Roman" w:hAnsi="Times New Roman" w:cs="Times New Roman"/>
            <w:i/>
            <w:iCs/>
            <w:color w:val="000000"/>
            <w14:ligatures w14:val="none"/>
          </w:rPr>
          <w:t xml:space="preserve">Environmental DNA metabarcoding provides enhanced detection of the European eel </w:t>
        </w:r>
        <w:r w:rsidRPr="00FB4867">
          <w:rPr>
            <w:rFonts w:ascii="Times New Roman" w:hAnsi="Times New Roman" w:cs="Times New Roman"/>
            <w:color w:val="000000"/>
            <w14:ligatures w14:val="none"/>
          </w:rPr>
          <w:t>Anguilla anguilla</w:t>
        </w:r>
        <w:r w:rsidRPr="00FB4867">
          <w:rPr>
            <w:rFonts w:ascii="Times New Roman" w:hAnsi="Times New Roman" w:cs="Times New Roman"/>
            <w:i/>
            <w:iCs/>
            <w:color w:val="000000"/>
            <w14:ligatures w14:val="none"/>
          </w:rPr>
          <w:t xml:space="preserve"> and fish community structure in pumped river catchments</w:t>
        </w:r>
        <w:r w:rsidRPr="00FB4867">
          <w:rPr>
            <w:rFonts w:ascii="Times New Roman" w:hAnsi="Times New Roman" w:cs="Times New Roman"/>
            <w:color w:val="000000"/>
            <w14:ligatures w14:val="none"/>
          </w:rPr>
          <w:t>. Ecology. https://doi.org/10.1101/2020.07.22.216523 </w:t>
        </w:r>
      </w:hyperlink>
    </w:p>
    <w:p w14:paraId="36450111" w14:textId="77777777" w:rsidR="00FB4867" w:rsidRPr="00FB4867" w:rsidRDefault="00FB4867" w:rsidP="002C0BB1">
      <w:pPr>
        <w:spacing w:line="480" w:lineRule="auto"/>
        <w:ind w:left="720" w:hanging="720"/>
        <w:rPr>
          <w:rFonts w:ascii="Times New Roman" w:hAnsi="Times New Roman" w:cs="Times New Roman"/>
          <w14:ligatures w14:val="none"/>
        </w:rPr>
      </w:pPr>
      <w:hyperlink r:id="rId83" w:history="1">
        <w:r w:rsidRPr="00FB4867">
          <w:rPr>
            <w:rFonts w:ascii="Times New Roman" w:hAnsi="Times New Roman" w:cs="Times New Roman"/>
            <w:color w:val="000000"/>
            <w14:ligatures w14:val="none"/>
          </w:rPr>
          <w:t xml:space="preserve">Hajibabaei, M., Porter, T. M., Robinson, C. V., Baird, D. J., Shokralla, S., &amp; Wright, M. T. G. (2019). Watered-down biodiversity? A comparison of metabarcoding results </w:t>
        </w:r>
        <w:r w:rsidRPr="00FB4867">
          <w:rPr>
            <w:rFonts w:ascii="Times New Roman" w:hAnsi="Times New Roman" w:cs="Times New Roman"/>
            <w:color w:val="000000"/>
            <w14:ligatures w14:val="none"/>
          </w:rPr>
          <w:lastRenderedPageBreak/>
          <w:t xml:space="preserve">from DNA extracted from matched water and bulk tissue biomonitoring samples.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14</w:t>
        </w:r>
        <w:r w:rsidRPr="00FB4867">
          <w:rPr>
            <w:rFonts w:ascii="Times New Roman" w:hAnsi="Times New Roman" w:cs="Times New Roman"/>
            <w:color w:val="000000"/>
            <w14:ligatures w14:val="none"/>
          </w:rPr>
          <w:t>(12), e0225409. https://doi.org/10.1371/journal.pone.0225409 </w:t>
        </w:r>
      </w:hyperlink>
    </w:p>
    <w:p w14:paraId="1046AEF0" w14:textId="77777777" w:rsidR="00FB4867" w:rsidRPr="00FB4867" w:rsidRDefault="00FB4867" w:rsidP="002C0BB1">
      <w:pPr>
        <w:spacing w:line="480" w:lineRule="auto"/>
        <w:ind w:left="720" w:hanging="720"/>
        <w:rPr>
          <w:rFonts w:ascii="Times New Roman" w:hAnsi="Times New Roman" w:cs="Times New Roman"/>
          <w14:ligatures w14:val="none"/>
        </w:rPr>
      </w:pPr>
      <w:hyperlink r:id="rId84" w:history="1">
        <w:r w:rsidRPr="00FB4867">
          <w:rPr>
            <w:rFonts w:ascii="Times New Roman" w:hAnsi="Times New Roman" w:cs="Times New Roman"/>
            <w:color w:val="000000"/>
            <w14:ligatures w14:val="none"/>
          </w:rPr>
          <w:t xml:space="preserve">Hajibabaei, M., Shokralla, S., Zhou, X., Singer, G. A. C., &amp; Baird, D. J. (2011). Environmental Barcoding: A Next-Generation Sequencing Approach for Biomonitoring Applications Using River Benthos.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w:t>
        </w:r>
        <w:r w:rsidRPr="00FB4867">
          <w:rPr>
            <w:rFonts w:ascii="Times New Roman" w:hAnsi="Times New Roman" w:cs="Times New Roman"/>
            <w:color w:val="000000"/>
            <w14:ligatures w14:val="none"/>
          </w:rPr>
          <w:t>(4), e17497. https://doi.org/10.1371/journal.pone.0017497 </w:t>
        </w:r>
      </w:hyperlink>
    </w:p>
    <w:p w14:paraId="02B1E4CA" w14:textId="77777777" w:rsidR="00FB4867" w:rsidRPr="00FB4867" w:rsidRDefault="00FB4867" w:rsidP="002C0BB1">
      <w:pPr>
        <w:spacing w:line="480" w:lineRule="auto"/>
        <w:ind w:left="720" w:hanging="720"/>
        <w:rPr>
          <w:rFonts w:ascii="Times New Roman" w:hAnsi="Times New Roman" w:cs="Times New Roman"/>
          <w14:ligatures w14:val="none"/>
        </w:rPr>
      </w:pPr>
      <w:hyperlink r:id="rId85" w:history="1">
        <w:r w:rsidRPr="00FB4867">
          <w:rPr>
            <w:rFonts w:ascii="Times New Roman" w:hAnsi="Times New Roman" w:cs="Times New Roman"/>
            <w:color w:val="000000"/>
            <w14:ligatures w14:val="none"/>
          </w:rPr>
          <w:t xml:space="preserve">Hayami, K., Sakata, M. K., Inagawa, T., Okitsu, J., Katano, I., Doi, H., Nakai, K., Ichiyanagi, H., Gotoh, R. O., Miya, M., Sato, H., Yamanaka, H., &amp; Minamoto, T. (2020). Effects of sampling seasons and locations on fish environmental DNA metabarcoding in dam reservoirs. </w:t>
        </w:r>
        <w:r w:rsidRPr="00FB4867">
          <w:rPr>
            <w:rFonts w:ascii="Times New Roman" w:hAnsi="Times New Roman" w:cs="Times New Roman"/>
            <w:i/>
            <w:iCs/>
            <w:color w:val="000000"/>
            <w14:ligatures w14:val="none"/>
          </w:rPr>
          <w:t>Ecology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10</w:t>
        </w:r>
        <w:r w:rsidRPr="00FB4867">
          <w:rPr>
            <w:rFonts w:ascii="Times New Roman" w:hAnsi="Times New Roman" w:cs="Times New Roman"/>
            <w:color w:val="000000"/>
            <w14:ligatures w14:val="none"/>
          </w:rPr>
          <w:t>(12), 5354–5367. https://doi.org/10.1002/ece3.6279 </w:t>
        </w:r>
      </w:hyperlink>
    </w:p>
    <w:p w14:paraId="7DA2C450" w14:textId="77777777" w:rsidR="00FB4867" w:rsidRPr="00FB4867" w:rsidRDefault="00FB4867" w:rsidP="002C0BB1">
      <w:pPr>
        <w:spacing w:line="480" w:lineRule="auto"/>
        <w:ind w:left="720" w:hanging="720"/>
        <w:rPr>
          <w:rFonts w:ascii="Times New Roman" w:hAnsi="Times New Roman" w:cs="Times New Roman"/>
          <w14:ligatures w14:val="none"/>
        </w:rPr>
      </w:pPr>
      <w:hyperlink r:id="rId86" w:history="1">
        <w:r w:rsidRPr="00FB4867">
          <w:rPr>
            <w:rFonts w:ascii="Times New Roman" w:hAnsi="Times New Roman" w:cs="Times New Roman"/>
            <w:color w:val="000000"/>
            <w14:ligatures w14:val="none"/>
          </w:rPr>
          <w:t xml:space="preserve">He, X., Jeffery, N. W., Stanley, R. R. E., Hamilton, L. C., Rubidge, E. M., &amp; Abbott, C. L. (2023). eDNA metabarcoding enriches traditional trawl survey data for monitoring biodiversity in the marine environment. </w:t>
        </w:r>
        <w:r w:rsidRPr="00FB4867">
          <w:rPr>
            <w:rFonts w:ascii="Times New Roman" w:hAnsi="Times New Roman" w:cs="Times New Roman"/>
            <w:i/>
            <w:iCs/>
            <w:color w:val="000000"/>
            <w14:ligatures w14:val="none"/>
          </w:rPr>
          <w:t>ICES Journal of Marine Science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80</w:t>
        </w:r>
        <w:r w:rsidRPr="00FB4867">
          <w:rPr>
            <w:rFonts w:ascii="Times New Roman" w:hAnsi="Times New Roman" w:cs="Times New Roman"/>
            <w:color w:val="000000"/>
            <w14:ligatures w14:val="none"/>
          </w:rPr>
          <w:t>(5), 1529–1538. https://doi.org/10.1093/icesjms/fsad083 </w:t>
        </w:r>
      </w:hyperlink>
    </w:p>
    <w:p w14:paraId="68523456" w14:textId="77777777" w:rsidR="00FB4867" w:rsidRPr="00FB4867" w:rsidRDefault="00FB4867" w:rsidP="002C0BB1">
      <w:pPr>
        <w:spacing w:line="480" w:lineRule="auto"/>
        <w:ind w:left="720" w:hanging="720"/>
        <w:rPr>
          <w:rFonts w:ascii="Times New Roman" w:hAnsi="Times New Roman" w:cs="Times New Roman"/>
          <w14:ligatures w14:val="none"/>
        </w:rPr>
      </w:pPr>
      <w:hyperlink r:id="rId87" w:history="1">
        <w:r w:rsidRPr="00FB4867">
          <w:rPr>
            <w:rFonts w:ascii="Times New Roman" w:hAnsi="Times New Roman" w:cs="Times New Roman"/>
            <w:color w:val="000000"/>
            <w14:ligatures w14:val="none"/>
          </w:rPr>
          <w:t xml:space="preserve">Hebert, P. D. N., Cywinska, A., Ball, S. L., &amp; deWaard, J. R. (2003). Biological identifications through DNA barcodes. </w:t>
        </w:r>
        <w:r w:rsidRPr="00FB4867">
          <w:rPr>
            <w:rFonts w:ascii="Times New Roman" w:hAnsi="Times New Roman" w:cs="Times New Roman"/>
            <w:i/>
            <w:iCs/>
            <w:color w:val="000000"/>
            <w14:ligatures w14:val="none"/>
          </w:rPr>
          <w:t>Proceedings of the Royal Society of London. Series B: Biological Sciences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270</w:t>
        </w:r>
        <w:r w:rsidRPr="00FB4867">
          <w:rPr>
            <w:rFonts w:ascii="Times New Roman" w:hAnsi="Times New Roman" w:cs="Times New Roman"/>
            <w:color w:val="000000"/>
            <w14:ligatures w14:val="none"/>
          </w:rPr>
          <w:t>(1512), 313–321. https://doi.org/10.1098/rspb.2002.2218 </w:t>
        </w:r>
      </w:hyperlink>
    </w:p>
    <w:p w14:paraId="34AEC127" w14:textId="77777777" w:rsidR="00FB4867" w:rsidRPr="00FB4867" w:rsidRDefault="00FB4867" w:rsidP="002C0BB1">
      <w:pPr>
        <w:spacing w:line="480" w:lineRule="auto"/>
        <w:ind w:left="720" w:hanging="720"/>
        <w:rPr>
          <w:rFonts w:ascii="Times New Roman" w:hAnsi="Times New Roman" w:cs="Times New Roman"/>
          <w14:ligatures w14:val="none"/>
        </w:rPr>
      </w:pPr>
      <w:hyperlink r:id="rId88" w:history="1">
        <w:r w:rsidRPr="00FB4867">
          <w:rPr>
            <w:rFonts w:ascii="Times New Roman" w:hAnsi="Times New Roman" w:cs="Times New Roman"/>
            <w:color w:val="000000"/>
            <w14:ligatures w14:val="none"/>
          </w:rPr>
          <w:t xml:space="preserve">Holubová, M., Richta, J., Čech, M., Vejřík, L., Draštík, V., Kočvara, L., &amp; Peterka, J. (2025). Assessing the applicability of diver-based surveys for monitoring fish </w:t>
        </w:r>
        <w:r w:rsidRPr="00FB4867">
          <w:rPr>
            <w:rFonts w:ascii="Times New Roman" w:hAnsi="Times New Roman" w:cs="Times New Roman"/>
            <w:color w:val="000000"/>
            <w14:ligatures w14:val="none"/>
          </w:rPr>
          <w:lastRenderedPageBreak/>
          <w:t xml:space="preserve">populations in lentic lakes. </w:t>
        </w:r>
        <w:r w:rsidRPr="00FB4867">
          <w:rPr>
            <w:rFonts w:ascii="Times New Roman" w:hAnsi="Times New Roman" w:cs="Times New Roman"/>
            <w:i/>
            <w:iCs/>
            <w:color w:val="000000"/>
            <w14:ligatures w14:val="none"/>
          </w:rPr>
          <w:t>Fisheries Research</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284</w:t>
        </w:r>
        <w:r w:rsidRPr="00FB4867">
          <w:rPr>
            <w:rFonts w:ascii="Times New Roman" w:hAnsi="Times New Roman" w:cs="Times New Roman"/>
            <w:color w:val="000000"/>
            <w14:ligatures w14:val="none"/>
          </w:rPr>
          <w:t>, 107308. https://doi.org/10.1016/j.fishres.2025.107308 </w:t>
        </w:r>
      </w:hyperlink>
    </w:p>
    <w:p w14:paraId="2F34BCF3" w14:textId="77777777" w:rsidR="00FB4867" w:rsidRPr="00FB4867" w:rsidRDefault="00FB4867" w:rsidP="002C0BB1">
      <w:pPr>
        <w:spacing w:line="480" w:lineRule="auto"/>
        <w:ind w:left="720" w:hanging="720"/>
        <w:rPr>
          <w:rFonts w:ascii="Times New Roman" w:hAnsi="Times New Roman" w:cs="Times New Roman"/>
          <w14:ligatures w14:val="none"/>
        </w:rPr>
      </w:pPr>
      <w:hyperlink r:id="rId89" w:history="1">
        <w:r w:rsidRPr="00FB4867">
          <w:rPr>
            <w:rFonts w:ascii="Times New Roman" w:hAnsi="Times New Roman" w:cs="Times New Roman"/>
            <w:color w:val="000000"/>
            <w14:ligatures w14:val="none"/>
          </w:rPr>
          <w:t xml:space="preserve">Huang, Z., &amp; Li, H. (2024). Dams trigger exponential population declines of migratory fish. </w:t>
        </w:r>
        <w:r w:rsidRPr="00FB4867">
          <w:rPr>
            <w:rFonts w:ascii="Times New Roman" w:hAnsi="Times New Roman" w:cs="Times New Roman"/>
            <w:i/>
            <w:iCs/>
            <w:color w:val="000000"/>
            <w14:ligatures w14:val="none"/>
          </w:rPr>
          <w:t>Science Advances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10</w:t>
        </w:r>
        <w:r w:rsidRPr="00FB4867">
          <w:rPr>
            <w:rFonts w:ascii="Times New Roman" w:hAnsi="Times New Roman" w:cs="Times New Roman"/>
            <w:color w:val="000000"/>
            <w14:ligatures w14:val="none"/>
          </w:rPr>
          <w:t>(19), eadi6580. https://doi.org/10.1126/sciadv.adi6580 </w:t>
        </w:r>
      </w:hyperlink>
    </w:p>
    <w:p w14:paraId="15419092" w14:textId="77777777" w:rsidR="00FB4867" w:rsidRPr="00FB4867" w:rsidRDefault="00FB4867" w:rsidP="002C0BB1">
      <w:pPr>
        <w:spacing w:line="480" w:lineRule="auto"/>
        <w:ind w:left="720" w:hanging="720"/>
        <w:rPr>
          <w:rFonts w:ascii="Times New Roman" w:hAnsi="Times New Roman" w:cs="Times New Roman"/>
          <w14:ligatures w14:val="none"/>
        </w:rPr>
      </w:pPr>
      <w:hyperlink r:id="rId90" w:history="1">
        <w:r w:rsidRPr="00FB4867">
          <w:rPr>
            <w:rFonts w:ascii="Times New Roman" w:hAnsi="Times New Roman" w:cs="Times New Roman"/>
            <w:color w:val="000000"/>
            <w14:ligatures w14:val="none"/>
          </w:rPr>
          <w:t xml:space="preserve">IUCN. (2025). </w:t>
        </w:r>
        <w:r w:rsidRPr="00FB4867">
          <w:rPr>
            <w:rFonts w:ascii="Times New Roman" w:hAnsi="Times New Roman" w:cs="Times New Roman"/>
            <w:i/>
            <w:iCs/>
            <w:color w:val="000000"/>
            <w14:ligatures w14:val="none"/>
          </w:rPr>
          <w:t>The IUCN Red List of Threatened Species. Version 2025-1</w:t>
        </w:r>
        <w:r w:rsidRPr="00FB4867">
          <w:rPr>
            <w:rFonts w:ascii="Times New Roman" w:hAnsi="Times New Roman" w:cs="Times New Roman"/>
            <w:color w:val="000000"/>
            <w14:ligatures w14:val="none"/>
          </w:rPr>
          <w:t>. International Union for Conservation of Nature. https://www.iucnredlist.org </w:t>
        </w:r>
      </w:hyperlink>
    </w:p>
    <w:p w14:paraId="0F53DFCC" w14:textId="77777777" w:rsidR="00FB4867" w:rsidRPr="00FB4867" w:rsidRDefault="00FB4867" w:rsidP="002C0BB1">
      <w:pPr>
        <w:spacing w:line="480" w:lineRule="auto"/>
        <w:ind w:left="720" w:hanging="720"/>
        <w:rPr>
          <w:rFonts w:ascii="Times New Roman" w:hAnsi="Times New Roman" w:cs="Times New Roman"/>
          <w14:ligatures w14:val="none"/>
        </w:rPr>
      </w:pPr>
      <w:hyperlink r:id="rId91" w:history="1">
        <w:r w:rsidRPr="00FB4867">
          <w:rPr>
            <w:rFonts w:ascii="Times New Roman" w:hAnsi="Times New Roman" w:cs="Times New Roman"/>
            <w:color w:val="000000"/>
            <w14:ligatures w14:val="none"/>
          </w:rPr>
          <w:t xml:space="preserve">Jackman, J. M., Benvenuto, C., Coscia, I., Oliveira Carvalho, C., Ready, J. S., Boubli, J. P., Magnusson, W. E., McDevitt, A. D., &amp; Guimarães Sales, N. (2021). eDNA in a bottleneck: Obstacles to fish metabarcoding studies in megadiverse freshwater systems.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w:t>
        </w:r>
        <w:r w:rsidRPr="00FB4867">
          <w:rPr>
            <w:rFonts w:ascii="Times New Roman" w:hAnsi="Times New Roman" w:cs="Times New Roman"/>
            <w:color w:val="000000"/>
            <w14:ligatures w14:val="none"/>
          </w:rPr>
          <w:t>(4), 837–849. https://doi.org/10.1002/edn3.191 </w:t>
        </w:r>
      </w:hyperlink>
    </w:p>
    <w:p w14:paraId="1FBD55C6" w14:textId="77777777" w:rsidR="00FB4867" w:rsidRPr="00FB4867" w:rsidRDefault="00FB4867" w:rsidP="002C0BB1">
      <w:pPr>
        <w:spacing w:line="480" w:lineRule="auto"/>
        <w:ind w:left="720" w:hanging="720"/>
        <w:rPr>
          <w:rFonts w:ascii="Times New Roman" w:hAnsi="Times New Roman" w:cs="Times New Roman"/>
          <w14:ligatures w14:val="none"/>
        </w:rPr>
      </w:pPr>
      <w:hyperlink r:id="rId92" w:history="1">
        <w:r w:rsidRPr="00FB4867">
          <w:rPr>
            <w:rFonts w:ascii="Times New Roman" w:hAnsi="Times New Roman" w:cs="Times New Roman"/>
            <w:color w:val="000000"/>
            <w14:ligatures w14:val="none"/>
          </w:rPr>
          <w:t xml:space="preserve">Jerde, C. L., Mahon, A. R., Chadderton, W. L., &amp; Lodge, D. M. (2011). “Sight-unseen” detection of rare aquatic species using environmental DNA: eDNA surveillance of rare aquatic species. </w:t>
        </w:r>
        <w:r w:rsidRPr="00FB4867">
          <w:rPr>
            <w:rFonts w:ascii="Times New Roman" w:hAnsi="Times New Roman" w:cs="Times New Roman"/>
            <w:i/>
            <w:iCs/>
            <w:color w:val="000000"/>
            <w14:ligatures w14:val="none"/>
          </w:rPr>
          <w:t>Conservation Letters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w:t>
        </w:r>
        <w:r w:rsidRPr="00FB4867">
          <w:rPr>
            <w:rFonts w:ascii="Times New Roman" w:hAnsi="Times New Roman" w:cs="Times New Roman"/>
            <w:color w:val="000000"/>
            <w14:ligatures w14:val="none"/>
          </w:rPr>
          <w:t>(2), 150–157. https://doi.org/10.1111/j.1755-263X.2010.00158.x </w:t>
        </w:r>
      </w:hyperlink>
    </w:p>
    <w:p w14:paraId="3D905D67" w14:textId="77777777" w:rsidR="00FB4867" w:rsidRPr="00FB4867" w:rsidRDefault="00FB4867" w:rsidP="002C0BB1">
      <w:pPr>
        <w:spacing w:line="480" w:lineRule="auto"/>
        <w:ind w:left="720" w:hanging="720"/>
        <w:rPr>
          <w:rFonts w:ascii="Times New Roman" w:hAnsi="Times New Roman" w:cs="Times New Roman"/>
          <w14:ligatures w14:val="none"/>
        </w:rPr>
      </w:pPr>
      <w:hyperlink r:id="rId93" w:history="1">
        <w:r w:rsidRPr="00FB4867">
          <w:rPr>
            <w:rFonts w:ascii="Times New Roman" w:hAnsi="Times New Roman" w:cs="Times New Roman"/>
            <w:color w:val="000000"/>
            <w14:ligatures w14:val="none"/>
          </w:rPr>
          <w:t xml:space="preserve">Jeunen, G., Dowle, E., Edgecombe, J., Von Ammon, U., Gemmell, N. J., &amp; Cross, H. (2023). </w:t>
        </w:r>
        <w:r w:rsidRPr="00FB4867">
          <w:rPr>
            <w:rFonts w:ascii="Times New Roman" w:hAnsi="Times New Roman" w:cs="Times New Roman"/>
            <w:smallCaps/>
            <w:color w:val="000000"/>
            <w14:ligatures w14:val="none"/>
          </w:rPr>
          <w:t>crabs</w:t>
        </w:r>
        <w:r w:rsidRPr="00FB4867">
          <w:rPr>
            <w:rFonts w:ascii="Times New Roman" w:hAnsi="Times New Roman" w:cs="Times New Roman"/>
            <w:color w:val="000000"/>
            <w14:ligatures w14:val="none"/>
          </w:rPr>
          <w:t xml:space="preserve">—A software program to generate curated reference databases for metabarcoding sequencing data. </w:t>
        </w:r>
        <w:r w:rsidRPr="00FB4867">
          <w:rPr>
            <w:rFonts w:ascii="Times New Roman" w:hAnsi="Times New Roman" w:cs="Times New Roman"/>
            <w:i/>
            <w:iCs/>
            <w:color w:val="000000"/>
            <w14:ligatures w14:val="none"/>
          </w:rPr>
          <w:t>Molecular Ecology Resources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23</w:t>
        </w:r>
        <w:r w:rsidRPr="00FB4867">
          <w:rPr>
            <w:rFonts w:ascii="Times New Roman" w:hAnsi="Times New Roman" w:cs="Times New Roman"/>
            <w:color w:val="000000"/>
            <w14:ligatures w14:val="none"/>
          </w:rPr>
          <w:t>(3), 725–738. https://doi.org/10.1111/1755-0998.13741 </w:t>
        </w:r>
      </w:hyperlink>
    </w:p>
    <w:p w14:paraId="665C1567" w14:textId="77777777" w:rsidR="00FB4867" w:rsidRPr="00FB4867" w:rsidRDefault="00FB4867" w:rsidP="002C0BB1">
      <w:pPr>
        <w:spacing w:line="480" w:lineRule="auto"/>
        <w:ind w:left="720" w:hanging="720"/>
        <w:rPr>
          <w:rFonts w:ascii="Times New Roman" w:hAnsi="Times New Roman" w:cs="Times New Roman"/>
          <w14:ligatures w14:val="none"/>
        </w:rPr>
      </w:pPr>
      <w:hyperlink r:id="rId94" w:history="1">
        <w:r w:rsidRPr="00FB4867">
          <w:rPr>
            <w:rFonts w:ascii="Times New Roman" w:hAnsi="Times New Roman" w:cs="Times New Roman"/>
            <w:color w:val="000000"/>
            <w14:ligatures w14:val="none"/>
          </w:rPr>
          <w:t xml:space="preserve">Jewell, Z. (2013). Effect of Monitoring Technique on Quality of Conservation Science. </w:t>
        </w:r>
        <w:r w:rsidRPr="00FB4867">
          <w:rPr>
            <w:rFonts w:ascii="Times New Roman" w:hAnsi="Times New Roman" w:cs="Times New Roman"/>
            <w:i/>
            <w:iCs/>
            <w:color w:val="000000"/>
            <w14:ligatures w14:val="none"/>
          </w:rPr>
          <w:t>Conservation Biology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27</w:t>
        </w:r>
        <w:r w:rsidRPr="00FB4867">
          <w:rPr>
            <w:rFonts w:ascii="Times New Roman" w:hAnsi="Times New Roman" w:cs="Times New Roman"/>
            <w:color w:val="000000"/>
            <w14:ligatures w14:val="none"/>
          </w:rPr>
          <w:t>(3), 501–508. https://doi.org/10.1111/cobi.12066 </w:t>
        </w:r>
      </w:hyperlink>
    </w:p>
    <w:p w14:paraId="75ADFA37" w14:textId="77777777" w:rsidR="00FB4867" w:rsidRPr="00FB4867" w:rsidRDefault="00FB4867" w:rsidP="002C0BB1">
      <w:pPr>
        <w:spacing w:line="480" w:lineRule="auto"/>
        <w:ind w:left="720" w:hanging="720"/>
        <w:rPr>
          <w:rFonts w:ascii="Times New Roman" w:hAnsi="Times New Roman" w:cs="Times New Roman"/>
          <w14:ligatures w14:val="none"/>
        </w:rPr>
      </w:pPr>
      <w:hyperlink r:id="rId95" w:history="1">
        <w:r w:rsidRPr="00FB4867">
          <w:rPr>
            <w:rFonts w:ascii="Times New Roman" w:hAnsi="Times New Roman" w:cs="Times New Roman"/>
            <w:color w:val="000000"/>
            <w14:ligatures w14:val="none"/>
          </w:rPr>
          <w:t xml:space="preserve">Ji, F., Han, D., Yan, L., Yan, S., Zha, J., &amp; Shen, J. (2022). Assessment of benthic invertebrate diversity and river ecological status along an urbanized gradient </w:t>
        </w:r>
        <w:r w:rsidRPr="00FB4867">
          <w:rPr>
            <w:rFonts w:ascii="Times New Roman" w:hAnsi="Times New Roman" w:cs="Times New Roman"/>
            <w:color w:val="000000"/>
            <w14:ligatures w14:val="none"/>
          </w:rPr>
          <w:lastRenderedPageBreak/>
          <w:t xml:space="preserve">using environmental DNA metabarcoding and a traditional survey method. </w:t>
        </w:r>
        <w:r w:rsidRPr="00FB4867">
          <w:rPr>
            <w:rFonts w:ascii="Times New Roman" w:hAnsi="Times New Roman" w:cs="Times New Roman"/>
            <w:i/>
            <w:iCs/>
            <w:color w:val="000000"/>
            <w14:ligatures w14:val="none"/>
          </w:rPr>
          <w:t>Science of The Total Environment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806</w:t>
        </w:r>
        <w:r w:rsidRPr="00FB4867">
          <w:rPr>
            <w:rFonts w:ascii="Times New Roman" w:hAnsi="Times New Roman" w:cs="Times New Roman"/>
            <w:color w:val="000000"/>
            <w14:ligatures w14:val="none"/>
          </w:rPr>
          <w:t>, 150587. https://doi.org/10.1016/j.scitotenv.2021.150587 </w:t>
        </w:r>
      </w:hyperlink>
    </w:p>
    <w:p w14:paraId="2E64FC1A" w14:textId="77777777" w:rsidR="00FB4867" w:rsidRPr="00FB4867" w:rsidRDefault="00FB4867" w:rsidP="002C0BB1">
      <w:pPr>
        <w:spacing w:line="480" w:lineRule="auto"/>
        <w:ind w:left="720" w:hanging="720"/>
        <w:rPr>
          <w:rFonts w:ascii="Times New Roman" w:hAnsi="Times New Roman" w:cs="Times New Roman"/>
          <w14:ligatures w14:val="none"/>
        </w:rPr>
      </w:pPr>
      <w:hyperlink r:id="rId96" w:history="1">
        <w:r w:rsidRPr="00FB4867">
          <w:rPr>
            <w:rFonts w:ascii="Times New Roman" w:hAnsi="Times New Roman" w:cs="Times New Roman"/>
            <w:color w:val="000000"/>
            <w14:ligatures w14:val="none"/>
          </w:rPr>
          <w:t xml:space="preserve">Jo, T., Murakami, H., Yamamoto, S., Masuda, R., &amp; Minamoto, T. (2019). Effect of water temperature and fish biomass on environmental DNA shedding, degradation, and size distribution. </w:t>
        </w:r>
        <w:r w:rsidRPr="00FB4867">
          <w:rPr>
            <w:rFonts w:ascii="Times New Roman" w:hAnsi="Times New Roman" w:cs="Times New Roman"/>
            <w:i/>
            <w:iCs/>
            <w:color w:val="000000"/>
            <w14:ligatures w14:val="none"/>
          </w:rPr>
          <w:t>Ecology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9</w:t>
        </w:r>
        <w:r w:rsidRPr="00FB4867">
          <w:rPr>
            <w:rFonts w:ascii="Times New Roman" w:hAnsi="Times New Roman" w:cs="Times New Roman"/>
            <w:color w:val="000000"/>
            <w14:ligatures w14:val="none"/>
          </w:rPr>
          <w:t>(3), 1135–1146. https://doi.org/10.1002/ece3.4802 </w:t>
        </w:r>
      </w:hyperlink>
    </w:p>
    <w:p w14:paraId="73284F7A" w14:textId="77777777" w:rsidR="00FB4867" w:rsidRPr="00FB4867" w:rsidRDefault="00FB4867" w:rsidP="002C0BB1">
      <w:pPr>
        <w:spacing w:line="480" w:lineRule="auto"/>
        <w:ind w:left="720" w:hanging="720"/>
        <w:rPr>
          <w:rFonts w:ascii="Times New Roman" w:hAnsi="Times New Roman" w:cs="Times New Roman"/>
          <w14:ligatures w14:val="none"/>
        </w:rPr>
      </w:pPr>
      <w:hyperlink r:id="rId97" w:history="1">
        <w:r w:rsidRPr="00FB4867">
          <w:rPr>
            <w:rFonts w:ascii="Times New Roman" w:hAnsi="Times New Roman" w:cs="Times New Roman"/>
            <w:color w:val="000000"/>
            <w14:ligatures w14:val="none"/>
          </w:rPr>
          <w:t xml:space="preserve">Joly, S., Davies, T. J., Archambault, A., Bruneau, A., Derry, A., Kembel, S. W., Peres-Neto, P., Vamosi, J., &amp; Wheeler, T. A. (2014). Ecology in the age of DNA barcoding: The resource, the promise and the challenges ahead. </w:t>
        </w:r>
        <w:r w:rsidRPr="00FB4867">
          <w:rPr>
            <w:rFonts w:ascii="Times New Roman" w:hAnsi="Times New Roman" w:cs="Times New Roman"/>
            <w:i/>
            <w:iCs/>
            <w:color w:val="000000"/>
            <w14:ligatures w14:val="none"/>
          </w:rPr>
          <w:t>Molecular Ecology Resources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14</w:t>
        </w:r>
        <w:r w:rsidRPr="00FB4867">
          <w:rPr>
            <w:rFonts w:ascii="Times New Roman" w:hAnsi="Times New Roman" w:cs="Times New Roman"/>
            <w:color w:val="000000"/>
            <w14:ligatures w14:val="none"/>
          </w:rPr>
          <w:t>(2), 221–232. https://doi.org/10.1111/1755-0998.12173 </w:t>
        </w:r>
      </w:hyperlink>
    </w:p>
    <w:p w14:paraId="6C7DF9F2" w14:textId="77777777" w:rsidR="00FB4867" w:rsidRPr="00FB4867" w:rsidRDefault="00FB4867" w:rsidP="002C0BB1">
      <w:pPr>
        <w:spacing w:line="480" w:lineRule="auto"/>
        <w:ind w:left="720" w:hanging="720"/>
        <w:rPr>
          <w:rFonts w:ascii="Times New Roman" w:hAnsi="Times New Roman" w:cs="Times New Roman"/>
          <w14:ligatures w14:val="none"/>
        </w:rPr>
      </w:pPr>
      <w:hyperlink r:id="rId98" w:history="1">
        <w:r w:rsidRPr="00FB4867">
          <w:rPr>
            <w:rFonts w:ascii="Times New Roman" w:hAnsi="Times New Roman" w:cs="Times New Roman"/>
            <w:color w:val="000000"/>
            <w14:ligatures w14:val="none"/>
          </w:rPr>
          <w:t xml:space="preserve">Kelly, R. P., Lodge, D. M., Lee, K. N., Theroux, S., Sepulveda, A. J., Scholin, C. A., Craine, J. M., Andruszkiewicz Allan, E., Nichols, K. M., Parsons, K. M., Goodwin, K. D., Gold, Z., Chavez, F. P., Noble, R. T., Abbott, C. L., Baerwald, M. R., Naaum, A. M., Thielen, P. M., Simons, A. L., … Weisberg, S. B. (2024). Toward a national eDNA strategy for the United States.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w:t>
        </w:r>
        <w:r w:rsidRPr="00FB4867">
          <w:rPr>
            <w:rFonts w:ascii="Times New Roman" w:hAnsi="Times New Roman" w:cs="Times New Roman"/>
            <w:color w:val="000000"/>
            <w14:ligatures w14:val="none"/>
          </w:rPr>
          <w:t>(1), e432. https://doi.org/10.1002/edn3.432 </w:t>
        </w:r>
      </w:hyperlink>
    </w:p>
    <w:p w14:paraId="37EAB838" w14:textId="77777777" w:rsidR="00FB4867" w:rsidRPr="00FB4867" w:rsidRDefault="00FB4867" w:rsidP="002C0BB1">
      <w:pPr>
        <w:spacing w:line="480" w:lineRule="auto"/>
        <w:ind w:left="720" w:hanging="720"/>
        <w:rPr>
          <w:rFonts w:ascii="Times New Roman" w:hAnsi="Times New Roman" w:cs="Times New Roman"/>
          <w14:ligatures w14:val="none"/>
        </w:rPr>
      </w:pPr>
      <w:hyperlink r:id="rId99" w:history="1">
        <w:r w:rsidRPr="00FB4867">
          <w:rPr>
            <w:rFonts w:ascii="Times New Roman" w:hAnsi="Times New Roman" w:cs="Times New Roman"/>
            <w:color w:val="000000"/>
            <w14:ligatures w14:val="none"/>
          </w:rPr>
          <w:t xml:space="preserve">Kelly, R. P., Port, J. A., Yamahara, K. M., &amp; Crowder, L. B. (2014). Using Environmental DNA to Census Marine Fishes in a Large Mesocosm.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9</w:t>
        </w:r>
        <w:r w:rsidRPr="00FB4867">
          <w:rPr>
            <w:rFonts w:ascii="Times New Roman" w:hAnsi="Times New Roman" w:cs="Times New Roman"/>
            <w:color w:val="000000"/>
            <w14:ligatures w14:val="none"/>
          </w:rPr>
          <w:t>(1), e86175. https://doi.org/10.1371/journal.pone.0086175 </w:t>
        </w:r>
      </w:hyperlink>
    </w:p>
    <w:p w14:paraId="42AA0733"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0" w:history="1">
        <w:r w:rsidRPr="00FB4867">
          <w:rPr>
            <w:rFonts w:ascii="Times New Roman" w:hAnsi="Times New Roman" w:cs="Times New Roman"/>
            <w:color w:val="000000"/>
            <w14:ligatures w14:val="none"/>
          </w:rPr>
          <w:t xml:space="preserve">Klymus, K. E., Richter, C. A., Thompson, N., Hinck, J. E., &amp; Jones, J. W. (2021). Metabarcoding assays for the detection of freshwater mussels (Unionida) with </w:t>
        </w:r>
        <w:r w:rsidRPr="00FB4867">
          <w:rPr>
            <w:rFonts w:ascii="Times New Roman" w:hAnsi="Times New Roman" w:cs="Times New Roman"/>
            <w:color w:val="000000"/>
            <w14:ligatures w14:val="none"/>
          </w:rPr>
          <w:lastRenderedPageBreak/>
          <w:t xml:space="preserve">environmental DNA.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w:t>
        </w:r>
        <w:r w:rsidRPr="00FB4867">
          <w:rPr>
            <w:rFonts w:ascii="Times New Roman" w:hAnsi="Times New Roman" w:cs="Times New Roman"/>
            <w:color w:val="000000"/>
            <w14:ligatures w14:val="none"/>
          </w:rPr>
          <w:t>(1), 231–247. https://doi.org/10.1002/edn3.166 </w:t>
        </w:r>
      </w:hyperlink>
    </w:p>
    <w:p w14:paraId="0FE2F49D"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1" w:history="1">
        <w:r w:rsidRPr="00FB4867">
          <w:rPr>
            <w:rFonts w:ascii="Times New Roman" w:hAnsi="Times New Roman" w:cs="Times New Roman"/>
            <w:color w:val="000000"/>
            <w14:ligatures w14:val="none"/>
          </w:rPr>
          <w:t xml:space="preserve">Kubecka, J., Hohausova, E., Matena, J., Peterka, J., Amarasinghe, U. S., Bonar, S. A., Hateley, J., Hickley, P., Suuronen, P., Tereschenko, V., Welcomme, R., &amp; Winfield, I. J. (2009). The true picture of a lake or reservoir fish stock: A review of needs and progress. </w:t>
        </w:r>
        <w:r w:rsidRPr="00FB4867">
          <w:rPr>
            <w:rFonts w:ascii="Times New Roman" w:hAnsi="Times New Roman" w:cs="Times New Roman"/>
            <w:i/>
            <w:iCs/>
            <w:color w:val="000000"/>
            <w14:ligatures w14:val="none"/>
          </w:rPr>
          <w:t>Fisheries Research</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96</w:t>
        </w:r>
        <w:r w:rsidRPr="00FB4867">
          <w:rPr>
            <w:rFonts w:ascii="Times New Roman" w:hAnsi="Times New Roman" w:cs="Times New Roman"/>
            <w:color w:val="000000"/>
            <w14:ligatures w14:val="none"/>
          </w:rPr>
          <w:t>(1), 1–5. https://doi.org/10.1016/j.fishres.2008.09.021 </w:t>
        </w:r>
      </w:hyperlink>
    </w:p>
    <w:p w14:paraId="10CEF0A6"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2" w:history="1">
        <w:r w:rsidRPr="00FB4867">
          <w:rPr>
            <w:rFonts w:ascii="Times New Roman" w:hAnsi="Times New Roman" w:cs="Times New Roman"/>
            <w:color w:val="000000"/>
            <w14:ligatures w14:val="none"/>
          </w:rPr>
          <w:t xml:space="preserve">Lamb, C. T., Ford, A. T., Proctor, M. F., Royle, J. A., Mowat, G., &amp; Boutin, S. (2019). Genetic tagging in the Anthropocene: Scaling ecology from alleles to ecosystems. </w:t>
        </w:r>
        <w:r w:rsidRPr="00FB4867">
          <w:rPr>
            <w:rFonts w:ascii="Times New Roman" w:hAnsi="Times New Roman" w:cs="Times New Roman"/>
            <w:i/>
            <w:iCs/>
            <w:color w:val="000000"/>
            <w14:ligatures w14:val="none"/>
          </w:rPr>
          <w:t>Ecological Applications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29</w:t>
        </w:r>
        <w:r w:rsidRPr="00FB4867">
          <w:rPr>
            <w:rFonts w:ascii="Times New Roman" w:hAnsi="Times New Roman" w:cs="Times New Roman"/>
            <w:color w:val="000000"/>
            <w14:ligatures w14:val="none"/>
          </w:rPr>
          <w:t>(4), e01876. https://doi.org/10.1002/eap.1876 </w:t>
        </w:r>
      </w:hyperlink>
    </w:p>
    <w:p w14:paraId="6DF2B9F6"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3" w:history="1">
        <w:r w:rsidRPr="00FB4867">
          <w:rPr>
            <w:rFonts w:ascii="Times New Roman" w:hAnsi="Times New Roman" w:cs="Times New Roman"/>
            <w:color w:val="000000"/>
            <w14:ligatures w14:val="none"/>
          </w:rPr>
          <w:t xml:space="preserve">Levy-Booth, D. J., Campbell, R. G., Gulden, R. H., Hart, M. M., Powell, J. R., Klironomos, J. N., Pauls, K. P., Swanton, C. J., Trevors, J. T., &amp; Dunfield, K. E. (2007). Cycling of extracellular DNA in the soil environment. </w:t>
        </w:r>
        <w:r w:rsidRPr="00FB4867">
          <w:rPr>
            <w:rFonts w:ascii="Times New Roman" w:hAnsi="Times New Roman" w:cs="Times New Roman"/>
            <w:i/>
            <w:iCs/>
            <w:color w:val="000000"/>
            <w14:ligatures w14:val="none"/>
          </w:rPr>
          <w:t>Soil Biology and Biochemistry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39</w:t>
        </w:r>
        <w:r w:rsidRPr="00FB4867">
          <w:rPr>
            <w:rFonts w:ascii="Times New Roman" w:hAnsi="Times New Roman" w:cs="Times New Roman"/>
            <w:color w:val="000000"/>
            <w14:ligatures w14:val="none"/>
          </w:rPr>
          <w:t>(12), 2977–2991. https://doi.org/10.1016/j.soilbio.2007.06.020 </w:t>
        </w:r>
      </w:hyperlink>
    </w:p>
    <w:p w14:paraId="13D51246"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4" w:history="1">
        <w:r w:rsidRPr="00FB4867">
          <w:rPr>
            <w:rFonts w:ascii="Times New Roman" w:hAnsi="Times New Roman" w:cs="Times New Roman"/>
            <w:color w:val="000000"/>
            <w14:ligatures w14:val="none"/>
          </w:rPr>
          <w:t xml:space="preserve">Li, Y., &amp; Breaker, R. R. (1999). Kinetics of RNA Degradation by Specific Base Catalysis of Transesterification Involving the 2‘-Hydroxyl Group. </w:t>
        </w:r>
        <w:r w:rsidRPr="00FB4867">
          <w:rPr>
            <w:rFonts w:ascii="Times New Roman" w:hAnsi="Times New Roman" w:cs="Times New Roman"/>
            <w:i/>
            <w:iCs/>
            <w:color w:val="000000"/>
            <w14:ligatures w14:val="none"/>
          </w:rPr>
          <w:t>Journal of the American Chemical Society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121</w:t>
        </w:r>
        <w:r w:rsidRPr="00FB4867">
          <w:rPr>
            <w:rFonts w:ascii="Times New Roman" w:hAnsi="Times New Roman" w:cs="Times New Roman"/>
            <w:color w:val="000000"/>
            <w14:ligatures w14:val="none"/>
          </w:rPr>
          <w:t>, 5364–5372. </w:t>
        </w:r>
      </w:hyperlink>
    </w:p>
    <w:p w14:paraId="702ABD4D"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5" w:history="1">
        <w:r w:rsidRPr="00FB4867">
          <w:rPr>
            <w:rFonts w:ascii="Times New Roman" w:hAnsi="Times New Roman" w:cs="Times New Roman"/>
            <w:color w:val="000000"/>
            <w14:ligatures w14:val="none"/>
          </w:rPr>
          <w:t xml:space="preserve">Liermann, C. R., Nilsson, C., Robertson, J., &amp; Ng, R. Y. (2012). Implications of Dam Obstruction for Global Freshwater Fish Diversity. </w:t>
        </w:r>
        <w:r w:rsidRPr="00FB4867">
          <w:rPr>
            <w:rFonts w:ascii="Times New Roman" w:hAnsi="Times New Roman" w:cs="Times New Roman"/>
            <w:i/>
            <w:iCs/>
            <w:color w:val="000000"/>
            <w14:ligatures w14:val="none"/>
          </w:rPr>
          <w:t>BioScience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62</w:t>
        </w:r>
        <w:r w:rsidRPr="00FB4867">
          <w:rPr>
            <w:rFonts w:ascii="Times New Roman" w:hAnsi="Times New Roman" w:cs="Times New Roman"/>
            <w:color w:val="000000"/>
            <w14:ligatures w14:val="none"/>
          </w:rPr>
          <w:t>(6), 539–548. https://doi.org/10.1525/bio.2012.62.6.5 </w:t>
        </w:r>
      </w:hyperlink>
    </w:p>
    <w:p w14:paraId="32AD23D1"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6" w:history="1">
        <w:r w:rsidRPr="00FB4867">
          <w:rPr>
            <w:rFonts w:ascii="Times New Roman" w:hAnsi="Times New Roman" w:cs="Times New Roman"/>
            <w:color w:val="000000"/>
            <w14:ligatures w14:val="none"/>
          </w:rPr>
          <w:t xml:space="preserve">Lin, X., Jiang, K., Liu, W., Liu, W., Bu, W., Wang, X., &amp; Mo, L. (2021). Toward a global DNA barcode reference library of the intolerant nonbiting midge genus </w:t>
        </w:r>
        <w:r w:rsidRPr="00FB4867">
          <w:rPr>
            <w:rFonts w:ascii="Times New Roman" w:hAnsi="Times New Roman" w:cs="Times New Roman"/>
            <w:i/>
            <w:iCs/>
            <w:color w:val="000000"/>
            <w14:ligatures w14:val="none"/>
          </w:rPr>
          <w:lastRenderedPageBreak/>
          <w:t>Rheocricotopus</w:t>
        </w:r>
        <w:r w:rsidRPr="00FB4867">
          <w:rPr>
            <w:rFonts w:ascii="Times New Roman" w:hAnsi="Times New Roman" w:cs="Times New Roman"/>
            <w:color w:val="000000"/>
            <w14:ligatures w14:val="none"/>
          </w:rPr>
          <w:t xml:space="preserve"> Brundin, 1956. </w:t>
        </w:r>
        <w:r w:rsidRPr="00FB4867">
          <w:rPr>
            <w:rFonts w:ascii="Times New Roman" w:hAnsi="Times New Roman" w:cs="Times New Roman"/>
            <w:i/>
            <w:iCs/>
            <w:color w:val="000000"/>
            <w14:ligatures w14:val="none"/>
          </w:rPr>
          <w:t>Ecology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11</w:t>
        </w:r>
        <w:r w:rsidRPr="00FB4867">
          <w:rPr>
            <w:rFonts w:ascii="Times New Roman" w:hAnsi="Times New Roman" w:cs="Times New Roman"/>
            <w:color w:val="000000"/>
            <w14:ligatures w14:val="none"/>
          </w:rPr>
          <w:t>(17), 12161–12172. https://doi.org/10.1002/ece3.7979 </w:t>
        </w:r>
      </w:hyperlink>
    </w:p>
    <w:p w14:paraId="3743D1AF"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7" w:history="1">
        <w:r w:rsidRPr="00FB4867">
          <w:rPr>
            <w:rFonts w:ascii="Times New Roman" w:hAnsi="Times New Roman" w:cs="Times New Roman"/>
            <w:color w:val="000000"/>
            <w14:ligatures w14:val="none"/>
          </w:rPr>
          <w:t xml:space="preserve">Liu, S., Chen, J., Cui, G., Zhang, B., Yan, B., &amp; Nie, Q. (2025). Environmental DNA metabarcoding: Current applications and future prospects for freshwater fish monitoring. </w:t>
        </w:r>
        <w:r w:rsidRPr="00FB4867">
          <w:rPr>
            <w:rFonts w:ascii="Times New Roman" w:hAnsi="Times New Roman" w:cs="Times New Roman"/>
            <w:i/>
            <w:iCs/>
            <w:color w:val="000000"/>
            <w14:ligatures w14:val="none"/>
          </w:rPr>
          <w:t>Journal of Environmental Management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376</w:t>
        </w:r>
        <w:r w:rsidRPr="00FB4867">
          <w:rPr>
            <w:rFonts w:ascii="Times New Roman" w:hAnsi="Times New Roman" w:cs="Times New Roman"/>
            <w:color w:val="000000"/>
            <w14:ligatures w14:val="none"/>
          </w:rPr>
          <w:t>, 124531. https://doi.org/10.1016/j.jenvman.2025.124531 </w:t>
        </w:r>
      </w:hyperlink>
    </w:p>
    <w:p w14:paraId="3FCFE85D"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8" w:history="1">
        <w:r w:rsidRPr="00FB4867">
          <w:rPr>
            <w:rFonts w:ascii="Times New Roman" w:hAnsi="Times New Roman" w:cs="Times New Roman"/>
            <w:color w:val="000000"/>
            <w14:ligatures w14:val="none"/>
          </w:rPr>
          <w:t xml:space="preserve">Lodge, D. M., Turner, C. R., Jerde, C. L., Barnes, M. A., Chadderton, L., Egan, S. P., Feder, J. L., Mahon, A. R., &amp; Pfrender, M. E. (2012). Conservation in a cup of water: Estimating biodiversity and population abundance from environmental DNA.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21</w:t>
        </w:r>
        <w:r w:rsidRPr="00FB4867">
          <w:rPr>
            <w:rFonts w:ascii="Times New Roman" w:hAnsi="Times New Roman" w:cs="Times New Roman"/>
            <w:color w:val="000000"/>
            <w14:ligatures w14:val="none"/>
          </w:rPr>
          <w:t>(11), 2555–2558. https://doi.org/10.1111/j.1365-294X.2012.05600.x </w:t>
        </w:r>
      </w:hyperlink>
    </w:p>
    <w:p w14:paraId="2611FDB2" w14:textId="77777777" w:rsidR="00FB4867" w:rsidRPr="00FB4867" w:rsidRDefault="00FB4867" w:rsidP="002C0BB1">
      <w:pPr>
        <w:spacing w:line="480" w:lineRule="auto"/>
        <w:ind w:left="720" w:hanging="720"/>
        <w:rPr>
          <w:rFonts w:ascii="Times New Roman" w:hAnsi="Times New Roman" w:cs="Times New Roman"/>
          <w14:ligatures w14:val="none"/>
        </w:rPr>
      </w:pPr>
      <w:hyperlink r:id="rId109" w:history="1">
        <w:r w:rsidRPr="00FB4867">
          <w:rPr>
            <w:rFonts w:ascii="Times New Roman" w:hAnsi="Times New Roman" w:cs="Times New Roman"/>
            <w:color w:val="000000"/>
            <w14:ligatures w14:val="none"/>
          </w:rPr>
          <w:t xml:space="preserve">Lotz, A., &amp; Allen, C. R. (2007). Observer Bias in Anuran Call Surveys. </w:t>
        </w:r>
        <w:r w:rsidRPr="00FB4867">
          <w:rPr>
            <w:rFonts w:ascii="Times New Roman" w:hAnsi="Times New Roman" w:cs="Times New Roman"/>
            <w:i/>
            <w:iCs/>
            <w:color w:val="000000"/>
            <w14:ligatures w14:val="none"/>
          </w:rPr>
          <w:t>The Journal of Wildlife Management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71</w:t>
        </w:r>
        <w:r w:rsidRPr="00FB4867">
          <w:rPr>
            <w:rFonts w:ascii="Times New Roman" w:hAnsi="Times New Roman" w:cs="Times New Roman"/>
            <w:color w:val="000000"/>
            <w14:ligatures w14:val="none"/>
          </w:rPr>
          <w:t>(2), 675–679. https://doi.org/10.2193/2005-759 </w:t>
        </w:r>
      </w:hyperlink>
    </w:p>
    <w:p w14:paraId="1B3E5B33"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0" w:history="1">
        <w:r w:rsidRPr="00FB4867">
          <w:rPr>
            <w:rFonts w:ascii="Times New Roman" w:hAnsi="Times New Roman" w:cs="Times New Roman"/>
            <w:color w:val="000000"/>
            <w14:ligatures w14:val="none"/>
          </w:rPr>
          <w:t xml:space="preserve">Lundberg, J. G., Kottelat, M., Smith, G. R., Stiassny, M. L. J., &amp; Gill, A. C. (2000). So Many Fishes, So Little Time: An Overview of Recent Ichthyological Discovery in Continental Waters. </w:t>
        </w:r>
        <w:r w:rsidRPr="00FB4867">
          <w:rPr>
            <w:rFonts w:ascii="Times New Roman" w:hAnsi="Times New Roman" w:cs="Times New Roman"/>
            <w:i/>
            <w:iCs/>
            <w:color w:val="000000"/>
            <w14:ligatures w14:val="none"/>
          </w:rPr>
          <w:t>Annals of the Missouri Botanical Garden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87</w:t>
        </w:r>
        <w:r w:rsidRPr="00FB4867">
          <w:rPr>
            <w:rFonts w:ascii="Times New Roman" w:hAnsi="Times New Roman" w:cs="Times New Roman"/>
            <w:color w:val="000000"/>
            <w14:ligatures w14:val="none"/>
          </w:rPr>
          <w:t>(1), 26–62. https://doi.org/10.2307/2666207 </w:t>
        </w:r>
      </w:hyperlink>
    </w:p>
    <w:p w14:paraId="423D7C95"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1" w:history="1">
        <w:r w:rsidRPr="00FB4867">
          <w:rPr>
            <w:rFonts w:ascii="Times New Roman" w:hAnsi="Times New Roman" w:cs="Times New Roman"/>
            <w:color w:val="000000"/>
            <w14:ligatures w14:val="none"/>
          </w:rPr>
          <w:t xml:space="preserve">Macher, T.-H., Arle, J., Beermann, A. J., Frank, L., Hupało, K., Koschorreck, J., Schütz, R., &amp; Leese, F. (2024). Is it worth the extra mile? Comparing environmental DNA and RNA metabarcoding for vertebrate and invertebrate biodiversity surveys in a lowland stream. </w:t>
        </w:r>
        <w:r w:rsidRPr="00FB4867">
          <w:rPr>
            <w:rFonts w:ascii="Times New Roman" w:hAnsi="Times New Roman" w:cs="Times New Roman"/>
            <w:i/>
            <w:iCs/>
            <w:color w:val="000000"/>
            <w14:ligatures w14:val="none"/>
          </w:rPr>
          <w:t>PeerJ</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12</w:t>
        </w:r>
        <w:r w:rsidRPr="00FB4867">
          <w:rPr>
            <w:rFonts w:ascii="Times New Roman" w:hAnsi="Times New Roman" w:cs="Times New Roman"/>
            <w:color w:val="000000"/>
            <w14:ligatures w14:val="none"/>
          </w:rPr>
          <w:t>, e18016. https://doi.org/10.7717/peerj.18016 </w:t>
        </w:r>
      </w:hyperlink>
    </w:p>
    <w:p w14:paraId="4BE13DCA"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2" w:history="1">
        <w:r w:rsidRPr="00FB4867">
          <w:rPr>
            <w:rFonts w:ascii="Times New Roman" w:hAnsi="Times New Roman" w:cs="Times New Roman"/>
            <w:color w:val="000000"/>
            <w14:ligatures w14:val="none"/>
          </w:rPr>
          <w:t xml:space="preserve">Mächler, E., Deiner, K., Steinmann, P., &amp; Altermatt, F. (2014). Utility of Environmental DNA for Monitoring Rare and Indicator Macroinvertebrate Species. </w:t>
        </w:r>
        <w:r w:rsidRPr="00FB4867">
          <w:rPr>
            <w:rFonts w:ascii="Times New Roman" w:hAnsi="Times New Roman" w:cs="Times New Roman"/>
            <w:i/>
            <w:iCs/>
            <w:color w:val="000000"/>
            <w14:ligatures w14:val="none"/>
          </w:rPr>
          <w:t>Freshwater Science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33</w:t>
        </w:r>
        <w:r w:rsidRPr="00FB4867">
          <w:rPr>
            <w:rFonts w:ascii="Times New Roman" w:hAnsi="Times New Roman" w:cs="Times New Roman"/>
            <w:color w:val="000000"/>
            <w14:ligatures w14:val="none"/>
          </w:rPr>
          <w:t>(4), 1174–1183. https://doi.org/10.1086/678128 </w:t>
        </w:r>
      </w:hyperlink>
    </w:p>
    <w:p w14:paraId="1B0C4A2C"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3" w:history="1">
        <w:r w:rsidRPr="00FB4867">
          <w:rPr>
            <w:rFonts w:ascii="Times New Roman" w:hAnsi="Times New Roman" w:cs="Times New Roman"/>
            <w:color w:val="000000"/>
            <w14:ligatures w14:val="none"/>
          </w:rPr>
          <w:t xml:space="preserve">Mächler, E., Little, C. J., Wüthrich, R., Alther, R., Fronhofer, E. A., Gounand, I., Harvey, E., Hürlemann, S., Walser, J.-C., &amp; Altermatt, F. (2019). Assessing different components of diversity across a river network using eDNA.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w:t>
        </w:r>
        <w:r w:rsidRPr="00FB4867">
          <w:rPr>
            <w:rFonts w:ascii="Times New Roman" w:hAnsi="Times New Roman" w:cs="Times New Roman"/>
            <w:color w:val="000000"/>
            <w14:ligatures w14:val="none"/>
          </w:rPr>
          <w:t>(3), 290–301. https://doi.org/10.1002/edn3.33 </w:t>
        </w:r>
      </w:hyperlink>
    </w:p>
    <w:p w14:paraId="41864104"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4" w:history="1">
        <w:r w:rsidRPr="00FB4867">
          <w:rPr>
            <w:rFonts w:ascii="Times New Roman" w:hAnsi="Times New Roman" w:cs="Times New Roman"/>
            <w:color w:val="000000"/>
            <w14:ligatures w14:val="none"/>
          </w:rPr>
          <w:t xml:space="preserve">MacKenzie, D. I., Nichols, James. D., Sutton, N., Kawanishi, K., &amp; Bailey, L. L. (2005). Improving Inferences in Population Studies of Rare Species That Are Detected Imperfectly. </w:t>
        </w:r>
        <w:r w:rsidRPr="00FB4867">
          <w:rPr>
            <w:rFonts w:ascii="Times New Roman" w:hAnsi="Times New Roman" w:cs="Times New Roman"/>
            <w:i/>
            <w:iCs/>
            <w:color w:val="000000"/>
            <w14:ligatures w14:val="none"/>
          </w:rPr>
          <w:t>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86</w:t>
        </w:r>
        <w:r w:rsidRPr="00FB4867">
          <w:rPr>
            <w:rFonts w:ascii="Times New Roman" w:hAnsi="Times New Roman" w:cs="Times New Roman"/>
            <w:color w:val="000000"/>
            <w14:ligatures w14:val="none"/>
          </w:rPr>
          <w:t>(5), 1101–1113. https://doi.org/10.1890/04-1060 </w:t>
        </w:r>
      </w:hyperlink>
    </w:p>
    <w:p w14:paraId="567917C9"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5" w:history="1">
        <w:r w:rsidRPr="00FB4867">
          <w:rPr>
            <w:rFonts w:ascii="Times New Roman" w:hAnsi="Times New Roman" w:cs="Times New Roman"/>
            <w:color w:val="000000"/>
            <w14:ligatures w14:val="none"/>
          </w:rPr>
          <w:t xml:space="preserve">Magoč, T., &amp; Salzberg, S. L. (2011). FLASH: Fast length adjustment of short reads to improve genome assemblies. </w:t>
        </w:r>
        <w:r w:rsidRPr="00FB4867">
          <w:rPr>
            <w:rFonts w:ascii="Times New Roman" w:hAnsi="Times New Roman" w:cs="Times New Roman"/>
            <w:i/>
            <w:iCs/>
            <w:color w:val="000000"/>
            <w14:ligatures w14:val="none"/>
          </w:rPr>
          <w:t>Bioinformatics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27</w:t>
        </w:r>
        <w:r w:rsidRPr="00FB4867">
          <w:rPr>
            <w:rFonts w:ascii="Times New Roman" w:hAnsi="Times New Roman" w:cs="Times New Roman"/>
            <w:color w:val="000000"/>
            <w14:ligatures w14:val="none"/>
          </w:rPr>
          <w:t>(21), 2957–2963. https://doi.org/10.1093/bioinformatics/btr507 </w:t>
        </w:r>
      </w:hyperlink>
    </w:p>
    <w:p w14:paraId="7E9251FB"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6" w:history="1">
        <w:r w:rsidRPr="00FB4867">
          <w:rPr>
            <w:rFonts w:ascii="Times New Roman" w:hAnsi="Times New Roman" w:cs="Times New Roman"/>
            <w:color w:val="000000"/>
            <w14:ligatures w14:val="none"/>
          </w:rPr>
          <w:t xml:space="preserve">Manel, S., Gauthier, J., Benestan, L., Dubois, M., Romant, L., Macé, B., Bruno, M., Arnal, V., Testud, G., Garcia, M., Carrasquer Puyal, I., Bilat, J., Miaud, C., &amp; Alvarez, N. (2025). An enrichment‐based capture method from nuclear environmental </w:t>
        </w:r>
        <w:r w:rsidRPr="00FB4867">
          <w:rPr>
            <w:rFonts w:ascii="Times New Roman" w:hAnsi="Times New Roman" w:cs="Times New Roman"/>
            <w:smallCaps/>
            <w:color w:val="000000"/>
            <w14:ligatures w14:val="none"/>
          </w:rPr>
          <w:t>DNA</w:t>
        </w:r>
        <w:r w:rsidRPr="00FB4867">
          <w:rPr>
            <w:rFonts w:ascii="Times New Roman" w:hAnsi="Times New Roman" w:cs="Times New Roman"/>
            <w:color w:val="000000"/>
            <w14:ligatures w14:val="none"/>
          </w:rPr>
          <w:t xml:space="preserve"> presents new opportunities for population genomics: A case study on the common frog. </w:t>
        </w:r>
        <w:r w:rsidRPr="00FB4867">
          <w:rPr>
            <w:rFonts w:ascii="Times New Roman" w:hAnsi="Times New Roman" w:cs="Times New Roman"/>
            <w:i/>
            <w:iCs/>
            <w:color w:val="000000"/>
            <w14:ligatures w14:val="none"/>
          </w:rPr>
          <w:t>Methods in Ecology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16</w:t>
        </w:r>
        <w:r w:rsidRPr="00FB4867">
          <w:rPr>
            <w:rFonts w:ascii="Times New Roman" w:hAnsi="Times New Roman" w:cs="Times New Roman"/>
            <w:color w:val="000000"/>
            <w14:ligatures w14:val="none"/>
          </w:rPr>
          <w:t>(6), 1106–1115. https://doi.org/10.1111/2041-210X.70039 </w:t>
        </w:r>
      </w:hyperlink>
    </w:p>
    <w:p w14:paraId="4E6013D4"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7" w:history="1">
        <w:r w:rsidRPr="00FB4867">
          <w:rPr>
            <w:rFonts w:ascii="Times New Roman" w:hAnsi="Times New Roman" w:cs="Times New Roman"/>
            <w:color w:val="000000"/>
            <w14:ligatures w14:val="none"/>
          </w:rPr>
          <w:t xml:space="preserve">Marshall, E. (2005). Taxonomy. Will DNA bar codes breathe life into classification? </w:t>
        </w:r>
        <w:r w:rsidRPr="00FB4867">
          <w:rPr>
            <w:rFonts w:ascii="Times New Roman" w:hAnsi="Times New Roman" w:cs="Times New Roman"/>
            <w:i/>
            <w:iCs/>
            <w:color w:val="000000"/>
            <w14:ligatures w14:val="none"/>
          </w:rPr>
          <w:t>Science (New York, N.Y.)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307</w:t>
        </w:r>
        <w:r w:rsidRPr="00FB4867">
          <w:rPr>
            <w:rFonts w:ascii="Times New Roman" w:hAnsi="Times New Roman" w:cs="Times New Roman"/>
            <w:color w:val="000000"/>
            <w14:ligatures w14:val="none"/>
          </w:rPr>
          <w:t>(5712), 1037. https://doi.org/10.1126/science.307.5712.1037 </w:t>
        </w:r>
      </w:hyperlink>
    </w:p>
    <w:p w14:paraId="56E5796A"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8" w:history="1">
        <w:r w:rsidRPr="00FB4867">
          <w:rPr>
            <w:rFonts w:ascii="Times New Roman" w:hAnsi="Times New Roman" w:cs="Times New Roman"/>
            <w:color w:val="000000"/>
            <w14:ligatures w14:val="none"/>
          </w:rPr>
          <w:t xml:space="preserve">Marshall, N. T., &amp; Stepien, C. A. (2019). Invasion genetics from eDNA and thousands of larvae: A targeted metabarcoding assay that distinguishes species and population variation of zebra and quagga mussels. </w:t>
        </w:r>
        <w:r w:rsidRPr="00FB4867">
          <w:rPr>
            <w:rFonts w:ascii="Times New Roman" w:hAnsi="Times New Roman" w:cs="Times New Roman"/>
            <w:i/>
            <w:iCs/>
            <w:color w:val="000000"/>
            <w14:ligatures w14:val="none"/>
          </w:rPr>
          <w:t>Ecology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9</w:t>
        </w:r>
        <w:r w:rsidRPr="00FB4867">
          <w:rPr>
            <w:rFonts w:ascii="Times New Roman" w:hAnsi="Times New Roman" w:cs="Times New Roman"/>
            <w:color w:val="000000"/>
            <w14:ligatures w14:val="none"/>
          </w:rPr>
          <w:t>(6), 3515–3538. https://doi.org/10.1002/ece3.4985 </w:t>
        </w:r>
      </w:hyperlink>
    </w:p>
    <w:p w14:paraId="3C6FC9B3" w14:textId="77777777" w:rsidR="00FB4867" w:rsidRPr="00FB4867" w:rsidRDefault="00FB4867" w:rsidP="002C0BB1">
      <w:pPr>
        <w:spacing w:line="480" w:lineRule="auto"/>
        <w:ind w:left="720" w:hanging="720"/>
        <w:rPr>
          <w:rFonts w:ascii="Times New Roman" w:hAnsi="Times New Roman" w:cs="Times New Roman"/>
          <w14:ligatures w14:val="none"/>
        </w:rPr>
      </w:pPr>
      <w:hyperlink r:id="rId119" w:history="1">
        <w:r w:rsidRPr="00FB4867">
          <w:rPr>
            <w:rFonts w:ascii="Times New Roman" w:hAnsi="Times New Roman" w:cs="Times New Roman"/>
            <w:color w:val="000000"/>
            <w14:ligatures w14:val="none"/>
          </w:rPr>
          <w:t xml:space="preserve">Marshall, N. T., Symonds, D. E., Dean, C. A., Schumer, G., &amp; Fleece, W. C. (2022). Evaluating environmental DNA metabarcoding as a survey tool for unionid mussel assessments. </w:t>
        </w:r>
        <w:r w:rsidRPr="00FB4867">
          <w:rPr>
            <w:rFonts w:ascii="Times New Roman" w:hAnsi="Times New Roman" w:cs="Times New Roman"/>
            <w:i/>
            <w:iCs/>
            <w:color w:val="000000"/>
            <w14:ligatures w14:val="none"/>
          </w:rPr>
          <w:t>Freshwater Biology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67</w:t>
        </w:r>
        <w:r w:rsidRPr="00FB4867">
          <w:rPr>
            <w:rFonts w:ascii="Times New Roman" w:hAnsi="Times New Roman" w:cs="Times New Roman"/>
            <w:color w:val="000000"/>
            <w14:ligatures w14:val="none"/>
          </w:rPr>
          <w:t>(9), 1483–1507. https://doi.org/10.1111/fwb.13955 </w:t>
        </w:r>
      </w:hyperlink>
    </w:p>
    <w:p w14:paraId="2799AAFA"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0" w:history="1">
        <w:r w:rsidRPr="00FB4867">
          <w:rPr>
            <w:rFonts w:ascii="Times New Roman" w:hAnsi="Times New Roman" w:cs="Times New Roman"/>
            <w:color w:val="000000"/>
            <w14:ligatures w14:val="none"/>
          </w:rPr>
          <w:t xml:space="preserve">Marshall, N. T., Vanderploeg, H. A., &amp; Chaganti, S. R. (2021). Environmental (e)RNA advances the reliability of eDNA by predicting its age. </w:t>
        </w:r>
        <w:r w:rsidRPr="00FB4867">
          <w:rPr>
            <w:rFonts w:ascii="Times New Roman" w:hAnsi="Times New Roman" w:cs="Times New Roman"/>
            <w:i/>
            <w:iCs/>
            <w:color w:val="000000"/>
            <w14:ligatures w14:val="none"/>
          </w:rPr>
          <w:t>Scientific Reports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11</w:t>
        </w:r>
        <w:r w:rsidRPr="00FB4867">
          <w:rPr>
            <w:rFonts w:ascii="Times New Roman" w:hAnsi="Times New Roman" w:cs="Times New Roman"/>
            <w:color w:val="000000"/>
            <w14:ligatures w14:val="none"/>
          </w:rPr>
          <w:t>(1), 2769. https://doi.org/10.1038/s41598-021-82205-4 </w:t>
        </w:r>
      </w:hyperlink>
    </w:p>
    <w:p w14:paraId="4D40EF38"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1" w:history="1">
        <w:r w:rsidRPr="00FB4867">
          <w:rPr>
            <w:rFonts w:ascii="Times New Roman" w:hAnsi="Times New Roman" w:cs="Times New Roman"/>
            <w:color w:val="000000"/>
            <w14:ligatures w14:val="none"/>
          </w:rPr>
          <w:t xml:space="preserve">Miya, M., Sato, Y., Fukunaga, T., Sado, T., Poulsen, J. Y., Sato, K., Minamoto, T., Yamamoto, S., Yamanaka, H., Araki, H., Kondoh, M., &amp; Iwasaki, W. (2015). MiFish, a set of universal PCR primers for metabarcoding environmental DNA from fishes: Detection of more than 230 subtropical marine species. </w:t>
        </w:r>
        <w:r w:rsidRPr="00FB4867">
          <w:rPr>
            <w:rFonts w:ascii="Times New Roman" w:hAnsi="Times New Roman" w:cs="Times New Roman"/>
            <w:i/>
            <w:iCs/>
            <w:color w:val="000000"/>
            <w14:ligatures w14:val="none"/>
          </w:rPr>
          <w:t>Royal Society Open Science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w:t>
        </w:r>
        <w:r w:rsidRPr="00FB4867">
          <w:rPr>
            <w:rFonts w:ascii="Times New Roman" w:hAnsi="Times New Roman" w:cs="Times New Roman"/>
            <w:color w:val="000000"/>
            <w14:ligatures w14:val="none"/>
          </w:rPr>
          <w:t>(7), 150088. https://doi.org/10.1098/rsos.150088 </w:t>
        </w:r>
      </w:hyperlink>
    </w:p>
    <w:p w14:paraId="4F260C3D"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2" w:history="1">
        <w:r w:rsidRPr="00FB4867">
          <w:rPr>
            <w:rFonts w:ascii="Times New Roman" w:hAnsi="Times New Roman" w:cs="Times New Roman"/>
            <w:color w:val="000000"/>
            <w14:ligatures w14:val="none"/>
          </w:rPr>
          <w:t xml:space="preserve">Miyata, K., Inoue, Y., Amano, Y., Nishioka, T., Yamane, M., Kawaguchi, T., Morita, O., &amp; Honda, H. (2021). Fish environmental RNA enables precise ecological surveys with high positive predictivity. </w:t>
        </w:r>
        <w:r w:rsidRPr="00FB4867">
          <w:rPr>
            <w:rFonts w:ascii="Times New Roman" w:hAnsi="Times New Roman" w:cs="Times New Roman"/>
            <w:i/>
            <w:iCs/>
            <w:color w:val="000000"/>
            <w14:ligatures w14:val="none"/>
          </w:rPr>
          <w:t>Ecological Indicators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128</w:t>
        </w:r>
        <w:r w:rsidRPr="00FB4867">
          <w:rPr>
            <w:rFonts w:ascii="Times New Roman" w:hAnsi="Times New Roman" w:cs="Times New Roman"/>
            <w:color w:val="000000"/>
            <w14:ligatures w14:val="none"/>
          </w:rPr>
          <w:t>, 107796. https://doi.org/10.1016/j.ecolind.2021.107796 </w:t>
        </w:r>
      </w:hyperlink>
    </w:p>
    <w:p w14:paraId="01B05249"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3" w:history="1">
        <w:r w:rsidRPr="00FB4867">
          <w:rPr>
            <w:rFonts w:ascii="Times New Roman" w:hAnsi="Times New Roman" w:cs="Times New Roman"/>
            <w:color w:val="000000"/>
            <w14:ligatures w14:val="none"/>
          </w:rPr>
          <w:t xml:space="preserve">Morgan, R. K. (2012). Environmental impact assessment: The state of the art. </w:t>
        </w:r>
        <w:r w:rsidRPr="00FB4867">
          <w:rPr>
            <w:rFonts w:ascii="Times New Roman" w:hAnsi="Times New Roman" w:cs="Times New Roman"/>
            <w:i/>
            <w:iCs/>
            <w:color w:val="000000"/>
            <w14:ligatures w14:val="none"/>
          </w:rPr>
          <w:t>Impact Assessment and Project Appraisal</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30</w:t>
        </w:r>
        <w:r w:rsidRPr="00FB4867">
          <w:rPr>
            <w:rFonts w:ascii="Times New Roman" w:hAnsi="Times New Roman" w:cs="Times New Roman"/>
            <w:color w:val="000000"/>
            <w14:ligatures w14:val="none"/>
          </w:rPr>
          <w:t>(1), 5–14. https://doi.org/10.1080/14615517.2012.661557 </w:t>
        </w:r>
      </w:hyperlink>
    </w:p>
    <w:p w14:paraId="645170FE"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4" w:history="1">
        <w:r w:rsidRPr="00FB4867">
          <w:rPr>
            <w:rFonts w:ascii="Times New Roman" w:hAnsi="Times New Roman" w:cs="Times New Roman"/>
            <w:color w:val="000000"/>
            <w14:ligatures w14:val="none"/>
          </w:rPr>
          <w:t xml:space="preserve">Nickerson, M. A., &amp; Mays, C. E. (1973). A Study of the Ozark Hellbender Cryptobranchus Alleganiensis Bishopi. </w:t>
        </w:r>
        <w:r w:rsidRPr="00FB4867">
          <w:rPr>
            <w:rFonts w:ascii="Times New Roman" w:hAnsi="Times New Roman" w:cs="Times New Roman"/>
            <w:i/>
            <w:iCs/>
            <w:color w:val="000000"/>
            <w14:ligatures w14:val="none"/>
          </w:rPr>
          <w:t>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54</w:t>
        </w:r>
        <w:r w:rsidRPr="00FB4867">
          <w:rPr>
            <w:rFonts w:ascii="Times New Roman" w:hAnsi="Times New Roman" w:cs="Times New Roman"/>
            <w:color w:val="000000"/>
            <w14:ligatures w14:val="none"/>
          </w:rPr>
          <w:t>(5), 1164–1165. https://doi.org/10.2307/1935586 </w:t>
        </w:r>
      </w:hyperlink>
    </w:p>
    <w:p w14:paraId="23689C24"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5" w:history="1">
        <w:r w:rsidRPr="00FB4867">
          <w:rPr>
            <w:rFonts w:ascii="Times New Roman" w:hAnsi="Times New Roman" w:cs="Times New Roman"/>
            <w:color w:val="000000"/>
            <w14:ligatures w14:val="none"/>
          </w:rPr>
          <w:t xml:space="preserve">Oksanen, J., Simpson, G. L., Blanchet, F. G., Kindt, R., Legendre, P., Minchin, P. R., O’Hara, R. B., Solymos, P., Stevens, M. H. H., Szoecs, E., Wagner, H., Barbour, M., Bedward, M., Bolker, B., Borcard, D., Borman, T., Carvalho, G., Chirico, M., De Caceres, M., … Weedon, J. (2001). </w:t>
        </w:r>
        <w:r w:rsidRPr="00FB4867">
          <w:rPr>
            <w:rFonts w:ascii="Times New Roman" w:hAnsi="Times New Roman" w:cs="Times New Roman"/>
            <w:i/>
            <w:iCs/>
            <w:color w:val="000000"/>
            <w14:ligatures w14:val="none"/>
          </w:rPr>
          <w:t>vegan: Community Ecology Package</w:t>
        </w:r>
        <w:r w:rsidRPr="00FB4867">
          <w:rPr>
            <w:rFonts w:ascii="Times New Roman" w:hAnsi="Times New Roman" w:cs="Times New Roman"/>
            <w:color w:val="000000"/>
            <w14:ligatures w14:val="none"/>
          </w:rPr>
          <w:t xml:space="preserve"> (p. 2.7-2) [Dataset]. https://doi.org/10.32614/CRAN.package.vegan </w:t>
        </w:r>
      </w:hyperlink>
    </w:p>
    <w:p w14:paraId="7F3ACFB7"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6" w:history="1">
        <w:r w:rsidRPr="00FB4867">
          <w:rPr>
            <w:rFonts w:ascii="Times New Roman" w:hAnsi="Times New Roman" w:cs="Times New Roman"/>
            <w:color w:val="000000"/>
            <w14:ligatures w14:val="none"/>
          </w:rPr>
          <w:t xml:space="preserve">Olson, Z. H., Briggler, J. T., &amp; Williams, R. N. (2012). An eDNA approach to detect eastern hellbenders (Cryptobranchus a. Alleganiensis) using samples of water. </w:t>
        </w:r>
        <w:r w:rsidRPr="00FB4867">
          <w:rPr>
            <w:rFonts w:ascii="Times New Roman" w:hAnsi="Times New Roman" w:cs="Times New Roman"/>
            <w:i/>
            <w:iCs/>
            <w:color w:val="000000"/>
            <w14:ligatures w14:val="none"/>
          </w:rPr>
          <w:t>Wildlife Research</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39</w:t>
        </w:r>
        <w:r w:rsidRPr="00FB4867">
          <w:rPr>
            <w:rFonts w:ascii="Times New Roman" w:hAnsi="Times New Roman" w:cs="Times New Roman"/>
            <w:color w:val="000000"/>
            <w14:ligatures w14:val="none"/>
          </w:rPr>
          <w:t>(7), 629. https://doi.org/10.1071/WR12114 </w:t>
        </w:r>
      </w:hyperlink>
    </w:p>
    <w:p w14:paraId="0E3F99FE"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7" w:history="1">
        <w:r w:rsidRPr="00FB4867">
          <w:rPr>
            <w:rFonts w:ascii="Times New Roman" w:hAnsi="Times New Roman" w:cs="Times New Roman"/>
            <w:color w:val="000000"/>
            <w14:ligatures w14:val="none"/>
          </w:rPr>
          <w:t xml:space="preserve">Orr, S., Pittock, J., Chapagain, A., &amp; Dumaresq, D. (2012). Dams on the Mekong River: Lost fish protein and the implications for land and water resources. </w:t>
        </w:r>
        <w:r w:rsidRPr="00FB4867">
          <w:rPr>
            <w:rFonts w:ascii="Times New Roman" w:hAnsi="Times New Roman" w:cs="Times New Roman"/>
            <w:i/>
            <w:iCs/>
            <w:color w:val="000000"/>
            <w14:ligatures w14:val="none"/>
          </w:rPr>
          <w:t>Global Environmental Change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22</w:t>
        </w:r>
        <w:r w:rsidRPr="00FB4867">
          <w:rPr>
            <w:rFonts w:ascii="Times New Roman" w:hAnsi="Times New Roman" w:cs="Times New Roman"/>
            <w:color w:val="000000"/>
            <w14:ligatures w14:val="none"/>
          </w:rPr>
          <w:t>(4), 925–932. https://doi.org/10.1016/j.gloenvcha.2012.06.002 </w:t>
        </w:r>
      </w:hyperlink>
    </w:p>
    <w:p w14:paraId="39035827"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8" w:history="1">
        <w:r w:rsidRPr="00FB4867">
          <w:rPr>
            <w:rFonts w:ascii="Times New Roman" w:hAnsi="Times New Roman" w:cs="Times New Roman"/>
            <w:color w:val="000000"/>
            <w14:ligatures w14:val="none"/>
          </w:rPr>
          <w:t xml:space="preserve">Ortmann, A. E. (1918). The </w:t>
        </w:r>
        <w:proofErr w:type="spellStart"/>
        <w:r w:rsidRPr="00FB4867">
          <w:rPr>
            <w:rFonts w:ascii="Times New Roman" w:hAnsi="Times New Roman" w:cs="Times New Roman"/>
            <w:color w:val="000000"/>
            <w14:ligatures w14:val="none"/>
          </w:rPr>
          <w:t>naiades</w:t>
        </w:r>
        <w:proofErr w:type="spellEnd"/>
        <w:r w:rsidRPr="00FB4867">
          <w:rPr>
            <w:rFonts w:ascii="Times New Roman" w:hAnsi="Times New Roman" w:cs="Times New Roman"/>
            <w:color w:val="000000"/>
            <w14:ligatures w14:val="none"/>
          </w:rPr>
          <w:t xml:space="preserve"> (freshwater mussels) of the Tennessee River system below Knoxville. </w:t>
        </w:r>
        <w:r w:rsidRPr="00FB4867">
          <w:rPr>
            <w:rFonts w:ascii="Times New Roman" w:hAnsi="Times New Roman" w:cs="Times New Roman"/>
            <w:i/>
            <w:iCs/>
            <w:color w:val="000000"/>
            <w14:ligatures w14:val="none"/>
          </w:rPr>
          <w:t>Proceedings of the American Philosophical Society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57</w:t>
        </w:r>
        <w:r w:rsidRPr="00FB4867">
          <w:rPr>
            <w:rFonts w:ascii="Times New Roman" w:hAnsi="Times New Roman" w:cs="Times New Roman"/>
            <w:color w:val="000000"/>
            <w14:ligatures w14:val="none"/>
          </w:rPr>
          <w:t>, 521–626. </w:t>
        </w:r>
      </w:hyperlink>
    </w:p>
    <w:p w14:paraId="50599075" w14:textId="77777777" w:rsidR="00FB4867" w:rsidRPr="00FB4867" w:rsidRDefault="00FB4867" w:rsidP="002C0BB1">
      <w:pPr>
        <w:spacing w:line="480" w:lineRule="auto"/>
        <w:ind w:left="720" w:hanging="720"/>
        <w:rPr>
          <w:rFonts w:ascii="Times New Roman" w:hAnsi="Times New Roman" w:cs="Times New Roman"/>
          <w14:ligatures w14:val="none"/>
        </w:rPr>
      </w:pPr>
      <w:hyperlink r:id="rId129" w:history="1">
        <w:r w:rsidRPr="00FB4867">
          <w:rPr>
            <w:rFonts w:ascii="Times New Roman" w:hAnsi="Times New Roman" w:cs="Times New Roman"/>
            <w:color w:val="000000"/>
            <w14:ligatures w14:val="none"/>
          </w:rPr>
          <w:t xml:space="preserve">Parmalee, P. W., &amp; Hughes, M. H. (1994). Freshwater mussels (Bivalvia: </w:t>
        </w:r>
        <w:proofErr w:type="spellStart"/>
        <w:r w:rsidRPr="00FB4867">
          <w:rPr>
            <w:rFonts w:ascii="Times New Roman" w:hAnsi="Times New Roman" w:cs="Times New Roman"/>
            <w:color w:val="000000"/>
            <w14:ligatures w14:val="none"/>
          </w:rPr>
          <w:t>Unionidae</w:t>
        </w:r>
        <w:proofErr w:type="spellEnd"/>
        <w:r w:rsidRPr="00FB4867">
          <w:rPr>
            <w:rFonts w:ascii="Times New Roman" w:hAnsi="Times New Roman" w:cs="Times New Roman"/>
            <w:color w:val="000000"/>
            <w14:ligatures w14:val="none"/>
          </w:rPr>
          <w:t xml:space="preserve">) of the Hiwassee River in East Tennessee. </w:t>
        </w:r>
        <w:r w:rsidRPr="00FB4867">
          <w:rPr>
            <w:rFonts w:ascii="Times New Roman" w:hAnsi="Times New Roman" w:cs="Times New Roman"/>
            <w:i/>
            <w:iCs/>
            <w:color w:val="000000"/>
            <w14:ligatures w14:val="none"/>
          </w:rPr>
          <w:t>American Malacological Bulletin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11</w:t>
        </w:r>
        <w:r w:rsidRPr="00FB4867">
          <w:rPr>
            <w:rFonts w:ascii="Times New Roman" w:hAnsi="Times New Roman" w:cs="Times New Roman"/>
            <w:color w:val="000000"/>
            <w14:ligatures w14:val="none"/>
          </w:rPr>
          <w:t>(1), 21–27. </w:t>
        </w:r>
      </w:hyperlink>
    </w:p>
    <w:p w14:paraId="1707AC80"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0" w:history="1">
        <w:r w:rsidRPr="00FB4867">
          <w:rPr>
            <w:rFonts w:ascii="Times New Roman" w:hAnsi="Times New Roman" w:cs="Times New Roman"/>
            <w:color w:val="000000"/>
            <w14:ligatures w14:val="none"/>
          </w:rPr>
          <w:t xml:space="preserve">Pawlowski, J., Apothéloz-Perret-Gentil, L., &amp; Altermatt, F. (2020). Environmental DNA: What’s behind the term? Clarifying the terminology and recommendations for its future use in biomonitoring.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29</w:t>
        </w:r>
        <w:r w:rsidRPr="00FB4867">
          <w:rPr>
            <w:rFonts w:ascii="Times New Roman" w:hAnsi="Times New Roman" w:cs="Times New Roman"/>
            <w:color w:val="000000"/>
            <w14:ligatures w14:val="none"/>
          </w:rPr>
          <w:t>(22), 4258–4264. https://doi.org/10.1111/mec.15643 </w:t>
        </w:r>
      </w:hyperlink>
    </w:p>
    <w:p w14:paraId="1C7175BB"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1" w:history="1">
        <w:r w:rsidRPr="00FB4867">
          <w:rPr>
            <w:rFonts w:ascii="Times New Roman" w:hAnsi="Times New Roman" w:cs="Times New Roman"/>
            <w:color w:val="000000"/>
            <w14:ligatures w14:val="none"/>
          </w:rPr>
          <w:t xml:space="preserve">Pawlowski, J., Kelly-Quinn, M., Altermatt, F., Apothéloz-Perret-Gentil, L., Beja, P., Boggero, A., Borja, A., Bouchez, A., Cordier, T., Domaizon, I., Feio, M. J., Filipe, A. F., Fornaroli, R., Graf, W., Herder, J., van der Hoorn, B., Iwan Jones, J., Sagova-Mareckova, M., Moritz, C., … Kahlert, M. (2018). The future of biotic indices in the ecogenomic era: Integrating (e)DNA metabarcoding in biological assessment of aquatic ecosystems. </w:t>
        </w:r>
        <w:r w:rsidRPr="00FB4867">
          <w:rPr>
            <w:rFonts w:ascii="Times New Roman" w:hAnsi="Times New Roman" w:cs="Times New Roman"/>
            <w:i/>
            <w:iCs/>
            <w:color w:val="000000"/>
            <w14:ligatures w14:val="none"/>
          </w:rPr>
          <w:t>Science of The Total Environment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637–638</w:t>
        </w:r>
        <w:r w:rsidRPr="00FB4867">
          <w:rPr>
            <w:rFonts w:ascii="Times New Roman" w:hAnsi="Times New Roman" w:cs="Times New Roman"/>
            <w:color w:val="000000"/>
            <w14:ligatures w14:val="none"/>
          </w:rPr>
          <w:t>, 1295–1310. https://doi.org/10.1016/j.scitotenv.2018.05.002 </w:t>
        </w:r>
      </w:hyperlink>
    </w:p>
    <w:p w14:paraId="47BE487F"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2" w:history="1">
        <w:r w:rsidRPr="00FB4867">
          <w:rPr>
            <w:rFonts w:ascii="Times New Roman" w:hAnsi="Times New Roman" w:cs="Times New Roman"/>
            <w:color w:val="000000"/>
            <w14:ligatures w14:val="none"/>
          </w:rPr>
          <w:t xml:space="preserve">Pawlowski, J., Lejzerowicz, F., &amp; Esling, P. (2014). Next-generation environmental diversity surveys of foraminifera: Preparing the future. </w:t>
        </w:r>
        <w:r w:rsidRPr="00FB4867">
          <w:rPr>
            <w:rFonts w:ascii="Times New Roman" w:hAnsi="Times New Roman" w:cs="Times New Roman"/>
            <w:i/>
            <w:iCs/>
            <w:color w:val="000000"/>
            <w14:ligatures w14:val="none"/>
          </w:rPr>
          <w:t>The Biological Bulletin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227</w:t>
        </w:r>
        <w:r w:rsidRPr="00FB4867">
          <w:rPr>
            <w:rFonts w:ascii="Times New Roman" w:hAnsi="Times New Roman" w:cs="Times New Roman"/>
            <w:color w:val="000000"/>
            <w14:ligatures w14:val="none"/>
          </w:rPr>
          <w:t>(2), 93–106. https://doi.org/10.1086/BBLv227n2p93 </w:t>
        </w:r>
      </w:hyperlink>
    </w:p>
    <w:p w14:paraId="69F00780"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3" w:history="1">
        <w:r w:rsidRPr="00FB4867">
          <w:rPr>
            <w:rFonts w:ascii="Times New Roman" w:hAnsi="Times New Roman" w:cs="Times New Roman"/>
            <w:color w:val="000000"/>
            <w14:ligatures w14:val="none"/>
          </w:rPr>
          <w:t xml:space="preserve">Pochon, X., Zaiko, A., Fletcher, L. M., Laroche, O., &amp; Wood, S. A. (2017). Wanted dead or alive? Using metabarcoding of environmental DNA and RNA to distinguish living assemblages for biosecurity applications.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12</w:t>
        </w:r>
        <w:r w:rsidRPr="00FB4867">
          <w:rPr>
            <w:rFonts w:ascii="Times New Roman" w:hAnsi="Times New Roman" w:cs="Times New Roman"/>
            <w:color w:val="000000"/>
            <w14:ligatures w14:val="none"/>
          </w:rPr>
          <w:t>(11), e0187636. https://doi.org/10.1371/journal.pone.0187636 </w:t>
        </w:r>
      </w:hyperlink>
    </w:p>
    <w:p w14:paraId="385CB1C3"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4" w:history="1">
        <w:r w:rsidRPr="00FB4867">
          <w:rPr>
            <w:rFonts w:ascii="Times New Roman" w:hAnsi="Times New Roman" w:cs="Times New Roman"/>
            <w:color w:val="000000"/>
            <w14:ligatures w14:val="none"/>
          </w:rPr>
          <w:t xml:space="preserve">Pollard, S., Anderson, J., Bah, F., Mateus, M., Sidhu, M., &amp; Simmons, D. (2022). Non-Lethal Blood Sampling of Fish in the lab and Field With Methods for Dried Blood Plasma Spot Omic Analyses. </w:t>
        </w:r>
        <w:r w:rsidRPr="00FB4867">
          <w:rPr>
            <w:rFonts w:ascii="Times New Roman" w:hAnsi="Times New Roman" w:cs="Times New Roman"/>
            <w:i/>
            <w:iCs/>
            <w:color w:val="000000"/>
            <w14:ligatures w14:val="none"/>
          </w:rPr>
          <w:t>Frontiers in Genetics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13</w:t>
        </w:r>
        <w:r w:rsidRPr="00FB4867">
          <w:rPr>
            <w:rFonts w:ascii="Times New Roman" w:hAnsi="Times New Roman" w:cs="Times New Roman"/>
            <w:color w:val="000000"/>
            <w14:ligatures w14:val="none"/>
          </w:rPr>
          <w:t>, 795348. https://doi.org/10.3389/fgene.2022.795348 </w:t>
        </w:r>
      </w:hyperlink>
    </w:p>
    <w:p w14:paraId="571C4DC5"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5" w:history="1">
        <w:r w:rsidRPr="00FB4867">
          <w:rPr>
            <w:rFonts w:ascii="Times New Roman" w:hAnsi="Times New Roman" w:cs="Times New Roman"/>
            <w:color w:val="000000"/>
            <w14:ligatures w14:val="none"/>
          </w:rPr>
          <w:t xml:space="preserve">Pont, D., Rocle, M., Valentini, A., Civade, R., Jean, P., Maire, A., Roset, N., Schabuss, M., Zornig, H., &amp; Dejean, T. (2018). Environmental DNA reveals quantitative patterns of fish biodiversity in large rivers despite its downstream transportation. </w:t>
        </w:r>
        <w:r w:rsidRPr="00FB4867">
          <w:rPr>
            <w:rFonts w:ascii="Times New Roman" w:hAnsi="Times New Roman" w:cs="Times New Roman"/>
            <w:i/>
            <w:iCs/>
            <w:color w:val="000000"/>
            <w14:ligatures w14:val="none"/>
          </w:rPr>
          <w:t>Scientific Reports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8</w:t>
        </w:r>
        <w:r w:rsidRPr="00FB4867">
          <w:rPr>
            <w:rFonts w:ascii="Times New Roman" w:hAnsi="Times New Roman" w:cs="Times New Roman"/>
            <w:color w:val="000000"/>
            <w14:ligatures w14:val="none"/>
          </w:rPr>
          <w:t>(1), 10361. https://doi.org/10.1038/s41598-018-28424-8 </w:t>
        </w:r>
      </w:hyperlink>
    </w:p>
    <w:p w14:paraId="73E066CA"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6" w:history="1">
        <w:r w:rsidRPr="00FB4867">
          <w:rPr>
            <w:rFonts w:ascii="Times New Roman" w:hAnsi="Times New Roman" w:cs="Times New Roman"/>
            <w:color w:val="000000"/>
            <w14:ligatures w14:val="none"/>
          </w:rPr>
          <w:t xml:space="preserve">Poyntz-Wright, I. P., Harrison, X. A., Pedersen, S., &amp; Tyler, C. R. (2024). Effectiveness of eDNA for monitoring riverine macroinvertebrates. </w:t>
        </w:r>
        <w:r w:rsidRPr="00FB4867">
          <w:rPr>
            <w:rFonts w:ascii="Times New Roman" w:hAnsi="Times New Roman" w:cs="Times New Roman"/>
            <w:i/>
            <w:iCs/>
            <w:color w:val="000000"/>
            <w14:ligatures w14:val="none"/>
          </w:rPr>
          <w:t>Science of The Total Environment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941</w:t>
        </w:r>
        <w:r w:rsidRPr="00FB4867">
          <w:rPr>
            <w:rFonts w:ascii="Times New Roman" w:hAnsi="Times New Roman" w:cs="Times New Roman"/>
            <w:color w:val="000000"/>
            <w14:ligatures w14:val="none"/>
          </w:rPr>
          <w:t>, 173621. https://doi.org/10.1016/j.scitotenv.2024.173621 </w:t>
        </w:r>
      </w:hyperlink>
    </w:p>
    <w:p w14:paraId="02D446A0"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7" w:history="1">
        <w:r w:rsidRPr="00FB4867">
          <w:rPr>
            <w:rFonts w:ascii="Times New Roman" w:hAnsi="Times New Roman" w:cs="Times New Roman"/>
            <w:color w:val="000000"/>
            <w14:ligatures w14:val="none"/>
          </w:rPr>
          <w:t xml:space="preserve">Prié, V., Valentini, A., Lopes-Lima, M., Froufe, E., Rocle, M., Poulet, N., Taberlet, P., &amp; Dejean, T. (2021). Environmental DNA metabarcoding for freshwater bivalves biodiversity assessment: Methods and results for the Western Palearctic (European sub-region). </w:t>
        </w:r>
        <w:r w:rsidRPr="00FB4867">
          <w:rPr>
            <w:rFonts w:ascii="Times New Roman" w:hAnsi="Times New Roman" w:cs="Times New Roman"/>
            <w:i/>
            <w:iCs/>
            <w:color w:val="000000"/>
            <w14:ligatures w14:val="none"/>
          </w:rPr>
          <w:t>Hydrobiologia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848</w:t>
        </w:r>
        <w:r w:rsidRPr="00FB4867">
          <w:rPr>
            <w:rFonts w:ascii="Times New Roman" w:hAnsi="Times New Roman" w:cs="Times New Roman"/>
            <w:color w:val="000000"/>
            <w14:ligatures w14:val="none"/>
          </w:rPr>
          <w:t>(12–13), 2931–2950. https://doi.org/10.1007/s10750-020-04260-8 </w:t>
        </w:r>
      </w:hyperlink>
    </w:p>
    <w:p w14:paraId="24A629B0"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8" w:history="1">
        <w:r w:rsidRPr="00FB4867">
          <w:rPr>
            <w:rFonts w:ascii="Times New Roman" w:hAnsi="Times New Roman" w:cs="Times New Roman"/>
            <w:color w:val="000000"/>
            <w14:ligatures w14:val="none"/>
          </w:rPr>
          <w:t xml:space="preserve">Przybyla-Kelly, K., &amp; Spoljaric, A. M. (2023). </w:t>
        </w:r>
        <w:r w:rsidRPr="00FB4867">
          <w:rPr>
            <w:rFonts w:ascii="Times New Roman" w:hAnsi="Times New Roman" w:cs="Times New Roman"/>
            <w:i/>
            <w:iCs/>
            <w:color w:val="000000"/>
            <w14:ligatures w14:val="none"/>
          </w:rPr>
          <w:t>Round goby detection by environmental DNA, trawl, and angling in Lakes Huron and Michigan</w:t>
        </w:r>
        <w:r w:rsidRPr="00FB4867">
          <w:rPr>
            <w:rFonts w:ascii="Times New Roman" w:hAnsi="Times New Roman" w:cs="Times New Roman"/>
            <w:color w:val="000000"/>
            <w14:ligatures w14:val="none"/>
          </w:rPr>
          <w:t xml:space="preserve"> [Dataset]. U.S. Geological Survey. https://doi.org/10.5066/P92V61KL </w:t>
        </w:r>
      </w:hyperlink>
    </w:p>
    <w:p w14:paraId="159A1C4F" w14:textId="77777777" w:rsidR="00FB4867" w:rsidRPr="00FB4867" w:rsidRDefault="00FB4867" w:rsidP="002C0BB1">
      <w:pPr>
        <w:spacing w:line="480" w:lineRule="auto"/>
        <w:ind w:left="720" w:hanging="720"/>
        <w:rPr>
          <w:rFonts w:ascii="Times New Roman" w:hAnsi="Times New Roman" w:cs="Times New Roman"/>
          <w14:ligatures w14:val="none"/>
        </w:rPr>
      </w:pPr>
      <w:hyperlink r:id="rId139" w:history="1">
        <w:r w:rsidRPr="00FB4867">
          <w:rPr>
            <w:rFonts w:ascii="Times New Roman" w:hAnsi="Times New Roman" w:cs="Times New Roman"/>
            <w:color w:val="000000"/>
            <w14:ligatures w14:val="none"/>
          </w:rPr>
          <w:t xml:space="preserve">Ramirez, J. L., Núñez-Rodriguez, D., </w:t>
        </w:r>
        <w:proofErr w:type="spellStart"/>
        <w:r w:rsidRPr="00FB4867">
          <w:rPr>
            <w:rFonts w:ascii="Times New Roman" w:hAnsi="Times New Roman" w:cs="Times New Roman"/>
            <w:color w:val="000000"/>
            <w14:ligatures w14:val="none"/>
          </w:rPr>
          <w:t>Britzke</w:t>
        </w:r>
        <w:proofErr w:type="spellEnd"/>
        <w:r w:rsidRPr="00FB4867">
          <w:rPr>
            <w:rFonts w:ascii="Times New Roman" w:hAnsi="Times New Roman" w:cs="Times New Roman"/>
            <w:color w:val="000000"/>
            <w14:ligatures w14:val="none"/>
          </w:rPr>
          <w:t xml:space="preserve">, R., </w:t>
        </w:r>
        <w:proofErr w:type="spellStart"/>
        <w:r w:rsidRPr="00FB4867">
          <w:rPr>
            <w:rFonts w:ascii="Times New Roman" w:hAnsi="Times New Roman" w:cs="Times New Roman"/>
            <w:color w:val="000000"/>
            <w14:ligatures w14:val="none"/>
          </w:rPr>
          <w:t>Siccha</w:t>
        </w:r>
        <w:proofErr w:type="spellEnd"/>
        <w:r w:rsidRPr="00FB4867">
          <w:rPr>
            <w:rFonts w:ascii="Times New Roman" w:hAnsi="Times New Roman" w:cs="Times New Roman"/>
            <w:color w:val="000000"/>
            <w14:ligatures w14:val="none"/>
          </w:rPr>
          <w:t xml:space="preserve">-Ramirez, R., &amp; Ramírez, R. (2023). DNA barcoding for assessing biodiversity. In </w:t>
        </w:r>
        <w:r w:rsidRPr="00FB4867">
          <w:rPr>
            <w:rFonts w:ascii="Times New Roman" w:hAnsi="Times New Roman" w:cs="Times New Roman"/>
            <w:i/>
            <w:iCs/>
            <w:color w:val="000000"/>
            <w14:ligatures w14:val="none"/>
          </w:rPr>
          <w:t>Conservation Genetics in the Neotropics</w:t>
        </w:r>
        <w:r w:rsidRPr="00FB4867">
          <w:rPr>
            <w:rFonts w:ascii="Times New Roman" w:hAnsi="Times New Roman" w:cs="Times New Roman"/>
            <w:color w:val="000000"/>
            <w14:ligatures w14:val="none"/>
          </w:rPr>
          <w:t xml:space="preserve"> (pp. 21–45). Springer. </w:t>
        </w:r>
      </w:hyperlink>
    </w:p>
    <w:p w14:paraId="543CC53C"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0" w:history="1">
        <w:r w:rsidRPr="00FB4867">
          <w:rPr>
            <w:rFonts w:ascii="Times New Roman" w:hAnsi="Times New Roman" w:cs="Times New Roman"/>
            <w:color w:val="000000"/>
            <w14:ligatures w14:val="none"/>
          </w:rPr>
          <w:t xml:space="preserve">Ratnasingham, S., &amp; Hebert, P. D. N. (2007). bold: The Barcode of Life Data System (http://www.barcodinglife.org). </w:t>
        </w:r>
        <w:r w:rsidRPr="00FB4867">
          <w:rPr>
            <w:rFonts w:ascii="Times New Roman" w:hAnsi="Times New Roman" w:cs="Times New Roman"/>
            <w:i/>
            <w:iCs/>
            <w:color w:val="000000"/>
            <w14:ligatures w14:val="none"/>
          </w:rPr>
          <w:t>Molecular Ecology Notes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7</w:t>
        </w:r>
        <w:r w:rsidRPr="00FB4867">
          <w:rPr>
            <w:rFonts w:ascii="Times New Roman" w:hAnsi="Times New Roman" w:cs="Times New Roman"/>
            <w:color w:val="000000"/>
            <w14:ligatures w14:val="none"/>
          </w:rPr>
          <w:t>(3), 355–364. https://doi.org/10.1111/j.1471-8286.2007.01678.x </w:t>
        </w:r>
      </w:hyperlink>
    </w:p>
    <w:p w14:paraId="3A677407"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1" w:history="1">
        <w:r w:rsidRPr="00FB4867">
          <w:rPr>
            <w:rFonts w:ascii="Times New Roman" w:hAnsi="Times New Roman" w:cs="Times New Roman"/>
            <w:color w:val="000000"/>
            <w14:ligatures w14:val="none"/>
          </w:rPr>
          <w:t xml:space="preserve">Rees, H. C., Maddison, B. C., Middleditch, D. J., Patmore, J. R. M., &amp; Gough, K. C. (2014). REVIEW: The detection of aquatic animal species using environmental DNA – a review of eDNA as a survey tool in ecology. </w:t>
        </w:r>
        <w:r w:rsidRPr="00FB4867">
          <w:rPr>
            <w:rFonts w:ascii="Times New Roman" w:hAnsi="Times New Roman" w:cs="Times New Roman"/>
            <w:i/>
            <w:iCs/>
            <w:color w:val="000000"/>
            <w14:ligatures w14:val="none"/>
          </w:rPr>
          <w:t>Journal of Applied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51</w:t>
        </w:r>
        <w:r w:rsidRPr="00FB4867">
          <w:rPr>
            <w:rFonts w:ascii="Times New Roman" w:hAnsi="Times New Roman" w:cs="Times New Roman"/>
            <w:color w:val="000000"/>
            <w14:ligatures w14:val="none"/>
          </w:rPr>
          <w:t>(5), 1450–1459. https://doi.org/10.1111/1365-2664.12306 </w:t>
        </w:r>
      </w:hyperlink>
    </w:p>
    <w:p w14:paraId="2DDAF33B"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2" w:history="1">
        <w:r w:rsidRPr="00FB4867">
          <w:rPr>
            <w:rFonts w:ascii="Times New Roman" w:hAnsi="Times New Roman" w:cs="Times New Roman"/>
            <w:color w:val="000000"/>
            <w14:ligatures w14:val="none"/>
          </w:rPr>
          <w:t xml:space="preserve">Reid, A. J., Carlson, A. K., Creed, I. F., Eliason, E. J., Gell, P. A., Johnson, P. T. J., Kidd, K. A., MacCormack, T. J., Olden, J. D., Ormerod, S. J., Smol, J. P., Taylor, W. W., Tockner, K., Vermaire, J. C., Dudgeon, D., &amp; Cooke, S. J. (2019). Emerging threats and persistent conservation challenges for freshwater biodiversity. </w:t>
        </w:r>
        <w:r w:rsidRPr="00FB4867">
          <w:rPr>
            <w:rFonts w:ascii="Times New Roman" w:hAnsi="Times New Roman" w:cs="Times New Roman"/>
            <w:i/>
            <w:iCs/>
            <w:color w:val="000000"/>
            <w14:ligatures w14:val="none"/>
          </w:rPr>
          <w:t>Biological Reviews of the Cambridge Philosophical Society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94</w:t>
        </w:r>
        <w:r w:rsidRPr="00FB4867">
          <w:rPr>
            <w:rFonts w:ascii="Times New Roman" w:hAnsi="Times New Roman" w:cs="Times New Roman"/>
            <w:color w:val="000000"/>
            <w14:ligatures w14:val="none"/>
          </w:rPr>
          <w:t>(3), 849–873. https://doi.org/10.1111/brv.12480 </w:t>
        </w:r>
      </w:hyperlink>
    </w:p>
    <w:p w14:paraId="43B1EB3C"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3" w:history="1">
        <w:r w:rsidRPr="00FB4867">
          <w:rPr>
            <w:rFonts w:ascii="Times New Roman" w:hAnsi="Times New Roman" w:cs="Times New Roman"/>
            <w:color w:val="000000"/>
            <w14:ligatures w14:val="none"/>
          </w:rPr>
          <w:t xml:space="preserve">Ricciardi, A., &amp; Rasmussen, J. B. (1999). Extinction Rates of North American Freshwater Fauna. </w:t>
        </w:r>
        <w:r w:rsidRPr="00FB4867">
          <w:rPr>
            <w:rFonts w:ascii="Times New Roman" w:hAnsi="Times New Roman" w:cs="Times New Roman"/>
            <w:i/>
            <w:iCs/>
            <w:color w:val="000000"/>
            <w14:ligatures w14:val="none"/>
          </w:rPr>
          <w:t>Conservation Biology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13</w:t>
        </w:r>
        <w:r w:rsidRPr="00FB4867">
          <w:rPr>
            <w:rFonts w:ascii="Times New Roman" w:hAnsi="Times New Roman" w:cs="Times New Roman"/>
            <w:color w:val="000000"/>
            <w14:ligatures w14:val="none"/>
          </w:rPr>
          <w:t>(5), 1220–1222. https://doi.org/10.1046/j.1523-1739.1999.98380.x </w:t>
        </w:r>
      </w:hyperlink>
    </w:p>
    <w:p w14:paraId="1B9A3D9B"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4" w:history="1">
        <w:r w:rsidRPr="00FB4867">
          <w:rPr>
            <w:rFonts w:ascii="Times New Roman" w:hAnsi="Times New Roman" w:cs="Times New Roman"/>
            <w:color w:val="000000"/>
            <w14:ligatures w14:val="none"/>
          </w:rPr>
          <w:t xml:space="preserve">Rognes, T., Flouri, T., Nichols, B., Quince, C., &amp; Mahé, F. (2016). VSEARCH: A versatile open source tool for metagenomics. </w:t>
        </w:r>
        <w:r w:rsidRPr="00FB4867">
          <w:rPr>
            <w:rFonts w:ascii="Times New Roman" w:hAnsi="Times New Roman" w:cs="Times New Roman"/>
            <w:i/>
            <w:iCs/>
            <w:color w:val="000000"/>
            <w14:ligatures w14:val="none"/>
          </w:rPr>
          <w:t>PeerJ</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w:t>
        </w:r>
        <w:r w:rsidRPr="00FB4867">
          <w:rPr>
            <w:rFonts w:ascii="Times New Roman" w:hAnsi="Times New Roman" w:cs="Times New Roman"/>
            <w:color w:val="000000"/>
            <w14:ligatures w14:val="none"/>
          </w:rPr>
          <w:t>, e2584. https://doi.org/10.7717/peerj.2584 </w:t>
        </w:r>
      </w:hyperlink>
    </w:p>
    <w:p w14:paraId="073A30DD"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5" w:history="1">
        <w:r w:rsidRPr="00FB4867">
          <w:rPr>
            <w:rFonts w:ascii="Times New Roman" w:hAnsi="Times New Roman" w:cs="Times New Roman"/>
            <w:color w:val="000000"/>
            <w14:ligatures w14:val="none"/>
          </w:rPr>
          <w:t xml:space="preserve">Sajina, A., </w:t>
        </w:r>
        <w:proofErr w:type="spellStart"/>
        <w:r w:rsidRPr="00FB4867">
          <w:rPr>
            <w:rFonts w:ascii="Times New Roman" w:hAnsi="Times New Roman" w:cs="Times New Roman"/>
            <w:color w:val="000000"/>
            <w14:ligatures w14:val="none"/>
          </w:rPr>
          <w:t>Sudheesan</w:t>
        </w:r>
        <w:proofErr w:type="spellEnd"/>
        <w:r w:rsidRPr="00FB4867">
          <w:rPr>
            <w:rFonts w:ascii="Times New Roman" w:hAnsi="Times New Roman" w:cs="Times New Roman"/>
            <w:color w:val="000000"/>
            <w14:ligatures w14:val="none"/>
          </w:rPr>
          <w:t xml:space="preserve">, D., Kumar, L., &amp; Sandhya, K. (2021). Fish as ecological health indicators of freshwater ecosystems. </w:t>
        </w:r>
        <w:proofErr w:type="spellStart"/>
        <w:r w:rsidRPr="00FB4867">
          <w:rPr>
            <w:rFonts w:ascii="Times New Roman" w:hAnsi="Times New Roman" w:cs="Times New Roman"/>
            <w:i/>
            <w:iCs/>
            <w:color w:val="000000"/>
            <w14:ligatures w14:val="none"/>
          </w:rPr>
          <w:t>Biotica</w:t>
        </w:r>
        <w:proofErr w:type="spellEnd"/>
        <w:r w:rsidRPr="00FB4867">
          <w:rPr>
            <w:rFonts w:ascii="Times New Roman" w:hAnsi="Times New Roman" w:cs="Times New Roman"/>
            <w:i/>
            <w:iCs/>
            <w:color w:val="000000"/>
            <w14:ligatures w14:val="none"/>
          </w:rPr>
          <w:t xml:space="preserve"> Research Today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w:t>
        </w:r>
        <w:r w:rsidRPr="00FB4867">
          <w:rPr>
            <w:rFonts w:ascii="Times New Roman" w:hAnsi="Times New Roman" w:cs="Times New Roman"/>
            <w:color w:val="000000"/>
            <w14:ligatures w14:val="none"/>
          </w:rPr>
          <w:t>(1), 77–80. </w:t>
        </w:r>
      </w:hyperlink>
    </w:p>
    <w:p w14:paraId="5E7141AF"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6" w:history="1">
        <w:r w:rsidRPr="00FB4867">
          <w:rPr>
            <w:rFonts w:ascii="Times New Roman" w:hAnsi="Times New Roman" w:cs="Times New Roman"/>
            <w:color w:val="000000"/>
            <w14:ligatures w14:val="none"/>
          </w:rPr>
          <w:t xml:space="preserve">Sales, N. G., Wangensteen, O. S., Carvalho, D. C., Deiner, K., Præbel, K., Coscia, I., McDevitt, A. D., &amp; Mariani, S. (2021). Space-time dynamics in monitoring neotropical fish communities using eDNA metabarcoding. </w:t>
        </w:r>
        <w:r w:rsidRPr="00FB4867">
          <w:rPr>
            <w:rFonts w:ascii="Times New Roman" w:hAnsi="Times New Roman" w:cs="Times New Roman"/>
            <w:i/>
            <w:iCs/>
            <w:color w:val="000000"/>
            <w14:ligatures w14:val="none"/>
          </w:rPr>
          <w:t>Science of The Total Environment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754</w:t>
        </w:r>
        <w:r w:rsidRPr="00FB4867">
          <w:rPr>
            <w:rFonts w:ascii="Times New Roman" w:hAnsi="Times New Roman" w:cs="Times New Roman"/>
            <w:color w:val="000000"/>
            <w14:ligatures w14:val="none"/>
          </w:rPr>
          <w:t>, 142096. https://doi.org/10.1016/j.scitotenv.2020.142096 </w:t>
        </w:r>
      </w:hyperlink>
    </w:p>
    <w:p w14:paraId="39F1C7A4"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7" w:history="1">
        <w:r w:rsidRPr="00FB4867">
          <w:rPr>
            <w:rFonts w:ascii="Times New Roman" w:hAnsi="Times New Roman" w:cs="Times New Roman"/>
            <w:color w:val="000000"/>
            <w14:ligatures w14:val="none"/>
          </w:rPr>
          <w:t xml:space="preserve">Sales, N. G., Wangensteen, O. S., Carvalho, D. C., &amp; Mariani, S. (2019). Influence of preservation methods, sample medium and sampling time on eDNA recovery in a neotropical river.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w:t>
        </w:r>
        <w:r w:rsidRPr="00FB4867">
          <w:rPr>
            <w:rFonts w:ascii="Times New Roman" w:hAnsi="Times New Roman" w:cs="Times New Roman"/>
            <w:color w:val="000000"/>
            <w14:ligatures w14:val="none"/>
          </w:rPr>
          <w:t>(2), edn3.14. https://doi.org/10.1002/edn3.14 </w:t>
        </w:r>
      </w:hyperlink>
    </w:p>
    <w:p w14:paraId="0B84BC18"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8" w:history="1">
        <w:r w:rsidRPr="00FB4867">
          <w:rPr>
            <w:rFonts w:ascii="Times New Roman" w:hAnsi="Times New Roman" w:cs="Times New Roman"/>
            <w:color w:val="000000"/>
            <w14:ligatures w14:val="none"/>
          </w:rPr>
          <w:t xml:space="preserve">Sansom, B. J., &amp; Sassoubre, L. M. (2017). Environmental DNA (eDNA) Shedding and Decay Rates to Model Freshwater Mussel eDNA Transport in a River. </w:t>
        </w:r>
        <w:r w:rsidRPr="00FB4867">
          <w:rPr>
            <w:rFonts w:ascii="Times New Roman" w:hAnsi="Times New Roman" w:cs="Times New Roman"/>
            <w:i/>
            <w:iCs/>
            <w:color w:val="000000"/>
            <w14:ligatures w14:val="none"/>
          </w:rPr>
          <w:t>Environmental Science &amp; Technology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51</w:t>
        </w:r>
        <w:r w:rsidRPr="00FB4867">
          <w:rPr>
            <w:rFonts w:ascii="Times New Roman" w:hAnsi="Times New Roman" w:cs="Times New Roman"/>
            <w:color w:val="000000"/>
            <w14:ligatures w14:val="none"/>
          </w:rPr>
          <w:t>(24), 14244–14253. https://doi.org/10.1021/acs.est.7b05199 </w:t>
        </w:r>
      </w:hyperlink>
    </w:p>
    <w:p w14:paraId="7E308C34" w14:textId="77777777" w:rsidR="00FB4867" w:rsidRPr="00FB4867" w:rsidRDefault="00FB4867" w:rsidP="002C0BB1">
      <w:pPr>
        <w:spacing w:line="480" w:lineRule="auto"/>
        <w:ind w:left="720" w:hanging="720"/>
        <w:rPr>
          <w:rFonts w:ascii="Times New Roman" w:hAnsi="Times New Roman" w:cs="Times New Roman"/>
          <w14:ligatures w14:val="none"/>
        </w:rPr>
      </w:pPr>
      <w:hyperlink r:id="rId149" w:history="1">
        <w:r w:rsidRPr="00FB4867">
          <w:rPr>
            <w:rFonts w:ascii="Times New Roman" w:hAnsi="Times New Roman" w:cs="Times New Roman"/>
            <w:color w:val="000000"/>
            <w14:ligatures w14:val="none"/>
          </w:rPr>
          <w:t xml:space="preserve">Sassoubre, L. M., Yamahara, K. M., Gardner, L. D., Block, B. A., &amp; Boehm, A. B. (2016). Quantification of Environmental DNA (eDNA) Shedding and Decay Rates for Three Marine Fish. </w:t>
        </w:r>
        <w:r w:rsidRPr="00FB4867">
          <w:rPr>
            <w:rFonts w:ascii="Times New Roman" w:hAnsi="Times New Roman" w:cs="Times New Roman"/>
            <w:i/>
            <w:iCs/>
            <w:color w:val="000000"/>
            <w14:ligatures w14:val="none"/>
          </w:rPr>
          <w:t>Environmental Science &amp; Technology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50</w:t>
        </w:r>
        <w:r w:rsidRPr="00FB4867">
          <w:rPr>
            <w:rFonts w:ascii="Times New Roman" w:hAnsi="Times New Roman" w:cs="Times New Roman"/>
            <w:color w:val="000000"/>
            <w14:ligatures w14:val="none"/>
          </w:rPr>
          <w:t>(19), 10456–10464. https://doi.org/10.1021/acs.est.6b03114 </w:t>
        </w:r>
      </w:hyperlink>
    </w:p>
    <w:p w14:paraId="277F9C88"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0" w:history="1">
        <w:r w:rsidRPr="00FB4867">
          <w:rPr>
            <w:rFonts w:ascii="Times New Roman" w:hAnsi="Times New Roman" w:cs="Times New Roman"/>
            <w:color w:val="000000"/>
            <w14:ligatures w14:val="none"/>
          </w:rPr>
          <w:t xml:space="preserve">Sato, Y., Miya, M., Fukunaga, T., Sado, T., &amp; Iwasaki, W. (2018). MitoFish and MiFish Pipeline: A Mitochondrial Genome Database of Fish with an Analysis Pipeline for Environmental DNA Metabarcoding. </w:t>
        </w:r>
        <w:r w:rsidRPr="00FB4867">
          <w:rPr>
            <w:rFonts w:ascii="Times New Roman" w:hAnsi="Times New Roman" w:cs="Times New Roman"/>
            <w:i/>
            <w:iCs/>
            <w:color w:val="000000"/>
            <w14:ligatures w14:val="none"/>
          </w:rPr>
          <w:t>Molecular Biology and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35</w:t>
        </w:r>
        <w:r w:rsidRPr="00FB4867">
          <w:rPr>
            <w:rFonts w:ascii="Times New Roman" w:hAnsi="Times New Roman" w:cs="Times New Roman"/>
            <w:color w:val="000000"/>
            <w14:ligatures w14:val="none"/>
          </w:rPr>
          <w:t>(6), 1553–1555. https://doi.org/10.1093/molbev/msy074 </w:t>
        </w:r>
      </w:hyperlink>
    </w:p>
    <w:p w14:paraId="65A4C7C6"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1" w:history="1">
        <w:r w:rsidRPr="00FB4867">
          <w:rPr>
            <w:rFonts w:ascii="Times New Roman" w:hAnsi="Times New Roman" w:cs="Times New Roman"/>
            <w:color w:val="000000"/>
            <w14:ligatures w14:val="none"/>
          </w:rPr>
          <w:t xml:space="preserve">Sayer, C. A., Fernando, E., Jimenez, R. R., Macfarlane, N. B. W., Rapacciuolo, G., Böhm, M., Brooks, T. M., Contreras-MacBeath, T., Cox, N. A., Harrison, I., </w:t>
        </w:r>
        <w:r w:rsidRPr="00FB4867">
          <w:rPr>
            <w:rFonts w:ascii="Times New Roman" w:hAnsi="Times New Roman" w:cs="Times New Roman"/>
            <w:color w:val="000000"/>
            <w14:ligatures w14:val="none"/>
          </w:rPr>
          <w:lastRenderedPageBreak/>
          <w:t xml:space="preserve">Hoffmann, M., Jenkins, R., Smith, K. G., Vié, J.-C., Abbott, J. C., Allen, D. J., Allen, G. R., Barrios, V., Boudot, J.-P., … Darwall, W. R. T. (2025). One-quarter of freshwater fauna threatened with extinction. </w:t>
        </w:r>
        <w:r w:rsidRPr="00FB4867">
          <w:rPr>
            <w:rFonts w:ascii="Times New Roman" w:hAnsi="Times New Roman" w:cs="Times New Roman"/>
            <w:i/>
            <w:iCs/>
            <w:color w:val="000000"/>
            <w14:ligatures w14:val="none"/>
          </w:rPr>
          <w:t>Nature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638</w:t>
        </w:r>
        <w:r w:rsidRPr="00FB4867">
          <w:rPr>
            <w:rFonts w:ascii="Times New Roman" w:hAnsi="Times New Roman" w:cs="Times New Roman"/>
            <w:color w:val="000000"/>
            <w14:ligatures w14:val="none"/>
          </w:rPr>
          <w:t>(8049), 138–145. https://doi.org/10.1038/s41586-024-08375-z </w:t>
        </w:r>
      </w:hyperlink>
    </w:p>
    <w:p w14:paraId="7D90E3DF"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2" w:history="1">
        <w:r w:rsidRPr="00FB4867">
          <w:rPr>
            <w:rFonts w:ascii="Times New Roman" w:hAnsi="Times New Roman" w:cs="Times New Roman"/>
            <w:color w:val="000000"/>
            <w14:ligatures w14:val="none"/>
          </w:rPr>
          <w:t xml:space="preserve">Seymour, M., Edwards, F. K., Cosby, B. J., Bista, I., Scarlett, P. M., Brailsford, F. L., Glanville, H. C., De Bruyn, M., Carvalho, G. R., &amp; Creer, S. (2021). Environmental DNA provides higher resolution assessment of riverine biodiversity and ecosystem function via spatio-temporal nestedness and turnover partitioning. </w:t>
        </w:r>
        <w:r w:rsidRPr="00FB4867">
          <w:rPr>
            <w:rFonts w:ascii="Times New Roman" w:hAnsi="Times New Roman" w:cs="Times New Roman"/>
            <w:i/>
            <w:iCs/>
            <w:color w:val="000000"/>
            <w14:ligatures w14:val="none"/>
          </w:rPr>
          <w:t>Communications Biology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w:t>
        </w:r>
        <w:r w:rsidRPr="00FB4867">
          <w:rPr>
            <w:rFonts w:ascii="Times New Roman" w:hAnsi="Times New Roman" w:cs="Times New Roman"/>
            <w:color w:val="000000"/>
            <w14:ligatures w14:val="none"/>
          </w:rPr>
          <w:t>(1), 512. https://doi.org/10.1038/s42003-021-02031-2 </w:t>
        </w:r>
      </w:hyperlink>
    </w:p>
    <w:p w14:paraId="3A82E643"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3" w:history="1">
        <w:r w:rsidRPr="00FB4867">
          <w:rPr>
            <w:rFonts w:ascii="Times New Roman" w:hAnsi="Times New Roman" w:cs="Times New Roman"/>
            <w:color w:val="000000"/>
            <w14:ligatures w14:val="none"/>
          </w:rPr>
          <w:t xml:space="preserve">Shelton, A. O., O’Donnell, J. L., Samhouri, J. F., Lowell, N., Williams, G. D., &amp; Kelly, R. P. (2016). A framework for inferring biological communities from environmental DNA. </w:t>
        </w:r>
        <w:r w:rsidRPr="00FB4867">
          <w:rPr>
            <w:rFonts w:ascii="Times New Roman" w:hAnsi="Times New Roman" w:cs="Times New Roman"/>
            <w:i/>
            <w:iCs/>
            <w:color w:val="000000"/>
            <w14:ligatures w14:val="none"/>
          </w:rPr>
          <w:t>Ecological Applications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26</w:t>
        </w:r>
        <w:r w:rsidRPr="00FB4867">
          <w:rPr>
            <w:rFonts w:ascii="Times New Roman" w:hAnsi="Times New Roman" w:cs="Times New Roman"/>
            <w:color w:val="000000"/>
            <w14:ligatures w14:val="none"/>
          </w:rPr>
          <w:t>(6), 1645–1659. https://doi.org/10.1890/15-1733.1 </w:t>
        </w:r>
      </w:hyperlink>
    </w:p>
    <w:p w14:paraId="4AC862BE"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4" w:history="1">
        <w:r w:rsidRPr="00FB4867">
          <w:rPr>
            <w:rFonts w:ascii="Times New Roman" w:hAnsi="Times New Roman" w:cs="Times New Roman"/>
            <w:color w:val="000000"/>
            <w14:ligatures w14:val="none"/>
          </w:rPr>
          <w:t xml:space="preserve">Shogren, A. J., Tank, J. L., Andruszkiewicz, E., Olds, B., Mahon, A. R., Jerde, C. L., &amp; Bolster, D. (2017). Controls on eDNA movement in streams: Transport, Retention, and Resuspension. </w:t>
        </w:r>
        <w:r w:rsidRPr="00FB4867">
          <w:rPr>
            <w:rFonts w:ascii="Times New Roman" w:hAnsi="Times New Roman" w:cs="Times New Roman"/>
            <w:i/>
            <w:iCs/>
            <w:color w:val="000000"/>
            <w14:ligatures w14:val="none"/>
          </w:rPr>
          <w:t>Scientific Reports</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7</w:t>
        </w:r>
        <w:r w:rsidRPr="00FB4867">
          <w:rPr>
            <w:rFonts w:ascii="Times New Roman" w:hAnsi="Times New Roman" w:cs="Times New Roman"/>
            <w:color w:val="000000"/>
            <w14:ligatures w14:val="none"/>
          </w:rPr>
          <w:t>(1), 5065. https://doi.org/10.1038/s41598-017-05223-1 </w:t>
        </w:r>
      </w:hyperlink>
    </w:p>
    <w:p w14:paraId="0480FB07"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5" w:history="1">
        <w:r w:rsidRPr="00FB4867">
          <w:rPr>
            <w:rFonts w:ascii="Times New Roman" w:hAnsi="Times New Roman" w:cs="Times New Roman"/>
            <w:color w:val="000000"/>
            <w14:ligatures w14:val="none"/>
          </w:rPr>
          <w:t>Spear, S. F., Groves, J. D., Williams, L. A., &amp; Waits, L. P. (2015). Using environmental DNA methods to improve detectability in a hellbender (</w:t>
        </w:r>
        <w:r w:rsidRPr="00FB4867">
          <w:rPr>
            <w:rFonts w:ascii="Times New Roman" w:hAnsi="Times New Roman" w:cs="Times New Roman"/>
            <w:i/>
            <w:iCs/>
            <w:color w:val="000000"/>
            <w14:ligatures w14:val="none"/>
          </w:rPr>
          <w:t>Cryptobranchus alleganiensis</w:t>
        </w:r>
        <w:r w:rsidRPr="00FB4867">
          <w:rPr>
            <w:rFonts w:ascii="Times New Roman" w:hAnsi="Times New Roman" w:cs="Times New Roman"/>
            <w:color w:val="000000"/>
            <w14:ligatures w14:val="none"/>
          </w:rPr>
          <w:t xml:space="preserve">) monitoring program. </w:t>
        </w:r>
        <w:r w:rsidRPr="00FB4867">
          <w:rPr>
            <w:rFonts w:ascii="Times New Roman" w:hAnsi="Times New Roman" w:cs="Times New Roman"/>
            <w:i/>
            <w:iCs/>
            <w:color w:val="000000"/>
            <w14:ligatures w14:val="none"/>
          </w:rPr>
          <w:t>Biological Conservation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183</w:t>
        </w:r>
        <w:r w:rsidRPr="00FB4867">
          <w:rPr>
            <w:rFonts w:ascii="Times New Roman" w:hAnsi="Times New Roman" w:cs="Times New Roman"/>
            <w:color w:val="000000"/>
            <w14:ligatures w14:val="none"/>
          </w:rPr>
          <w:t>, 38–45. https://doi.org/10.1016/j.biocon.2014.11.016 </w:t>
        </w:r>
      </w:hyperlink>
    </w:p>
    <w:p w14:paraId="632AF383"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6" w:history="1">
        <w:r w:rsidRPr="00FB4867">
          <w:rPr>
            <w:rFonts w:ascii="Times New Roman" w:hAnsi="Times New Roman" w:cs="Times New Roman"/>
            <w:color w:val="000000"/>
            <w14:ligatures w14:val="none"/>
          </w:rPr>
          <w:t xml:space="preserve">Strickler, K. M., Fremier, A. K., &amp; Goldberg, C. S. (2015). Quantifying effects of UV-B, temperature, and pH on eDNA degradation in aquatic microcosms. </w:t>
        </w:r>
        <w:r w:rsidRPr="00FB4867">
          <w:rPr>
            <w:rFonts w:ascii="Times New Roman" w:hAnsi="Times New Roman" w:cs="Times New Roman"/>
            <w:i/>
            <w:iCs/>
            <w:color w:val="000000"/>
            <w14:ligatures w14:val="none"/>
          </w:rPr>
          <w:t>Biological Conservation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183</w:t>
        </w:r>
        <w:r w:rsidRPr="00FB4867">
          <w:rPr>
            <w:rFonts w:ascii="Times New Roman" w:hAnsi="Times New Roman" w:cs="Times New Roman"/>
            <w:color w:val="000000"/>
            <w14:ligatures w14:val="none"/>
          </w:rPr>
          <w:t>, 85–92. https://doi.org/10.1016/j.biocon.2014.11.038 </w:t>
        </w:r>
      </w:hyperlink>
    </w:p>
    <w:p w14:paraId="01CCDCBC"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7" w:history="1">
        <w:r w:rsidRPr="00FB4867">
          <w:rPr>
            <w:rFonts w:ascii="Times New Roman" w:hAnsi="Times New Roman" w:cs="Times New Roman"/>
            <w:color w:val="000000"/>
            <w14:ligatures w14:val="none"/>
          </w:rPr>
          <w:t xml:space="preserve">Taberlet, P., Coissac, E., Hajibabaei, M., &amp; Rieseberg, L. H. (2012). Environmental DNA.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21</w:t>
        </w:r>
        <w:r w:rsidRPr="00FB4867">
          <w:rPr>
            <w:rFonts w:ascii="Times New Roman" w:hAnsi="Times New Roman" w:cs="Times New Roman"/>
            <w:color w:val="000000"/>
            <w14:ligatures w14:val="none"/>
          </w:rPr>
          <w:t>(8), 1789–1793. https://doi.org/10.1111/j.1365-294X.2012.05542.x </w:t>
        </w:r>
      </w:hyperlink>
    </w:p>
    <w:p w14:paraId="2B3CBA3E"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8" w:history="1">
        <w:r w:rsidRPr="00FB4867">
          <w:rPr>
            <w:rFonts w:ascii="Times New Roman" w:hAnsi="Times New Roman" w:cs="Times New Roman"/>
            <w:color w:val="000000"/>
            <w14:ligatures w14:val="none"/>
          </w:rPr>
          <w:t xml:space="preserve">Tan, S. C., &amp; Yiap, B. C. (2009). DNA, RNA, and Protein Extraction: The Past and The Present. </w:t>
        </w:r>
        <w:r w:rsidRPr="00FB4867">
          <w:rPr>
            <w:rFonts w:ascii="Times New Roman" w:hAnsi="Times New Roman" w:cs="Times New Roman"/>
            <w:i/>
            <w:iCs/>
            <w:color w:val="000000"/>
            <w14:ligatures w14:val="none"/>
          </w:rPr>
          <w:t>BioMed Research International</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2009</w:t>
        </w:r>
        <w:r w:rsidRPr="00FB4867">
          <w:rPr>
            <w:rFonts w:ascii="Times New Roman" w:hAnsi="Times New Roman" w:cs="Times New Roman"/>
            <w:color w:val="000000"/>
            <w14:ligatures w14:val="none"/>
          </w:rPr>
          <w:t>(1), 574398. https://doi.org/10.1155/2009/574398 </w:t>
        </w:r>
      </w:hyperlink>
    </w:p>
    <w:p w14:paraId="53C19ADE" w14:textId="77777777" w:rsidR="00FB4867" w:rsidRPr="00FB4867" w:rsidRDefault="00FB4867" w:rsidP="002C0BB1">
      <w:pPr>
        <w:spacing w:line="480" w:lineRule="auto"/>
        <w:ind w:left="720" w:hanging="720"/>
        <w:rPr>
          <w:rFonts w:ascii="Times New Roman" w:hAnsi="Times New Roman" w:cs="Times New Roman"/>
          <w14:ligatures w14:val="none"/>
        </w:rPr>
      </w:pPr>
      <w:hyperlink r:id="rId159" w:history="1">
        <w:r w:rsidRPr="00FB4867">
          <w:rPr>
            <w:rFonts w:ascii="Times New Roman" w:hAnsi="Times New Roman" w:cs="Times New Roman"/>
            <w:color w:val="000000"/>
            <w14:ligatures w14:val="none"/>
          </w:rPr>
          <w:t xml:space="preserve">Taylor, H. R., &amp; Gemmell, N. J. (2016). Emerging Technologies to Conserve Biodiversity: Further Opportunities via Genomics. Response to Pimm et al. </w:t>
        </w:r>
        <w:r w:rsidRPr="00FB4867">
          <w:rPr>
            <w:rFonts w:ascii="Times New Roman" w:hAnsi="Times New Roman" w:cs="Times New Roman"/>
            <w:i/>
            <w:iCs/>
            <w:color w:val="000000"/>
            <w14:ligatures w14:val="none"/>
          </w:rPr>
          <w:t>Trends in Ecology &amp;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31</w:t>
        </w:r>
        <w:r w:rsidRPr="00FB4867">
          <w:rPr>
            <w:rFonts w:ascii="Times New Roman" w:hAnsi="Times New Roman" w:cs="Times New Roman"/>
            <w:color w:val="000000"/>
            <w14:ligatures w14:val="none"/>
          </w:rPr>
          <w:t>(3), 171–172. https://doi.org/10.1016/j.tree.2016.01.002 </w:t>
        </w:r>
      </w:hyperlink>
    </w:p>
    <w:p w14:paraId="455F05EC"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0" w:history="1">
        <w:r w:rsidRPr="00FB4867">
          <w:rPr>
            <w:rFonts w:ascii="Times New Roman" w:hAnsi="Times New Roman" w:cs="Times New Roman"/>
            <w:color w:val="000000"/>
            <w14:ligatures w14:val="none"/>
          </w:rPr>
          <w:t xml:space="preserve">Tennessee Valley Authority. (2013). </w:t>
        </w:r>
        <w:r w:rsidRPr="00FB4867">
          <w:rPr>
            <w:rFonts w:ascii="Times New Roman" w:hAnsi="Times New Roman" w:cs="Times New Roman"/>
            <w:i/>
            <w:iCs/>
            <w:color w:val="000000"/>
            <w14:ligatures w14:val="none"/>
          </w:rPr>
          <w:t>Apalachia Dam</w:t>
        </w:r>
        <w:r w:rsidRPr="00FB4867">
          <w:rPr>
            <w:rFonts w:ascii="Times New Roman" w:hAnsi="Times New Roman" w:cs="Times New Roman"/>
            <w:color w:val="000000"/>
            <w14:ligatures w14:val="none"/>
          </w:rPr>
          <w:t>. https://www.tva.com </w:t>
        </w:r>
      </w:hyperlink>
    </w:p>
    <w:p w14:paraId="69730F51"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1" w:history="1">
        <w:r w:rsidRPr="00FB4867">
          <w:rPr>
            <w:rFonts w:ascii="Times New Roman" w:hAnsi="Times New Roman" w:cs="Times New Roman"/>
            <w:color w:val="000000"/>
            <w14:ligatures w14:val="none"/>
          </w:rPr>
          <w:t xml:space="preserve">Thomsen, P. F., Kielgast, J., Iversen, L. L., Møller, P. R., Rasmussen, M., &amp; Willerslev, E. (2012). Detection of a Diverse Marine Fish Fauna Using Environmental DNA from Seawater Samples.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7</w:t>
        </w:r>
        <w:r w:rsidRPr="00FB4867">
          <w:rPr>
            <w:rFonts w:ascii="Times New Roman" w:hAnsi="Times New Roman" w:cs="Times New Roman"/>
            <w:color w:val="000000"/>
            <w14:ligatures w14:val="none"/>
          </w:rPr>
          <w:t>(8), e41732. https://doi.org/10.1371/journal.pone.0041732 </w:t>
        </w:r>
      </w:hyperlink>
    </w:p>
    <w:p w14:paraId="7E1F756E"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2" w:history="1">
        <w:r w:rsidRPr="00FB4867">
          <w:rPr>
            <w:rFonts w:ascii="Times New Roman" w:hAnsi="Times New Roman" w:cs="Times New Roman"/>
            <w:color w:val="000000"/>
            <w14:ligatures w14:val="none"/>
          </w:rPr>
          <w:t xml:space="preserve">Thomsen, P. F., &amp; Willerslev, E. (2015). Environmental DNA – An emerging tool in conservation for monitoring past and present biodiversity. </w:t>
        </w:r>
        <w:r w:rsidRPr="00FB4867">
          <w:rPr>
            <w:rFonts w:ascii="Times New Roman" w:hAnsi="Times New Roman" w:cs="Times New Roman"/>
            <w:i/>
            <w:iCs/>
            <w:color w:val="000000"/>
            <w14:ligatures w14:val="none"/>
          </w:rPr>
          <w:t>Biological Conservation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183</w:t>
        </w:r>
        <w:r w:rsidRPr="00FB4867">
          <w:rPr>
            <w:rFonts w:ascii="Times New Roman" w:hAnsi="Times New Roman" w:cs="Times New Roman"/>
            <w:color w:val="000000"/>
            <w14:ligatures w14:val="none"/>
          </w:rPr>
          <w:t>, 4–18. https://doi.org/10.1016/j.biocon.2014.11.019 </w:t>
        </w:r>
      </w:hyperlink>
    </w:p>
    <w:p w14:paraId="17E90974"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3" w:history="1">
        <w:r w:rsidRPr="00FB4867">
          <w:rPr>
            <w:rFonts w:ascii="Times New Roman" w:hAnsi="Times New Roman" w:cs="Times New Roman"/>
            <w:color w:val="000000"/>
            <w14:ligatures w14:val="none"/>
          </w:rPr>
          <w:t xml:space="preserve">Tsuji, S., Ushio, M., Sakurai, S., Minamoto, T., &amp; Yamanaka, H. (2017). Water temperature-dependent degradation of environmental DNA and its relation to bacterial abundance. </w:t>
        </w:r>
        <w:r w:rsidRPr="00FB4867">
          <w:rPr>
            <w:rFonts w:ascii="Times New Roman" w:hAnsi="Times New Roman" w:cs="Times New Roman"/>
            <w:i/>
            <w:iCs/>
            <w:color w:val="000000"/>
            <w14:ligatures w14:val="none"/>
          </w:rPr>
          <w:t>PLOS ONE</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12</w:t>
        </w:r>
        <w:r w:rsidRPr="00FB4867">
          <w:rPr>
            <w:rFonts w:ascii="Times New Roman" w:hAnsi="Times New Roman" w:cs="Times New Roman"/>
            <w:color w:val="000000"/>
            <w14:ligatures w14:val="none"/>
          </w:rPr>
          <w:t>(4), e0176608. https://doi.org/10.1371/journal.pone.0176608 </w:t>
        </w:r>
      </w:hyperlink>
    </w:p>
    <w:p w14:paraId="621C70CB"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4" w:history="1">
        <w:r w:rsidRPr="00FB4867">
          <w:rPr>
            <w:rFonts w:ascii="Times New Roman" w:hAnsi="Times New Roman" w:cs="Times New Roman"/>
            <w:color w:val="000000"/>
            <w14:ligatures w14:val="none"/>
          </w:rPr>
          <w:t xml:space="preserve">Valentini, A., Pompanon, F., &amp; Taberlet, P. (2009). DNA barcoding for ecologists. </w:t>
        </w:r>
        <w:r w:rsidRPr="00FB4867">
          <w:rPr>
            <w:rFonts w:ascii="Times New Roman" w:hAnsi="Times New Roman" w:cs="Times New Roman"/>
            <w:i/>
            <w:iCs/>
            <w:color w:val="000000"/>
            <w14:ligatures w14:val="none"/>
          </w:rPr>
          <w:t>Trends in Ecology &amp; Evolution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24</w:t>
        </w:r>
        <w:r w:rsidRPr="00FB4867">
          <w:rPr>
            <w:rFonts w:ascii="Times New Roman" w:hAnsi="Times New Roman" w:cs="Times New Roman"/>
            <w:color w:val="000000"/>
            <w14:ligatures w14:val="none"/>
          </w:rPr>
          <w:t>(2), 110–117. https://doi.org/10.1016/j.tree.2008.09.011 </w:t>
        </w:r>
      </w:hyperlink>
    </w:p>
    <w:p w14:paraId="78200AC9"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5" w:history="1">
        <w:r w:rsidRPr="00FB4867">
          <w:rPr>
            <w:rFonts w:ascii="Times New Roman" w:hAnsi="Times New Roman" w:cs="Times New Roman"/>
            <w:color w:val="000000"/>
            <w14:ligatures w14:val="none"/>
          </w:rPr>
          <w:t xml:space="preserve">Vaughn, C. C. (2018). Ecosystem services provided by freshwater mussels. </w:t>
        </w:r>
        <w:r w:rsidRPr="00FB4867">
          <w:rPr>
            <w:rFonts w:ascii="Times New Roman" w:hAnsi="Times New Roman" w:cs="Times New Roman"/>
            <w:i/>
            <w:iCs/>
            <w:color w:val="000000"/>
            <w14:ligatures w14:val="none"/>
          </w:rPr>
          <w:t>Hydrobiologia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810</w:t>
        </w:r>
        <w:r w:rsidRPr="00FB4867">
          <w:rPr>
            <w:rFonts w:ascii="Times New Roman" w:hAnsi="Times New Roman" w:cs="Times New Roman"/>
            <w:color w:val="000000"/>
            <w14:ligatures w14:val="none"/>
          </w:rPr>
          <w:t>(1), 15–27. https://doi.org/10.1007/s10750-017-3139-x </w:t>
        </w:r>
      </w:hyperlink>
    </w:p>
    <w:p w14:paraId="004AC892"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6" w:history="1">
        <w:r w:rsidRPr="00FB4867">
          <w:rPr>
            <w:rFonts w:ascii="Times New Roman" w:hAnsi="Times New Roman" w:cs="Times New Roman"/>
            <w:color w:val="000000"/>
            <w14:ligatures w14:val="none"/>
          </w:rPr>
          <w:t xml:space="preserve">Veilleux, H. D., Misutka, M. D., &amp; Glover, C. N. (2021). Environmental DNA and environmental RNA: Current and prospective applications for biological monitoring. </w:t>
        </w:r>
        <w:r w:rsidRPr="00FB4867">
          <w:rPr>
            <w:rFonts w:ascii="Times New Roman" w:hAnsi="Times New Roman" w:cs="Times New Roman"/>
            <w:i/>
            <w:iCs/>
            <w:color w:val="000000"/>
            <w14:ligatures w14:val="none"/>
          </w:rPr>
          <w:t>The Science of the Total Environment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782</w:t>
        </w:r>
        <w:r w:rsidRPr="00FB4867">
          <w:rPr>
            <w:rFonts w:ascii="Times New Roman" w:hAnsi="Times New Roman" w:cs="Times New Roman"/>
            <w:color w:val="000000"/>
            <w14:ligatures w14:val="none"/>
          </w:rPr>
          <w:t>, 146891. https://doi.org/10.1016/j.scitotenv.2021.146891 </w:t>
        </w:r>
      </w:hyperlink>
    </w:p>
    <w:p w14:paraId="4FFD2CC7"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7" w:history="1">
        <w:r w:rsidRPr="00FB4867">
          <w:rPr>
            <w:rFonts w:ascii="Times New Roman" w:hAnsi="Times New Roman" w:cs="Times New Roman"/>
            <w:color w:val="000000"/>
            <w14:ligatures w14:val="none"/>
          </w:rPr>
          <w:t xml:space="preserve">Vlok, M., Lang, A., &amp; Suttle, C. (2019). </w:t>
        </w:r>
        <w:r w:rsidRPr="00FB4867">
          <w:rPr>
            <w:rFonts w:ascii="Times New Roman" w:hAnsi="Times New Roman" w:cs="Times New Roman"/>
            <w:i/>
            <w:iCs/>
            <w:color w:val="000000"/>
            <w14:ligatures w14:val="none"/>
          </w:rPr>
          <w:t xml:space="preserve">Marine RNA virus </w:t>
        </w:r>
        <w:proofErr w:type="spellStart"/>
        <w:r w:rsidRPr="00FB4867">
          <w:rPr>
            <w:rFonts w:ascii="Times New Roman" w:hAnsi="Times New Roman" w:cs="Times New Roman"/>
            <w:i/>
            <w:iCs/>
            <w:color w:val="000000"/>
            <w14:ligatures w14:val="none"/>
          </w:rPr>
          <w:t>quasispecies</w:t>
        </w:r>
        <w:proofErr w:type="spellEnd"/>
        <w:r w:rsidRPr="00FB4867">
          <w:rPr>
            <w:rFonts w:ascii="Times New Roman" w:hAnsi="Times New Roman" w:cs="Times New Roman"/>
            <w:i/>
            <w:iCs/>
            <w:color w:val="000000"/>
            <w14:ligatures w14:val="none"/>
          </w:rPr>
          <w:t xml:space="preserve"> are distributed throughout the oceans. </w:t>
        </w:r>
        <w:proofErr w:type="spellStart"/>
        <w:r w:rsidRPr="00FB4867">
          <w:rPr>
            <w:rFonts w:ascii="Times New Roman" w:hAnsi="Times New Roman" w:cs="Times New Roman"/>
            <w:i/>
            <w:iCs/>
            <w:color w:val="000000"/>
            <w14:ligatures w14:val="none"/>
          </w:rPr>
          <w:t>mSphere</w:t>
        </w:r>
        <w:proofErr w:type="spellEnd"/>
        <w:r w:rsidRPr="00FB4867">
          <w:rPr>
            <w:rFonts w:ascii="Times New Roman" w:hAnsi="Times New Roman" w:cs="Times New Roman"/>
            <w:i/>
            <w:iCs/>
            <w:color w:val="000000"/>
            <w14:ligatures w14:val="none"/>
          </w:rPr>
          <w:t xml:space="preserve"> 4: E00157-19</w:t>
        </w:r>
        <w:r w:rsidRPr="00FB4867">
          <w:rPr>
            <w:rFonts w:ascii="Times New Roman" w:hAnsi="Times New Roman" w:cs="Times New Roman"/>
            <w:color w:val="000000"/>
            <w14:ligatures w14:val="none"/>
          </w:rPr>
          <w:t>. </w:t>
        </w:r>
      </w:hyperlink>
    </w:p>
    <w:p w14:paraId="3EABC0C9"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8" w:history="1">
        <w:r w:rsidRPr="00FB4867">
          <w:rPr>
            <w:rFonts w:ascii="Times New Roman" w:hAnsi="Times New Roman" w:cs="Times New Roman"/>
            <w:color w:val="000000"/>
            <w14:ligatures w14:val="none"/>
          </w:rPr>
          <w:t xml:space="preserve">Weigand, H., Beermann, A. J., Čiampor, F., Costa, F. O., Csabai, Z., Duarte, S., Geiger, M. F., Grabowski, M., Rimet, F., Rulik, B., Strand, M., Szucsich, N., Weigand, A. M., Willassen, E., Wyler, S. A., Bouchez, A., Borja, A., Čiamporová-Zaťovičová, Z., Ferreira, S., … Ekrem, T. (2019). DNA barcode reference libraries for the monitoring of aquatic biota in Europe: Gap-analysis and recommendations for future work. </w:t>
        </w:r>
        <w:r w:rsidRPr="00FB4867">
          <w:rPr>
            <w:rFonts w:ascii="Times New Roman" w:hAnsi="Times New Roman" w:cs="Times New Roman"/>
            <w:i/>
            <w:iCs/>
            <w:color w:val="000000"/>
            <w14:ligatures w14:val="none"/>
          </w:rPr>
          <w:t>Science of The Total Environment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678</w:t>
        </w:r>
        <w:r w:rsidRPr="00FB4867">
          <w:rPr>
            <w:rFonts w:ascii="Times New Roman" w:hAnsi="Times New Roman" w:cs="Times New Roman"/>
            <w:color w:val="000000"/>
            <w14:ligatures w14:val="none"/>
          </w:rPr>
          <w:t>, 499–524. https://doi.org/10.1016/j.scitotenv.2019.04.247 </w:t>
        </w:r>
      </w:hyperlink>
    </w:p>
    <w:p w14:paraId="5E0FB5DC" w14:textId="77777777" w:rsidR="00FB4867" w:rsidRPr="00FB4867" w:rsidRDefault="00FB4867" w:rsidP="002C0BB1">
      <w:pPr>
        <w:spacing w:line="480" w:lineRule="auto"/>
        <w:ind w:left="720" w:hanging="720"/>
        <w:rPr>
          <w:rFonts w:ascii="Times New Roman" w:hAnsi="Times New Roman" w:cs="Times New Roman"/>
          <w14:ligatures w14:val="none"/>
        </w:rPr>
      </w:pPr>
      <w:hyperlink r:id="rId169" w:history="1">
        <w:r w:rsidRPr="00FB4867">
          <w:rPr>
            <w:rFonts w:ascii="Times New Roman" w:hAnsi="Times New Roman" w:cs="Times New Roman"/>
            <w:color w:val="000000"/>
            <w14:ligatures w14:val="none"/>
          </w:rPr>
          <w:t xml:space="preserve">Williams, J. D., Bogan, A. E., Butler, R. S., Cummings, K. S., Garner, J. T., Harris, J. L., Johnson, N. A., &amp; Watters, G. T. (2017). A Revised List of the Freshwater Mussels (Mollusca: Bivalvia: Unionida) of the United States and Canada. </w:t>
        </w:r>
        <w:r w:rsidRPr="00FB4867">
          <w:rPr>
            <w:rFonts w:ascii="Times New Roman" w:hAnsi="Times New Roman" w:cs="Times New Roman"/>
            <w:i/>
            <w:iCs/>
            <w:color w:val="000000"/>
            <w14:ligatures w14:val="none"/>
          </w:rPr>
          <w:t>Freshwater Mollusk Biology and Conservation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20</w:t>
        </w:r>
        <w:r w:rsidRPr="00FB4867">
          <w:rPr>
            <w:rFonts w:ascii="Times New Roman" w:hAnsi="Times New Roman" w:cs="Times New Roman"/>
            <w:color w:val="000000"/>
            <w14:ligatures w14:val="none"/>
          </w:rPr>
          <w:t>(2), 33. https://doi.org/10.31931/fmbc.v20i2.2017.33-58 </w:t>
        </w:r>
      </w:hyperlink>
    </w:p>
    <w:p w14:paraId="1BC0A6C5" w14:textId="77777777" w:rsidR="00FB4867" w:rsidRPr="00FB4867" w:rsidRDefault="00FB4867" w:rsidP="002C0BB1">
      <w:pPr>
        <w:spacing w:line="480" w:lineRule="auto"/>
        <w:ind w:left="720" w:hanging="720"/>
        <w:rPr>
          <w:rFonts w:ascii="Times New Roman" w:hAnsi="Times New Roman" w:cs="Times New Roman"/>
          <w14:ligatures w14:val="none"/>
        </w:rPr>
      </w:pPr>
      <w:hyperlink r:id="rId170" w:history="1">
        <w:r w:rsidRPr="00FB4867">
          <w:rPr>
            <w:rFonts w:ascii="Times New Roman" w:hAnsi="Times New Roman" w:cs="Times New Roman"/>
            <w:color w:val="000000"/>
            <w14:ligatures w14:val="none"/>
          </w:rPr>
          <w:t xml:space="preserve">Williford, D., Hajovsky, P., &amp; Anderson, J. (2023). Environmental DNA compliments traditional sampling for monitoring fish communities in a Texas estuary. </w:t>
        </w:r>
        <w:r w:rsidRPr="00FB4867">
          <w:rPr>
            <w:rFonts w:ascii="Times New Roman" w:hAnsi="Times New Roman" w:cs="Times New Roman"/>
            <w:i/>
            <w:iCs/>
            <w:color w:val="000000"/>
            <w14:ligatures w14:val="none"/>
          </w:rPr>
          <w:t>North American Journal of Fisheries Management</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43</w:t>
        </w:r>
        <w:r w:rsidRPr="00FB4867">
          <w:rPr>
            <w:rFonts w:ascii="Times New Roman" w:hAnsi="Times New Roman" w:cs="Times New Roman"/>
            <w:color w:val="000000"/>
            <w14:ligatures w14:val="none"/>
          </w:rPr>
          <w:t>(5), 1372–1394. https://doi.org/10.1002/nafm.10937 </w:t>
        </w:r>
      </w:hyperlink>
    </w:p>
    <w:p w14:paraId="48CA91FB" w14:textId="77777777" w:rsidR="00FB4867" w:rsidRPr="00FB4867" w:rsidRDefault="00FB4867" w:rsidP="002C0BB1">
      <w:pPr>
        <w:spacing w:line="480" w:lineRule="auto"/>
        <w:ind w:left="720" w:hanging="720"/>
        <w:rPr>
          <w:rFonts w:ascii="Times New Roman" w:hAnsi="Times New Roman" w:cs="Times New Roman"/>
          <w14:ligatures w14:val="none"/>
        </w:rPr>
      </w:pPr>
      <w:hyperlink r:id="rId171" w:history="1">
        <w:r w:rsidRPr="00FB4867">
          <w:rPr>
            <w:rFonts w:ascii="Times New Roman" w:hAnsi="Times New Roman" w:cs="Times New Roman"/>
            <w:color w:val="000000"/>
            <w14:ligatures w14:val="none"/>
          </w:rPr>
          <w:t xml:space="preserve">Wu, H., Chen, J., Xu, J., Zeng, G., Sang, L., Liu, Q., Yin, Z., Dai, J., Yin, D., Liang, J., &amp; Ye, S. (2019). Effects of dam construction on biodiversity: A review. </w:t>
        </w:r>
        <w:r w:rsidRPr="00FB4867">
          <w:rPr>
            <w:rFonts w:ascii="Times New Roman" w:hAnsi="Times New Roman" w:cs="Times New Roman"/>
            <w:i/>
            <w:iCs/>
            <w:color w:val="000000"/>
            <w14:ligatures w14:val="none"/>
          </w:rPr>
          <w:t>Journal of Cleaner Production</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221</w:t>
        </w:r>
        <w:r w:rsidRPr="00FB4867">
          <w:rPr>
            <w:rFonts w:ascii="Times New Roman" w:hAnsi="Times New Roman" w:cs="Times New Roman"/>
            <w:color w:val="000000"/>
            <w14:ligatures w14:val="none"/>
          </w:rPr>
          <w:t>, 480–489. https://doi.org/10.1016/j.jclepro.2019.03.001 </w:t>
        </w:r>
      </w:hyperlink>
    </w:p>
    <w:p w14:paraId="1E4F2FCA" w14:textId="77777777" w:rsidR="00FB4867" w:rsidRPr="00FB4867" w:rsidRDefault="00FB4867" w:rsidP="002C0BB1">
      <w:pPr>
        <w:spacing w:line="480" w:lineRule="auto"/>
        <w:ind w:left="720" w:hanging="720"/>
        <w:rPr>
          <w:rFonts w:ascii="Times New Roman" w:hAnsi="Times New Roman" w:cs="Times New Roman"/>
          <w14:ligatures w14:val="none"/>
        </w:rPr>
      </w:pPr>
      <w:hyperlink r:id="rId172" w:history="1">
        <w:r w:rsidRPr="00FB4867">
          <w:rPr>
            <w:rFonts w:ascii="Times New Roman" w:hAnsi="Times New Roman" w:cs="Times New Roman"/>
            <w:color w:val="000000"/>
            <w14:ligatures w14:val="none"/>
          </w:rPr>
          <w:t xml:space="preserve">WWF. (2016). </w:t>
        </w:r>
        <w:r w:rsidRPr="00FB4867">
          <w:rPr>
            <w:rFonts w:ascii="Times New Roman" w:hAnsi="Times New Roman" w:cs="Times New Roman"/>
            <w:i/>
            <w:iCs/>
            <w:color w:val="000000"/>
            <w14:ligatures w14:val="none"/>
          </w:rPr>
          <w:t>Living Planet Report 2016: Risk and resilience in a new era</w:t>
        </w:r>
        <w:r w:rsidRPr="00FB4867">
          <w:rPr>
            <w:rFonts w:ascii="Times New Roman" w:hAnsi="Times New Roman" w:cs="Times New Roman"/>
            <w:color w:val="000000"/>
            <w14:ligatures w14:val="none"/>
          </w:rPr>
          <w:t>. WWF International. https://www.worldwildlife.org/publications/2016-living-planet-report-risk-and-resilience-in-a-new-era </w:t>
        </w:r>
      </w:hyperlink>
    </w:p>
    <w:p w14:paraId="5EE9178C" w14:textId="77777777" w:rsidR="00FB4867" w:rsidRPr="00FB4867" w:rsidRDefault="00FB4867" w:rsidP="002C0BB1">
      <w:pPr>
        <w:spacing w:line="480" w:lineRule="auto"/>
        <w:ind w:left="720" w:hanging="720"/>
        <w:rPr>
          <w:rFonts w:ascii="Times New Roman" w:hAnsi="Times New Roman" w:cs="Times New Roman"/>
          <w14:ligatures w14:val="none"/>
        </w:rPr>
      </w:pPr>
      <w:hyperlink r:id="rId173" w:history="1">
        <w:r w:rsidRPr="00FB4867">
          <w:rPr>
            <w:rFonts w:ascii="Times New Roman" w:hAnsi="Times New Roman" w:cs="Times New Roman"/>
            <w:color w:val="000000"/>
            <w14:ligatures w14:val="none"/>
          </w:rPr>
          <w:t xml:space="preserve">Yao, M., Zhang, S., Lu, Q., Chen, X., Zhang, S., Kong, Y., &amp; Zhao, J. (2022). Fishing for fish environmental DNA: Ecological applications, methodological considerations, surveying designs, and ways forward. </w:t>
        </w:r>
        <w:r w:rsidRPr="00FB4867">
          <w:rPr>
            <w:rFonts w:ascii="Times New Roman" w:hAnsi="Times New Roman" w:cs="Times New Roman"/>
            <w:i/>
            <w:iCs/>
            <w:color w:val="000000"/>
            <w14:ligatures w14:val="none"/>
          </w:rPr>
          <w:t>Molecular Ecology</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31</w:t>
        </w:r>
        <w:r w:rsidRPr="00FB4867">
          <w:rPr>
            <w:rFonts w:ascii="Times New Roman" w:hAnsi="Times New Roman" w:cs="Times New Roman"/>
            <w:color w:val="000000"/>
            <w14:ligatures w14:val="none"/>
          </w:rPr>
          <w:t>(20), 5132–5164. https://doi.org/10.1111/mec.16659 </w:t>
        </w:r>
      </w:hyperlink>
    </w:p>
    <w:p w14:paraId="2F39346C" w14:textId="77777777" w:rsidR="00FB4867" w:rsidRPr="00FB4867" w:rsidRDefault="00FB4867" w:rsidP="002C0BB1">
      <w:pPr>
        <w:spacing w:line="480" w:lineRule="auto"/>
        <w:ind w:left="720" w:hanging="720"/>
        <w:rPr>
          <w:rFonts w:ascii="Times New Roman" w:hAnsi="Times New Roman" w:cs="Times New Roman"/>
          <w14:ligatures w14:val="none"/>
        </w:rPr>
      </w:pPr>
      <w:hyperlink r:id="rId174" w:history="1">
        <w:r w:rsidRPr="00FB4867">
          <w:rPr>
            <w:rFonts w:ascii="Times New Roman" w:hAnsi="Times New Roman" w:cs="Times New Roman"/>
            <w:color w:val="000000"/>
            <w14:ligatures w14:val="none"/>
          </w:rPr>
          <w:t xml:space="preserve">Yates, M. C., Fraser, D. J., &amp; Derry, A. M. (2019). Meta‐analysis supports further refinement of eDNA for monitoring aquatic species‐specific abundance in nature.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w:t>
        </w:r>
        <w:r w:rsidRPr="00FB4867">
          <w:rPr>
            <w:rFonts w:ascii="Times New Roman" w:hAnsi="Times New Roman" w:cs="Times New Roman"/>
            <w:color w:val="000000"/>
            <w14:ligatures w14:val="none"/>
          </w:rPr>
          <w:t>(1), 5–13. https://doi.org/10.1002/edn3.7 </w:t>
        </w:r>
      </w:hyperlink>
    </w:p>
    <w:p w14:paraId="409CCF8D" w14:textId="77777777" w:rsidR="00FB4867" w:rsidRPr="00FB4867" w:rsidRDefault="00FB4867" w:rsidP="002C0BB1">
      <w:pPr>
        <w:spacing w:line="480" w:lineRule="auto"/>
        <w:ind w:left="720" w:hanging="720"/>
        <w:rPr>
          <w:rFonts w:ascii="Times New Roman" w:hAnsi="Times New Roman" w:cs="Times New Roman"/>
          <w14:ligatures w14:val="none"/>
        </w:rPr>
      </w:pPr>
      <w:hyperlink r:id="rId175" w:history="1">
        <w:r w:rsidRPr="00FB4867">
          <w:rPr>
            <w:rFonts w:ascii="Times New Roman" w:hAnsi="Times New Roman" w:cs="Times New Roman"/>
            <w:color w:val="000000"/>
            <w14:ligatures w14:val="none"/>
          </w:rPr>
          <w:t xml:space="preserve">Yates, M. C., Furlan, E., Thalinger, B., Yamanaka, H., &amp; Bernatchez, L. (2023). Beyond species detection—Leveraging environmental DNA and environmental RNA to push beyond presence/absence applications.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5</w:t>
        </w:r>
        <w:r w:rsidRPr="00FB4867">
          <w:rPr>
            <w:rFonts w:ascii="Times New Roman" w:hAnsi="Times New Roman" w:cs="Times New Roman"/>
            <w:color w:val="000000"/>
            <w14:ligatures w14:val="none"/>
          </w:rPr>
          <w:t>(5), 829–835. https://doi.org/10.1002/edn3.459 </w:t>
        </w:r>
      </w:hyperlink>
    </w:p>
    <w:p w14:paraId="5AD33687" w14:textId="77777777" w:rsidR="00FB4867" w:rsidRPr="00FB4867" w:rsidRDefault="00FB4867" w:rsidP="002C0BB1">
      <w:pPr>
        <w:spacing w:line="480" w:lineRule="auto"/>
        <w:ind w:left="720" w:hanging="720"/>
        <w:rPr>
          <w:rFonts w:ascii="Times New Roman" w:hAnsi="Times New Roman" w:cs="Times New Roman"/>
          <w14:ligatures w14:val="none"/>
        </w:rPr>
      </w:pPr>
      <w:hyperlink r:id="rId176" w:history="1">
        <w:r w:rsidRPr="00FB4867">
          <w:rPr>
            <w:rFonts w:ascii="Times New Roman" w:hAnsi="Times New Roman" w:cs="Times New Roman"/>
            <w:color w:val="000000"/>
            <w14:ligatures w14:val="none"/>
          </w:rPr>
          <w:t xml:space="preserve">Yates, M. C., Wilcox, T. M., McKelvey, K. S., Young, M. K., Schwartz, M. K., &amp; Derry, A. M. (2021). Allometric scaling of eDNA production in stream-dwelling brook trout (Salvelinus fontinalis) inferred from population size structure. </w:t>
        </w:r>
        <w:r w:rsidRPr="00FB4867">
          <w:rPr>
            <w:rFonts w:ascii="Times New Roman" w:hAnsi="Times New Roman" w:cs="Times New Roman"/>
            <w:i/>
            <w:iCs/>
            <w:color w:val="000000"/>
            <w14:ligatures w14:val="none"/>
          </w:rPr>
          <w:t>Environmental DNA</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3</w:t>
        </w:r>
        <w:r w:rsidRPr="00FB4867">
          <w:rPr>
            <w:rFonts w:ascii="Times New Roman" w:hAnsi="Times New Roman" w:cs="Times New Roman"/>
            <w:color w:val="000000"/>
            <w14:ligatures w14:val="none"/>
          </w:rPr>
          <w:t>(3), 553–560. https://doi.org/10.1002/edn3.150 </w:t>
        </w:r>
      </w:hyperlink>
    </w:p>
    <w:p w14:paraId="73DFBEDE" w14:textId="77777777" w:rsidR="00FB4867" w:rsidRPr="00FB4867" w:rsidRDefault="00FB4867" w:rsidP="002C0BB1">
      <w:pPr>
        <w:spacing w:line="480" w:lineRule="auto"/>
        <w:ind w:left="720" w:hanging="720"/>
        <w:rPr>
          <w:rFonts w:ascii="Times New Roman" w:hAnsi="Times New Roman" w:cs="Times New Roman"/>
          <w14:ligatures w14:val="none"/>
        </w:rPr>
      </w:pPr>
      <w:hyperlink r:id="rId177" w:history="1">
        <w:r w:rsidRPr="00FB4867">
          <w:rPr>
            <w:rFonts w:ascii="Times New Roman" w:hAnsi="Times New Roman" w:cs="Times New Roman"/>
            <w:color w:val="000000"/>
            <w14:ligatures w14:val="none"/>
          </w:rPr>
          <w:t xml:space="preserve">Zajicek, P., &amp; Wolter, C. (2018). The gain of additional sampling methods for the fish-based assessment of large rivers. </w:t>
        </w:r>
        <w:r w:rsidRPr="00FB4867">
          <w:rPr>
            <w:rFonts w:ascii="Times New Roman" w:hAnsi="Times New Roman" w:cs="Times New Roman"/>
            <w:i/>
            <w:iCs/>
            <w:color w:val="000000"/>
            <w14:ligatures w14:val="none"/>
          </w:rPr>
          <w:t>Fisheries Research</w:t>
        </w:r>
        <w:r w:rsidRPr="00FB4867">
          <w:rPr>
            <w:rFonts w:ascii="Times New Roman" w:hAnsi="Times New Roman" w:cs="Times New Roman"/>
            <w:color w:val="000000"/>
            <w14:ligatures w14:val="none"/>
          </w:rPr>
          <w:t xml:space="preserve">, </w:t>
        </w:r>
        <w:r w:rsidRPr="00FB4867">
          <w:rPr>
            <w:rFonts w:ascii="Times New Roman" w:hAnsi="Times New Roman" w:cs="Times New Roman"/>
            <w:i/>
            <w:iCs/>
            <w:color w:val="000000"/>
            <w14:ligatures w14:val="none"/>
          </w:rPr>
          <w:t>197</w:t>
        </w:r>
        <w:r w:rsidRPr="00FB4867">
          <w:rPr>
            <w:rFonts w:ascii="Times New Roman" w:hAnsi="Times New Roman" w:cs="Times New Roman"/>
            <w:color w:val="000000"/>
            <w14:ligatures w14:val="none"/>
          </w:rPr>
          <w:t>, 15–24. https://doi.org/10.1016/j.fishres.2017.09.018 </w:t>
        </w:r>
      </w:hyperlink>
    </w:p>
    <w:p w14:paraId="595DB7E1" w14:textId="6CDE008D" w:rsidR="00FB4867" w:rsidRPr="0013395F" w:rsidRDefault="002C0BB1" w:rsidP="002C0BB1">
      <w:pPr>
        <w:pStyle w:val="normale"/>
        <w:ind w:left="720" w:hanging="720"/>
      </w:pPr>
      <w:hyperlink r:id="rId178" w:history="1">
        <w:r w:rsidRPr="006725AF">
          <w:rPr>
            <w:rStyle w:val="Hyperlink"/>
            <w:rFonts w:ascii="Times New Roman" w:hAnsi="Times New Roman"/>
            <w14:ligatures w14:val="none"/>
          </w:rPr>
          <w:t xml:space="preserve">Zhu, T., Sato, Y., Sado, T., Miya, M., &amp; Iwasaki, W. (2023). MitoFish, MitoAnnotator, and MiFish Pipeline: Updates in 10 Years. </w:t>
        </w:r>
        <w:r w:rsidRPr="006725AF">
          <w:rPr>
            <w:rStyle w:val="Hyperlink"/>
            <w:rFonts w:ascii="Times New Roman" w:hAnsi="Times New Roman"/>
            <w:i/>
            <w:iCs/>
            <w14:ligatures w14:val="none"/>
          </w:rPr>
          <w:t>Molecular Biology and Evolution</w:t>
        </w:r>
        <w:r w:rsidRPr="006725AF">
          <w:rPr>
            <w:rStyle w:val="Hyperlink"/>
            <w:rFonts w:ascii="Times New Roman" w:hAnsi="Times New Roman"/>
            <w14:ligatures w14:val="none"/>
          </w:rPr>
          <w:t xml:space="preserve">, </w:t>
        </w:r>
        <w:r w:rsidRPr="006725AF">
          <w:rPr>
            <w:rStyle w:val="Hyperlink"/>
            <w:rFonts w:ascii="Times New Roman" w:hAnsi="Times New Roman"/>
            <w:i/>
            <w:iCs/>
            <w14:ligatures w14:val="none"/>
          </w:rPr>
          <w:t>40</w:t>
        </w:r>
        <w:r w:rsidRPr="006725AF">
          <w:rPr>
            <w:rStyle w:val="Hyperlink"/>
            <w:rFonts w:ascii="Times New Roman" w:hAnsi="Times New Roman"/>
            <w14:ligatures w14:val="none"/>
          </w:rPr>
          <w:t xml:space="preserve">(3), msad035. https://doi.org/10.1093/molbev/msad035 </w:t>
        </w:r>
      </w:hyperlink>
    </w:p>
    <w:p w14:paraId="66686E3E" w14:textId="6DAD568A" w:rsidR="008B36B9" w:rsidRDefault="00324C32" w:rsidP="00731133">
      <w:pPr>
        <w:pStyle w:val="AltHeading1"/>
      </w:pPr>
      <w:r w:rsidRPr="009D2AA9">
        <w:rPr>
          <w:noProof/>
        </w:rPr>
        <w:br w:type="page"/>
      </w:r>
      <w:bookmarkStart w:id="71" w:name="_Toc420995913"/>
      <w:bookmarkStart w:id="72" w:name="_Toc422997500"/>
      <w:bookmarkStart w:id="73" w:name="_Toc427156485"/>
      <w:bookmarkStart w:id="74" w:name="_Toc211651643"/>
      <w:r w:rsidRPr="009D2AA9">
        <w:lastRenderedPageBreak/>
        <w:t>Vita</w:t>
      </w:r>
      <w:bookmarkEnd w:id="71"/>
      <w:bookmarkEnd w:id="72"/>
      <w:bookmarkEnd w:id="73"/>
      <w:bookmarkEnd w:id="74"/>
    </w:p>
    <w:p w14:paraId="01291E57" w14:textId="562A1B5F" w:rsidR="00AF6CA9" w:rsidRDefault="006607E2" w:rsidP="006607E2">
      <w:pPr>
        <w:spacing w:line="480" w:lineRule="auto"/>
        <w:ind w:firstLine="720"/>
        <w:rPr>
          <w:rFonts w:ascii="Times New Roman" w:hAnsi="Times New Roman" w:cs="Times New Roman"/>
        </w:rPr>
      </w:pPr>
      <w:r w:rsidRPr="00AF7C77">
        <w:rPr>
          <w:rFonts w:ascii="Times New Roman" w:hAnsi="Times New Roman" w:cs="Times New Roman"/>
        </w:rPr>
        <w:t xml:space="preserve">Alaa S. Ahmed was raised in </w:t>
      </w:r>
      <w:proofErr w:type="spellStart"/>
      <w:r w:rsidRPr="00AF7C77">
        <w:rPr>
          <w:rFonts w:ascii="Times New Roman" w:hAnsi="Times New Roman" w:cs="Times New Roman"/>
        </w:rPr>
        <w:t>Mersa</w:t>
      </w:r>
      <w:proofErr w:type="spellEnd"/>
      <w:r w:rsidRPr="00AF7C77">
        <w:rPr>
          <w:rFonts w:ascii="Times New Roman" w:hAnsi="Times New Roman" w:cs="Times New Roman"/>
        </w:rPr>
        <w:t xml:space="preserve"> </w:t>
      </w:r>
      <w:proofErr w:type="spellStart"/>
      <w:r w:rsidRPr="00AF7C77">
        <w:rPr>
          <w:rFonts w:ascii="Times New Roman" w:hAnsi="Times New Roman" w:cs="Times New Roman"/>
        </w:rPr>
        <w:t>Matrouh</w:t>
      </w:r>
      <w:proofErr w:type="spellEnd"/>
      <w:r w:rsidRPr="00AF7C77">
        <w:rPr>
          <w:rFonts w:ascii="Times New Roman" w:hAnsi="Times New Roman" w:cs="Times New Roman"/>
        </w:rPr>
        <w:t>, a small</w:t>
      </w:r>
      <w:r w:rsidR="003E0C30">
        <w:rPr>
          <w:rFonts w:ascii="Times New Roman" w:hAnsi="Times New Roman" w:cs="Times New Roman"/>
        </w:rPr>
        <w:t xml:space="preserve"> beautiful</w:t>
      </w:r>
      <w:r w:rsidRPr="00AF7C77">
        <w:rPr>
          <w:rFonts w:ascii="Times New Roman" w:hAnsi="Times New Roman" w:cs="Times New Roman"/>
        </w:rPr>
        <w:t xml:space="preserve"> Mediterranean town, before moving to Cairo, Egypt. After completing high school, she spent one year studying Medicine but soon realized that her true passion lay in scientific discovery rather than its clinical applications. She then transferred to Zewail City of Science and Technology, where she earned her bachelor’s degree in biomedical sciences (</w:t>
      </w:r>
      <w:r w:rsidRPr="00316C4C">
        <w:rPr>
          <w:rFonts w:ascii="Times New Roman" w:hAnsi="Times New Roman" w:cs="Times New Roman"/>
        </w:rPr>
        <w:t>cum laude</w:t>
      </w:r>
      <w:r w:rsidRPr="00AF7C77">
        <w:rPr>
          <w:rFonts w:ascii="Times New Roman" w:hAnsi="Times New Roman" w:cs="Times New Roman"/>
        </w:rPr>
        <w:t>) with a concentration in Computational Biology and Genomics.</w:t>
      </w:r>
      <w:r>
        <w:rPr>
          <w:rFonts w:ascii="Times New Roman" w:hAnsi="Times New Roman" w:cs="Times New Roman"/>
        </w:rPr>
        <w:t xml:space="preserve"> </w:t>
      </w:r>
      <w:r w:rsidRPr="00AF7C77">
        <w:rPr>
          <w:rFonts w:ascii="Times New Roman" w:hAnsi="Times New Roman" w:cs="Times New Roman"/>
        </w:rPr>
        <w:t xml:space="preserve">At the time, Zewail City was a newly established university founded under the vision and guidance of Nobel Laureate Dr. Ahmed Zewail, providing an inspiring environment that deepened Alaa’s commitment to scientific research. Her undergraduate </w:t>
      </w:r>
      <w:r w:rsidR="00A0388C">
        <w:rPr>
          <w:rFonts w:ascii="Times New Roman" w:hAnsi="Times New Roman" w:cs="Times New Roman"/>
        </w:rPr>
        <w:t>research</w:t>
      </w:r>
      <w:r w:rsidRPr="00AF7C77">
        <w:rPr>
          <w:rFonts w:ascii="Times New Roman" w:hAnsi="Times New Roman" w:cs="Times New Roman"/>
        </w:rPr>
        <w:t xml:space="preserve"> focused on mitochondrial gene expression dysregulation in neurodegenerative diseases.</w:t>
      </w:r>
      <w:r>
        <w:rPr>
          <w:rFonts w:ascii="Times New Roman" w:hAnsi="Times New Roman" w:cs="Times New Roman"/>
        </w:rPr>
        <w:t xml:space="preserve"> </w:t>
      </w:r>
    </w:p>
    <w:p w14:paraId="0CF7F8CF" w14:textId="677EA913" w:rsidR="006607E2" w:rsidRDefault="006607E2" w:rsidP="006607E2">
      <w:pPr>
        <w:spacing w:line="480" w:lineRule="auto"/>
        <w:ind w:firstLine="720"/>
        <w:rPr>
          <w:rFonts w:ascii="Times New Roman" w:hAnsi="Times New Roman" w:cs="Times New Roman"/>
        </w:rPr>
      </w:pPr>
      <w:r w:rsidRPr="00AF7C77">
        <w:rPr>
          <w:rFonts w:ascii="Times New Roman" w:hAnsi="Times New Roman" w:cs="Times New Roman"/>
        </w:rPr>
        <w:t>For graduate school, Alaa joined the University of Tennessee, Knoxville, as a joint student with the Oak Ridge National Laboratory</w:t>
      </w:r>
      <w:r>
        <w:rPr>
          <w:rFonts w:ascii="Times New Roman" w:hAnsi="Times New Roman" w:cs="Times New Roman"/>
        </w:rPr>
        <w:t xml:space="preserve"> under Dr. Kristine Moody’s supervision</w:t>
      </w:r>
      <w:r w:rsidRPr="00AF7C77">
        <w:rPr>
          <w:rFonts w:ascii="Times New Roman" w:hAnsi="Times New Roman" w:cs="Times New Roman"/>
        </w:rPr>
        <w:t xml:space="preserve">. </w:t>
      </w:r>
      <w:r>
        <w:rPr>
          <w:rFonts w:ascii="Times New Roman" w:hAnsi="Times New Roman" w:cs="Times New Roman"/>
        </w:rPr>
        <w:t>Alaa’s</w:t>
      </w:r>
      <w:r w:rsidRPr="00AF7C77">
        <w:rPr>
          <w:rFonts w:ascii="Times New Roman" w:hAnsi="Times New Roman" w:cs="Times New Roman"/>
        </w:rPr>
        <w:t xml:space="preserve"> current research, presented in this thesis, focuses on developing and applying novel environmental DNA (eDNA) and RNA (eRNA) techniques as non-invasive tools for biological monitoring, particularly in the context of hydropower environmental impact assessments.</w:t>
      </w:r>
    </w:p>
    <w:p w14:paraId="61643C30" w14:textId="77777777" w:rsidR="008B36B9" w:rsidRDefault="008B36B9" w:rsidP="008B36B9">
      <w:pPr>
        <w:rPr>
          <w:rFonts w:ascii="Times New Roman" w:hAnsi="Times New Roman" w:cs="Times New Roman"/>
        </w:rPr>
      </w:pPr>
    </w:p>
    <w:p w14:paraId="5D65D75A" w14:textId="77777777" w:rsidR="008B36B9" w:rsidRPr="009D2AA9" w:rsidRDefault="008B36B9" w:rsidP="008B36B9">
      <w:pPr>
        <w:rPr>
          <w:rFonts w:ascii="Times New Roman" w:hAnsi="Times New Roman" w:cs="Times New Roman"/>
        </w:rPr>
      </w:pPr>
    </w:p>
    <w:p w14:paraId="0764F6F7" w14:textId="77777777" w:rsidR="008B36B9" w:rsidRPr="00DE6097" w:rsidRDefault="008B36B9" w:rsidP="00AF7C77">
      <w:pPr>
        <w:rPr>
          <w:rFonts w:ascii="Times New Roman" w:hAnsi="Times New Roman" w:cs="Times New Roman"/>
        </w:rPr>
      </w:pPr>
    </w:p>
    <w:sectPr w:rsidR="008B36B9" w:rsidRPr="00DE6097" w:rsidSect="00324C32">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EE234" w14:textId="77777777" w:rsidR="000B2635" w:rsidRDefault="000B2635" w:rsidP="00324C32">
      <w:r>
        <w:separator/>
      </w:r>
    </w:p>
  </w:endnote>
  <w:endnote w:type="continuationSeparator" w:id="0">
    <w:p w14:paraId="183E7915" w14:textId="77777777" w:rsidR="000B2635" w:rsidRDefault="000B2635" w:rsidP="0032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20A55D32" w14:textId="77777777" w:rsidR="00324C32" w:rsidRPr="009D2AA9" w:rsidRDefault="00324C32">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Pr>
            <w:rFonts w:ascii="Times New Roman" w:hAnsi="Times New Roman" w:cs="Times New Roman"/>
            <w:noProof/>
          </w:rPr>
          <w:t>14</w:t>
        </w:r>
        <w:r w:rsidRPr="009D2AA9">
          <w:rPr>
            <w:rFonts w:ascii="Times New Roman" w:hAnsi="Times New Roman" w:cs="Times New Roman"/>
            <w:noProof/>
          </w:rPr>
          <w:fldChar w:fldCharType="end"/>
        </w:r>
      </w:p>
    </w:sdtContent>
  </w:sdt>
  <w:p w14:paraId="02F508F5" w14:textId="77777777" w:rsidR="00324C32" w:rsidRDefault="00324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47993" w14:textId="77777777" w:rsidR="000B2635" w:rsidRDefault="000B2635" w:rsidP="00324C32">
      <w:r>
        <w:separator/>
      </w:r>
    </w:p>
  </w:footnote>
  <w:footnote w:type="continuationSeparator" w:id="0">
    <w:p w14:paraId="6AF6C274" w14:textId="77777777" w:rsidR="000B2635" w:rsidRDefault="000B2635" w:rsidP="00324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213BE" w14:textId="77777777" w:rsidR="00324C32" w:rsidRDefault="00324C32">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5416" w14:textId="77777777" w:rsidR="00324C32" w:rsidRDefault="00324C32">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0440B3E"/>
    <w:multiLevelType w:val="multilevel"/>
    <w:tmpl w:val="3316223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3" w15:restartNumberingAfterBreak="0">
    <w:nsid w:val="2A2577DF"/>
    <w:multiLevelType w:val="hybridMultilevel"/>
    <w:tmpl w:val="6B5E9720"/>
    <w:lvl w:ilvl="0" w:tplc="49CA4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CD41A3"/>
    <w:multiLevelType w:val="multilevel"/>
    <w:tmpl w:val="8780D5BE"/>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5220887">
    <w:abstractNumId w:val="0"/>
  </w:num>
  <w:num w:numId="2" w16cid:durableId="997458764">
    <w:abstractNumId w:val="2"/>
  </w:num>
  <w:num w:numId="3" w16cid:durableId="1876238217">
    <w:abstractNumId w:val="1"/>
  </w:num>
  <w:num w:numId="4" w16cid:durableId="164785261">
    <w:abstractNumId w:val="4"/>
  </w:num>
  <w:num w:numId="5" w16cid:durableId="141435810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9982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113"/>
    <w:rsid w:val="000040DA"/>
    <w:rsid w:val="000044E2"/>
    <w:rsid w:val="0000632E"/>
    <w:rsid w:val="00012D14"/>
    <w:rsid w:val="000131D9"/>
    <w:rsid w:val="00016EA1"/>
    <w:rsid w:val="00017915"/>
    <w:rsid w:val="0002039D"/>
    <w:rsid w:val="00027215"/>
    <w:rsid w:val="00031D7B"/>
    <w:rsid w:val="000400B5"/>
    <w:rsid w:val="00043775"/>
    <w:rsid w:val="00043937"/>
    <w:rsid w:val="000442D3"/>
    <w:rsid w:val="000551CC"/>
    <w:rsid w:val="00063EA7"/>
    <w:rsid w:val="00064CFC"/>
    <w:rsid w:val="00067E22"/>
    <w:rsid w:val="00070919"/>
    <w:rsid w:val="00072C88"/>
    <w:rsid w:val="0008188F"/>
    <w:rsid w:val="00084EE5"/>
    <w:rsid w:val="00087568"/>
    <w:rsid w:val="00090D22"/>
    <w:rsid w:val="000A6A4E"/>
    <w:rsid w:val="000B1155"/>
    <w:rsid w:val="000B2635"/>
    <w:rsid w:val="000B57BD"/>
    <w:rsid w:val="000B6AE5"/>
    <w:rsid w:val="000C1403"/>
    <w:rsid w:val="000C27F5"/>
    <w:rsid w:val="000C327C"/>
    <w:rsid w:val="000C44A4"/>
    <w:rsid w:val="000C5F11"/>
    <w:rsid w:val="000C709F"/>
    <w:rsid w:val="000D5B77"/>
    <w:rsid w:val="000E36F5"/>
    <w:rsid w:val="000E554E"/>
    <w:rsid w:val="000E7132"/>
    <w:rsid w:val="000E7BAA"/>
    <w:rsid w:val="000F0C71"/>
    <w:rsid w:val="000F6D00"/>
    <w:rsid w:val="001003F4"/>
    <w:rsid w:val="00102D2A"/>
    <w:rsid w:val="001129A0"/>
    <w:rsid w:val="00112FD6"/>
    <w:rsid w:val="00114C6C"/>
    <w:rsid w:val="0013126E"/>
    <w:rsid w:val="0013395F"/>
    <w:rsid w:val="00135665"/>
    <w:rsid w:val="001456B7"/>
    <w:rsid w:val="001533E9"/>
    <w:rsid w:val="001536A0"/>
    <w:rsid w:val="0016138C"/>
    <w:rsid w:val="0016320C"/>
    <w:rsid w:val="00165A81"/>
    <w:rsid w:val="00173385"/>
    <w:rsid w:val="001810C2"/>
    <w:rsid w:val="0018168C"/>
    <w:rsid w:val="00193997"/>
    <w:rsid w:val="001A11CD"/>
    <w:rsid w:val="001B253E"/>
    <w:rsid w:val="001B2E8C"/>
    <w:rsid w:val="001B324D"/>
    <w:rsid w:val="001B3844"/>
    <w:rsid w:val="001B48DF"/>
    <w:rsid w:val="001B4B5D"/>
    <w:rsid w:val="001D605E"/>
    <w:rsid w:val="001F3FAB"/>
    <w:rsid w:val="001F6057"/>
    <w:rsid w:val="00204D70"/>
    <w:rsid w:val="00212014"/>
    <w:rsid w:val="002159EF"/>
    <w:rsid w:val="00222814"/>
    <w:rsid w:val="00230A7C"/>
    <w:rsid w:val="00236285"/>
    <w:rsid w:val="00240A38"/>
    <w:rsid w:val="00241026"/>
    <w:rsid w:val="0024174D"/>
    <w:rsid w:val="00245191"/>
    <w:rsid w:val="002510DC"/>
    <w:rsid w:val="00257BC4"/>
    <w:rsid w:val="00260F6A"/>
    <w:rsid w:val="00264420"/>
    <w:rsid w:val="00270EEE"/>
    <w:rsid w:val="00275C1A"/>
    <w:rsid w:val="00284A60"/>
    <w:rsid w:val="00284D95"/>
    <w:rsid w:val="00291688"/>
    <w:rsid w:val="0029201A"/>
    <w:rsid w:val="002A2389"/>
    <w:rsid w:val="002A6AD3"/>
    <w:rsid w:val="002B2F98"/>
    <w:rsid w:val="002B30EA"/>
    <w:rsid w:val="002B4923"/>
    <w:rsid w:val="002B7095"/>
    <w:rsid w:val="002C0BB1"/>
    <w:rsid w:val="002D35ED"/>
    <w:rsid w:val="002D5625"/>
    <w:rsid w:val="002D7D18"/>
    <w:rsid w:val="002E0495"/>
    <w:rsid w:val="002E0C4E"/>
    <w:rsid w:val="002E4FB7"/>
    <w:rsid w:val="002E74A9"/>
    <w:rsid w:val="002F29AB"/>
    <w:rsid w:val="002F5FD1"/>
    <w:rsid w:val="002F7316"/>
    <w:rsid w:val="00307371"/>
    <w:rsid w:val="00310E39"/>
    <w:rsid w:val="00312B51"/>
    <w:rsid w:val="00314418"/>
    <w:rsid w:val="00316C4C"/>
    <w:rsid w:val="00324C32"/>
    <w:rsid w:val="00330345"/>
    <w:rsid w:val="00330B6A"/>
    <w:rsid w:val="00331599"/>
    <w:rsid w:val="0033163D"/>
    <w:rsid w:val="00342FC1"/>
    <w:rsid w:val="003537EF"/>
    <w:rsid w:val="00370898"/>
    <w:rsid w:val="0037515E"/>
    <w:rsid w:val="003809F6"/>
    <w:rsid w:val="003A1027"/>
    <w:rsid w:val="003A2485"/>
    <w:rsid w:val="003A4C33"/>
    <w:rsid w:val="003A6095"/>
    <w:rsid w:val="003B21E8"/>
    <w:rsid w:val="003B7598"/>
    <w:rsid w:val="003C34B3"/>
    <w:rsid w:val="003C6F66"/>
    <w:rsid w:val="003D5105"/>
    <w:rsid w:val="003D5346"/>
    <w:rsid w:val="003E0C30"/>
    <w:rsid w:val="003E6A18"/>
    <w:rsid w:val="003F5A0D"/>
    <w:rsid w:val="0040288A"/>
    <w:rsid w:val="004032BE"/>
    <w:rsid w:val="00411F14"/>
    <w:rsid w:val="00416F84"/>
    <w:rsid w:val="0042055E"/>
    <w:rsid w:val="0042779C"/>
    <w:rsid w:val="00443DF6"/>
    <w:rsid w:val="00456D61"/>
    <w:rsid w:val="00465C4A"/>
    <w:rsid w:val="00486446"/>
    <w:rsid w:val="00494102"/>
    <w:rsid w:val="004A11CA"/>
    <w:rsid w:val="004A4D72"/>
    <w:rsid w:val="004B1E80"/>
    <w:rsid w:val="004C08E6"/>
    <w:rsid w:val="004C3291"/>
    <w:rsid w:val="004C592E"/>
    <w:rsid w:val="004D2548"/>
    <w:rsid w:val="004E4050"/>
    <w:rsid w:val="005132B6"/>
    <w:rsid w:val="0052294C"/>
    <w:rsid w:val="00524864"/>
    <w:rsid w:val="005257B5"/>
    <w:rsid w:val="0052669E"/>
    <w:rsid w:val="00532328"/>
    <w:rsid w:val="00533705"/>
    <w:rsid w:val="00533B76"/>
    <w:rsid w:val="00543F3C"/>
    <w:rsid w:val="00546598"/>
    <w:rsid w:val="00555D6F"/>
    <w:rsid w:val="00556347"/>
    <w:rsid w:val="00574B69"/>
    <w:rsid w:val="00576D99"/>
    <w:rsid w:val="00576DA4"/>
    <w:rsid w:val="005808B0"/>
    <w:rsid w:val="0058235F"/>
    <w:rsid w:val="00584214"/>
    <w:rsid w:val="005A1AAD"/>
    <w:rsid w:val="005A7FB3"/>
    <w:rsid w:val="005B15B4"/>
    <w:rsid w:val="005C2211"/>
    <w:rsid w:val="005C669A"/>
    <w:rsid w:val="005D0E17"/>
    <w:rsid w:val="005D4C14"/>
    <w:rsid w:val="005D7F14"/>
    <w:rsid w:val="005E00E8"/>
    <w:rsid w:val="005E01AE"/>
    <w:rsid w:val="005E0D18"/>
    <w:rsid w:val="005E1702"/>
    <w:rsid w:val="0060593F"/>
    <w:rsid w:val="00613024"/>
    <w:rsid w:val="00614387"/>
    <w:rsid w:val="00620DDC"/>
    <w:rsid w:val="00627354"/>
    <w:rsid w:val="00634EE4"/>
    <w:rsid w:val="00640A8E"/>
    <w:rsid w:val="00642920"/>
    <w:rsid w:val="00646768"/>
    <w:rsid w:val="006517E7"/>
    <w:rsid w:val="0065446A"/>
    <w:rsid w:val="006557C7"/>
    <w:rsid w:val="006576CB"/>
    <w:rsid w:val="006607E2"/>
    <w:rsid w:val="00662C71"/>
    <w:rsid w:val="00663048"/>
    <w:rsid w:val="0067688F"/>
    <w:rsid w:val="00681559"/>
    <w:rsid w:val="00683140"/>
    <w:rsid w:val="00685CE8"/>
    <w:rsid w:val="006911FD"/>
    <w:rsid w:val="00693966"/>
    <w:rsid w:val="006B16BA"/>
    <w:rsid w:val="006B4E5D"/>
    <w:rsid w:val="006B7271"/>
    <w:rsid w:val="006C0AF3"/>
    <w:rsid w:val="006C2A03"/>
    <w:rsid w:val="006C32E0"/>
    <w:rsid w:val="006D6575"/>
    <w:rsid w:val="006D7DD1"/>
    <w:rsid w:val="006E30BA"/>
    <w:rsid w:val="006E73AB"/>
    <w:rsid w:val="007037E2"/>
    <w:rsid w:val="00705A69"/>
    <w:rsid w:val="007103DF"/>
    <w:rsid w:val="00710E22"/>
    <w:rsid w:val="00711F8C"/>
    <w:rsid w:val="00713F36"/>
    <w:rsid w:val="00716AFB"/>
    <w:rsid w:val="00727D15"/>
    <w:rsid w:val="00731133"/>
    <w:rsid w:val="00735EC1"/>
    <w:rsid w:val="00736B3F"/>
    <w:rsid w:val="00737D1E"/>
    <w:rsid w:val="0074050C"/>
    <w:rsid w:val="00742417"/>
    <w:rsid w:val="00747DAB"/>
    <w:rsid w:val="00751A17"/>
    <w:rsid w:val="00751E60"/>
    <w:rsid w:val="00752DBE"/>
    <w:rsid w:val="007544DB"/>
    <w:rsid w:val="00754ABB"/>
    <w:rsid w:val="00755093"/>
    <w:rsid w:val="007615C9"/>
    <w:rsid w:val="00763CF0"/>
    <w:rsid w:val="00763FEE"/>
    <w:rsid w:val="0076514C"/>
    <w:rsid w:val="00774941"/>
    <w:rsid w:val="00787CB7"/>
    <w:rsid w:val="007904FA"/>
    <w:rsid w:val="007930CC"/>
    <w:rsid w:val="00796E9F"/>
    <w:rsid w:val="00797E2E"/>
    <w:rsid w:val="007B1966"/>
    <w:rsid w:val="007B57CD"/>
    <w:rsid w:val="007B688F"/>
    <w:rsid w:val="007D255F"/>
    <w:rsid w:val="007E1C7E"/>
    <w:rsid w:val="007F0679"/>
    <w:rsid w:val="00800673"/>
    <w:rsid w:val="008020A3"/>
    <w:rsid w:val="00802A70"/>
    <w:rsid w:val="00805F1B"/>
    <w:rsid w:val="008209B7"/>
    <w:rsid w:val="0082280B"/>
    <w:rsid w:val="00822AE2"/>
    <w:rsid w:val="00835944"/>
    <w:rsid w:val="008432F8"/>
    <w:rsid w:val="0086337F"/>
    <w:rsid w:val="00870022"/>
    <w:rsid w:val="00870963"/>
    <w:rsid w:val="00871BE5"/>
    <w:rsid w:val="00873D45"/>
    <w:rsid w:val="00874CCF"/>
    <w:rsid w:val="00876E22"/>
    <w:rsid w:val="00882D76"/>
    <w:rsid w:val="00886302"/>
    <w:rsid w:val="00891F95"/>
    <w:rsid w:val="00897FE8"/>
    <w:rsid w:val="008A15B6"/>
    <w:rsid w:val="008A2FAC"/>
    <w:rsid w:val="008B0AA0"/>
    <w:rsid w:val="008B36B9"/>
    <w:rsid w:val="008C02C3"/>
    <w:rsid w:val="008C1002"/>
    <w:rsid w:val="008C5973"/>
    <w:rsid w:val="008C648B"/>
    <w:rsid w:val="008C7321"/>
    <w:rsid w:val="008C7375"/>
    <w:rsid w:val="008D6E86"/>
    <w:rsid w:val="008F1AA1"/>
    <w:rsid w:val="008F3512"/>
    <w:rsid w:val="008F466B"/>
    <w:rsid w:val="008F5A42"/>
    <w:rsid w:val="008F636E"/>
    <w:rsid w:val="008F74EC"/>
    <w:rsid w:val="00903268"/>
    <w:rsid w:val="00905E70"/>
    <w:rsid w:val="00906447"/>
    <w:rsid w:val="009111B0"/>
    <w:rsid w:val="00913ABA"/>
    <w:rsid w:val="00917745"/>
    <w:rsid w:val="009208C1"/>
    <w:rsid w:val="00921DC2"/>
    <w:rsid w:val="00922669"/>
    <w:rsid w:val="00924ED5"/>
    <w:rsid w:val="009304F8"/>
    <w:rsid w:val="0093487F"/>
    <w:rsid w:val="00934BE6"/>
    <w:rsid w:val="0095195E"/>
    <w:rsid w:val="009556F8"/>
    <w:rsid w:val="009618AF"/>
    <w:rsid w:val="0096536D"/>
    <w:rsid w:val="00965BDC"/>
    <w:rsid w:val="00977010"/>
    <w:rsid w:val="00984AEF"/>
    <w:rsid w:val="00990CB5"/>
    <w:rsid w:val="009936DA"/>
    <w:rsid w:val="009A272C"/>
    <w:rsid w:val="009A50A3"/>
    <w:rsid w:val="009A6C18"/>
    <w:rsid w:val="009A7765"/>
    <w:rsid w:val="009B7517"/>
    <w:rsid w:val="009C19C0"/>
    <w:rsid w:val="009C36F1"/>
    <w:rsid w:val="009C3E2F"/>
    <w:rsid w:val="009D2526"/>
    <w:rsid w:val="009D587D"/>
    <w:rsid w:val="009D67C5"/>
    <w:rsid w:val="009E1664"/>
    <w:rsid w:val="009E3AAA"/>
    <w:rsid w:val="00A0388C"/>
    <w:rsid w:val="00A0765B"/>
    <w:rsid w:val="00A154B9"/>
    <w:rsid w:val="00A17C51"/>
    <w:rsid w:val="00A2249C"/>
    <w:rsid w:val="00A22797"/>
    <w:rsid w:val="00A22F7A"/>
    <w:rsid w:val="00A24448"/>
    <w:rsid w:val="00A25A3B"/>
    <w:rsid w:val="00A27685"/>
    <w:rsid w:val="00A34B2F"/>
    <w:rsid w:val="00A3517E"/>
    <w:rsid w:val="00A40A07"/>
    <w:rsid w:val="00A442E4"/>
    <w:rsid w:val="00A506B6"/>
    <w:rsid w:val="00A52EBF"/>
    <w:rsid w:val="00A53AA2"/>
    <w:rsid w:val="00A54CFC"/>
    <w:rsid w:val="00A55BF5"/>
    <w:rsid w:val="00A616BC"/>
    <w:rsid w:val="00A62242"/>
    <w:rsid w:val="00A70BA2"/>
    <w:rsid w:val="00A71A18"/>
    <w:rsid w:val="00A71A3B"/>
    <w:rsid w:val="00A729C9"/>
    <w:rsid w:val="00A770A9"/>
    <w:rsid w:val="00A8177B"/>
    <w:rsid w:val="00A85036"/>
    <w:rsid w:val="00A91F81"/>
    <w:rsid w:val="00A9376C"/>
    <w:rsid w:val="00A93F07"/>
    <w:rsid w:val="00A978F1"/>
    <w:rsid w:val="00AA5D77"/>
    <w:rsid w:val="00AB532A"/>
    <w:rsid w:val="00AC074D"/>
    <w:rsid w:val="00AC0E76"/>
    <w:rsid w:val="00AC1EDB"/>
    <w:rsid w:val="00AC3391"/>
    <w:rsid w:val="00AC4408"/>
    <w:rsid w:val="00AD68FE"/>
    <w:rsid w:val="00AE1F3B"/>
    <w:rsid w:val="00AE458E"/>
    <w:rsid w:val="00AF23C7"/>
    <w:rsid w:val="00AF6CA9"/>
    <w:rsid w:val="00AF7C77"/>
    <w:rsid w:val="00B04C20"/>
    <w:rsid w:val="00B16DB6"/>
    <w:rsid w:val="00B24300"/>
    <w:rsid w:val="00B375FC"/>
    <w:rsid w:val="00B40C40"/>
    <w:rsid w:val="00B44D9F"/>
    <w:rsid w:val="00B47E50"/>
    <w:rsid w:val="00B52D59"/>
    <w:rsid w:val="00B535DC"/>
    <w:rsid w:val="00B62745"/>
    <w:rsid w:val="00B63339"/>
    <w:rsid w:val="00B733DB"/>
    <w:rsid w:val="00B74ABC"/>
    <w:rsid w:val="00B946CB"/>
    <w:rsid w:val="00B94C70"/>
    <w:rsid w:val="00BA006C"/>
    <w:rsid w:val="00BA6BA6"/>
    <w:rsid w:val="00BB192C"/>
    <w:rsid w:val="00BC1B5C"/>
    <w:rsid w:val="00BC20CB"/>
    <w:rsid w:val="00BC25E1"/>
    <w:rsid w:val="00BC296A"/>
    <w:rsid w:val="00BC45EC"/>
    <w:rsid w:val="00BD0F41"/>
    <w:rsid w:val="00BD24C2"/>
    <w:rsid w:val="00C01F13"/>
    <w:rsid w:val="00C02E64"/>
    <w:rsid w:val="00C0397F"/>
    <w:rsid w:val="00C16107"/>
    <w:rsid w:val="00C30A40"/>
    <w:rsid w:val="00C32E94"/>
    <w:rsid w:val="00C351A3"/>
    <w:rsid w:val="00C54DFA"/>
    <w:rsid w:val="00C561B5"/>
    <w:rsid w:val="00C61A8E"/>
    <w:rsid w:val="00C87A73"/>
    <w:rsid w:val="00C9270F"/>
    <w:rsid w:val="00CA19D0"/>
    <w:rsid w:val="00CB277C"/>
    <w:rsid w:val="00CD091C"/>
    <w:rsid w:val="00CD15E7"/>
    <w:rsid w:val="00CD3548"/>
    <w:rsid w:val="00CE0F5E"/>
    <w:rsid w:val="00CE2555"/>
    <w:rsid w:val="00CE27DB"/>
    <w:rsid w:val="00CE5256"/>
    <w:rsid w:val="00CF3157"/>
    <w:rsid w:val="00D006AA"/>
    <w:rsid w:val="00D01DD1"/>
    <w:rsid w:val="00D03A99"/>
    <w:rsid w:val="00D0554C"/>
    <w:rsid w:val="00D0560A"/>
    <w:rsid w:val="00D05A74"/>
    <w:rsid w:val="00D07729"/>
    <w:rsid w:val="00D14F95"/>
    <w:rsid w:val="00D17D6D"/>
    <w:rsid w:val="00D221D0"/>
    <w:rsid w:val="00D30995"/>
    <w:rsid w:val="00D34432"/>
    <w:rsid w:val="00D40CE9"/>
    <w:rsid w:val="00D45564"/>
    <w:rsid w:val="00D46277"/>
    <w:rsid w:val="00D54E18"/>
    <w:rsid w:val="00D635A1"/>
    <w:rsid w:val="00D65F84"/>
    <w:rsid w:val="00D70C97"/>
    <w:rsid w:val="00D77BA0"/>
    <w:rsid w:val="00D81A4A"/>
    <w:rsid w:val="00D84BD5"/>
    <w:rsid w:val="00D85501"/>
    <w:rsid w:val="00D92300"/>
    <w:rsid w:val="00D97954"/>
    <w:rsid w:val="00D97DAF"/>
    <w:rsid w:val="00DA12A0"/>
    <w:rsid w:val="00DA1FC6"/>
    <w:rsid w:val="00DB0501"/>
    <w:rsid w:val="00DB0972"/>
    <w:rsid w:val="00DB0A78"/>
    <w:rsid w:val="00DB3182"/>
    <w:rsid w:val="00DB590A"/>
    <w:rsid w:val="00DC2EDD"/>
    <w:rsid w:val="00DD2CC7"/>
    <w:rsid w:val="00DE1638"/>
    <w:rsid w:val="00DE575E"/>
    <w:rsid w:val="00DE6097"/>
    <w:rsid w:val="00E02A67"/>
    <w:rsid w:val="00E0475F"/>
    <w:rsid w:val="00E215EC"/>
    <w:rsid w:val="00E269B5"/>
    <w:rsid w:val="00E27F07"/>
    <w:rsid w:val="00E3097D"/>
    <w:rsid w:val="00E34313"/>
    <w:rsid w:val="00E40E9E"/>
    <w:rsid w:val="00E45F7D"/>
    <w:rsid w:val="00E47723"/>
    <w:rsid w:val="00E557EF"/>
    <w:rsid w:val="00E65B4D"/>
    <w:rsid w:val="00E677E6"/>
    <w:rsid w:val="00E679CB"/>
    <w:rsid w:val="00E74528"/>
    <w:rsid w:val="00E85B84"/>
    <w:rsid w:val="00E93113"/>
    <w:rsid w:val="00EB6E89"/>
    <w:rsid w:val="00EC044D"/>
    <w:rsid w:val="00EC2FC4"/>
    <w:rsid w:val="00EC3D7C"/>
    <w:rsid w:val="00EC56CB"/>
    <w:rsid w:val="00ED2863"/>
    <w:rsid w:val="00ED2954"/>
    <w:rsid w:val="00ED2E43"/>
    <w:rsid w:val="00EE3CC8"/>
    <w:rsid w:val="00EE3E8E"/>
    <w:rsid w:val="00EE621F"/>
    <w:rsid w:val="00EF4183"/>
    <w:rsid w:val="00EF6C40"/>
    <w:rsid w:val="00F0170D"/>
    <w:rsid w:val="00F11432"/>
    <w:rsid w:val="00F30B7D"/>
    <w:rsid w:val="00F42480"/>
    <w:rsid w:val="00F42595"/>
    <w:rsid w:val="00F427AD"/>
    <w:rsid w:val="00F44D13"/>
    <w:rsid w:val="00F45091"/>
    <w:rsid w:val="00F57895"/>
    <w:rsid w:val="00F57A3F"/>
    <w:rsid w:val="00F613A1"/>
    <w:rsid w:val="00F63B54"/>
    <w:rsid w:val="00F72E5F"/>
    <w:rsid w:val="00F733AD"/>
    <w:rsid w:val="00F83E25"/>
    <w:rsid w:val="00F847D1"/>
    <w:rsid w:val="00F86BEB"/>
    <w:rsid w:val="00F90501"/>
    <w:rsid w:val="00F92099"/>
    <w:rsid w:val="00F93FDA"/>
    <w:rsid w:val="00FA5072"/>
    <w:rsid w:val="00FA7203"/>
    <w:rsid w:val="00FB0C3B"/>
    <w:rsid w:val="00FB14B0"/>
    <w:rsid w:val="00FB4867"/>
    <w:rsid w:val="00FB5FEB"/>
    <w:rsid w:val="00FC086C"/>
    <w:rsid w:val="00FC2991"/>
    <w:rsid w:val="00FC55DE"/>
    <w:rsid w:val="00FC770F"/>
    <w:rsid w:val="00FD209D"/>
    <w:rsid w:val="00FE114D"/>
    <w:rsid w:val="00FE29DB"/>
    <w:rsid w:val="00FF045E"/>
    <w:rsid w:val="00FF1BCB"/>
    <w:rsid w:val="00FF6CF2"/>
    <w:rsid w:val="00FF7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4CAEC23"/>
  <w15:chartTrackingRefBased/>
  <w15:docId w15:val="{AFD4426F-5D10-418C-B953-174AF832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685"/>
    <w:pPr>
      <w:spacing w:after="0" w:line="240" w:lineRule="auto"/>
    </w:pPr>
    <w:rPr>
      <w:rFonts w:ascii="Arial" w:eastAsia="Times New Roman" w:hAnsi="Arial" w:cs="Arial"/>
      <w:kern w:val="0"/>
    </w:rPr>
  </w:style>
  <w:style w:type="paragraph" w:styleId="Heading1">
    <w:name w:val="heading 1"/>
    <w:basedOn w:val="Normal"/>
    <w:next w:val="Normal"/>
    <w:link w:val="Heading1Char"/>
    <w:autoRedefine/>
    <w:qFormat/>
    <w:rsid w:val="00A27685"/>
    <w:pPr>
      <w:numPr>
        <w:numId w:val="5"/>
      </w:numPr>
      <w:autoSpaceDE w:val="0"/>
      <w:autoSpaceDN w:val="0"/>
      <w:adjustRightInd w:val="0"/>
      <w:spacing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link w:val="Heading2Char"/>
    <w:qFormat/>
    <w:rsid w:val="002510DC"/>
    <w:pPr>
      <w:keepNext/>
      <w:spacing w:line="480" w:lineRule="auto"/>
      <w:jc w:val="center"/>
      <w:outlineLvl w:val="1"/>
    </w:pPr>
    <w:rPr>
      <w:rFonts w:ascii="Times New Roman" w:hAnsi="Times New Roman" w:cs="Times New Roman"/>
      <w:b/>
      <w:bCs/>
      <w:iCs/>
    </w:rPr>
  </w:style>
  <w:style w:type="paragraph" w:styleId="Heading3">
    <w:name w:val="heading 3"/>
    <w:basedOn w:val="Normal"/>
    <w:next w:val="Normal"/>
    <w:link w:val="Heading3Char"/>
    <w:qFormat/>
    <w:rsid w:val="00763CF0"/>
    <w:pPr>
      <w:keepNext/>
      <w:numPr>
        <w:ilvl w:val="2"/>
        <w:numId w:val="2"/>
      </w:numPr>
      <w:spacing w:line="480" w:lineRule="auto"/>
      <w:outlineLvl w:val="2"/>
    </w:pPr>
    <w:rPr>
      <w:rFonts w:ascii="Times New Roman" w:hAnsi="Times New Roman" w:cs="Times New Roman"/>
      <w:b/>
      <w:bCs/>
      <w:i/>
    </w:rPr>
  </w:style>
  <w:style w:type="paragraph" w:styleId="Heading4">
    <w:name w:val="heading 4"/>
    <w:basedOn w:val="Normal"/>
    <w:next w:val="Normal"/>
    <w:link w:val="Heading4Char"/>
    <w:semiHidden/>
    <w:unhideWhenUsed/>
    <w:qFormat/>
    <w:rsid w:val="00A27685"/>
    <w:pPr>
      <w:keepNext/>
      <w:keepLines/>
      <w:numPr>
        <w:ilvl w:val="3"/>
        <w:numId w:val="2"/>
      </w:numPr>
      <w:spacing w:before="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A27685"/>
    <w:pPr>
      <w:keepNext/>
      <w:keepLines/>
      <w:numPr>
        <w:ilvl w:val="4"/>
        <w:numId w:val="2"/>
      </w:numPr>
      <w:spacing w:before="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A27685"/>
    <w:pPr>
      <w:keepNext/>
      <w:keepLines/>
      <w:numPr>
        <w:ilvl w:val="5"/>
        <w:numId w:val="2"/>
      </w:numPr>
      <w:spacing w:before="40"/>
      <w:outlineLvl w:val="5"/>
    </w:pPr>
    <w:rPr>
      <w:rFonts w:eastAsiaTheme="majorEastAsia" w:cstheme="majorBidi"/>
      <w:color w:val="0A2F40" w:themeColor="accent1" w:themeShade="7F"/>
    </w:rPr>
  </w:style>
  <w:style w:type="paragraph" w:styleId="Heading7">
    <w:name w:val="heading 7"/>
    <w:basedOn w:val="Normal"/>
    <w:next w:val="Normal"/>
    <w:link w:val="Heading7Char"/>
    <w:semiHidden/>
    <w:unhideWhenUsed/>
    <w:qFormat/>
    <w:rsid w:val="00A27685"/>
    <w:pPr>
      <w:keepNext/>
      <w:keepLines/>
      <w:numPr>
        <w:ilvl w:val="6"/>
        <w:numId w:val="2"/>
      </w:numPr>
      <w:spacing w:before="40"/>
      <w:outlineLvl w:val="6"/>
    </w:pPr>
    <w:rPr>
      <w:rFonts w:eastAsiaTheme="majorEastAsia" w:cstheme="majorBidi"/>
      <w:i/>
      <w:iCs/>
      <w:color w:val="0A2F40" w:themeColor="accent1" w:themeShade="7F"/>
    </w:rPr>
  </w:style>
  <w:style w:type="paragraph" w:styleId="Heading8">
    <w:name w:val="heading 8"/>
    <w:basedOn w:val="Normal"/>
    <w:next w:val="Normal"/>
    <w:link w:val="Heading8Char"/>
    <w:semiHidden/>
    <w:unhideWhenUsed/>
    <w:qFormat/>
    <w:rsid w:val="00A27685"/>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A27685"/>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27685"/>
    <w:rPr>
      <w:rFonts w:ascii="Times New Roman" w:eastAsia="Times New Roman" w:hAnsi="Times New Roman" w:cs="Times New Roman"/>
      <w:b/>
      <w:bCs/>
      <w:caps/>
      <w:color w:val="000000" w:themeColor="text1"/>
      <w:kern w:val="0"/>
    </w:rPr>
  </w:style>
  <w:style w:type="character" w:customStyle="1" w:styleId="Heading2Char">
    <w:name w:val="Heading 2 Char"/>
    <w:basedOn w:val="DefaultParagraphFont"/>
    <w:link w:val="Heading2"/>
    <w:rsid w:val="002510DC"/>
    <w:rPr>
      <w:rFonts w:ascii="Times New Roman" w:eastAsia="Times New Roman" w:hAnsi="Times New Roman" w:cs="Times New Roman"/>
      <w:b/>
      <w:bCs/>
      <w:iCs/>
      <w:kern w:val="0"/>
    </w:rPr>
  </w:style>
  <w:style w:type="character" w:customStyle="1" w:styleId="Heading3Char">
    <w:name w:val="Heading 3 Char"/>
    <w:basedOn w:val="DefaultParagraphFont"/>
    <w:link w:val="Heading3"/>
    <w:rsid w:val="00763CF0"/>
    <w:rPr>
      <w:rFonts w:ascii="Times New Roman" w:eastAsia="Times New Roman" w:hAnsi="Times New Roman" w:cs="Times New Roman"/>
      <w:b/>
      <w:bCs/>
      <w:i/>
      <w:kern w:val="0"/>
    </w:rPr>
  </w:style>
  <w:style w:type="character" w:customStyle="1" w:styleId="Heading4Char">
    <w:name w:val="Heading 4 Char"/>
    <w:basedOn w:val="DefaultParagraphFont"/>
    <w:link w:val="Heading4"/>
    <w:semiHidden/>
    <w:rsid w:val="00A27685"/>
    <w:rPr>
      <w:rFonts w:ascii="Arial" w:eastAsiaTheme="majorEastAsia" w:hAnsi="Arial" w:cstheme="majorBidi"/>
      <w:i/>
      <w:iCs/>
      <w:color w:val="0F4761" w:themeColor="accent1" w:themeShade="BF"/>
      <w:kern w:val="0"/>
    </w:rPr>
  </w:style>
  <w:style w:type="character" w:customStyle="1" w:styleId="Heading5Char">
    <w:name w:val="Heading 5 Char"/>
    <w:basedOn w:val="DefaultParagraphFont"/>
    <w:link w:val="Heading5"/>
    <w:semiHidden/>
    <w:rsid w:val="00A27685"/>
    <w:rPr>
      <w:rFonts w:ascii="Arial" w:eastAsiaTheme="majorEastAsia" w:hAnsi="Arial" w:cstheme="majorBidi"/>
      <w:color w:val="0F4761" w:themeColor="accent1" w:themeShade="BF"/>
      <w:kern w:val="0"/>
    </w:rPr>
  </w:style>
  <w:style w:type="character" w:customStyle="1" w:styleId="Heading6Char">
    <w:name w:val="Heading 6 Char"/>
    <w:basedOn w:val="DefaultParagraphFont"/>
    <w:link w:val="Heading6"/>
    <w:semiHidden/>
    <w:rsid w:val="00A27685"/>
    <w:rPr>
      <w:rFonts w:ascii="Arial" w:eastAsiaTheme="majorEastAsia" w:hAnsi="Arial" w:cstheme="majorBidi"/>
      <w:color w:val="0A2F40" w:themeColor="accent1" w:themeShade="7F"/>
      <w:kern w:val="0"/>
    </w:rPr>
  </w:style>
  <w:style w:type="character" w:customStyle="1" w:styleId="Heading7Char">
    <w:name w:val="Heading 7 Char"/>
    <w:basedOn w:val="DefaultParagraphFont"/>
    <w:link w:val="Heading7"/>
    <w:semiHidden/>
    <w:rsid w:val="00A27685"/>
    <w:rPr>
      <w:rFonts w:ascii="Arial" w:eastAsiaTheme="majorEastAsia" w:hAnsi="Arial" w:cstheme="majorBidi"/>
      <w:i/>
      <w:iCs/>
      <w:color w:val="0A2F40" w:themeColor="accent1" w:themeShade="7F"/>
      <w:kern w:val="0"/>
    </w:rPr>
  </w:style>
  <w:style w:type="character" w:customStyle="1" w:styleId="Heading8Char">
    <w:name w:val="Heading 8 Char"/>
    <w:basedOn w:val="DefaultParagraphFont"/>
    <w:link w:val="Heading8"/>
    <w:semiHidden/>
    <w:rsid w:val="00A27685"/>
    <w:rPr>
      <w:rFonts w:ascii="Arial" w:eastAsiaTheme="majorEastAsia" w:hAnsi="Arial" w:cstheme="majorBidi"/>
      <w:color w:val="272727" w:themeColor="text1" w:themeTint="D8"/>
      <w:kern w:val="0"/>
      <w:sz w:val="21"/>
      <w:szCs w:val="21"/>
    </w:rPr>
  </w:style>
  <w:style w:type="character" w:customStyle="1" w:styleId="Heading9Char">
    <w:name w:val="Heading 9 Char"/>
    <w:basedOn w:val="DefaultParagraphFont"/>
    <w:link w:val="Heading9"/>
    <w:semiHidden/>
    <w:rsid w:val="00A27685"/>
    <w:rPr>
      <w:rFonts w:ascii="Arial" w:eastAsiaTheme="majorEastAsia" w:hAnsi="Arial" w:cstheme="majorBidi"/>
      <w:i/>
      <w:iCs/>
      <w:color w:val="272727" w:themeColor="text1" w:themeTint="D8"/>
      <w:kern w:val="0"/>
      <w:sz w:val="21"/>
      <w:szCs w:val="21"/>
    </w:rPr>
  </w:style>
  <w:style w:type="paragraph" w:styleId="Title">
    <w:name w:val="Title"/>
    <w:basedOn w:val="Normal"/>
    <w:link w:val="TitleChar"/>
    <w:autoRedefine/>
    <w:qFormat/>
    <w:rsid w:val="00A27685"/>
    <w:pPr>
      <w:autoSpaceDE w:val="0"/>
      <w:autoSpaceDN w:val="0"/>
      <w:adjustRightInd w:val="0"/>
      <w:jc w:val="center"/>
    </w:pPr>
    <w:rPr>
      <w:sz w:val="28"/>
      <w:szCs w:val="28"/>
    </w:rPr>
  </w:style>
  <w:style w:type="character" w:customStyle="1" w:styleId="TitleChar">
    <w:name w:val="Title Char"/>
    <w:basedOn w:val="DefaultParagraphFont"/>
    <w:link w:val="Title"/>
    <w:rsid w:val="00E93113"/>
    <w:rPr>
      <w:rFonts w:ascii="Arial" w:eastAsia="Times New Roman" w:hAnsi="Arial" w:cs="Arial"/>
      <w:kern w:val="0"/>
      <w:sz w:val="28"/>
      <w:szCs w:val="28"/>
    </w:rPr>
  </w:style>
  <w:style w:type="paragraph" w:styleId="Subtitle">
    <w:name w:val="Subtitle"/>
    <w:basedOn w:val="Normal"/>
    <w:link w:val="SubtitleChar"/>
    <w:autoRedefine/>
    <w:qFormat/>
    <w:rsid w:val="00A27685"/>
    <w:pPr>
      <w:autoSpaceDE w:val="0"/>
      <w:autoSpaceDN w:val="0"/>
      <w:adjustRightInd w:val="0"/>
    </w:pPr>
    <w:rPr>
      <w:b/>
      <w:bCs/>
    </w:rPr>
  </w:style>
  <w:style w:type="character" w:customStyle="1" w:styleId="SubtitleChar">
    <w:name w:val="Subtitle Char"/>
    <w:basedOn w:val="DefaultParagraphFont"/>
    <w:link w:val="Subtitle"/>
    <w:rsid w:val="00E93113"/>
    <w:rPr>
      <w:rFonts w:ascii="Arial" w:eastAsia="Times New Roman" w:hAnsi="Arial" w:cs="Arial"/>
      <w:b/>
      <w:bCs/>
      <w:kern w:val="0"/>
    </w:rPr>
  </w:style>
  <w:style w:type="paragraph" w:styleId="Quote">
    <w:name w:val="Quote"/>
    <w:basedOn w:val="Normal"/>
    <w:next w:val="Normal"/>
    <w:link w:val="QuoteChar"/>
    <w:autoRedefine/>
    <w:uiPriority w:val="29"/>
    <w:qFormat/>
    <w:rsid w:val="00A2768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27685"/>
    <w:rPr>
      <w:rFonts w:ascii="Arial" w:eastAsia="Times New Roman" w:hAnsi="Arial" w:cs="Arial"/>
      <w:i/>
      <w:iCs/>
      <w:color w:val="404040" w:themeColor="text1" w:themeTint="BF"/>
      <w:kern w:val="0"/>
    </w:rPr>
  </w:style>
  <w:style w:type="paragraph" w:styleId="ListParagraph">
    <w:name w:val="List Paragraph"/>
    <w:basedOn w:val="Normal"/>
    <w:autoRedefine/>
    <w:uiPriority w:val="34"/>
    <w:qFormat/>
    <w:rsid w:val="00A27685"/>
    <w:pPr>
      <w:ind w:left="720"/>
      <w:contextualSpacing/>
    </w:pPr>
  </w:style>
  <w:style w:type="character" w:styleId="IntenseEmphasis">
    <w:name w:val="Intense Emphasis"/>
    <w:basedOn w:val="DefaultParagraphFont"/>
    <w:uiPriority w:val="21"/>
    <w:qFormat/>
    <w:rsid w:val="00A27685"/>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A27685"/>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A27685"/>
    <w:rPr>
      <w:rFonts w:ascii="Arial" w:eastAsia="Times New Roman" w:hAnsi="Arial" w:cs="Arial"/>
      <w:i/>
      <w:iCs/>
      <w:color w:val="000000" w:themeColor="text1"/>
      <w:kern w:val="0"/>
    </w:rPr>
  </w:style>
  <w:style w:type="character" w:styleId="IntenseReference">
    <w:name w:val="Intense Reference"/>
    <w:basedOn w:val="DefaultParagraphFont"/>
    <w:uiPriority w:val="32"/>
    <w:qFormat/>
    <w:rsid w:val="00A27685"/>
    <w:rPr>
      <w:b/>
      <w:bCs/>
      <w:smallCaps/>
      <w:color w:val="000000" w:themeColor="text1"/>
      <w:spacing w:val="5"/>
    </w:rPr>
  </w:style>
  <w:style w:type="paragraph" w:styleId="Footer">
    <w:name w:val="footer"/>
    <w:basedOn w:val="Normal"/>
    <w:link w:val="FooterChar"/>
    <w:uiPriority w:val="99"/>
    <w:rsid w:val="00A27685"/>
    <w:pPr>
      <w:tabs>
        <w:tab w:val="center" w:pos="4320"/>
        <w:tab w:val="right" w:pos="8640"/>
      </w:tabs>
    </w:pPr>
  </w:style>
  <w:style w:type="character" w:customStyle="1" w:styleId="FooterChar">
    <w:name w:val="Footer Char"/>
    <w:basedOn w:val="DefaultParagraphFont"/>
    <w:link w:val="Footer"/>
    <w:uiPriority w:val="99"/>
    <w:rsid w:val="00A27685"/>
    <w:rPr>
      <w:rFonts w:ascii="Arial" w:eastAsia="Times New Roman" w:hAnsi="Arial" w:cs="Arial"/>
      <w:kern w:val="0"/>
    </w:rPr>
  </w:style>
  <w:style w:type="paragraph" w:styleId="Header">
    <w:name w:val="header"/>
    <w:basedOn w:val="Normal"/>
    <w:link w:val="HeaderChar"/>
    <w:rsid w:val="00A27685"/>
    <w:pPr>
      <w:tabs>
        <w:tab w:val="center" w:pos="4320"/>
        <w:tab w:val="right" w:pos="8640"/>
      </w:tabs>
    </w:pPr>
  </w:style>
  <w:style w:type="character" w:customStyle="1" w:styleId="HeaderChar">
    <w:name w:val="Header Char"/>
    <w:basedOn w:val="DefaultParagraphFont"/>
    <w:link w:val="Header"/>
    <w:rPr>
      <w:rFonts w:ascii="Arial" w:eastAsia="Times New Roman" w:hAnsi="Arial" w:cs="Arial"/>
      <w:kern w:val="0"/>
    </w:rPr>
  </w:style>
  <w:style w:type="paragraph" w:customStyle="1" w:styleId="Level1">
    <w:name w:val="Level 1"/>
    <w:rsid w:val="00A27685"/>
    <w:pPr>
      <w:autoSpaceDE w:val="0"/>
      <w:autoSpaceDN w:val="0"/>
      <w:adjustRightInd w:val="0"/>
      <w:spacing w:after="0" w:line="240" w:lineRule="auto"/>
      <w:ind w:left="720"/>
    </w:pPr>
    <w:rPr>
      <w:rFonts w:ascii="Times New Roman" w:eastAsia="Times New Roman" w:hAnsi="Times New Roman" w:cs="Arial"/>
      <w:kern w:val="0"/>
    </w:rPr>
  </w:style>
  <w:style w:type="character" w:customStyle="1" w:styleId="SYSHYPERTEXT">
    <w:name w:val="SYS_HYPERTEXT"/>
    <w:rsid w:val="00A27685"/>
    <w:rPr>
      <w:noProof/>
      <w:color w:val="0000FF"/>
      <w:u w:val="single"/>
    </w:rPr>
  </w:style>
  <w:style w:type="character" w:customStyle="1" w:styleId="QuickFormat2">
    <w:name w:val="QuickFormat2"/>
    <w:rsid w:val="00A27685"/>
    <w:rPr>
      <w:rFonts w:ascii="Arial" w:hAnsi="Arial" w:cs="Arial"/>
    </w:rPr>
  </w:style>
  <w:style w:type="character" w:customStyle="1" w:styleId="QuickFormat3">
    <w:name w:val="QuickFormat3"/>
    <w:rsid w:val="00A27685"/>
    <w:rPr>
      <w:rFonts w:ascii="Arial" w:hAnsi="Arial" w:cs="Arial"/>
      <w:b/>
      <w:bCs/>
      <w:i/>
      <w:iCs/>
    </w:rPr>
  </w:style>
  <w:style w:type="paragraph" w:styleId="BodyText">
    <w:name w:val="Body Text"/>
    <w:basedOn w:val="Normal"/>
    <w:link w:val="BodyTextChar"/>
    <w:rsid w:val="00A27685"/>
    <w:pPr>
      <w:autoSpaceDE w:val="0"/>
      <w:autoSpaceDN w:val="0"/>
      <w:adjustRightInd w:val="0"/>
    </w:pPr>
    <w:rPr>
      <w:sz w:val="22"/>
      <w:szCs w:val="22"/>
    </w:rPr>
  </w:style>
  <w:style w:type="character" w:customStyle="1" w:styleId="BodyTextChar">
    <w:name w:val="Body Text Char"/>
    <w:basedOn w:val="DefaultParagraphFont"/>
    <w:link w:val="BodyText"/>
    <w:rsid w:val="00A27685"/>
    <w:rPr>
      <w:rFonts w:ascii="Arial" w:eastAsia="Times New Roman" w:hAnsi="Arial" w:cs="Arial"/>
      <w:kern w:val="0"/>
      <w:sz w:val="22"/>
      <w:szCs w:val="22"/>
    </w:rPr>
  </w:style>
  <w:style w:type="paragraph" w:styleId="BodyTextIndent">
    <w:name w:val="Body Text Indent"/>
    <w:basedOn w:val="Normal"/>
    <w:link w:val="BodyTextIndentChar"/>
    <w:rsid w:val="00A27685"/>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A27685"/>
    <w:rPr>
      <w:rFonts w:ascii="Arial" w:eastAsia="Times New Roman" w:hAnsi="Arial" w:cs="Arial"/>
      <w:kern w:val="0"/>
      <w:sz w:val="32"/>
      <w:szCs w:val="32"/>
    </w:rPr>
  </w:style>
  <w:style w:type="paragraph" w:customStyle="1" w:styleId="QuickFormat6">
    <w:name w:val="QuickFormat6"/>
    <w:rsid w:val="00A27685"/>
    <w:pPr>
      <w:autoSpaceDE w:val="0"/>
      <w:autoSpaceDN w:val="0"/>
      <w:adjustRightInd w:val="0"/>
      <w:spacing w:after="0" w:line="240" w:lineRule="auto"/>
    </w:pPr>
    <w:rPr>
      <w:rFonts w:ascii="Times New Roman" w:eastAsia="Times New Roman" w:hAnsi="Times New Roman" w:cs="Arial"/>
      <w:kern w:val="0"/>
    </w:rPr>
  </w:style>
  <w:style w:type="character" w:styleId="PageNumber">
    <w:name w:val="page number"/>
    <w:basedOn w:val="DefaultParagraphFont"/>
    <w:rsid w:val="00A27685"/>
  </w:style>
  <w:style w:type="paragraph" w:styleId="BodyText2">
    <w:name w:val="Body Text 2"/>
    <w:basedOn w:val="Normal"/>
    <w:link w:val="BodyText2Char"/>
    <w:rsid w:val="00A2768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Pr>
      <w:rFonts w:ascii="Arial" w:eastAsia="Times New Roman" w:hAnsi="Arial" w:cs="Arial"/>
      <w:noProof/>
      <w:kern w:val="0"/>
    </w:rPr>
  </w:style>
  <w:style w:type="paragraph" w:styleId="BodyTextIndent2">
    <w:name w:val="Body Text Indent 2"/>
    <w:basedOn w:val="Normal"/>
    <w:link w:val="BodyTextIndent2Char"/>
    <w:rsid w:val="00A2768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Pr>
      <w:rFonts w:ascii="Arial" w:eastAsia="Times New Roman" w:hAnsi="Arial" w:cs="Arial"/>
      <w:kern w:val="0"/>
      <w:sz w:val="17"/>
      <w:szCs w:val="17"/>
    </w:rPr>
  </w:style>
  <w:style w:type="paragraph" w:styleId="BodyTextIndent3">
    <w:name w:val="Body Text Indent 3"/>
    <w:basedOn w:val="Normal"/>
    <w:link w:val="BodyTextIndent3Char"/>
    <w:rsid w:val="00A27685"/>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Pr>
      <w:rFonts w:ascii="Arial" w:eastAsia="Times New Roman" w:hAnsi="Arial" w:cs="Arial"/>
      <w:kern w:val="0"/>
      <w:sz w:val="20"/>
    </w:rPr>
  </w:style>
  <w:style w:type="paragraph" w:styleId="BlockText">
    <w:name w:val="Block Text"/>
    <w:basedOn w:val="Normal"/>
    <w:rsid w:val="00A27685"/>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A27685"/>
    <w:pPr>
      <w:spacing w:after="0" w:line="240" w:lineRule="auto"/>
    </w:pPr>
    <w:rPr>
      <w:rFonts w:ascii="Times New Roman" w:eastAsia="Times New Roman" w:hAnsi="Times New Roman"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A27685"/>
    <w:pPr>
      <w:ind w:left="480" w:hanging="480"/>
    </w:pPr>
  </w:style>
  <w:style w:type="character" w:styleId="Hyperlink">
    <w:name w:val="Hyperlink"/>
    <w:uiPriority w:val="99"/>
    <w:qFormat/>
    <w:rsid w:val="00A27685"/>
    <w:rPr>
      <w:rFonts w:ascii="Arial" w:hAnsi="Arial"/>
      <w:color w:val="auto"/>
      <w:sz w:val="24"/>
      <w:u w:val="none"/>
    </w:rPr>
  </w:style>
  <w:style w:type="paragraph" w:styleId="TOC1">
    <w:name w:val="toc 1"/>
    <w:basedOn w:val="Normal"/>
    <w:next w:val="Normal"/>
    <w:autoRedefine/>
    <w:uiPriority w:val="39"/>
    <w:rsid w:val="00A27685"/>
  </w:style>
  <w:style w:type="paragraph" w:styleId="TOC2">
    <w:name w:val="toc 2"/>
    <w:basedOn w:val="Normal"/>
    <w:next w:val="Normal"/>
    <w:autoRedefine/>
    <w:uiPriority w:val="39"/>
    <w:rsid w:val="00A27685"/>
    <w:pPr>
      <w:ind w:left="240"/>
    </w:pPr>
  </w:style>
  <w:style w:type="paragraph" w:styleId="TOC3">
    <w:name w:val="toc 3"/>
    <w:basedOn w:val="Normal"/>
    <w:next w:val="Normal"/>
    <w:autoRedefine/>
    <w:uiPriority w:val="39"/>
    <w:rsid w:val="00A27685"/>
    <w:pPr>
      <w:ind w:left="480"/>
    </w:pPr>
  </w:style>
  <w:style w:type="paragraph" w:styleId="TOC4">
    <w:name w:val="toc 4"/>
    <w:basedOn w:val="Normal"/>
    <w:next w:val="Normal"/>
    <w:autoRedefine/>
    <w:semiHidden/>
    <w:rsid w:val="00A27685"/>
    <w:pPr>
      <w:ind w:left="720"/>
    </w:pPr>
  </w:style>
  <w:style w:type="paragraph" w:styleId="TOC5">
    <w:name w:val="toc 5"/>
    <w:basedOn w:val="Normal"/>
    <w:next w:val="Normal"/>
    <w:autoRedefine/>
    <w:semiHidden/>
    <w:rsid w:val="00A27685"/>
    <w:pPr>
      <w:ind w:left="960"/>
    </w:pPr>
  </w:style>
  <w:style w:type="paragraph" w:styleId="TOC6">
    <w:name w:val="toc 6"/>
    <w:basedOn w:val="Normal"/>
    <w:next w:val="Normal"/>
    <w:autoRedefine/>
    <w:semiHidden/>
    <w:rsid w:val="00A27685"/>
    <w:pPr>
      <w:ind w:left="1200"/>
    </w:pPr>
  </w:style>
  <w:style w:type="paragraph" w:styleId="TOC7">
    <w:name w:val="toc 7"/>
    <w:basedOn w:val="Normal"/>
    <w:next w:val="Normal"/>
    <w:autoRedefine/>
    <w:semiHidden/>
    <w:rsid w:val="00A27685"/>
    <w:pPr>
      <w:ind w:left="1440"/>
    </w:pPr>
  </w:style>
  <w:style w:type="paragraph" w:styleId="TOC8">
    <w:name w:val="toc 8"/>
    <w:basedOn w:val="Normal"/>
    <w:next w:val="Normal"/>
    <w:autoRedefine/>
    <w:semiHidden/>
    <w:rsid w:val="00A27685"/>
    <w:pPr>
      <w:ind w:left="1680"/>
    </w:pPr>
  </w:style>
  <w:style w:type="paragraph" w:styleId="TOC9">
    <w:name w:val="toc 9"/>
    <w:basedOn w:val="Normal"/>
    <w:next w:val="Normal"/>
    <w:autoRedefine/>
    <w:semiHidden/>
    <w:rsid w:val="00A27685"/>
    <w:pPr>
      <w:ind w:left="1920"/>
    </w:pPr>
  </w:style>
  <w:style w:type="paragraph" w:customStyle="1" w:styleId="thesistext">
    <w:name w:val="thesis text"/>
    <w:basedOn w:val="Normal"/>
    <w:autoRedefine/>
    <w:rsid w:val="00A27685"/>
    <w:pPr>
      <w:spacing w:after="240"/>
      <w:ind w:firstLine="540"/>
    </w:pPr>
    <w:rPr>
      <w:lang w:eastAsia="es-ES"/>
    </w:rPr>
  </w:style>
  <w:style w:type="paragraph" w:customStyle="1" w:styleId="StyleHeading1Centered">
    <w:name w:val="Style Heading 1 + Centered"/>
    <w:basedOn w:val="Heading1"/>
    <w:link w:val="StyleHeading1CenteredChar"/>
    <w:rsid w:val="00A27685"/>
    <w:rPr>
      <w:caps w:val="0"/>
      <w:szCs w:val="28"/>
    </w:rPr>
  </w:style>
  <w:style w:type="character" w:customStyle="1" w:styleId="StyleHeading1CenteredChar">
    <w:name w:val="Style Heading 1 + Centered Char"/>
    <w:link w:val="StyleHeading1Centered"/>
    <w:rsid w:val="00A27685"/>
    <w:rPr>
      <w:rFonts w:ascii="Times New Roman" w:eastAsia="Times New Roman" w:hAnsi="Times New Roman" w:cs="Times New Roman"/>
      <w:b/>
      <w:bCs/>
      <w:color w:val="000000" w:themeColor="text1"/>
      <w:kern w:val="0"/>
      <w:szCs w:val="28"/>
    </w:rPr>
  </w:style>
  <w:style w:type="paragraph" w:styleId="TOCHeading">
    <w:name w:val="TOC Heading"/>
    <w:basedOn w:val="Heading1"/>
    <w:next w:val="Normal"/>
    <w:autoRedefine/>
    <w:uiPriority w:val="39"/>
    <w:unhideWhenUsed/>
    <w:qFormat/>
    <w:rsid w:val="00A27685"/>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A27685"/>
    <w:rPr>
      <w:rFonts w:asciiTheme="majorHAnsi" w:hAnsiTheme="majorHAnsi"/>
      <w:b/>
      <w:bCs/>
    </w:rPr>
  </w:style>
  <w:style w:type="character" w:styleId="SubtleReference">
    <w:name w:val="Subtle Reference"/>
    <w:basedOn w:val="DefaultParagraphFont"/>
    <w:uiPriority w:val="31"/>
    <w:qFormat/>
    <w:rsid w:val="00A27685"/>
    <w:rPr>
      <w:rFonts w:asciiTheme="majorHAnsi" w:hAnsiTheme="majorHAnsi"/>
      <w:smallCaps/>
      <w:color w:val="5A5A5A" w:themeColor="text1" w:themeTint="A5"/>
    </w:rPr>
  </w:style>
  <w:style w:type="character" w:styleId="Emphasis">
    <w:name w:val="Emphasis"/>
    <w:basedOn w:val="DefaultParagraphFont"/>
    <w:qFormat/>
    <w:rsid w:val="00A27685"/>
    <w:rPr>
      <w:rFonts w:asciiTheme="majorHAnsi" w:hAnsiTheme="majorHAnsi"/>
      <w:i/>
      <w:iCs/>
    </w:rPr>
  </w:style>
  <w:style w:type="paragraph" w:styleId="NoSpacing">
    <w:name w:val="No Spacing"/>
    <w:autoRedefine/>
    <w:uiPriority w:val="1"/>
    <w:qFormat/>
    <w:rsid w:val="00A27685"/>
    <w:pPr>
      <w:spacing w:after="0" w:line="240" w:lineRule="auto"/>
    </w:pPr>
    <w:rPr>
      <w:rFonts w:asciiTheme="majorHAnsi" w:eastAsia="Times New Roman" w:hAnsiTheme="majorHAnsi" w:cs="Arial"/>
      <w:kern w:val="0"/>
    </w:rPr>
  </w:style>
  <w:style w:type="character" w:styleId="SubtleEmphasis">
    <w:name w:val="Subtle Emphasis"/>
    <w:basedOn w:val="DefaultParagraphFont"/>
    <w:uiPriority w:val="19"/>
    <w:qFormat/>
    <w:rsid w:val="00A27685"/>
    <w:rPr>
      <w:rFonts w:asciiTheme="majorHAnsi" w:hAnsiTheme="majorHAnsi"/>
      <w:i/>
      <w:iCs/>
      <w:color w:val="404040" w:themeColor="text1" w:themeTint="BF"/>
    </w:rPr>
  </w:style>
  <w:style w:type="character" w:styleId="FollowedHyperlink">
    <w:name w:val="FollowedHyperlink"/>
    <w:basedOn w:val="DefaultParagraphFont"/>
    <w:uiPriority w:val="99"/>
    <w:semiHidden/>
    <w:unhideWhenUsed/>
    <w:rsid w:val="00A27685"/>
    <w:rPr>
      <w:color w:val="96607D" w:themeColor="followedHyperlink"/>
      <w:u w:val="single"/>
    </w:rPr>
  </w:style>
  <w:style w:type="numbering" w:customStyle="1" w:styleId="Caption2">
    <w:name w:val="Caption2"/>
    <w:basedOn w:val="NoList"/>
    <w:uiPriority w:val="99"/>
    <w:rsid w:val="00A27685"/>
    <w:pPr>
      <w:numPr>
        <w:numId w:val="1"/>
      </w:numPr>
    </w:pPr>
  </w:style>
  <w:style w:type="paragraph" w:customStyle="1" w:styleId="Chapter">
    <w:name w:val="Chapter"/>
    <w:basedOn w:val="Heading1"/>
    <w:next w:val="Heading1"/>
    <w:link w:val="ChapterChar"/>
    <w:autoRedefine/>
    <w:rsid w:val="00A27685"/>
    <w:rPr>
      <w:szCs w:val="28"/>
    </w:rPr>
  </w:style>
  <w:style w:type="paragraph" w:styleId="Caption">
    <w:name w:val="caption"/>
    <w:basedOn w:val="Normal"/>
    <w:next w:val="Normal"/>
    <w:unhideWhenUsed/>
    <w:qFormat/>
    <w:rsid w:val="0082280B"/>
    <w:pPr>
      <w:keepNext/>
      <w:spacing w:before="120" w:after="120"/>
    </w:pPr>
    <w:rPr>
      <w:rFonts w:ascii="Times New Roman" w:hAnsi="Times New Roman" w:cs="Times New Roman"/>
      <w:iCs/>
      <w:color w:val="000000" w:themeColor="text1"/>
      <w:sz w:val="20"/>
      <w:szCs w:val="18"/>
    </w:rPr>
  </w:style>
  <w:style w:type="character" w:customStyle="1" w:styleId="ChapterChar">
    <w:name w:val="Chapter Char"/>
    <w:basedOn w:val="StyleHeading1CenteredChar"/>
    <w:link w:val="Chapter"/>
    <w:rsid w:val="00A27685"/>
    <w:rPr>
      <w:rFonts w:ascii="Times New Roman" w:eastAsia="Times New Roman" w:hAnsi="Times New Roman" w:cs="Times New Roman"/>
      <w:b/>
      <w:bCs/>
      <w:caps/>
      <w:color w:val="000000" w:themeColor="text1"/>
      <w:kern w:val="0"/>
      <w:szCs w:val="28"/>
    </w:rPr>
  </w:style>
  <w:style w:type="numbering" w:styleId="111111">
    <w:name w:val="Outline List 2"/>
    <w:basedOn w:val="NoList"/>
    <w:semiHidden/>
    <w:unhideWhenUsed/>
    <w:rsid w:val="00A27685"/>
    <w:pPr>
      <w:numPr>
        <w:numId w:val="3"/>
      </w:numPr>
    </w:pPr>
  </w:style>
  <w:style w:type="table" w:styleId="GridTable5Dark">
    <w:name w:val="Grid Table 5 Dark"/>
    <w:basedOn w:val="TableNormal"/>
    <w:uiPriority w:val="50"/>
    <w:rsid w:val="00A27685"/>
    <w:pPr>
      <w:spacing w:after="0" w:line="240" w:lineRule="auto"/>
    </w:pPr>
    <w:rPr>
      <w:rFonts w:ascii="Times New Roman" w:eastAsia="Times New Roman" w:hAnsi="Times New Roman" w:cs="Arial"/>
      <w:kern w:val="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A27685"/>
    <w:pPr>
      <w:spacing w:after="0" w:line="240" w:lineRule="auto"/>
    </w:pPr>
    <w:rPr>
      <w:rFonts w:ascii="Times New Roman" w:eastAsia="Times New Roman" w:hAnsi="Times New Roman" w:cs="Arial"/>
      <w:color w:val="000000" w:themeColor="text1"/>
      <w:kern w:val="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A27685"/>
    <w:pPr>
      <w:numPr>
        <w:ilvl w:val="12"/>
        <w:numId w:val="0"/>
      </w:numPr>
    </w:pPr>
    <w:rPr>
      <w:bCs w:val="0"/>
    </w:rPr>
  </w:style>
  <w:style w:type="character" w:styleId="UnresolvedMention">
    <w:name w:val="Unresolved Mention"/>
    <w:basedOn w:val="DefaultParagraphFont"/>
    <w:uiPriority w:val="99"/>
    <w:semiHidden/>
    <w:unhideWhenUsed/>
    <w:rsid w:val="00A27685"/>
    <w:rPr>
      <w:color w:val="605E5C"/>
      <w:shd w:val="clear" w:color="auto" w:fill="E1DFDD"/>
    </w:rPr>
  </w:style>
  <w:style w:type="paragraph" w:customStyle="1" w:styleId="normale">
    <w:name w:val="normale"/>
    <w:basedOn w:val="Normal"/>
    <w:link w:val="normaleChar"/>
    <w:qFormat/>
    <w:rsid w:val="00774941"/>
    <w:pPr>
      <w:numPr>
        <w:ilvl w:val="12"/>
      </w:numPr>
      <w:spacing w:line="480" w:lineRule="auto"/>
    </w:pPr>
    <w:rPr>
      <w:rFonts w:ascii="Times New Roman" w:hAnsi="Times New Roman" w:cs="Times New Roman"/>
    </w:rPr>
  </w:style>
  <w:style w:type="character" w:customStyle="1" w:styleId="normaleChar">
    <w:name w:val="normale Char"/>
    <w:basedOn w:val="DefaultParagraphFont"/>
    <w:link w:val="normale"/>
    <w:rsid w:val="00774941"/>
    <w:rPr>
      <w:rFonts w:ascii="Times New Roman" w:eastAsia="Times New Roman" w:hAnsi="Times New Roman" w:cs="Times New Roman"/>
      <w:kern w:val="0"/>
    </w:rPr>
  </w:style>
  <w:style w:type="paragraph" w:styleId="NormalWeb">
    <w:name w:val="Normal (Web)"/>
    <w:basedOn w:val="Normal"/>
    <w:uiPriority w:val="99"/>
    <w:semiHidden/>
    <w:unhideWhenUsed/>
    <w:rsid w:val="00BC25E1"/>
    <w:rPr>
      <w:rFonts w:ascii="Times New Roman" w:hAnsi="Times New Roman" w:cs="Times New Roman"/>
    </w:rPr>
  </w:style>
  <w:style w:type="numbering" w:customStyle="1" w:styleId="NoList1">
    <w:name w:val="No List1"/>
    <w:next w:val="NoList"/>
    <w:uiPriority w:val="99"/>
    <w:semiHidden/>
    <w:unhideWhenUsed/>
    <w:rsid w:val="00FB4867"/>
  </w:style>
  <w:style w:type="paragraph" w:customStyle="1" w:styleId="msonormal0">
    <w:name w:val="msonormal"/>
    <w:basedOn w:val="Normal"/>
    <w:rsid w:val="00FB4867"/>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3263">
      <w:bodyDiv w:val="1"/>
      <w:marLeft w:val="0"/>
      <w:marRight w:val="0"/>
      <w:marTop w:val="0"/>
      <w:marBottom w:val="0"/>
      <w:divBdr>
        <w:top w:val="none" w:sz="0" w:space="0" w:color="auto"/>
        <w:left w:val="none" w:sz="0" w:space="0" w:color="auto"/>
        <w:bottom w:val="none" w:sz="0" w:space="0" w:color="auto"/>
        <w:right w:val="none" w:sz="0" w:space="0" w:color="auto"/>
      </w:divBdr>
    </w:div>
    <w:div w:id="30620069">
      <w:bodyDiv w:val="1"/>
      <w:marLeft w:val="0"/>
      <w:marRight w:val="0"/>
      <w:marTop w:val="0"/>
      <w:marBottom w:val="0"/>
      <w:divBdr>
        <w:top w:val="none" w:sz="0" w:space="0" w:color="auto"/>
        <w:left w:val="none" w:sz="0" w:space="0" w:color="auto"/>
        <w:bottom w:val="none" w:sz="0" w:space="0" w:color="auto"/>
        <w:right w:val="none" w:sz="0" w:space="0" w:color="auto"/>
      </w:divBdr>
    </w:div>
    <w:div w:id="60831674">
      <w:bodyDiv w:val="1"/>
      <w:marLeft w:val="0"/>
      <w:marRight w:val="0"/>
      <w:marTop w:val="0"/>
      <w:marBottom w:val="0"/>
      <w:divBdr>
        <w:top w:val="none" w:sz="0" w:space="0" w:color="auto"/>
        <w:left w:val="none" w:sz="0" w:space="0" w:color="auto"/>
        <w:bottom w:val="none" w:sz="0" w:space="0" w:color="auto"/>
        <w:right w:val="none" w:sz="0" w:space="0" w:color="auto"/>
      </w:divBdr>
    </w:div>
    <w:div w:id="77020355">
      <w:bodyDiv w:val="1"/>
      <w:marLeft w:val="0"/>
      <w:marRight w:val="0"/>
      <w:marTop w:val="0"/>
      <w:marBottom w:val="0"/>
      <w:divBdr>
        <w:top w:val="none" w:sz="0" w:space="0" w:color="auto"/>
        <w:left w:val="none" w:sz="0" w:space="0" w:color="auto"/>
        <w:bottom w:val="none" w:sz="0" w:space="0" w:color="auto"/>
        <w:right w:val="none" w:sz="0" w:space="0" w:color="auto"/>
      </w:divBdr>
    </w:div>
    <w:div w:id="111899138">
      <w:bodyDiv w:val="1"/>
      <w:marLeft w:val="0"/>
      <w:marRight w:val="0"/>
      <w:marTop w:val="0"/>
      <w:marBottom w:val="0"/>
      <w:divBdr>
        <w:top w:val="none" w:sz="0" w:space="0" w:color="auto"/>
        <w:left w:val="none" w:sz="0" w:space="0" w:color="auto"/>
        <w:bottom w:val="none" w:sz="0" w:space="0" w:color="auto"/>
        <w:right w:val="none" w:sz="0" w:space="0" w:color="auto"/>
      </w:divBdr>
    </w:div>
    <w:div w:id="153493111">
      <w:bodyDiv w:val="1"/>
      <w:marLeft w:val="0"/>
      <w:marRight w:val="0"/>
      <w:marTop w:val="0"/>
      <w:marBottom w:val="0"/>
      <w:divBdr>
        <w:top w:val="none" w:sz="0" w:space="0" w:color="auto"/>
        <w:left w:val="none" w:sz="0" w:space="0" w:color="auto"/>
        <w:bottom w:val="none" w:sz="0" w:space="0" w:color="auto"/>
        <w:right w:val="none" w:sz="0" w:space="0" w:color="auto"/>
      </w:divBdr>
    </w:div>
    <w:div w:id="165823212">
      <w:bodyDiv w:val="1"/>
      <w:marLeft w:val="0"/>
      <w:marRight w:val="0"/>
      <w:marTop w:val="0"/>
      <w:marBottom w:val="0"/>
      <w:divBdr>
        <w:top w:val="none" w:sz="0" w:space="0" w:color="auto"/>
        <w:left w:val="none" w:sz="0" w:space="0" w:color="auto"/>
        <w:bottom w:val="none" w:sz="0" w:space="0" w:color="auto"/>
        <w:right w:val="none" w:sz="0" w:space="0" w:color="auto"/>
      </w:divBdr>
    </w:div>
    <w:div w:id="172652129">
      <w:bodyDiv w:val="1"/>
      <w:marLeft w:val="0"/>
      <w:marRight w:val="0"/>
      <w:marTop w:val="0"/>
      <w:marBottom w:val="0"/>
      <w:divBdr>
        <w:top w:val="none" w:sz="0" w:space="0" w:color="auto"/>
        <w:left w:val="none" w:sz="0" w:space="0" w:color="auto"/>
        <w:bottom w:val="none" w:sz="0" w:space="0" w:color="auto"/>
        <w:right w:val="none" w:sz="0" w:space="0" w:color="auto"/>
      </w:divBdr>
    </w:div>
    <w:div w:id="179202377">
      <w:bodyDiv w:val="1"/>
      <w:marLeft w:val="0"/>
      <w:marRight w:val="0"/>
      <w:marTop w:val="0"/>
      <w:marBottom w:val="0"/>
      <w:divBdr>
        <w:top w:val="none" w:sz="0" w:space="0" w:color="auto"/>
        <w:left w:val="none" w:sz="0" w:space="0" w:color="auto"/>
        <w:bottom w:val="none" w:sz="0" w:space="0" w:color="auto"/>
        <w:right w:val="none" w:sz="0" w:space="0" w:color="auto"/>
      </w:divBdr>
    </w:div>
    <w:div w:id="193467429">
      <w:bodyDiv w:val="1"/>
      <w:marLeft w:val="0"/>
      <w:marRight w:val="0"/>
      <w:marTop w:val="0"/>
      <w:marBottom w:val="0"/>
      <w:divBdr>
        <w:top w:val="none" w:sz="0" w:space="0" w:color="auto"/>
        <w:left w:val="none" w:sz="0" w:space="0" w:color="auto"/>
        <w:bottom w:val="none" w:sz="0" w:space="0" w:color="auto"/>
        <w:right w:val="none" w:sz="0" w:space="0" w:color="auto"/>
      </w:divBdr>
    </w:div>
    <w:div w:id="193616390">
      <w:bodyDiv w:val="1"/>
      <w:marLeft w:val="0"/>
      <w:marRight w:val="0"/>
      <w:marTop w:val="0"/>
      <w:marBottom w:val="0"/>
      <w:divBdr>
        <w:top w:val="none" w:sz="0" w:space="0" w:color="auto"/>
        <w:left w:val="none" w:sz="0" w:space="0" w:color="auto"/>
        <w:bottom w:val="none" w:sz="0" w:space="0" w:color="auto"/>
        <w:right w:val="none" w:sz="0" w:space="0" w:color="auto"/>
      </w:divBdr>
    </w:div>
    <w:div w:id="241333290">
      <w:bodyDiv w:val="1"/>
      <w:marLeft w:val="0"/>
      <w:marRight w:val="0"/>
      <w:marTop w:val="0"/>
      <w:marBottom w:val="0"/>
      <w:divBdr>
        <w:top w:val="none" w:sz="0" w:space="0" w:color="auto"/>
        <w:left w:val="none" w:sz="0" w:space="0" w:color="auto"/>
        <w:bottom w:val="none" w:sz="0" w:space="0" w:color="auto"/>
        <w:right w:val="none" w:sz="0" w:space="0" w:color="auto"/>
      </w:divBdr>
    </w:div>
    <w:div w:id="286083239">
      <w:bodyDiv w:val="1"/>
      <w:marLeft w:val="0"/>
      <w:marRight w:val="0"/>
      <w:marTop w:val="0"/>
      <w:marBottom w:val="0"/>
      <w:divBdr>
        <w:top w:val="none" w:sz="0" w:space="0" w:color="auto"/>
        <w:left w:val="none" w:sz="0" w:space="0" w:color="auto"/>
        <w:bottom w:val="none" w:sz="0" w:space="0" w:color="auto"/>
        <w:right w:val="none" w:sz="0" w:space="0" w:color="auto"/>
      </w:divBdr>
    </w:div>
    <w:div w:id="287904952">
      <w:bodyDiv w:val="1"/>
      <w:marLeft w:val="0"/>
      <w:marRight w:val="0"/>
      <w:marTop w:val="0"/>
      <w:marBottom w:val="0"/>
      <w:divBdr>
        <w:top w:val="none" w:sz="0" w:space="0" w:color="auto"/>
        <w:left w:val="none" w:sz="0" w:space="0" w:color="auto"/>
        <w:bottom w:val="none" w:sz="0" w:space="0" w:color="auto"/>
        <w:right w:val="none" w:sz="0" w:space="0" w:color="auto"/>
      </w:divBdr>
    </w:div>
    <w:div w:id="294414744">
      <w:bodyDiv w:val="1"/>
      <w:marLeft w:val="0"/>
      <w:marRight w:val="0"/>
      <w:marTop w:val="0"/>
      <w:marBottom w:val="0"/>
      <w:divBdr>
        <w:top w:val="none" w:sz="0" w:space="0" w:color="auto"/>
        <w:left w:val="none" w:sz="0" w:space="0" w:color="auto"/>
        <w:bottom w:val="none" w:sz="0" w:space="0" w:color="auto"/>
        <w:right w:val="none" w:sz="0" w:space="0" w:color="auto"/>
      </w:divBdr>
    </w:div>
    <w:div w:id="348222847">
      <w:bodyDiv w:val="1"/>
      <w:marLeft w:val="0"/>
      <w:marRight w:val="0"/>
      <w:marTop w:val="0"/>
      <w:marBottom w:val="0"/>
      <w:divBdr>
        <w:top w:val="none" w:sz="0" w:space="0" w:color="auto"/>
        <w:left w:val="none" w:sz="0" w:space="0" w:color="auto"/>
        <w:bottom w:val="none" w:sz="0" w:space="0" w:color="auto"/>
        <w:right w:val="none" w:sz="0" w:space="0" w:color="auto"/>
      </w:divBdr>
    </w:div>
    <w:div w:id="351154389">
      <w:bodyDiv w:val="1"/>
      <w:marLeft w:val="0"/>
      <w:marRight w:val="0"/>
      <w:marTop w:val="0"/>
      <w:marBottom w:val="0"/>
      <w:divBdr>
        <w:top w:val="none" w:sz="0" w:space="0" w:color="auto"/>
        <w:left w:val="none" w:sz="0" w:space="0" w:color="auto"/>
        <w:bottom w:val="none" w:sz="0" w:space="0" w:color="auto"/>
        <w:right w:val="none" w:sz="0" w:space="0" w:color="auto"/>
      </w:divBdr>
    </w:div>
    <w:div w:id="390278064">
      <w:bodyDiv w:val="1"/>
      <w:marLeft w:val="0"/>
      <w:marRight w:val="0"/>
      <w:marTop w:val="0"/>
      <w:marBottom w:val="0"/>
      <w:divBdr>
        <w:top w:val="none" w:sz="0" w:space="0" w:color="auto"/>
        <w:left w:val="none" w:sz="0" w:space="0" w:color="auto"/>
        <w:bottom w:val="none" w:sz="0" w:space="0" w:color="auto"/>
        <w:right w:val="none" w:sz="0" w:space="0" w:color="auto"/>
      </w:divBdr>
    </w:div>
    <w:div w:id="396132153">
      <w:bodyDiv w:val="1"/>
      <w:marLeft w:val="0"/>
      <w:marRight w:val="0"/>
      <w:marTop w:val="0"/>
      <w:marBottom w:val="0"/>
      <w:divBdr>
        <w:top w:val="none" w:sz="0" w:space="0" w:color="auto"/>
        <w:left w:val="none" w:sz="0" w:space="0" w:color="auto"/>
        <w:bottom w:val="none" w:sz="0" w:space="0" w:color="auto"/>
        <w:right w:val="none" w:sz="0" w:space="0" w:color="auto"/>
      </w:divBdr>
    </w:div>
    <w:div w:id="428703223">
      <w:bodyDiv w:val="1"/>
      <w:marLeft w:val="0"/>
      <w:marRight w:val="0"/>
      <w:marTop w:val="0"/>
      <w:marBottom w:val="0"/>
      <w:divBdr>
        <w:top w:val="none" w:sz="0" w:space="0" w:color="auto"/>
        <w:left w:val="none" w:sz="0" w:space="0" w:color="auto"/>
        <w:bottom w:val="none" w:sz="0" w:space="0" w:color="auto"/>
        <w:right w:val="none" w:sz="0" w:space="0" w:color="auto"/>
      </w:divBdr>
    </w:div>
    <w:div w:id="432553612">
      <w:bodyDiv w:val="1"/>
      <w:marLeft w:val="0"/>
      <w:marRight w:val="0"/>
      <w:marTop w:val="0"/>
      <w:marBottom w:val="0"/>
      <w:divBdr>
        <w:top w:val="none" w:sz="0" w:space="0" w:color="auto"/>
        <w:left w:val="none" w:sz="0" w:space="0" w:color="auto"/>
        <w:bottom w:val="none" w:sz="0" w:space="0" w:color="auto"/>
        <w:right w:val="none" w:sz="0" w:space="0" w:color="auto"/>
      </w:divBdr>
    </w:div>
    <w:div w:id="432555516">
      <w:bodyDiv w:val="1"/>
      <w:marLeft w:val="0"/>
      <w:marRight w:val="0"/>
      <w:marTop w:val="0"/>
      <w:marBottom w:val="0"/>
      <w:divBdr>
        <w:top w:val="none" w:sz="0" w:space="0" w:color="auto"/>
        <w:left w:val="none" w:sz="0" w:space="0" w:color="auto"/>
        <w:bottom w:val="none" w:sz="0" w:space="0" w:color="auto"/>
        <w:right w:val="none" w:sz="0" w:space="0" w:color="auto"/>
      </w:divBdr>
    </w:div>
    <w:div w:id="447167706">
      <w:bodyDiv w:val="1"/>
      <w:marLeft w:val="0"/>
      <w:marRight w:val="0"/>
      <w:marTop w:val="0"/>
      <w:marBottom w:val="0"/>
      <w:divBdr>
        <w:top w:val="none" w:sz="0" w:space="0" w:color="auto"/>
        <w:left w:val="none" w:sz="0" w:space="0" w:color="auto"/>
        <w:bottom w:val="none" w:sz="0" w:space="0" w:color="auto"/>
        <w:right w:val="none" w:sz="0" w:space="0" w:color="auto"/>
      </w:divBdr>
    </w:div>
    <w:div w:id="450369963">
      <w:bodyDiv w:val="1"/>
      <w:marLeft w:val="0"/>
      <w:marRight w:val="0"/>
      <w:marTop w:val="0"/>
      <w:marBottom w:val="0"/>
      <w:divBdr>
        <w:top w:val="none" w:sz="0" w:space="0" w:color="auto"/>
        <w:left w:val="none" w:sz="0" w:space="0" w:color="auto"/>
        <w:bottom w:val="none" w:sz="0" w:space="0" w:color="auto"/>
        <w:right w:val="none" w:sz="0" w:space="0" w:color="auto"/>
      </w:divBdr>
    </w:div>
    <w:div w:id="471366834">
      <w:bodyDiv w:val="1"/>
      <w:marLeft w:val="0"/>
      <w:marRight w:val="0"/>
      <w:marTop w:val="0"/>
      <w:marBottom w:val="0"/>
      <w:divBdr>
        <w:top w:val="none" w:sz="0" w:space="0" w:color="auto"/>
        <w:left w:val="none" w:sz="0" w:space="0" w:color="auto"/>
        <w:bottom w:val="none" w:sz="0" w:space="0" w:color="auto"/>
        <w:right w:val="none" w:sz="0" w:space="0" w:color="auto"/>
      </w:divBdr>
    </w:div>
    <w:div w:id="497428875">
      <w:bodyDiv w:val="1"/>
      <w:marLeft w:val="0"/>
      <w:marRight w:val="0"/>
      <w:marTop w:val="0"/>
      <w:marBottom w:val="0"/>
      <w:divBdr>
        <w:top w:val="none" w:sz="0" w:space="0" w:color="auto"/>
        <w:left w:val="none" w:sz="0" w:space="0" w:color="auto"/>
        <w:bottom w:val="none" w:sz="0" w:space="0" w:color="auto"/>
        <w:right w:val="none" w:sz="0" w:space="0" w:color="auto"/>
      </w:divBdr>
    </w:div>
    <w:div w:id="528220398">
      <w:bodyDiv w:val="1"/>
      <w:marLeft w:val="0"/>
      <w:marRight w:val="0"/>
      <w:marTop w:val="0"/>
      <w:marBottom w:val="0"/>
      <w:divBdr>
        <w:top w:val="none" w:sz="0" w:space="0" w:color="auto"/>
        <w:left w:val="none" w:sz="0" w:space="0" w:color="auto"/>
        <w:bottom w:val="none" w:sz="0" w:space="0" w:color="auto"/>
        <w:right w:val="none" w:sz="0" w:space="0" w:color="auto"/>
      </w:divBdr>
    </w:div>
    <w:div w:id="550045471">
      <w:bodyDiv w:val="1"/>
      <w:marLeft w:val="0"/>
      <w:marRight w:val="0"/>
      <w:marTop w:val="0"/>
      <w:marBottom w:val="0"/>
      <w:divBdr>
        <w:top w:val="none" w:sz="0" w:space="0" w:color="auto"/>
        <w:left w:val="none" w:sz="0" w:space="0" w:color="auto"/>
        <w:bottom w:val="none" w:sz="0" w:space="0" w:color="auto"/>
        <w:right w:val="none" w:sz="0" w:space="0" w:color="auto"/>
      </w:divBdr>
    </w:div>
    <w:div w:id="584917193">
      <w:bodyDiv w:val="1"/>
      <w:marLeft w:val="0"/>
      <w:marRight w:val="0"/>
      <w:marTop w:val="0"/>
      <w:marBottom w:val="0"/>
      <w:divBdr>
        <w:top w:val="none" w:sz="0" w:space="0" w:color="auto"/>
        <w:left w:val="none" w:sz="0" w:space="0" w:color="auto"/>
        <w:bottom w:val="none" w:sz="0" w:space="0" w:color="auto"/>
        <w:right w:val="none" w:sz="0" w:space="0" w:color="auto"/>
      </w:divBdr>
    </w:div>
    <w:div w:id="597325573">
      <w:bodyDiv w:val="1"/>
      <w:marLeft w:val="0"/>
      <w:marRight w:val="0"/>
      <w:marTop w:val="0"/>
      <w:marBottom w:val="0"/>
      <w:divBdr>
        <w:top w:val="none" w:sz="0" w:space="0" w:color="auto"/>
        <w:left w:val="none" w:sz="0" w:space="0" w:color="auto"/>
        <w:bottom w:val="none" w:sz="0" w:space="0" w:color="auto"/>
        <w:right w:val="none" w:sz="0" w:space="0" w:color="auto"/>
      </w:divBdr>
    </w:div>
    <w:div w:id="653682146">
      <w:bodyDiv w:val="1"/>
      <w:marLeft w:val="0"/>
      <w:marRight w:val="0"/>
      <w:marTop w:val="0"/>
      <w:marBottom w:val="0"/>
      <w:divBdr>
        <w:top w:val="none" w:sz="0" w:space="0" w:color="auto"/>
        <w:left w:val="none" w:sz="0" w:space="0" w:color="auto"/>
        <w:bottom w:val="none" w:sz="0" w:space="0" w:color="auto"/>
        <w:right w:val="none" w:sz="0" w:space="0" w:color="auto"/>
      </w:divBdr>
    </w:div>
    <w:div w:id="669328737">
      <w:bodyDiv w:val="1"/>
      <w:marLeft w:val="0"/>
      <w:marRight w:val="0"/>
      <w:marTop w:val="0"/>
      <w:marBottom w:val="0"/>
      <w:divBdr>
        <w:top w:val="none" w:sz="0" w:space="0" w:color="auto"/>
        <w:left w:val="none" w:sz="0" w:space="0" w:color="auto"/>
        <w:bottom w:val="none" w:sz="0" w:space="0" w:color="auto"/>
        <w:right w:val="none" w:sz="0" w:space="0" w:color="auto"/>
      </w:divBdr>
    </w:div>
    <w:div w:id="677972146">
      <w:bodyDiv w:val="1"/>
      <w:marLeft w:val="0"/>
      <w:marRight w:val="0"/>
      <w:marTop w:val="0"/>
      <w:marBottom w:val="0"/>
      <w:divBdr>
        <w:top w:val="none" w:sz="0" w:space="0" w:color="auto"/>
        <w:left w:val="none" w:sz="0" w:space="0" w:color="auto"/>
        <w:bottom w:val="none" w:sz="0" w:space="0" w:color="auto"/>
        <w:right w:val="none" w:sz="0" w:space="0" w:color="auto"/>
      </w:divBdr>
    </w:div>
    <w:div w:id="681860241">
      <w:bodyDiv w:val="1"/>
      <w:marLeft w:val="0"/>
      <w:marRight w:val="0"/>
      <w:marTop w:val="0"/>
      <w:marBottom w:val="0"/>
      <w:divBdr>
        <w:top w:val="none" w:sz="0" w:space="0" w:color="auto"/>
        <w:left w:val="none" w:sz="0" w:space="0" w:color="auto"/>
        <w:bottom w:val="none" w:sz="0" w:space="0" w:color="auto"/>
        <w:right w:val="none" w:sz="0" w:space="0" w:color="auto"/>
      </w:divBdr>
    </w:div>
    <w:div w:id="694815111">
      <w:bodyDiv w:val="1"/>
      <w:marLeft w:val="0"/>
      <w:marRight w:val="0"/>
      <w:marTop w:val="0"/>
      <w:marBottom w:val="0"/>
      <w:divBdr>
        <w:top w:val="none" w:sz="0" w:space="0" w:color="auto"/>
        <w:left w:val="none" w:sz="0" w:space="0" w:color="auto"/>
        <w:bottom w:val="none" w:sz="0" w:space="0" w:color="auto"/>
        <w:right w:val="none" w:sz="0" w:space="0" w:color="auto"/>
      </w:divBdr>
    </w:div>
    <w:div w:id="696007460">
      <w:bodyDiv w:val="1"/>
      <w:marLeft w:val="0"/>
      <w:marRight w:val="0"/>
      <w:marTop w:val="0"/>
      <w:marBottom w:val="0"/>
      <w:divBdr>
        <w:top w:val="none" w:sz="0" w:space="0" w:color="auto"/>
        <w:left w:val="none" w:sz="0" w:space="0" w:color="auto"/>
        <w:bottom w:val="none" w:sz="0" w:space="0" w:color="auto"/>
        <w:right w:val="none" w:sz="0" w:space="0" w:color="auto"/>
      </w:divBdr>
    </w:div>
    <w:div w:id="727076994">
      <w:bodyDiv w:val="1"/>
      <w:marLeft w:val="0"/>
      <w:marRight w:val="0"/>
      <w:marTop w:val="0"/>
      <w:marBottom w:val="0"/>
      <w:divBdr>
        <w:top w:val="none" w:sz="0" w:space="0" w:color="auto"/>
        <w:left w:val="none" w:sz="0" w:space="0" w:color="auto"/>
        <w:bottom w:val="none" w:sz="0" w:space="0" w:color="auto"/>
        <w:right w:val="none" w:sz="0" w:space="0" w:color="auto"/>
      </w:divBdr>
    </w:div>
    <w:div w:id="753086072">
      <w:bodyDiv w:val="1"/>
      <w:marLeft w:val="0"/>
      <w:marRight w:val="0"/>
      <w:marTop w:val="0"/>
      <w:marBottom w:val="0"/>
      <w:divBdr>
        <w:top w:val="none" w:sz="0" w:space="0" w:color="auto"/>
        <w:left w:val="none" w:sz="0" w:space="0" w:color="auto"/>
        <w:bottom w:val="none" w:sz="0" w:space="0" w:color="auto"/>
        <w:right w:val="none" w:sz="0" w:space="0" w:color="auto"/>
      </w:divBdr>
    </w:div>
    <w:div w:id="755828779">
      <w:bodyDiv w:val="1"/>
      <w:marLeft w:val="0"/>
      <w:marRight w:val="0"/>
      <w:marTop w:val="0"/>
      <w:marBottom w:val="0"/>
      <w:divBdr>
        <w:top w:val="none" w:sz="0" w:space="0" w:color="auto"/>
        <w:left w:val="none" w:sz="0" w:space="0" w:color="auto"/>
        <w:bottom w:val="none" w:sz="0" w:space="0" w:color="auto"/>
        <w:right w:val="none" w:sz="0" w:space="0" w:color="auto"/>
      </w:divBdr>
    </w:div>
    <w:div w:id="765341798">
      <w:bodyDiv w:val="1"/>
      <w:marLeft w:val="0"/>
      <w:marRight w:val="0"/>
      <w:marTop w:val="0"/>
      <w:marBottom w:val="0"/>
      <w:divBdr>
        <w:top w:val="none" w:sz="0" w:space="0" w:color="auto"/>
        <w:left w:val="none" w:sz="0" w:space="0" w:color="auto"/>
        <w:bottom w:val="none" w:sz="0" w:space="0" w:color="auto"/>
        <w:right w:val="none" w:sz="0" w:space="0" w:color="auto"/>
      </w:divBdr>
    </w:div>
    <w:div w:id="765930465">
      <w:bodyDiv w:val="1"/>
      <w:marLeft w:val="0"/>
      <w:marRight w:val="0"/>
      <w:marTop w:val="0"/>
      <w:marBottom w:val="0"/>
      <w:divBdr>
        <w:top w:val="none" w:sz="0" w:space="0" w:color="auto"/>
        <w:left w:val="none" w:sz="0" w:space="0" w:color="auto"/>
        <w:bottom w:val="none" w:sz="0" w:space="0" w:color="auto"/>
        <w:right w:val="none" w:sz="0" w:space="0" w:color="auto"/>
      </w:divBdr>
    </w:div>
    <w:div w:id="775753509">
      <w:bodyDiv w:val="1"/>
      <w:marLeft w:val="0"/>
      <w:marRight w:val="0"/>
      <w:marTop w:val="0"/>
      <w:marBottom w:val="0"/>
      <w:divBdr>
        <w:top w:val="none" w:sz="0" w:space="0" w:color="auto"/>
        <w:left w:val="none" w:sz="0" w:space="0" w:color="auto"/>
        <w:bottom w:val="none" w:sz="0" w:space="0" w:color="auto"/>
        <w:right w:val="none" w:sz="0" w:space="0" w:color="auto"/>
      </w:divBdr>
    </w:div>
    <w:div w:id="787966406">
      <w:bodyDiv w:val="1"/>
      <w:marLeft w:val="0"/>
      <w:marRight w:val="0"/>
      <w:marTop w:val="0"/>
      <w:marBottom w:val="0"/>
      <w:divBdr>
        <w:top w:val="none" w:sz="0" w:space="0" w:color="auto"/>
        <w:left w:val="none" w:sz="0" w:space="0" w:color="auto"/>
        <w:bottom w:val="none" w:sz="0" w:space="0" w:color="auto"/>
        <w:right w:val="none" w:sz="0" w:space="0" w:color="auto"/>
      </w:divBdr>
    </w:div>
    <w:div w:id="799344459">
      <w:bodyDiv w:val="1"/>
      <w:marLeft w:val="0"/>
      <w:marRight w:val="0"/>
      <w:marTop w:val="0"/>
      <w:marBottom w:val="0"/>
      <w:divBdr>
        <w:top w:val="none" w:sz="0" w:space="0" w:color="auto"/>
        <w:left w:val="none" w:sz="0" w:space="0" w:color="auto"/>
        <w:bottom w:val="none" w:sz="0" w:space="0" w:color="auto"/>
        <w:right w:val="none" w:sz="0" w:space="0" w:color="auto"/>
      </w:divBdr>
    </w:div>
    <w:div w:id="804663189">
      <w:bodyDiv w:val="1"/>
      <w:marLeft w:val="0"/>
      <w:marRight w:val="0"/>
      <w:marTop w:val="0"/>
      <w:marBottom w:val="0"/>
      <w:divBdr>
        <w:top w:val="none" w:sz="0" w:space="0" w:color="auto"/>
        <w:left w:val="none" w:sz="0" w:space="0" w:color="auto"/>
        <w:bottom w:val="none" w:sz="0" w:space="0" w:color="auto"/>
        <w:right w:val="none" w:sz="0" w:space="0" w:color="auto"/>
      </w:divBdr>
    </w:div>
    <w:div w:id="821889687">
      <w:bodyDiv w:val="1"/>
      <w:marLeft w:val="0"/>
      <w:marRight w:val="0"/>
      <w:marTop w:val="0"/>
      <w:marBottom w:val="0"/>
      <w:divBdr>
        <w:top w:val="none" w:sz="0" w:space="0" w:color="auto"/>
        <w:left w:val="none" w:sz="0" w:space="0" w:color="auto"/>
        <w:bottom w:val="none" w:sz="0" w:space="0" w:color="auto"/>
        <w:right w:val="none" w:sz="0" w:space="0" w:color="auto"/>
      </w:divBdr>
    </w:div>
    <w:div w:id="831407010">
      <w:bodyDiv w:val="1"/>
      <w:marLeft w:val="0"/>
      <w:marRight w:val="0"/>
      <w:marTop w:val="0"/>
      <w:marBottom w:val="0"/>
      <w:divBdr>
        <w:top w:val="none" w:sz="0" w:space="0" w:color="auto"/>
        <w:left w:val="none" w:sz="0" w:space="0" w:color="auto"/>
        <w:bottom w:val="none" w:sz="0" w:space="0" w:color="auto"/>
        <w:right w:val="none" w:sz="0" w:space="0" w:color="auto"/>
      </w:divBdr>
    </w:div>
    <w:div w:id="833491238">
      <w:bodyDiv w:val="1"/>
      <w:marLeft w:val="0"/>
      <w:marRight w:val="0"/>
      <w:marTop w:val="0"/>
      <w:marBottom w:val="0"/>
      <w:divBdr>
        <w:top w:val="none" w:sz="0" w:space="0" w:color="auto"/>
        <w:left w:val="none" w:sz="0" w:space="0" w:color="auto"/>
        <w:bottom w:val="none" w:sz="0" w:space="0" w:color="auto"/>
        <w:right w:val="none" w:sz="0" w:space="0" w:color="auto"/>
      </w:divBdr>
    </w:div>
    <w:div w:id="853037328">
      <w:bodyDiv w:val="1"/>
      <w:marLeft w:val="0"/>
      <w:marRight w:val="0"/>
      <w:marTop w:val="0"/>
      <w:marBottom w:val="0"/>
      <w:divBdr>
        <w:top w:val="none" w:sz="0" w:space="0" w:color="auto"/>
        <w:left w:val="none" w:sz="0" w:space="0" w:color="auto"/>
        <w:bottom w:val="none" w:sz="0" w:space="0" w:color="auto"/>
        <w:right w:val="none" w:sz="0" w:space="0" w:color="auto"/>
      </w:divBdr>
    </w:div>
    <w:div w:id="866870402">
      <w:bodyDiv w:val="1"/>
      <w:marLeft w:val="0"/>
      <w:marRight w:val="0"/>
      <w:marTop w:val="0"/>
      <w:marBottom w:val="0"/>
      <w:divBdr>
        <w:top w:val="none" w:sz="0" w:space="0" w:color="auto"/>
        <w:left w:val="none" w:sz="0" w:space="0" w:color="auto"/>
        <w:bottom w:val="none" w:sz="0" w:space="0" w:color="auto"/>
        <w:right w:val="none" w:sz="0" w:space="0" w:color="auto"/>
      </w:divBdr>
    </w:div>
    <w:div w:id="878053522">
      <w:bodyDiv w:val="1"/>
      <w:marLeft w:val="0"/>
      <w:marRight w:val="0"/>
      <w:marTop w:val="0"/>
      <w:marBottom w:val="0"/>
      <w:divBdr>
        <w:top w:val="none" w:sz="0" w:space="0" w:color="auto"/>
        <w:left w:val="none" w:sz="0" w:space="0" w:color="auto"/>
        <w:bottom w:val="none" w:sz="0" w:space="0" w:color="auto"/>
        <w:right w:val="none" w:sz="0" w:space="0" w:color="auto"/>
      </w:divBdr>
    </w:div>
    <w:div w:id="917058609">
      <w:bodyDiv w:val="1"/>
      <w:marLeft w:val="0"/>
      <w:marRight w:val="0"/>
      <w:marTop w:val="0"/>
      <w:marBottom w:val="0"/>
      <w:divBdr>
        <w:top w:val="none" w:sz="0" w:space="0" w:color="auto"/>
        <w:left w:val="none" w:sz="0" w:space="0" w:color="auto"/>
        <w:bottom w:val="none" w:sz="0" w:space="0" w:color="auto"/>
        <w:right w:val="none" w:sz="0" w:space="0" w:color="auto"/>
      </w:divBdr>
    </w:div>
    <w:div w:id="929460425">
      <w:bodyDiv w:val="1"/>
      <w:marLeft w:val="0"/>
      <w:marRight w:val="0"/>
      <w:marTop w:val="0"/>
      <w:marBottom w:val="0"/>
      <w:divBdr>
        <w:top w:val="none" w:sz="0" w:space="0" w:color="auto"/>
        <w:left w:val="none" w:sz="0" w:space="0" w:color="auto"/>
        <w:bottom w:val="none" w:sz="0" w:space="0" w:color="auto"/>
        <w:right w:val="none" w:sz="0" w:space="0" w:color="auto"/>
      </w:divBdr>
    </w:div>
    <w:div w:id="986860300">
      <w:bodyDiv w:val="1"/>
      <w:marLeft w:val="0"/>
      <w:marRight w:val="0"/>
      <w:marTop w:val="0"/>
      <w:marBottom w:val="0"/>
      <w:divBdr>
        <w:top w:val="none" w:sz="0" w:space="0" w:color="auto"/>
        <w:left w:val="none" w:sz="0" w:space="0" w:color="auto"/>
        <w:bottom w:val="none" w:sz="0" w:space="0" w:color="auto"/>
        <w:right w:val="none" w:sz="0" w:space="0" w:color="auto"/>
      </w:divBdr>
    </w:div>
    <w:div w:id="1009404666">
      <w:bodyDiv w:val="1"/>
      <w:marLeft w:val="0"/>
      <w:marRight w:val="0"/>
      <w:marTop w:val="0"/>
      <w:marBottom w:val="0"/>
      <w:divBdr>
        <w:top w:val="none" w:sz="0" w:space="0" w:color="auto"/>
        <w:left w:val="none" w:sz="0" w:space="0" w:color="auto"/>
        <w:bottom w:val="none" w:sz="0" w:space="0" w:color="auto"/>
        <w:right w:val="none" w:sz="0" w:space="0" w:color="auto"/>
      </w:divBdr>
    </w:div>
    <w:div w:id="1054885410">
      <w:bodyDiv w:val="1"/>
      <w:marLeft w:val="0"/>
      <w:marRight w:val="0"/>
      <w:marTop w:val="0"/>
      <w:marBottom w:val="0"/>
      <w:divBdr>
        <w:top w:val="none" w:sz="0" w:space="0" w:color="auto"/>
        <w:left w:val="none" w:sz="0" w:space="0" w:color="auto"/>
        <w:bottom w:val="none" w:sz="0" w:space="0" w:color="auto"/>
        <w:right w:val="none" w:sz="0" w:space="0" w:color="auto"/>
      </w:divBdr>
    </w:div>
    <w:div w:id="1062100938">
      <w:bodyDiv w:val="1"/>
      <w:marLeft w:val="0"/>
      <w:marRight w:val="0"/>
      <w:marTop w:val="0"/>
      <w:marBottom w:val="0"/>
      <w:divBdr>
        <w:top w:val="none" w:sz="0" w:space="0" w:color="auto"/>
        <w:left w:val="none" w:sz="0" w:space="0" w:color="auto"/>
        <w:bottom w:val="none" w:sz="0" w:space="0" w:color="auto"/>
        <w:right w:val="none" w:sz="0" w:space="0" w:color="auto"/>
      </w:divBdr>
    </w:div>
    <w:div w:id="1066535471">
      <w:bodyDiv w:val="1"/>
      <w:marLeft w:val="0"/>
      <w:marRight w:val="0"/>
      <w:marTop w:val="0"/>
      <w:marBottom w:val="0"/>
      <w:divBdr>
        <w:top w:val="none" w:sz="0" w:space="0" w:color="auto"/>
        <w:left w:val="none" w:sz="0" w:space="0" w:color="auto"/>
        <w:bottom w:val="none" w:sz="0" w:space="0" w:color="auto"/>
        <w:right w:val="none" w:sz="0" w:space="0" w:color="auto"/>
      </w:divBdr>
    </w:div>
    <w:div w:id="1089472514">
      <w:bodyDiv w:val="1"/>
      <w:marLeft w:val="0"/>
      <w:marRight w:val="0"/>
      <w:marTop w:val="0"/>
      <w:marBottom w:val="0"/>
      <w:divBdr>
        <w:top w:val="none" w:sz="0" w:space="0" w:color="auto"/>
        <w:left w:val="none" w:sz="0" w:space="0" w:color="auto"/>
        <w:bottom w:val="none" w:sz="0" w:space="0" w:color="auto"/>
        <w:right w:val="none" w:sz="0" w:space="0" w:color="auto"/>
      </w:divBdr>
    </w:div>
    <w:div w:id="1111389227">
      <w:bodyDiv w:val="1"/>
      <w:marLeft w:val="0"/>
      <w:marRight w:val="0"/>
      <w:marTop w:val="0"/>
      <w:marBottom w:val="0"/>
      <w:divBdr>
        <w:top w:val="none" w:sz="0" w:space="0" w:color="auto"/>
        <w:left w:val="none" w:sz="0" w:space="0" w:color="auto"/>
        <w:bottom w:val="none" w:sz="0" w:space="0" w:color="auto"/>
        <w:right w:val="none" w:sz="0" w:space="0" w:color="auto"/>
      </w:divBdr>
    </w:div>
    <w:div w:id="1153453973">
      <w:bodyDiv w:val="1"/>
      <w:marLeft w:val="0"/>
      <w:marRight w:val="0"/>
      <w:marTop w:val="0"/>
      <w:marBottom w:val="0"/>
      <w:divBdr>
        <w:top w:val="none" w:sz="0" w:space="0" w:color="auto"/>
        <w:left w:val="none" w:sz="0" w:space="0" w:color="auto"/>
        <w:bottom w:val="none" w:sz="0" w:space="0" w:color="auto"/>
        <w:right w:val="none" w:sz="0" w:space="0" w:color="auto"/>
      </w:divBdr>
    </w:div>
    <w:div w:id="1183784612">
      <w:bodyDiv w:val="1"/>
      <w:marLeft w:val="0"/>
      <w:marRight w:val="0"/>
      <w:marTop w:val="0"/>
      <w:marBottom w:val="0"/>
      <w:divBdr>
        <w:top w:val="none" w:sz="0" w:space="0" w:color="auto"/>
        <w:left w:val="none" w:sz="0" w:space="0" w:color="auto"/>
        <w:bottom w:val="none" w:sz="0" w:space="0" w:color="auto"/>
        <w:right w:val="none" w:sz="0" w:space="0" w:color="auto"/>
      </w:divBdr>
    </w:div>
    <w:div w:id="1195343616">
      <w:bodyDiv w:val="1"/>
      <w:marLeft w:val="0"/>
      <w:marRight w:val="0"/>
      <w:marTop w:val="0"/>
      <w:marBottom w:val="0"/>
      <w:divBdr>
        <w:top w:val="none" w:sz="0" w:space="0" w:color="auto"/>
        <w:left w:val="none" w:sz="0" w:space="0" w:color="auto"/>
        <w:bottom w:val="none" w:sz="0" w:space="0" w:color="auto"/>
        <w:right w:val="none" w:sz="0" w:space="0" w:color="auto"/>
      </w:divBdr>
    </w:div>
    <w:div w:id="1212840962">
      <w:bodyDiv w:val="1"/>
      <w:marLeft w:val="0"/>
      <w:marRight w:val="0"/>
      <w:marTop w:val="0"/>
      <w:marBottom w:val="0"/>
      <w:divBdr>
        <w:top w:val="none" w:sz="0" w:space="0" w:color="auto"/>
        <w:left w:val="none" w:sz="0" w:space="0" w:color="auto"/>
        <w:bottom w:val="none" w:sz="0" w:space="0" w:color="auto"/>
        <w:right w:val="none" w:sz="0" w:space="0" w:color="auto"/>
      </w:divBdr>
    </w:div>
    <w:div w:id="1228489801">
      <w:bodyDiv w:val="1"/>
      <w:marLeft w:val="0"/>
      <w:marRight w:val="0"/>
      <w:marTop w:val="0"/>
      <w:marBottom w:val="0"/>
      <w:divBdr>
        <w:top w:val="none" w:sz="0" w:space="0" w:color="auto"/>
        <w:left w:val="none" w:sz="0" w:space="0" w:color="auto"/>
        <w:bottom w:val="none" w:sz="0" w:space="0" w:color="auto"/>
        <w:right w:val="none" w:sz="0" w:space="0" w:color="auto"/>
      </w:divBdr>
    </w:div>
    <w:div w:id="1239562735">
      <w:bodyDiv w:val="1"/>
      <w:marLeft w:val="0"/>
      <w:marRight w:val="0"/>
      <w:marTop w:val="0"/>
      <w:marBottom w:val="0"/>
      <w:divBdr>
        <w:top w:val="none" w:sz="0" w:space="0" w:color="auto"/>
        <w:left w:val="none" w:sz="0" w:space="0" w:color="auto"/>
        <w:bottom w:val="none" w:sz="0" w:space="0" w:color="auto"/>
        <w:right w:val="none" w:sz="0" w:space="0" w:color="auto"/>
      </w:divBdr>
    </w:div>
    <w:div w:id="1243638869">
      <w:bodyDiv w:val="1"/>
      <w:marLeft w:val="0"/>
      <w:marRight w:val="0"/>
      <w:marTop w:val="0"/>
      <w:marBottom w:val="0"/>
      <w:divBdr>
        <w:top w:val="none" w:sz="0" w:space="0" w:color="auto"/>
        <w:left w:val="none" w:sz="0" w:space="0" w:color="auto"/>
        <w:bottom w:val="none" w:sz="0" w:space="0" w:color="auto"/>
        <w:right w:val="none" w:sz="0" w:space="0" w:color="auto"/>
      </w:divBdr>
    </w:div>
    <w:div w:id="1270504056">
      <w:bodyDiv w:val="1"/>
      <w:marLeft w:val="0"/>
      <w:marRight w:val="0"/>
      <w:marTop w:val="0"/>
      <w:marBottom w:val="0"/>
      <w:divBdr>
        <w:top w:val="none" w:sz="0" w:space="0" w:color="auto"/>
        <w:left w:val="none" w:sz="0" w:space="0" w:color="auto"/>
        <w:bottom w:val="none" w:sz="0" w:space="0" w:color="auto"/>
        <w:right w:val="none" w:sz="0" w:space="0" w:color="auto"/>
      </w:divBdr>
    </w:div>
    <w:div w:id="1282420202">
      <w:bodyDiv w:val="1"/>
      <w:marLeft w:val="0"/>
      <w:marRight w:val="0"/>
      <w:marTop w:val="0"/>
      <w:marBottom w:val="0"/>
      <w:divBdr>
        <w:top w:val="none" w:sz="0" w:space="0" w:color="auto"/>
        <w:left w:val="none" w:sz="0" w:space="0" w:color="auto"/>
        <w:bottom w:val="none" w:sz="0" w:space="0" w:color="auto"/>
        <w:right w:val="none" w:sz="0" w:space="0" w:color="auto"/>
      </w:divBdr>
    </w:div>
    <w:div w:id="1303658074">
      <w:bodyDiv w:val="1"/>
      <w:marLeft w:val="0"/>
      <w:marRight w:val="0"/>
      <w:marTop w:val="0"/>
      <w:marBottom w:val="0"/>
      <w:divBdr>
        <w:top w:val="none" w:sz="0" w:space="0" w:color="auto"/>
        <w:left w:val="none" w:sz="0" w:space="0" w:color="auto"/>
        <w:bottom w:val="none" w:sz="0" w:space="0" w:color="auto"/>
        <w:right w:val="none" w:sz="0" w:space="0" w:color="auto"/>
      </w:divBdr>
    </w:div>
    <w:div w:id="1309825229">
      <w:bodyDiv w:val="1"/>
      <w:marLeft w:val="0"/>
      <w:marRight w:val="0"/>
      <w:marTop w:val="0"/>
      <w:marBottom w:val="0"/>
      <w:divBdr>
        <w:top w:val="none" w:sz="0" w:space="0" w:color="auto"/>
        <w:left w:val="none" w:sz="0" w:space="0" w:color="auto"/>
        <w:bottom w:val="none" w:sz="0" w:space="0" w:color="auto"/>
        <w:right w:val="none" w:sz="0" w:space="0" w:color="auto"/>
      </w:divBdr>
    </w:div>
    <w:div w:id="1314336457">
      <w:bodyDiv w:val="1"/>
      <w:marLeft w:val="0"/>
      <w:marRight w:val="0"/>
      <w:marTop w:val="0"/>
      <w:marBottom w:val="0"/>
      <w:divBdr>
        <w:top w:val="none" w:sz="0" w:space="0" w:color="auto"/>
        <w:left w:val="none" w:sz="0" w:space="0" w:color="auto"/>
        <w:bottom w:val="none" w:sz="0" w:space="0" w:color="auto"/>
        <w:right w:val="none" w:sz="0" w:space="0" w:color="auto"/>
      </w:divBdr>
    </w:div>
    <w:div w:id="1315988149">
      <w:bodyDiv w:val="1"/>
      <w:marLeft w:val="0"/>
      <w:marRight w:val="0"/>
      <w:marTop w:val="0"/>
      <w:marBottom w:val="0"/>
      <w:divBdr>
        <w:top w:val="none" w:sz="0" w:space="0" w:color="auto"/>
        <w:left w:val="none" w:sz="0" w:space="0" w:color="auto"/>
        <w:bottom w:val="none" w:sz="0" w:space="0" w:color="auto"/>
        <w:right w:val="none" w:sz="0" w:space="0" w:color="auto"/>
      </w:divBdr>
    </w:div>
    <w:div w:id="1321272685">
      <w:bodyDiv w:val="1"/>
      <w:marLeft w:val="0"/>
      <w:marRight w:val="0"/>
      <w:marTop w:val="0"/>
      <w:marBottom w:val="0"/>
      <w:divBdr>
        <w:top w:val="none" w:sz="0" w:space="0" w:color="auto"/>
        <w:left w:val="none" w:sz="0" w:space="0" w:color="auto"/>
        <w:bottom w:val="none" w:sz="0" w:space="0" w:color="auto"/>
        <w:right w:val="none" w:sz="0" w:space="0" w:color="auto"/>
      </w:divBdr>
    </w:div>
    <w:div w:id="1327243835">
      <w:bodyDiv w:val="1"/>
      <w:marLeft w:val="0"/>
      <w:marRight w:val="0"/>
      <w:marTop w:val="0"/>
      <w:marBottom w:val="0"/>
      <w:divBdr>
        <w:top w:val="none" w:sz="0" w:space="0" w:color="auto"/>
        <w:left w:val="none" w:sz="0" w:space="0" w:color="auto"/>
        <w:bottom w:val="none" w:sz="0" w:space="0" w:color="auto"/>
        <w:right w:val="none" w:sz="0" w:space="0" w:color="auto"/>
      </w:divBdr>
    </w:div>
    <w:div w:id="1348755617">
      <w:bodyDiv w:val="1"/>
      <w:marLeft w:val="0"/>
      <w:marRight w:val="0"/>
      <w:marTop w:val="0"/>
      <w:marBottom w:val="0"/>
      <w:divBdr>
        <w:top w:val="none" w:sz="0" w:space="0" w:color="auto"/>
        <w:left w:val="none" w:sz="0" w:space="0" w:color="auto"/>
        <w:bottom w:val="none" w:sz="0" w:space="0" w:color="auto"/>
        <w:right w:val="none" w:sz="0" w:space="0" w:color="auto"/>
      </w:divBdr>
    </w:div>
    <w:div w:id="1391810726">
      <w:bodyDiv w:val="1"/>
      <w:marLeft w:val="0"/>
      <w:marRight w:val="0"/>
      <w:marTop w:val="0"/>
      <w:marBottom w:val="0"/>
      <w:divBdr>
        <w:top w:val="none" w:sz="0" w:space="0" w:color="auto"/>
        <w:left w:val="none" w:sz="0" w:space="0" w:color="auto"/>
        <w:bottom w:val="none" w:sz="0" w:space="0" w:color="auto"/>
        <w:right w:val="none" w:sz="0" w:space="0" w:color="auto"/>
      </w:divBdr>
    </w:div>
    <w:div w:id="1391924048">
      <w:bodyDiv w:val="1"/>
      <w:marLeft w:val="0"/>
      <w:marRight w:val="0"/>
      <w:marTop w:val="0"/>
      <w:marBottom w:val="0"/>
      <w:divBdr>
        <w:top w:val="none" w:sz="0" w:space="0" w:color="auto"/>
        <w:left w:val="none" w:sz="0" w:space="0" w:color="auto"/>
        <w:bottom w:val="none" w:sz="0" w:space="0" w:color="auto"/>
        <w:right w:val="none" w:sz="0" w:space="0" w:color="auto"/>
      </w:divBdr>
    </w:div>
    <w:div w:id="1400903366">
      <w:bodyDiv w:val="1"/>
      <w:marLeft w:val="0"/>
      <w:marRight w:val="0"/>
      <w:marTop w:val="0"/>
      <w:marBottom w:val="0"/>
      <w:divBdr>
        <w:top w:val="none" w:sz="0" w:space="0" w:color="auto"/>
        <w:left w:val="none" w:sz="0" w:space="0" w:color="auto"/>
        <w:bottom w:val="none" w:sz="0" w:space="0" w:color="auto"/>
        <w:right w:val="none" w:sz="0" w:space="0" w:color="auto"/>
      </w:divBdr>
    </w:div>
    <w:div w:id="1419248452">
      <w:bodyDiv w:val="1"/>
      <w:marLeft w:val="0"/>
      <w:marRight w:val="0"/>
      <w:marTop w:val="0"/>
      <w:marBottom w:val="0"/>
      <w:divBdr>
        <w:top w:val="none" w:sz="0" w:space="0" w:color="auto"/>
        <w:left w:val="none" w:sz="0" w:space="0" w:color="auto"/>
        <w:bottom w:val="none" w:sz="0" w:space="0" w:color="auto"/>
        <w:right w:val="none" w:sz="0" w:space="0" w:color="auto"/>
      </w:divBdr>
    </w:div>
    <w:div w:id="1435831333">
      <w:bodyDiv w:val="1"/>
      <w:marLeft w:val="0"/>
      <w:marRight w:val="0"/>
      <w:marTop w:val="0"/>
      <w:marBottom w:val="0"/>
      <w:divBdr>
        <w:top w:val="none" w:sz="0" w:space="0" w:color="auto"/>
        <w:left w:val="none" w:sz="0" w:space="0" w:color="auto"/>
        <w:bottom w:val="none" w:sz="0" w:space="0" w:color="auto"/>
        <w:right w:val="none" w:sz="0" w:space="0" w:color="auto"/>
      </w:divBdr>
    </w:div>
    <w:div w:id="1448356048">
      <w:bodyDiv w:val="1"/>
      <w:marLeft w:val="0"/>
      <w:marRight w:val="0"/>
      <w:marTop w:val="0"/>
      <w:marBottom w:val="0"/>
      <w:divBdr>
        <w:top w:val="none" w:sz="0" w:space="0" w:color="auto"/>
        <w:left w:val="none" w:sz="0" w:space="0" w:color="auto"/>
        <w:bottom w:val="none" w:sz="0" w:space="0" w:color="auto"/>
        <w:right w:val="none" w:sz="0" w:space="0" w:color="auto"/>
      </w:divBdr>
    </w:div>
    <w:div w:id="1454978040">
      <w:bodyDiv w:val="1"/>
      <w:marLeft w:val="0"/>
      <w:marRight w:val="0"/>
      <w:marTop w:val="0"/>
      <w:marBottom w:val="0"/>
      <w:divBdr>
        <w:top w:val="none" w:sz="0" w:space="0" w:color="auto"/>
        <w:left w:val="none" w:sz="0" w:space="0" w:color="auto"/>
        <w:bottom w:val="none" w:sz="0" w:space="0" w:color="auto"/>
        <w:right w:val="none" w:sz="0" w:space="0" w:color="auto"/>
      </w:divBdr>
    </w:div>
    <w:div w:id="1477524948">
      <w:bodyDiv w:val="1"/>
      <w:marLeft w:val="0"/>
      <w:marRight w:val="0"/>
      <w:marTop w:val="0"/>
      <w:marBottom w:val="0"/>
      <w:divBdr>
        <w:top w:val="none" w:sz="0" w:space="0" w:color="auto"/>
        <w:left w:val="none" w:sz="0" w:space="0" w:color="auto"/>
        <w:bottom w:val="none" w:sz="0" w:space="0" w:color="auto"/>
        <w:right w:val="none" w:sz="0" w:space="0" w:color="auto"/>
      </w:divBdr>
    </w:div>
    <w:div w:id="1482652177">
      <w:bodyDiv w:val="1"/>
      <w:marLeft w:val="0"/>
      <w:marRight w:val="0"/>
      <w:marTop w:val="0"/>
      <w:marBottom w:val="0"/>
      <w:divBdr>
        <w:top w:val="none" w:sz="0" w:space="0" w:color="auto"/>
        <w:left w:val="none" w:sz="0" w:space="0" w:color="auto"/>
        <w:bottom w:val="none" w:sz="0" w:space="0" w:color="auto"/>
        <w:right w:val="none" w:sz="0" w:space="0" w:color="auto"/>
      </w:divBdr>
    </w:div>
    <w:div w:id="1492018454">
      <w:bodyDiv w:val="1"/>
      <w:marLeft w:val="0"/>
      <w:marRight w:val="0"/>
      <w:marTop w:val="0"/>
      <w:marBottom w:val="0"/>
      <w:divBdr>
        <w:top w:val="none" w:sz="0" w:space="0" w:color="auto"/>
        <w:left w:val="none" w:sz="0" w:space="0" w:color="auto"/>
        <w:bottom w:val="none" w:sz="0" w:space="0" w:color="auto"/>
        <w:right w:val="none" w:sz="0" w:space="0" w:color="auto"/>
      </w:divBdr>
    </w:div>
    <w:div w:id="1517037354">
      <w:bodyDiv w:val="1"/>
      <w:marLeft w:val="0"/>
      <w:marRight w:val="0"/>
      <w:marTop w:val="0"/>
      <w:marBottom w:val="0"/>
      <w:divBdr>
        <w:top w:val="none" w:sz="0" w:space="0" w:color="auto"/>
        <w:left w:val="none" w:sz="0" w:space="0" w:color="auto"/>
        <w:bottom w:val="none" w:sz="0" w:space="0" w:color="auto"/>
        <w:right w:val="none" w:sz="0" w:space="0" w:color="auto"/>
      </w:divBdr>
    </w:div>
    <w:div w:id="1517689969">
      <w:bodyDiv w:val="1"/>
      <w:marLeft w:val="0"/>
      <w:marRight w:val="0"/>
      <w:marTop w:val="0"/>
      <w:marBottom w:val="0"/>
      <w:divBdr>
        <w:top w:val="none" w:sz="0" w:space="0" w:color="auto"/>
        <w:left w:val="none" w:sz="0" w:space="0" w:color="auto"/>
        <w:bottom w:val="none" w:sz="0" w:space="0" w:color="auto"/>
        <w:right w:val="none" w:sz="0" w:space="0" w:color="auto"/>
      </w:divBdr>
    </w:div>
    <w:div w:id="1526137469">
      <w:bodyDiv w:val="1"/>
      <w:marLeft w:val="0"/>
      <w:marRight w:val="0"/>
      <w:marTop w:val="0"/>
      <w:marBottom w:val="0"/>
      <w:divBdr>
        <w:top w:val="none" w:sz="0" w:space="0" w:color="auto"/>
        <w:left w:val="none" w:sz="0" w:space="0" w:color="auto"/>
        <w:bottom w:val="none" w:sz="0" w:space="0" w:color="auto"/>
        <w:right w:val="none" w:sz="0" w:space="0" w:color="auto"/>
      </w:divBdr>
    </w:div>
    <w:div w:id="1528178106">
      <w:bodyDiv w:val="1"/>
      <w:marLeft w:val="0"/>
      <w:marRight w:val="0"/>
      <w:marTop w:val="0"/>
      <w:marBottom w:val="0"/>
      <w:divBdr>
        <w:top w:val="none" w:sz="0" w:space="0" w:color="auto"/>
        <w:left w:val="none" w:sz="0" w:space="0" w:color="auto"/>
        <w:bottom w:val="none" w:sz="0" w:space="0" w:color="auto"/>
        <w:right w:val="none" w:sz="0" w:space="0" w:color="auto"/>
      </w:divBdr>
    </w:div>
    <w:div w:id="1536505924">
      <w:bodyDiv w:val="1"/>
      <w:marLeft w:val="0"/>
      <w:marRight w:val="0"/>
      <w:marTop w:val="0"/>
      <w:marBottom w:val="0"/>
      <w:divBdr>
        <w:top w:val="none" w:sz="0" w:space="0" w:color="auto"/>
        <w:left w:val="none" w:sz="0" w:space="0" w:color="auto"/>
        <w:bottom w:val="none" w:sz="0" w:space="0" w:color="auto"/>
        <w:right w:val="none" w:sz="0" w:space="0" w:color="auto"/>
      </w:divBdr>
    </w:div>
    <w:div w:id="1542859933">
      <w:bodyDiv w:val="1"/>
      <w:marLeft w:val="0"/>
      <w:marRight w:val="0"/>
      <w:marTop w:val="0"/>
      <w:marBottom w:val="0"/>
      <w:divBdr>
        <w:top w:val="none" w:sz="0" w:space="0" w:color="auto"/>
        <w:left w:val="none" w:sz="0" w:space="0" w:color="auto"/>
        <w:bottom w:val="none" w:sz="0" w:space="0" w:color="auto"/>
        <w:right w:val="none" w:sz="0" w:space="0" w:color="auto"/>
      </w:divBdr>
    </w:div>
    <w:div w:id="1551111437">
      <w:bodyDiv w:val="1"/>
      <w:marLeft w:val="0"/>
      <w:marRight w:val="0"/>
      <w:marTop w:val="0"/>
      <w:marBottom w:val="0"/>
      <w:divBdr>
        <w:top w:val="none" w:sz="0" w:space="0" w:color="auto"/>
        <w:left w:val="none" w:sz="0" w:space="0" w:color="auto"/>
        <w:bottom w:val="none" w:sz="0" w:space="0" w:color="auto"/>
        <w:right w:val="none" w:sz="0" w:space="0" w:color="auto"/>
      </w:divBdr>
    </w:div>
    <w:div w:id="1557164362">
      <w:bodyDiv w:val="1"/>
      <w:marLeft w:val="0"/>
      <w:marRight w:val="0"/>
      <w:marTop w:val="0"/>
      <w:marBottom w:val="0"/>
      <w:divBdr>
        <w:top w:val="none" w:sz="0" w:space="0" w:color="auto"/>
        <w:left w:val="none" w:sz="0" w:space="0" w:color="auto"/>
        <w:bottom w:val="none" w:sz="0" w:space="0" w:color="auto"/>
        <w:right w:val="none" w:sz="0" w:space="0" w:color="auto"/>
      </w:divBdr>
    </w:div>
    <w:div w:id="1593783453">
      <w:bodyDiv w:val="1"/>
      <w:marLeft w:val="0"/>
      <w:marRight w:val="0"/>
      <w:marTop w:val="0"/>
      <w:marBottom w:val="0"/>
      <w:divBdr>
        <w:top w:val="none" w:sz="0" w:space="0" w:color="auto"/>
        <w:left w:val="none" w:sz="0" w:space="0" w:color="auto"/>
        <w:bottom w:val="none" w:sz="0" w:space="0" w:color="auto"/>
        <w:right w:val="none" w:sz="0" w:space="0" w:color="auto"/>
      </w:divBdr>
    </w:div>
    <w:div w:id="1597441771">
      <w:bodyDiv w:val="1"/>
      <w:marLeft w:val="0"/>
      <w:marRight w:val="0"/>
      <w:marTop w:val="0"/>
      <w:marBottom w:val="0"/>
      <w:divBdr>
        <w:top w:val="none" w:sz="0" w:space="0" w:color="auto"/>
        <w:left w:val="none" w:sz="0" w:space="0" w:color="auto"/>
        <w:bottom w:val="none" w:sz="0" w:space="0" w:color="auto"/>
        <w:right w:val="none" w:sz="0" w:space="0" w:color="auto"/>
      </w:divBdr>
    </w:div>
    <w:div w:id="1607732119">
      <w:bodyDiv w:val="1"/>
      <w:marLeft w:val="0"/>
      <w:marRight w:val="0"/>
      <w:marTop w:val="0"/>
      <w:marBottom w:val="0"/>
      <w:divBdr>
        <w:top w:val="none" w:sz="0" w:space="0" w:color="auto"/>
        <w:left w:val="none" w:sz="0" w:space="0" w:color="auto"/>
        <w:bottom w:val="none" w:sz="0" w:space="0" w:color="auto"/>
        <w:right w:val="none" w:sz="0" w:space="0" w:color="auto"/>
      </w:divBdr>
    </w:div>
    <w:div w:id="1616599496">
      <w:bodyDiv w:val="1"/>
      <w:marLeft w:val="0"/>
      <w:marRight w:val="0"/>
      <w:marTop w:val="0"/>
      <w:marBottom w:val="0"/>
      <w:divBdr>
        <w:top w:val="none" w:sz="0" w:space="0" w:color="auto"/>
        <w:left w:val="none" w:sz="0" w:space="0" w:color="auto"/>
        <w:bottom w:val="none" w:sz="0" w:space="0" w:color="auto"/>
        <w:right w:val="none" w:sz="0" w:space="0" w:color="auto"/>
      </w:divBdr>
    </w:div>
    <w:div w:id="1622614921">
      <w:bodyDiv w:val="1"/>
      <w:marLeft w:val="0"/>
      <w:marRight w:val="0"/>
      <w:marTop w:val="0"/>
      <w:marBottom w:val="0"/>
      <w:divBdr>
        <w:top w:val="none" w:sz="0" w:space="0" w:color="auto"/>
        <w:left w:val="none" w:sz="0" w:space="0" w:color="auto"/>
        <w:bottom w:val="none" w:sz="0" w:space="0" w:color="auto"/>
        <w:right w:val="none" w:sz="0" w:space="0" w:color="auto"/>
      </w:divBdr>
    </w:div>
    <w:div w:id="1636838768">
      <w:bodyDiv w:val="1"/>
      <w:marLeft w:val="0"/>
      <w:marRight w:val="0"/>
      <w:marTop w:val="0"/>
      <w:marBottom w:val="0"/>
      <w:divBdr>
        <w:top w:val="none" w:sz="0" w:space="0" w:color="auto"/>
        <w:left w:val="none" w:sz="0" w:space="0" w:color="auto"/>
        <w:bottom w:val="none" w:sz="0" w:space="0" w:color="auto"/>
        <w:right w:val="none" w:sz="0" w:space="0" w:color="auto"/>
      </w:divBdr>
    </w:div>
    <w:div w:id="1637028467">
      <w:bodyDiv w:val="1"/>
      <w:marLeft w:val="0"/>
      <w:marRight w:val="0"/>
      <w:marTop w:val="0"/>
      <w:marBottom w:val="0"/>
      <w:divBdr>
        <w:top w:val="none" w:sz="0" w:space="0" w:color="auto"/>
        <w:left w:val="none" w:sz="0" w:space="0" w:color="auto"/>
        <w:bottom w:val="none" w:sz="0" w:space="0" w:color="auto"/>
        <w:right w:val="none" w:sz="0" w:space="0" w:color="auto"/>
      </w:divBdr>
    </w:div>
    <w:div w:id="1668709081">
      <w:bodyDiv w:val="1"/>
      <w:marLeft w:val="0"/>
      <w:marRight w:val="0"/>
      <w:marTop w:val="0"/>
      <w:marBottom w:val="0"/>
      <w:divBdr>
        <w:top w:val="none" w:sz="0" w:space="0" w:color="auto"/>
        <w:left w:val="none" w:sz="0" w:space="0" w:color="auto"/>
        <w:bottom w:val="none" w:sz="0" w:space="0" w:color="auto"/>
        <w:right w:val="none" w:sz="0" w:space="0" w:color="auto"/>
      </w:divBdr>
    </w:div>
    <w:div w:id="1681080198">
      <w:bodyDiv w:val="1"/>
      <w:marLeft w:val="0"/>
      <w:marRight w:val="0"/>
      <w:marTop w:val="0"/>
      <w:marBottom w:val="0"/>
      <w:divBdr>
        <w:top w:val="none" w:sz="0" w:space="0" w:color="auto"/>
        <w:left w:val="none" w:sz="0" w:space="0" w:color="auto"/>
        <w:bottom w:val="none" w:sz="0" w:space="0" w:color="auto"/>
        <w:right w:val="none" w:sz="0" w:space="0" w:color="auto"/>
      </w:divBdr>
    </w:div>
    <w:div w:id="1728215658">
      <w:bodyDiv w:val="1"/>
      <w:marLeft w:val="0"/>
      <w:marRight w:val="0"/>
      <w:marTop w:val="0"/>
      <w:marBottom w:val="0"/>
      <w:divBdr>
        <w:top w:val="none" w:sz="0" w:space="0" w:color="auto"/>
        <w:left w:val="none" w:sz="0" w:space="0" w:color="auto"/>
        <w:bottom w:val="none" w:sz="0" w:space="0" w:color="auto"/>
        <w:right w:val="none" w:sz="0" w:space="0" w:color="auto"/>
      </w:divBdr>
    </w:div>
    <w:div w:id="1747729415">
      <w:bodyDiv w:val="1"/>
      <w:marLeft w:val="0"/>
      <w:marRight w:val="0"/>
      <w:marTop w:val="0"/>
      <w:marBottom w:val="0"/>
      <w:divBdr>
        <w:top w:val="none" w:sz="0" w:space="0" w:color="auto"/>
        <w:left w:val="none" w:sz="0" w:space="0" w:color="auto"/>
        <w:bottom w:val="none" w:sz="0" w:space="0" w:color="auto"/>
        <w:right w:val="none" w:sz="0" w:space="0" w:color="auto"/>
      </w:divBdr>
    </w:div>
    <w:div w:id="1789276724">
      <w:bodyDiv w:val="1"/>
      <w:marLeft w:val="0"/>
      <w:marRight w:val="0"/>
      <w:marTop w:val="0"/>
      <w:marBottom w:val="0"/>
      <w:divBdr>
        <w:top w:val="none" w:sz="0" w:space="0" w:color="auto"/>
        <w:left w:val="none" w:sz="0" w:space="0" w:color="auto"/>
        <w:bottom w:val="none" w:sz="0" w:space="0" w:color="auto"/>
        <w:right w:val="none" w:sz="0" w:space="0" w:color="auto"/>
      </w:divBdr>
    </w:div>
    <w:div w:id="1798374463">
      <w:bodyDiv w:val="1"/>
      <w:marLeft w:val="0"/>
      <w:marRight w:val="0"/>
      <w:marTop w:val="0"/>
      <w:marBottom w:val="0"/>
      <w:divBdr>
        <w:top w:val="none" w:sz="0" w:space="0" w:color="auto"/>
        <w:left w:val="none" w:sz="0" w:space="0" w:color="auto"/>
        <w:bottom w:val="none" w:sz="0" w:space="0" w:color="auto"/>
        <w:right w:val="none" w:sz="0" w:space="0" w:color="auto"/>
      </w:divBdr>
    </w:div>
    <w:div w:id="1805657716">
      <w:bodyDiv w:val="1"/>
      <w:marLeft w:val="0"/>
      <w:marRight w:val="0"/>
      <w:marTop w:val="0"/>
      <w:marBottom w:val="0"/>
      <w:divBdr>
        <w:top w:val="none" w:sz="0" w:space="0" w:color="auto"/>
        <w:left w:val="none" w:sz="0" w:space="0" w:color="auto"/>
        <w:bottom w:val="none" w:sz="0" w:space="0" w:color="auto"/>
        <w:right w:val="none" w:sz="0" w:space="0" w:color="auto"/>
      </w:divBdr>
    </w:div>
    <w:div w:id="1815485461">
      <w:bodyDiv w:val="1"/>
      <w:marLeft w:val="0"/>
      <w:marRight w:val="0"/>
      <w:marTop w:val="0"/>
      <w:marBottom w:val="0"/>
      <w:divBdr>
        <w:top w:val="none" w:sz="0" w:space="0" w:color="auto"/>
        <w:left w:val="none" w:sz="0" w:space="0" w:color="auto"/>
        <w:bottom w:val="none" w:sz="0" w:space="0" w:color="auto"/>
        <w:right w:val="none" w:sz="0" w:space="0" w:color="auto"/>
      </w:divBdr>
    </w:div>
    <w:div w:id="1826434648">
      <w:bodyDiv w:val="1"/>
      <w:marLeft w:val="0"/>
      <w:marRight w:val="0"/>
      <w:marTop w:val="0"/>
      <w:marBottom w:val="0"/>
      <w:divBdr>
        <w:top w:val="none" w:sz="0" w:space="0" w:color="auto"/>
        <w:left w:val="none" w:sz="0" w:space="0" w:color="auto"/>
        <w:bottom w:val="none" w:sz="0" w:space="0" w:color="auto"/>
        <w:right w:val="none" w:sz="0" w:space="0" w:color="auto"/>
      </w:divBdr>
    </w:div>
    <w:div w:id="1836258643">
      <w:bodyDiv w:val="1"/>
      <w:marLeft w:val="0"/>
      <w:marRight w:val="0"/>
      <w:marTop w:val="0"/>
      <w:marBottom w:val="0"/>
      <w:divBdr>
        <w:top w:val="none" w:sz="0" w:space="0" w:color="auto"/>
        <w:left w:val="none" w:sz="0" w:space="0" w:color="auto"/>
        <w:bottom w:val="none" w:sz="0" w:space="0" w:color="auto"/>
        <w:right w:val="none" w:sz="0" w:space="0" w:color="auto"/>
      </w:divBdr>
    </w:div>
    <w:div w:id="1848205979">
      <w:bodyDiv w:val="1"/>
      <w:marLeft w:val="0"/>
      <w:marRight w:val="0"/>
      <w:marTop w:val="0"/>
      <w:marBottom w:val="0"/>
      <w:divBdr>
        <w:top w:val="none" w:sz="0" w:space="0" w:color="auto"/>
        <w:left w:val="none" w:sz="0" w:space="0" w:color="auto"/>
        <w:bottom w:val="none" w:sz="0" w:space="0" w:color="auto"/>
        <w:right w:val="none" w:sz="0" w:space="0" w:color="auto"/>
      </w:divBdr>
    </w:div>
    <w:div w:id="1851984128">
      <w:bodyDiv w:val="1"/>
      <w:marLeft w:val="0"/>
      <w:marRight w:val="0"/>
      <w:marTop w:val="0"/>
      <w:marBottom w:val="0"/>
      <w:divBdr>
        <w:top w:val="none" w:sz="0" w:space="0" w:color="auto"/>
        <w:left w:val="none" w:sz="0" w:space="0" w:color="auto"/>
        <w:bottom w:val="none" w:sz="0" w:space="0" w:color="auto"/>
        <w:right w:val="none" w:sz="0" w:space="0" w:color="auto"/>
      </w:divBdr>
    </w:div>
    <w:div w:id="1858958424">
      <w:bodyDiv w:val="1"/>
      <w:marLeft w:val="0"/>
      <w:marRight w:val="0"/>
      <w:marTop w:val="0"/>
      <w:marBottom w:val="0"/>
      <w:divBdr>
        <w:top w:val="none" w:sz="0" w:space="0" w:color="auto"/>
        <w:left w:val="none" w:sz="0" w:space="0" w:color="auto"/>
        <w:bottom w:val="none" w:sz="0" w:space="0" w:color="auto"/>
        <w:right w:val="none" w:sz="0" w:space="0" w:color="auto"/>
      </w:divBdr>
    </w:div>
    <w:div w:id="1866407081">
      <w:bodyDiv w:val="1"/>
      <w:marLeft w:val="0"/>
      <w:marRight w:val="0"/>
      <w:marTop w:val="0"/>
      <w:marBottom w:val="0"/>
      <w:divBdr>
        <w:top w:val="none" w:sz="0" w:space="0" w:color="auto"/>
        <w:left w:val="none" w:sz="0" w:space="0" w:color="auto"/>
        <w:bottom w:val="none" w:sz="0" w:space="0" w:color="auto"/>
        <w:right w:val="none" w:sz="0" w:space="0" w:color="auto"/>
      </w:divBdr>
    </w:div>
    <w:div w:id="1869488842">
      <w:bodyDiv w:val="1"/>
      <w:marLeft w:val="0"/>
      <w:marRight w:val="0"/>
      <w:marTop w:val="0"/>
      <w:marBottom w:val="0"/>
      <w:divBdr>
        <w:top w:val="none" w:sz="0" w:space="0" w:color="auto"/>
        <w:left w:val="none" w:sz="0" w:space="0" w:color="auto"/>
        <w:bottom w:val="none" w:sz="0" w:space="0" w:color="auto"/>
        <w:right w:val="none" w:sz="0" w:space="0" w:color="auto"/>
      </w:divBdr>
    </w:div>
    <w:div w:id="1870869875">
      <w:bodyDiv w:val="1"/>
      <w:marLeft w:val="0"/>
      <w:marRight w:val="0"/>
      <w:marTop w:val="0"/>
      <w:marBottom w:val="0"/>
      <w:divBdr>
        <w:top w:val="none" w:sz="0" w:space="0" w:color="auto"/>
        <w:left w:val="none" w:sz="0" w:space="0" w:color="auto"/>
        <w:bottom w:val="none" w:sz="0" w:space="0" w:color="auto"/>
        <w:right w:val="none" w:sz="0" w:space="0" w:color="auto"/>
      </w:divBdr>
    </w:div>
    <w:div w:id="1898054773">
      <w:bodyDiv w:val="1"/>
      <w:marLeft w:val="0"/>
      <w:marRight w:val="0"/>
      <w:marTop w:val="0"/>
      <w:marBottom w:val="0"/>
      <w:divBdr>
        <w:top w:val="none" w:sz="0" w:space="0" w:color="auto"/>
        <w:left w:val="none" w:sz="0" w:space="0" w:color="auto"/>
        <w:bottom w:val="none" w:sz="0" w:space="0" w:color="auto"/>
        <w:right w:val="none" w:sz="0" w:space="0" w:color="auto"/>
      </w:divBdr>
    </w:div>
    <w:div w:id="1901207826">
      <w:bodyDiv w:val="1"/>
      <w:marLeft w:val="0"/>
      <w:marRight w:val="0"/>
      <w:marTop w:val="0"/>
      <w:marBottom w:val="0"/>
      <w:divBdr>
        <w:top w:val="none" w:sz="0" w:space="0" w:color="auto"/>
        <w:left w:val="none" w:sz="0" w:space="0" w:color="auto"/>
        <w:bottom w:val="none" w:sz="0" w:space="0" w:color="auto"/>
        <w:right w:val="none" w:sz="0" w:space="0" w:color="auto"/>
      </w:divBdr>
    </w:div>
    <w:div w:id="1904558870">
      <w:bodyDiv w:val="1"/>
      <w:marLeft w:val="0"/>
      <w:marRight w:val="0"/>
      <w:marTop w:val="0"/>
      <w:marBottom w:val="0"/>
      <w:divBdr>
        <w:top w:val="none" w:sz="0" w:space="0" w:color="auto"/>
        <w:left w:val="none" w:sz="0" w:space="0" w:color="auto"/>
        <w:bottom w:val="none" w:sz="0" w:space="0" w:color="auto"/>
        <w:right w:val="none" w:sz="0" w:space="0" w:color="auto"/>
      </w:divBdr>
    </w:div>
    <w:div w:id="1909919978">
      <w:bodyDiv w:val="1"/>
      <w:marLeft w:val="0"/>
      <w:marRight w:val="0"/>
      <w:marTop w:val="0"/>
      <w:marBottom w:val="0"/>
      <w:divBdr>
        <w:top w:val="none" w:sz="0" w:space="0" w:color="auto"/>
        <w:left w:val="none" w:sz="0" w:space="0" w:color="auto"/>
        <w:bottom w:val="none" w:sz="0" w:space="0" w:color="auto"/>
        <w:right w:val="none" w:sz="0" w:space="0" w:color="auto"/>
      </w:divBdr>
    </w:div>
    <w:div w:id="1948851480">
      <w:bodyDiv w:val="1"/>
      <w:marLeft w:val="0"/>
      <w:marRight w:val="0"/>
      <w:marTop w:val="0"/>
      <w:marBottom w:val="0"/>
      <w:divBdr>
        <w:top w:val="none" w:sz="0" w:space="0" w:color="auto"/>
        <w:left w:val="none" w:sz="0" w:space="0" w:color="auto"/>
        <w:bottom w:val="none" w:sz="0" w:space="0" w:color="auto"/>
        <w:right w:val="none" w:sz="0" w:space="0" w:color="auto"/>
      </w:divBdr>
    </w:div>
    <w:div w:id="1967546975">
      <w:bodyDiv w:val="1"/>
      <w:marLeft w:val="0"/>
      <w:marRight w:val="0"/>
      <w:marTop w:val="0"/>
      <w:marBottom w:val="0"/>
      <w:divBdr>
        <w:top w:val="none" w:sz="0" w:space="0" w:color="auto"/>
        <w:left w:val="none" w:sz="0" w:space="0" w:color="auto"/>
        <w:bottom w:val="none" w:sz="0" w:space="0" w:color="auto"/>
        <w:right w:val="none" w:sz="0" w:space="0" w:color="auto"/>
      </w:divBdr>
    </w:div>
    <w:div w:id="1990207746">
      <w:bodyDiv w:val="1"/>
      <w:marLeft w:val="0"/>
      <w:marRight w:val="0"/>
      <w:marTop w:val="0"/>
      <w:marBottom w:val="0"/>
      <w:divBdr>
        <w:top w:val="none" w:sz="0" w:space="0" w:color="auto"/>
        <w:left w:val="none" w:sz="0" w:space="0" w:color="auto"/>
        <w:bottom w:val="none" w:sz="0" w:space="0" w:color="auto"/>
        <w:right w:val="none" w:sz="0" w:space="0" w:color="auto"/>
      </w:divBdr>
    </w:div>
    <w:div w:id="2023969284">
      <w:bodyDiv w:val="1"/>
      <w:marLeft w:val="0"/>
      <w:marRight w:val="0"/>
      <w:marTop w:val="0"/>
      <w:marBottom w:val="0"/>
      <w:divBdr>
        <w:top w:val="none" w:sz="0" w:space="0" w:color="auto"/>
        <w:left w:val="none" w:sz="0" w:space="0" w:color="auto"/>
        <w:bottom w:val="none" w:sz="0" w:space="0" w:color="auto"/>
        <w:right w:val="none" w:sz="0" w:space="0" w:color="auto"/>
      </w:divBdr>
    </w:div>
    <w:div w:id="2027369174">
      <w:bodyDiv w:val="1"/>
      <w:marLeft w:val="0"/>
      <w:marRight w:val="0"/>
      <w:marTop w:val="0"/>
      <w:marBottom w:val="0"/>
      <w:divBdr>
        <w:top w:val="none" w:sz="0" w:space="0" w:color="auto"/>
        <w:left w:val="none" w:sz="0" w:space="0" w:color="auto"/>
        <w:bottom w:val="none" w:sz="0" w:space="0" w:color="auto"/>
        <w:right w:val="none" w:sz="0" w:space="0" w:color="auto"/>
      </w:divBdr>
    </w:div>
    <w:div w:id="2054575325">
      <w:bodyDiv w:val="1"/>
      <w:marLeft w:val="0"/>
      <w:marRight w:val="0"/>
      <w:marTop w:val="0"/>
      <w:marBottom w:val="0"/>
      <w:divBdr>
        <w:top w:val="none" w:sz="0" w:space="0" w:color="auto"/>
        <w:left w:val="none" w:sz="0" w:space="0" w:color="auto"/>
        <w:bottom w:val="none" w:sz="0" w:space="0" w:color="auto"/>
        <w:right w:val="none" w:sz="0" w:space="0" w:color="auto"/>
      </w:divBdr>
    </w:div>
    <w:div w:id="2107725376">
      <w:bodyDiv w:val="1"/>
      <w:marLeft w:val="0"/>
      <w:marRight w:val="0"/>
      <w:marTop w:val="0"/>
      <w:marBottom w:val="0"/>
      <w:divBdr>
        <w:top w:val="none" w:sz="0" w:space="0" w:color="auto"/>
        <w:left w:val="none" w:sz="0" w:space="0" w:color="auto"/>
        <w:bottom w:val="none" w:sz="0" w:space="0" w:color="auto"/>
        <w:right w:val="none" w:sz="0" w:space="0" w:color="auto"/>
      </w:divBdr>
    </w:div>
    <w:div w:id="2109886220">
      <w:bodyDiv w:val="1"/>
      <w:marLeft w:val="0"/>
      <w:marRight w:val="0"/>
      <w:marTop w:val="0"/>
      <w:marBottom w:val="0"/>
      <w:divBdr>
        <w:top w:val="none" w:sz="0" w:space="0" w:color="auto"/>
        <w:left w:val="none" w:sz="0" w:space="0" w:color="auto"/>
        <w:bottom w:val="none" w:sz="0" w:space="0" w:color="auto"/>
        <w:right w:val="none" w:sz="0" w:space="0" w:color="auto"/>
      </w:divBdr>
    </w:div>
    <w:div w:id="2110199840">
      <w:bodyDiv w:val="1"/>
      <w:marLeft w:val="0"/>
      <w:marRight w:val="0"/>
      <w:marTop w:val="0"/>
      <w:marBottom w:val="0"/>
      <w:divBdr>
        <w:top w:val="none" w:sz="0" w:space="0" w:color="auto"/>
        <w:left w:val="none" w:sz="0" w:space="0" w:color="auto"/>
        <w:bottom w:val="none" w:sz="0" w:space="0" w:color="auto"/>
        <w:right w:val="none" w:sz="0" w:space="0" w:color="auto"/>
      </w:divBdr>
    </w:div>
    <w:div w:id="2135975085">
      <w:bodyDiv w:val="1"/>
      <w:marLeft w:val="0"/>
      <w:marRight w:val="0"/>
      <w:marTop w:val="0"/>
      <w:marBottom w:val="0"/>
      <w:divBdr>
        <w:top w:val="none" w:sz="0" w:space="0" w:color="auto"/>
        <w:left w:val="none" w:sz="0" w:space="0" w:color="auto"/>
        <w:bottom w:val="none" w:sz="0" w:space="0" w:color="auto"/>
        <w:right w:val="none" w:sz="0" w:space="0" w:color="auto"/>
      </w:divBdr>
    </w:div>
    <w:div w:id="214206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zotero.org/google-docs/?dmZJsT" TargetMode="External"/><Relationship Id="rId21" Type="http://schemas.openxmlformats.org/officeDocument/2006/relationships/hyperlink" Target="https://www.zotero.org/google-docs/?cdwi15" TargetMode="External"/><Relationship Id="rId42" Type="http://schemas.openxmlformats.org/officeDocument/2006/relationships/hyperlink" Target="https://www.zotero.org/google-docs/?dmZJsT" TargetMode="External"/><Relationship Id="rId63" Type="http://schemas.openxmlformats.org/officeDocument/2006/relationships/hyperlink" Target="https://www.zotero.org/google-docs/?dmZJsT" TargetMode="External"/><Relationship Id="rId84" Type="http://schemas.openxmlformats.org/officeDocument/2006/relationships/hyperlink" Target="https://www.zotero.org/google-docs/?dmZJsT" TargetMode="External"/><Relationship Id="rId138" Type="http://schemas.openxmlformats.org/officeDocument/2006/relationships/hyperlink" Target="https://www.zotero.org/google-docs/?dmZJsT" TargetMode="External"/><Relationship Id="rId159" Type="http://schemas.openxmlformats.org/officeDocument/2006/relationships/hyperlink" Target="https://www.zotero.org/google-docs/?dmZJsT" TargetMode="External"/><Relationship Id="rId170" Type="http://schemas.openxmlformats.org/officeDocument/2006/relationships/hyperlink" Target="https://www.zotero.org/google-docs/?dmZJsT" TargetMode="External"/><Relationship Id="rId107" Type="http://schemas.openxmlformats.org/officeDocument/2006/relationships/hyperlink" Target="https://www.zotero.org/google-docs/?dmZJsT" TargetMode="External"/><Relationship Id="rId11" Type="http://schemas.openxmlformats.org/officeDocument/2006/relationships/hyperlink" Target="https://www.zotero.org/google-docs/?KGePjS" TargetMode="External"/><Relationship Id="rId32" Type="http://schemas.openxmlformats.org/officeDocument/2006/relationships/hyperlink" Target="https://www.zotero.org/google-docs/?dmZJsT" TargetMode="External"/><Relationship Id="rId53" Type="http://schemas.openxmlformats.org/officeDocument/2006/relationships/hyperlink" Target="https://www.zotero.org/google-docs/?dmZJsT" TargetMode="External"/><Relationship Id="rId74" Type="http://schemas.openxmlformats.org/officeDocument/2006/relationships/hyperlink" Target="https://www.zotero.org/google-docs/?dmZJsT" TargetMode="External"/><Relationship Id="rId128" Type="http://schemas.openxmlformats.org/officeDocument/2006/relationships/hyperlink" Target="https://www.zotero.org/google-docs/?dmZJsT" TargetMode="External"/><Relationship Id="rId149" Type="http://schemas.openxmlformats.org/officeDocument/2006/relationships/hyperlink" Target="https://www.zotero.org/google-docs/?dmZJsT" TargetMode="External"/><Relationship Id="rId5" Type="http://schemas.openxmlformats.org/officeDocument/2006/relationships/webSettings" Target="webSettings.xml"/><Relationship Id="rId95" Type="http://schemas.openxmlformats.org/officeDocument/2006/relationships/hyperlink" Target="https://www.zotero.org/google-docs/?dmZJsT" TargetMode="External"/><Relationship Id="rId160" Type="http://schemas.openxmlformats.org/officeDocument/2006/relationships/hyperlink" Target="https://www.zotero.org/google-docs/?dmZJsT" TargetMode="External"/><Relationship Id="rId22" Type="http://schemas.openxmlformats.org/officeDocument/2006/relationships/image" Target="media/image8.png"/><Relationship Id="rId43" Type="http://schemas.openxmlformats.org/officeDocument/2006/relationships/hyperlink" Target="https://www.zotero.org/google-docs/?dmZJsT" TargetMode="External"/><Relationship Id="rId64" Type="http://schemas.openxmlformats.org/officeDocument/2006/relationships/hyperlink" Target="https://www.zotero.org/google-docs/?dmZJsT" TargetMode="External"/><Relationship Id="rId118" Type="http://schemas.openxmlformats.org/officeDocument/2006/relationships/hyperlink" Target="https://www.zotero.org/google-docs/?dmZJsT" TargetMode="External"/><Relationship Id="rId139" Type="http://schemas.openxmlformats.org/officeDocument/2006/relationships/hyperlink" Target="https://www.zotero.org/google-docs/?dmZJsT" TargetMode="External"/><Relationship Id="rId85" Type="http://schemas.openxmlformats.org/officeDocument/2006/relationships/hyperlink" Target="https://www.zotero.org/google-docs/?dmZJsT" TargetMode="External"/><Relationship Id="rId150" Type="http://schemas.openxmlformats.org/officeDocument/2006/relationships/hyperlink" Target="https://www.zotero.org/google-docs/?dmZJsT" TargetMode="External"/><Relationship Id="rId171" Type="http://schemas.openxmlformats.org/officeDocument/2006/relationships/hyperlink" Target="https://www.zotero.org/google-docs/?dmZJsT" TargetMode="External"/><Relationship Id="rId12" Type="http://schemas.openxmlformats.org/officeDocument/2006/relationships/image" Target="media/image1.jpeg"/><Relationship Id="rId33" Type="http://schemas.openxmlformats.org/officeDocument/2006/relationships/hyperlink" Target="https://www.zotero.org/google-docs/?dmZJsT" TargetMode="External"/><Relationship Id="rId108" Type="http://schemas.openxmlformats.org/officeDocument/2006/relationships/hyperlink" Target="https://www.zotero.org/google-docs/?dmZJsT" TargetMode="External"/><Relationship Id="rId129" Type="http://schemas.openxmlformats.org/officeDocument/2006/relationships/hyperlink" Target="https://www.zotero.org/google-docs/?dmZJsT" TargetMode="External"/><Relationship Id="rId54" Type="http://schemas.openxmlformats.org/officeDocument/2006/relationships/hyperlink" Target="https://www.zotero.org/google-docs/?dmZJsT" TargetMode="External"/><Relationship Id="rId75" Type="http://schemas.openxmlformats.org/officeDocument/2006/relationships/hyperlink" Target="https://www.zotero.org/google-docs/?dmZJsT" TargetMode="External"/><Relationship Id="rId96" Type="http://schemas.openxmlformats.org/officeDocument/2006/relationships/hyperlink" Target="https://www.zotero.org/google-docs/?dmZJsT" TargetMode="External"/><Relationship Id="rId140" Type="http://schemas.openxmlformats.org/officeDocument/2006/relationships/hyperlink" Target="https://www.zotero.org/google-docs/?dmZJsT" TargetMode="External"/><Relationship Id="rId161" Type="http://schemas.openxmlformats.org/officeDocument/2006/relationships/hyperlink" Target="https://www.zotero.org/google-docs/?dmZJsT" TargetMode="External"/><Relationship Id="rId6" Type="http://schemas.openxmlformats.org/officeDocument/2006/relationships/footnotes" Target="footnotes.xml"/><Relationship Id="rId23" Type="http://schemas.openxmlformats.org/officeDocument/2006/relationships/hyperlink" Target="https://www.zotero.org/google-docs/?KGePjS" TargetMode="External"/><Relationship Id="rId28" Type="http://schemas.openxmlformats.org/officeDocument/2006/relationships/hyperlink" Target="https://www.zotero.org/google-docs/?dmZJsT" TargetMode="External"/><Relationship Id="rId49" Type="http://schemas.openxmlformats.org/officeDocument/2006/relationships/hyperlink" Target="https://www.zotero.org/google-docs/?dmZJsT" TargetMode="External"/><Relationship Id="rId114" Type="http://schemas.openxmlformats.org/officeDocument/2006/relationships/hyperlink" Target="https://www.zotero.org/google-docs/?dmZJsT" TargetMode="External"/><Relationship Id="rId119" Type="http://schemas.openxmlformats.org/officeDocument/2006/relationships/hyperlink" Target="https://www.zotero.org/google-docs/?dmZJsT" TargetMode="External"/><Relationship Id="rId44" Type="http://schemas.openxmlformats.org/officeDocument/2006/relationships/hyperlink" Target="https://www.zotero.org/google-docs/?dmZJsT" TargetMode="External"/><Relationship Id="rId60" Type="http://schemas.openxmlformats.org/officeDocument/2006/relationships/hyperlink" Target="https://www.zotero.org/google-docs/?dmZJsT" TargetMode="External"/><Relationship Id="rId65" Type="http://schemas.openxmlformats.org/officeDocument/2006/relationships/hyperlink" Target="https://www.zotero.org/google-docs/?dmZJsT" TargetMode="External"/><Relationship Id="rId81" Type="http://schemas.openxmlformats.org/officeDocument/2006/relationships/hyperlink" Target="https://www.zotero.org/google-docs/?dmZJsT" TargetMode="External"/><Relationship Id="rId86" Type="http://schemas.openxmlformats.org/officeDocument/2006/relationships/hyperlink" Target="https://www.zotero.org/google-docs/?dmZJsT" TargetMode="External"/><Relationship Id="rId130" Type="http://schemas.openxmlformats.org/officeDocument/2006/relationships/hyperlink" Target="https://www.zotero.org/google-docs/?dmZJsT" TargetMode="External"/><Relationship Id="rId135" Type="http://schemas.openxmlformats.org/officeDocument/2006/relationships/hyperlink" Target="https://www.zotero.org/google-docs/?dmZJsT" TargetMode="External"/><Relationship Id="rId151" Type="http://schemas.openxmlformats.org/officeDocument/2006/relationships/hyperlink" Target="https://www.zotero.org/google-docs/?dmZJsT" TargetMode="External"/><Relationship Id="rId156" Type="http://schemas.openxmlformats.org/officeDocument/2006/relationships/hyperlink" Target="https://www.zotero.org/google-docs/?dmZJsT" TargetMode="External"/><Relationship Id="rId177" Type="http://schemas.openxmlformats.org/officeDocument/2006/relationships/hyperlink" Target="https://www.zotero.org/google-docs/?dmZJsT" TargetMode="External"/><Relationship Id="rId172" Type="http://schemas.openxmlformats.org/officeDocument/2006/relationships/hyperlink" Target="https://www.zotero.org/google-docs/?dmZJsT" TargetMode="External"/><Relationship Id="rId13" Type="http://schemas.openxmlformats.org/officeDocument/2006/relationships/hyperlink" Target="https://github.com/enormandeau/barque" TargetMode="External"/><Relationship Id="rId18" Type="http://schemas.openxmlformats.org/officeDocument/2006/relationships/image" Target="media/image5.png"/><Relationship Id="rId39" Type="http://schemas.openxmlformats.org/officeDocument/2006/relationships/hyperlink" Target="https://www.zotero.org/google-docs/?dmZJsT" TargetMode="External"/><Relationship Id="rId109" Type="http://schemas.openxmlformats.org/officeDocument/2006/relationships/hyperlink" Target="https://www.zotero.org/google-docs/?dmZJsT" TargetMode="External"/><Relationship Id="rId34" Type="http://schemas.openxmlformats.org/officeDocument/2006/relationships/hyperlink" Target="https://www.zotero.org/google-docs/?dmZJsT" TargetMode="External"/><Relationship Id="rId50" Type="http://schemas.openxmlformats.org/officeDocument/2006/relationships/hyperlink" Target="https://www.zotero.org/google-docs/?dmZJsT" TargetMode="External"/><Relationship Id="rId55" Type="http://schemas.openxmlformats.org/officeDocument/2006/relationships/hyperlink" Target="https://www.zotero.org/google-docs/?dmZJsT" TargetMode="External"/><Relationship Id="rId76" Type="http://schemas.openxmlformats.org/officeDocument/2006/relationships/hyperlink" Target="https://www.zotero.org/google-docs/?dmZJsT" TargetMode="External"/><Relationship Id="rId97" Type="http://schemas.openxmlformats.org/officeDocument/2006/relationships/hyperlink" Target="https://www.zotero.org/google-docs/?dmZJsT" TargetMode="External"/><Relationship Id="rId104" Type="http://schemas.openxmlformats.org/officeDocument/2006/relationships/hyperlink" Target="https://www.zotero.org/google-docs/?dmZJsT" TargetMode="External"/><Relationship Id="rId120" Type="http://schemas.openxmlformats.org/officeDocument/2006/relationships/hyperlink" Target="https://www.zotero.org/google-docs/?dmZJsT" TargetMode="External"/><Relationship Id="rId125" Type="http://schemas.openxmlformats.org/officeDocument/2006/relationships/hyperlink" Target="https://www.zotero.org/google-docs/?dmZJsT" TargetMode="External"/><Relationship Id="rId141" Type="http://schemas.openxmlformats.org/officeDocument/2006/relationships/hyperlink" Target="https://www.zotero.org/google-docs/?dmZJsT" TargetMode="External"/><Relationship Id="rId146" Type="http://schemas.openxmlformats.org/officeDocument/2006/relationships/hyperlink" Target="https://www.zotero.org/google-docs/?dmZJsT" TargetMode="External"/><Relationship Id="rId167" Type="http://schemas.openxmlformats.org/officeDocument/2006/relationships/hyperlink" Target="https://www.zotero.org/google-docs/?dmZJsT" TargetMode="External"/><Relationship Id="rId7" Type="http://schemas.openxmlformats.org/officeDocument/2006/relationships/endnotes" Target="endnotes.xml"/><Relationship Id="rId71" Type="http://schemas.openxmlformats.org/officeDocument/2006/relationships/hyperlink" Target="https://www.zotero.org/google-docs/?dmZJsT" TargetMode="External"/><Relationship Id="rId92" Type="http://schemas.openxmlformats.org/officeDocument/2006/relationships/hyperlink" Target="https://www.zotero.org/google-docs/?dmZJsT" TargetMode="External"/><Relationship Id="rId162" Type="http://schemas.openxmlformats.org/officeDocument/2006/relationships/hyperlink" Target="https://www.zotero.org/google-docs/?dmZJsT" TargetMode="External"/><Relationship Id="rId2" Type="http://schemas.openxmlformats.org/officeDocument/2006/relationships/numbering" Target="numbering.xml"/><Relationship Id="rId29" Type="http://schemas.openxmlformats.org/officeDocument/2006/relationships/hyperlink" Target="https://www.zotero.org/google-docs/?dmZJsT" TargetMode="External"/><Relationship Id="rId24" Type="http://schemas.openxmlformats.org/officeDocument/2006/relationships/hyperlink" Target="https://www.zotero.org/google-docs/?KGePjS" TargetMode="External"/><Relationship Id="rId40" Type="http://schemas.openxmlformats.org/officeDocument/2006/relationships/hyperlink" Target="https://www.zotero.org/google-docs/?dmZJsT" TargetMode="External"/><Relationship Id="rId45" Type="http://schemas.openxmlformats.org/officeDocument/2006/relationships/hyperlink" Target="https://www.zotero.org/google-docs/?dmZJsT" TargetMode="External"/><Relationship Id="rId66" Type="http://schemas.openxmlformats.org/officeDocument/2006/relationships/hyperlink" Target="https://www.zotero.org/google-docs/?dmZJsT" TargetMode="External"/><Relationship Id="rId87" Type="http://schemas.openxmlformats.org/officeDocument/2006/relationships/hyperlink" Target="https://www.zotero.org/google-docs/?dmZJsT" TargetMode="External"/><Relationship Id="rId110" Type="http://schemas.openxmlformats.org/officeDocument/2006/relationships/hyperlink" Target="https://www.zotero.org/google-docs/?dmZJsT" TargetMode="External"/><Relationship Id="rId115" Type="http://schemas.openxmlformats.org/officeDocument/2006/relationships/hyperlink" Target="https://www.zotero.org/google-docs/?dmZJsT" TargetMode="External"/><Relationship Id="rId131" Type="http://schemas.openxmlformats.org/officeDocument/2006/relationships/hyperlink" Target="https://www.zotero.org/google-docs/?dmZJsT" TargetMode="External"/><Relationship Id="rId136" Type="http://schemas.openxmlformats.org/officeDocument/2006/relationships/hyperlink" Target="https://www.zotero.org/google-docs/?dmZJsT" TargetMode="External"/><Relationship Id="rId157" Type="http://schemas.openxmlformats.org/officeDocument/2006/relationships/hyperlink" Target="https://www.zotero.org/google-docs/?dmZJsT" TargetMode="External"/><Relationship Id="rId178" Type="http://schemas.openxmlformats.org/officeDocument/2006/relationships/hyperlink" Target="Zhu,%20T.,%20Sato,%20Y.,%20Sado,%20T.,%20Miya,%20M.,%20&amp;%20Iwasaki,%20W.%20(2023).%20MitoFish,%20MitoAnnotator,%20and%20MiFish%20Pipeline:%20Updates%20in%2010%20Years.%20Molecular%20Biology%20and%20Evolution,%2040(3),%20msad035.%20https://doi.org/10.1093/molbev/msad035%20" TargetMode="External"/><Relationship Id="rId61" Type="http://schemas.openxmlformats.org/officeDocument/2006/relationships/hyperlink" Target="https://www.zotero.org/google-docs/?dmZJsT" TargetMode="External"/><Relationship Id="rId82" Type="http://schemas.openxmlformats.org/officeDocument/2006/relationships/hyperlink" Target="https://www.zotero.org/google-docs/?dmZJsT" TargetMode="External"/><Relationship Id="rId152" Type="http://schemas.openxmlformats.org/officeDocument/2006/relationships/hyperlink" Target="https://www.zotero.org/google-docs/?dmZJsT" TargetMode="External"/><Relationship Id="rId173" Type="http://schemas.openxmlformats.org/officeDocument/2006/relationships/hyperlink" Target="https://www.zotero.org/google-docs/?dmZJsT" TargetMode="External"/><Relationship Id="rId19" Type="http://schemas.openxmlformats.org/officeDocument/2006/relationships/image" Target="media/image6.png"/><Relationship Id="rId14" Type="http://schemas.openxmlformats.org/officeDocument/2006/relationships/hyperlink" Target="https://www.zotero.org/google-docs/?1VFsue" TargetMode="External"/><Relationship Id="rId30" Type="http://schemas.openxmlformats.org/officeDocument/2006/relationships/hyperlink" Target="https://www.zotero.org/google-docs/?dmZJsT" TargetMode="External"/><Relationship Id="rId35" Type="http://schemas.openxmlformats.org/officeDocument/2006/relationships/hyperlink" Target="https://www.zotero.org/google-docs/?dmZJsT" TargetMode="External"/><Relationship Id="rId56" Type="http://schemas.openxmlformats.org/officeDocument/2006/relationships/hyperlink" Target="https://www.zotero.org/google-docs/?dmZJsT" TargetMode="External"/><Relationship Id="rId77" Type="http://schemas.openxmlformats.org/officeDocument/2006/relationships/hyperlink" Target="https://www.zotero.org/google-docs/?dmZJsT" TargetMode="External"/><Relationship Id="rId100" Type="http://schemas.openxmlformats.org/officeDocument/2006/relationships/hyperlink" Target="https://www.zotero.org/google-docs/?dmZJsT" TargetMode="External"/><Relationship Id="rId105" Type="http://schemas.openxmlformats.org/officeDocument/2006/relationships/hyperlink" Target="https://www.zotero.org/google-docs/?dmZJsT" TargetMode="External"/><Relationship Id="rId126" Type="http://schemas.openxmlformats.org/officeDocument/2006/relationships/hyperlink" Target="https://www.zotero.org/google-docs/?dmZJsT" TargetMode="External"/><Relationship Id="rId147" Type="http://schemas.openxmlformats.org/officeDocument/2006/relationships/hyperlink" Target="https://www.zotero.org/google-docs/?dmZJsT" TargetMode="External"/><Relationship Id="rId168" Type="http://schemas.openxmlformats.org/officeDocument/2006/relationships/hyperlink" Target="https://www.zotero.org/google-docs/?dmZJsT" TargetMode="External"/><Relationship Id="rId8" Type="http://schemas.openxmlformats.org/officeDocument/2006/relationships/header" Target="header1.xml"/><Relationship Id="rId51" Type="http://schemas.openxmlformats.org/officeDocument/2006/relationships/hyperlink" Target="https://www.zotero.org/google-docs/?dmZJsT" TargetMode="External"/><Relationship Id="rId72" Type="http://schemas.openxmlformats.org/officeDocument/2006/relationships/hyperlink" Target="https://www.zotero.org/google-docs/?dmZJsT" TargetMode="External"/><Relationship Id="rId93" Type="http://schemas.openxmlformats.org/officeDocument/2006/relationships/hyperlink" Target="https://www.zotero.org/google-docs/?dmZJsT" TargetMode="External"/><Relationship Id="rId98" Type="http://schemas.openxmlformats.org/officeDocument/2006/relationships/hyperlink" Target="https://www.zotero.org/google-docs/?dmZJsT" TargetMode="External"/><Relationship Id="rId121" Type="http://schemas.openxmlformats.org/officeDocument/2006/relationships/hyperlink" Target="https://www.zotero.org/google-docs/?dmZJsT" TargetMode="External"/><Relationship Id="rId142" Type="http://schemas.openxmlformats.org/officeDocument/2006/relationships/hyperlink" Target="https://www.zotero.org/google-docs/?dmZJsT" TargetMode="External"/><Relationship Id="rId163" Type="http://schemas.openxmlformats.org/officeDocument/2006/relationships/hyperlink" Target="https://www.zotero.org/google-docs/?dmZJsT" TargetMode="External"/><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hyperlink" Target="https://www.zotero.org/google-docs/?dmZJsT" TargetMode="External"/><Relationship Id="rId67" Type="http://schemas.openxmlformats.org/officeDocument/2006/relationships/hyperlink" Target="https://www.zotero.org/google-docs/?dmZJsT" TargetMode="External"/><Relationship Id="rId116" Type="http://schemas.openxmlformats.org/officeDocument/2006/relationships/hyperlink" Target="https://www.zotero.org/google-docs/?dmZJsT" TargetMode="External"/><Relationship Id="rId137" Type="http://schemas.openxmlformats.org/officeDocument/2006/relationships/hyperlink" Target="https://www.zotero.org/google-docs/?dmZJsT" TargetMode="External"/><Relationship Id="rId158" Type="http://schemas.openxmlformats.org/officeDocument/2006/relationships/hyperlink" Target="https://www.zotero.org/google-docs/?dmZJsT" TargetMode="External"/><Relationship Id="rId20" Type="http://schemas.openxmlformats.org/officeDocument/2006/relationships/image" Target="media/image7.png"/><Relationship Id="rId41" Type="http://schemas.openxmlformats.org/officeDocument/2006/relationships/hyperlink" Target="https://www.zotero.org/google-docs/?dmZJsT" TargetMode="External"/><Relationship Id="rId62" Type="http://schemas.openxmlformats.org/officeDocument/2006/relationships/hyperlink" Target="https://www.zotero.org/google-docs/?dmZJsT" TargetMode="External"/><Relationship Id="rId83" Type="http://schemas.openxmlformats.org/officeDocument/2006/relationships/hyperlink" Target="https://www.zotero.org/google-docs/?dmZJsT" TargetMode="External"/><Relationship Id="rId88" Type="http://schemas.openxmlformats.org/officeDocument/2006/relationships/hyperlink" Target="https://www.zotero.org/google-docs/?dmZJsT" TargetMode="External"/><Relationship Id="rId111" Type="http://schemas.openxmlformats.org/officeDocument/2006/relationships/hyperlink" Target="https://www.zotero.org/google-docs/?dmZJsT" TargetMode="External"/><Relationship Id="rId132" Type="http://schemas.openxmlformats.org/officeDocument/2006/relationships/hyperlink" Target="https://www.zotero.org/google-docs/?dmZJsT" TargetMode="External"/><Relationship Id="rId153" Type="http://schemas.openxmlformats.org/officeDocument/2006/relationships/hyperlink" Target="https://www.zotero.org/google-docs/?dmZJsT" TargetMode="External"/><Relationship Id="rId174" Type="http://schemas.openxmlformats.org/officeDocument/2006/relationships/hyperlink" Target="https://www.zotero.org/google-docs/?dmZJsT" TargetMode="External"/><Relationship Id="rId179" Type="http://schemas.openxmlformats.org/officeDocument/2006/relationships/fontTable" Target="fontTable.xml"/><Relationship Id="rId15" Type="http://schemas.openxmlformats.org/officeDocument/2006/relationships/image" Target="media/image2.jpeg"/><Relationship Id="rId36" Type="http://schemas.openxmlformats.org/officeDocument/2006/relationships/hyperlink" Target="https://www.zotero.org/google-docs/?dmZJsT" TargetMode="External"/><Relationship Id="rId57" Type="http://schemas.openxmlformats.org/officeDocument/2006/relationships/hyperlink" Target="https://www.zotero.org/google-docs/?dmZJsT" TargetMode="External"/><Relationship Id="rId106" Type="http://schemas.openxmlformats.org/officeDocument/2006/relationships/hyperlink" Target="https://www.zotero.org/google-docs/?dmZJsT" TargetMode="External"/><Relationship Id="rId127" Type="http://schemas.openxmlformats.org/officeDocument/2006/relationships/hyperlink" Target="https://www.zotero.org/google-docs/?dmZJsT" TargetMode="External"/><Relationship Id="rId10" Type="http://schemas.openxmlformats.org/officeDocument/2006/relationships/footer" Target="footer1.xml"/><Relationship Id="rId31" Type="http://schemas.openxmlformats.org/officeDocument/2006/relationships/hyperlink" Target="https://www.zotero.org/google-docs/?dmZJsT" TargetMode="External"/><Relationship Id="rId52" Type="http://schemas.openxmlformats.org/officeDocument/2006/relationships/hyperlink" Target="https://www.zotero.org/google-docs/?dmZJsT" TargetMode="External"/><Relationship Id="rId73" Type="http://schemas.openxmlformats.org/officeDocument/2006/relationships/hyperlink" Target="https://www.zotero.org/google-docs/?dmZJsT" TargetMode="External"/><Relationship Id="rId78" Type="http://schemas.openxmlformats.org/officeDocument/2006/relationships/hyperlink" Target="https://www.zotero.org/google-docs/?dmZJsT" TargetMode="External"/><Relationship Id="rId94" Type="http://schemas.openxmlformats.org/officeDocument/2006/relationships/hyperlink" Target="https://www.zotero.org/google-docs/?dmZJsT" TargetMode="External"/><Relationship Id="rId99" Type="http://schemas.openxmlformats.org/officeDocument/2006/relationships/hyperlink" Target="https://www.zotero.org/google-docs/?dmZJsT" TargetMode="External"/><Relationship Id="rId101" Type="http://schemas.openxmlformats.org/officeDocument/2006/relationships/hyperlink" Target="https://www.zotero.org/google-docs/?dmZJsT" TargetMode="External"/><Relationship Id="rId122" Type="http://schemas.openxmlformats.org/officeDocument/2006/relationships/hyperlink" Target="https://www.zotero.org/google-docs/?dmZJsT" TargetMode="External"/><Relationship Id="rId143" Type="http://schemas.openxmlformats.org/officeDocument/2006/relationships/hyperlink" Target="https://www.zotero.org/google-docs/?dmZJsT" TargetMode="External"/><Relationship Id="rId148" Type="http://schemas.openxmlformats.org/officeDocument/2006/relationships/hyperlink" Target="https://www.zotero.org/google-docs/?dmZJsT" TargetMode="External"/><Relationship Id="rId164" Type="http://schemas.openxmlformats.org/officeDocument/2006/relationships/hyperlink" Target="https://www.zotero.org/google-docs/?dmZJsT" TargetMode="External"/><Relationship Id="rId169" Type="http://schemas.openxmlformats.org/officeDocument/2006/relationships/hyperlink" Target="https://www.zotero.org/google-docs/?dmZJsT"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theme" Target="theme/theme1.xml"/><Relationship Id="rId26" Type="http://schemas.openxmlformats.org/officeDocument/2006/relationships/image" Target="media/image10.png"/><Relationship Id="rId47" Type="http://schemas.openxmlformats.org/officeDocument/2006/relationships/hyperlink" Target="https://www.zotero.org/google-docs/?dmZJsT" TargetMode="External"/><Relationship Id="rId68" Type="http://schemas.openxmlformats.org/officeDocument/2006/relationships/hyperlink" Target="https://www.zotero.org/google-docs/?dmZJsT" TargetMode="External"/><Relationship Id="rId89" Type="http://schemas.openxmlformats.org/officeDocument/2006/relationships/hyperlink" Target="https://www.zotero.org/google-docs/?dmZJsT" TargetMode="External"/><Relationship Id="rId112" Type="http://schemas.openxmlformats.org/officeDocument/2006/relationships/hyperlink" Target="https://www.zotero.org/google-docs/?dmZJsT" TargetMode="External"/><Relationship Id="rId133" Type="http://schemas.openxmlformats.org/officeDocument/2006/relationships/hyperlink" Target="https://www.zotero.org/google-docs/?dmZJsT" TargetMode="External"/><Relationship Id="rId154" Type="http://schemas.openxmlformats.org/officeDocument/2006/relationships/hyperlink" Target="https://www.zotero.org/google-docs/?dmZJsT" TargetMode="External"/><Relationship Id="rId175" Type="http://schemas.openxmlformats.org/officeDocument/2006/relationships/hyperlink" Target="https://www.zotero.org/google-docs/?dmZJsT" TargetMode="External"/><Relationship Id="rId16" Type="http://schemas.openxmlformats.org/officeDocument/2006/relationships/image" Target="media/image3.png"/><Relationship Id="rId37" Type="http://schemas.openxmlformats.org/officeDocument/2006/relationships/hyperlink" Target="https://www.zotero.org/google-docs/?dmZJsT" TargetMode="External"/><Relationship Id="rId58" Type="http://schemas.openxmlformats.org/officeDocument/2006/relationships/hyperlink" Target="https://www.zotero.org/google-docs/?dmZJsT" TargetMode="External"/><Relationship Id="rId79" Type="http://schemas.openxmlformats.org/officeDocument/2006/relationships/hyperlink" Target="https://www.zotero.org/google-docs/?dmZJsT" TargetMode="External"/><Relationship Id="rId102" Type="http://schemas.openxmlformats.org/officeDocument/2006/relationships/hyperlink" Target="https://www.zotero.org/google-docs/?dmZJsT" TargetMode="External"/><Relationship Id="rId123" Type="http://schemas.openxmlformats.org/officeDocument/2006/relationships/hyperlink" Target="https://www.zotero.org/google-docs/?dmZJsT" TargetMode="External"/><Relationship Id="rId144" Type="http://schemas.openxmlformats.org/officeDocument/2006/relationships/hyperlink" Target="https://www.zotero.org/google-docs/?dmZJsT" TargetMode="External"/><Relationship Id="rId90" Type="http://schemas.openxmlformats.org/officeDocument/2006/relationships/hyperlink" Target="https://www.zotero.org/google-docs/?dmZJsT" TargetMode="External"/><Relationship Id="rId165" Type="http://schemas.openxmlformats.org/officeDocument/2006/relationships/hyperlink" Target="https://www.zotero.org/google-docs/?dmZJsT" TargetMode="External"/><Relationship Id="rId27" Type="http://schemas.openxmlformats.org/officeDocument/2006/relationships/image" Target="media/image11.png"/><Relationship Id="rId48" Type="http://schemas.openxmlformats.org/officeDocument/2006/relationships/hyperlink" Target="https://www.zotero.org/google-docs/?dmZJsT" TargetMode="External"/><Relationship Id="rId69" Type="http://schemas.openxmlformats.org/officeDocument/2006/relationships/hyperlink" Target="https://www.zotero.org/google-docs/?dmZJsT" TargetMode="External"/><Relationship Id="rId113" Type="http://schemas.openxmlformats.org/officeDocument/2006/relationships/hyperlink" Target="https://www.zotero.org/google-docs/?dmZJsT" TargetMode="External"/><Relationship Id="rId134" Type="http://schemas.openxmlformats.org/officeDocument/2006/relationships/hyperlink" Target="https://www.zotero.org/google-docs/?dmZJsT" TargetMode="External"/><Relationship Id="rId80" Type="http://schemas.openxmlformats.org/officeDocument/2006/relationships/hyperlink" Target="https://www.zotero.org/google-docs/?dmZJsT" TargetMode="External"/><Relationship Id="rId155" Type="http://schemas.openxmlformats.org/officeDocument/2006/relationships/hyperlink" Target="https://www.zotero.org/google-docs/?dmZJsT" TargetMode="External"/><Relationship Id="rId176" Type="http://schemas.openxmlformats.org/officeDocument/2006/relationships/hyperlink" Target="https://www.zotero.org/google-docs/?dmZJsT" TargetMode="External"/><Relationship Id="rId17" Type="http://schemas.openxmlformats.org/officeDocument/2006/relationships/image" Target="media/image4.png"/><Relationship Id="rId38" Type="http://schemas.openxmlformats.org/officeDocument/2006/relationships/hyperlink" Target="https://www.zotero.org/google-docs/?dmZJsT" TargetMode="External"/><Relationship Id="rId59" Type="http://schemas.openxmlformats.org/officeDocument/2006/relationships/hyperlink" Target="https://www.zotero.org/google-docs/?dmZJsT" TargetMode="External"/><Relationship Id="rId103" Type="http://schemas.openxmlformats.org/officeDocument/2006/relationships/hyperlink" Target="https://www.zotero.org/google-docs/?dmZJsT" TargetMode="External"/><Relationship Id="rId124" Type="http://schemas.openxmlformats.org/officeDocument/2006/relationships/hyperlink" Target="https://www.zotero.org/google-docs/?dmZJsT" TargetMode="External"/><Relationship Id="rId70" Type="http://schemas.openxmlformats.org/officeDocument/2006/relationships/hyperlink" Target="https://www.zotero.org/google-docs/?dmZJsT" TargetMode="External"/><Relationship Id="rId91" Type="http://schemas.openxmlformats.org/officeDocument/2006/relationships/hyperlink" Target="https://www.zotero.org/google-docs/?dmZJsT" TargetMode="External"/><Relationship Id="rId145" Type="http://schemas.openxmlformats.org/officeDocument/2006/relationships/hyperlink" Target="https://www.zotero.org/google-docs/?dmZJsT" TargetMode="External"/><Relationship Id="rId166" Type="http://schemas.openxmlformats.org/officeDocument/2006/relationships/hyperlink" Target="https://www.zotero.org/google-docs/?dmZJsT" TargetMode="External"/><Relationship Id="rId1"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a\OneDrive%20-%20Oak%20Ridge%20National%20Laboratory\Desktop\MSc_Thesis\etd-word-template-standa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6AEE35-707B-4DDC-92C7-E82AA1E4F5C8}">
  <ds:schemaRefs>
    <ds:schemaRef ds:uri="http://schemas.openxmlformats.org/officeDocument/2006/bibliography"/>
  </ds:schemaRefs>
</ds:datastoreItem>
</file>

<file path=docMetadata/LabelInfo.xml><?xml version="1.0" encoding="utf-8"?>
<clbl:labelList xmlns:clbl="http://schemas.microsoft.com/office/2020/mipLabelMetadata">
  <clbl:label id="{db3dbd43-4c4b-4544-9f8a-0553f9f5f25e}" enabled="0" method="" siteId="{db3dbd43-4c4b-4544-9f8a-0553f9f5f25e}" removed="1"/>
</clbl:labelList>
</file>

<file path=docProps/app.xml><?xml version="1.0" encoding="utf-8"?>
<Properties xmlns="http://schemas.openxmlformats.org/officeDocument/2006/extended-properties" xmlns:vt="http://schemas.openxmlformats.org/officeDocument/2006/docPropsVTypes">
  <Template>etd-word-template-standard</Template>
  <TotalTime>2573</TotalTime>
  <Pages>89</Pages>
  <Words>19457</Words>
  <Characters>120446</Characters>
  <Application>Microsoft Office Word</Application>
  <DocSecurity>0</DocSecurity>
  <Lines>1627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Alaa</dc:creator>
  <cp:keywords/>
  <dc:description/>
  <cp:lastModifiedBy>Sherman, Abby</cp:lastModifiedBy>
  <cp:revision>509</cp:revision>
  <dcterms:created xsi:type="dcterms:W3CDTF">2025-10-17T10:23:00Z</dcterms:created>
  <dcterms:modified xsi:type="dcterms:W3CDTF">2025-10-22T11:57:00Z</dcterms:modified>
</cp:coreProperties>
</file>