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31529" w14:textId="77777777" w:rsidR="00BB1291" w:rsidRPr="00C84576" w:rsidRDefault="00BB1291" w:rsidP="00534AA2">
      <w:pPr>
        <w:spacing w:line="480" w:lineRule="auto"/>
        <w:jc w:val="center"/>
        <w:rPr>
          <w:rFonts w:cstheme="minorHAnsi"/>
          <w:sz w:val="24"/>
          <w:szCs w:val="24"/>
        </w:rPr>
      </w:pPr>
    </w:p>
    <w:p w14:paraId="03411F6F" w14:textId="11854E39" w:rsidR="00BB1291" w:rsidRPr="00C84576" w:rsidRDefault="00BB1291" w:rsidP="00534AA2">
      <w:pPr>
        <w:spacing w:line="480" w:lineRule="auto"/>
        <w:jc w:val="center"/>
        <w:rPr>
          <w:rFonts w:cstheme="minorHAnsi"/>
          <w:sz w:val="24"/>
          <w:szCs w:val="24"/>
        </w:rPr>
      </w:pPr>
      <w:r w:rsidRPr="00C84576">
        <w:rPr>
          <w:rFonts w:cstheme="minorHAnsi"/>
          <w:sz w:val="24"/>
          <w:szCs w:val="24"/>
        </w:rPr>
        <w:t xml:space="preserve">A </w:t>
      </w:r>
      <w:r w:rsidR="00AA43CB">
        <w:rPr>
          <w:rFonts w:cstheme="minorHAnsi"/>
          <w:sz w:val="24"/>
          <w:szCs w:val="24"/>
        </w:rPr>
        <w:t xml:space="preserve">Basic Qualitative </w:t>
      </w:r>
      <w:r w:rsidRPr="00C84576">
        <w:rPr>
          <w:rFonts w:cstheme="minorHAnsi"/>
          <w:sz w:val="24"/>
          <w:szCs w:val="24"/>
        </w:rPr>
        <w:t xml:space="preserve">Study of the Experiences of Those Who Lead Threat Assessment Teams in </w:t>
      </w:r>
      <w:r w:rsidR="00AA43CB">
        <w:rPr>
          <w:rFonts w:cstheme="minorHAnsi"/>
          <w:sz w:val="24"/>
          <w:szCs w:val="24"/>
        </w:rPr>
        <w:t>Higher Education</w:t>
      </w:r>
    </w:p>
    <w:p w14:paraId="35A6E35D" w14:textId="77777777" w:rsidR="002F06E6" w:rsidRPr="00C84576" w:rsidRDefault="002F06E6" w:rsidP="00534AA2">
      <w:pPr>
        <w:spacing w:line="480" w:lineRule="auto"/>
        <w:jc w:val="center"/>
        <w:rPr>
          <w:rFonts w:cstheme="minorHAnsi"/>
          <w:sz w:val="24"/>
          <w:szCs w:val="24"/>
        </w:rPr>
      </w:pPr>
    </w:p>
    <w:p w14:paraId="35C12E7E" w14:textId="77777777" w:rsidR="002F06E6" w:rsidRPr="00C84576" w:rsidRDefault="002F06E6" w:rsidP="00534AA2">
      <w:pPr>
        <w:spacing w:line="480" w:lineRule="auto"/>
        <w:jc w:val="center"/>
        <w:rPr>
          <w:rFonts w:cstheme="minorHAnsi"/>
          <w:sz w:val="24"/>
          <w:szCs w:val="24"/>
        </w:rPr>
      </w:pPr>
    </w:p>
    <w:p w14:paraId="1D2893CB" w14:textId="77777777" w:rsidR="002F06E6" w:rsidRPr="00C84576" w:rsidRDefault="002F06E6" w:rsidP="00534AA2">
      <w:pPr>
        <w:spacing w:line="480" w:lineRule="auto"/>
        <w:jc w:val="center"/>
        <w:rPr>
          <w:rFonts w:cstheme="minorHAnsi"/>
          <w:sz w:val="24"/>
          <w:szCs w:val="24"/>
        </w:rPr>
      </w:pPr>
    </w:p>
    <w:p w14:paraId="61137D81" w14:textId="77777777" w:rsidR="002F06E6" w:rsidRPr="00C84576" w:rsidRDefault="002F06E6" w:rsidP="00534AA2">
      <w:pPr>
        <w:spacing w:line="480" w:lineRule="auto"/>
        <w:jc w:val="center"/>
        <w:rPr>
          <w:rFonts w:cstheme="minorHAnsi"/>
          <w:sz w:val="24"/>
          <w:szCs w:val="24"/>
        </w:rPr>
      </w:pPr>
    </w:p>
    <w:p w14:paraId="79ED3678" w14:textId="42169083" w:rsidR="002F06E6" w:rsidRPr="00C84576" w:rsidRDefault="00AA43CB" w:rsidP="00534AA2">
      <w:pPr>
        <w:spacing w:line="480" w:lineRule="auto"/>
        <w:jc w:val="center"/>
        <w:rPr>
          <w:rFonts w:cstheme="minorHAnsi"/>
          <w:sz w:val="24"/>
          <w:szCs w:val="24"/>
        </w:rPr>
      </w:pPr>
      <w:r>
        <w:rPr>
          <w:rFonts w:cstheme="minorHAnsi"/>
          <w:sz w:val="24"/>
          <w:szCs w:val="24"/>
        </w:rPr>
        <w:t>A Dissertation Presented</w:t>
      </w:r>
      <w:r w:rsidR="002F06E6" w:rsidRPr="00C84576">
        <w:rPr>
          <w:rFonts w:cstheme="minorHAnsi"/>
          <w:sz w:val="24"/>
          <w:szCs w:val="24"/>
        </w:rPr>
        <w:t xml:space="preserve"> for the </w:t>
      </w:r>
    </w:p>
    <w:p w14:paraId="452713FE" w14:textId="77777777" w:rsidR="004348EC" w:rsidRDefault="002F06E6" w:rsidP="00534AA2">
      <w:pPr>
        <w:spacing w:line="480" w:lineRule="auto"/>
        <w:jc w:val="center"/>
        <w:rPr>
          <w:rFonts w:cstheme="minorHAnsi"/>
          <w:sz w:val="24"/>
          <w:szCs w:val="24"/>
        </w:rPr>
      </w:pPr>
      <w:r w:rsidRPr="00C84576">
        <w:rPr>
          <w:rFonts w:cstheme="minorHAnsi"/>
          <w:sz w:val="24"/>
          <w:szCs w:val="24"/>
        </w:rPr>
        <w:t xml:space="preserve">Doctor of Philosophy </w:t>
      </w:r>
    </w:p>
    <w:p w14:paraId="7F3C1F20" w14:textId="0BF806BC" w:rsidR="002F06E6" w:rsidRPr="00C84576" w:rsidRDefault="002F06E6" w:rsidP="00534AA2">
      <w:pPr>
        <w:spacing w:line="480" w:lineRule="auto"/>
        <w:jc w:val="center"/>
        <w:rPr>
          <w:rFonts w:cstheme="minorHAnsi"/>
          <w:sz w:val="24"/>
          <w:szCs w:val="24"/>
        </w:rPr>
      </w:pPr>
      <w:r w:rsidRPr="00C84576">
        <w:rPr>
          <w:rFonts w:cstheme="minorHAnsi"/>
          <w:sz w:val="24"/>
          <w:szCs w:val="24"/>
        </w:rPr>
        <w:t>Degree</w:t>
      </w:r>
    </w:p>
    <w:p w14:paraId="30A6D455" w14:textId="6C3B88E3" w:rsidR="002F06E6" w:rsidRPr="00C84576" w:rsidRDefault="002F06E6" w:rsidP="00534AA2">
      <w:pPr>
        <w:spacing w:line="480" w:lineRule="auto"/>
        <w:jc w:val="center"/>
        <w:rPr>
          <w:rFonts w:cstheme="minorHAnsi"/>
          <w:sz w:val="24"/>
          <w:szCs w:val="24"/>
        </w:rPr>
      </w:pPr>
      <w:r w:rsidRPr="00C84576">
        <w:rPr>
          <w:rFonts w:cstheme="minorHAnsi"/>
          <w:sz w:val="24"/>
          <w:szCs w:val="24"/>
        </w:rPr>
        <w:t>The University of Tennessee, Knoxville</w:t>
      </w:r>
    </w:p>
    <w:p w14:paraId="03197EEB" w14:textId="77777777" w:rsidR="002F06E6" w:rsidRPr="00C84576" w:rsidRDefault="002F06E6" w:rsidP="00534AA2">
      <w:pPr>
        <w:spacing w:line="480" w:lineRule="auto"/>
        <w:jc w:val="center"/>
        <w:rPr>
          <w:rFonts w:cstheme="minorHAnsi"/>
          <w:sz w:val="24"/>
          <w:szCs w:val="24"/>
        </w:rPr>
      </w:pPr>
    </w:p>
    <w:p w14:paraId="69A1FD0D" w14:textId="77777777" w:rsidR="002F06E6" w:rsidRPr="00C84576" w:rsidRDefault="002F06E6" w:rsidP="00534AA2">
      <w:pPr>
        <w:spacing w:line="480" w:lineRule="auto"/>
        <w:jc w:val="center"/>
        <w:rPr>
          <w:rFonts w:cstheme="minorHAnsi"/>
          <w:sz w:val="24"/>
          <w:szCs w:val="24"/>
        </w:rPr>
      </w:pPr>
    </w:p>
    <w:p w14:paraId="31441281" w14:textId="77777777" w:rsidR="002F06E6" w:rsidRPr="00C84576" w:rsidRDefault="002F06E6" w:rsidP="00534AA2">
      <w:pPr>
        <w:spacing w:line="480" w:lineRule="auto"/>
        <w:jc w:val="center"/>
        <w:rPr>
          <w:rFonts w:cstheme="minorHAnsi"/>
          <w:sz w:val="24"/>
          <w:szCs w:val="24"/>
        </w:rPr>
      </w:pPr>
    </w:p>
    <w:p w14:paraId="6F988787" w14:textId="77777777" w:rsidR="002F06E6" w:rsidRPr="00C84576" w:rsidRDefault="002F06E6" w:rsidP="00534AA2">
      <w:pPr>
        <w:spacing w:line="480" w:lineRule="auto"/>
        <w:jc w:val="center"/>
        <w:rPr>
          <w:rFonts w:cstheme="minorHAnsi"/>
          <w:sz w:val="24"/>
          <w:szCs w:val="24"/>
        </w:rPr>
      </w:pPr>
    </w:p>
    <w:p w14:paraId="6C9336B6" w14:textId="77777777" w:rsidR="002F06E6" w:rsidRPr="00C84576" w:rsidRDefault="002F06E6" w:rsidP="00534AA2">
      <w:pPr>
        <w:spacing w:line="480" w:lineRule="auto"/>
        <w:jc w:val="center"/>
        <w:rPr>
          <w:rFonts w:cstheme="minorHAnsi"/>
          <w:sz w:val="24"/>
          <w:szCs w:val="24"/>
        </w:rPr>
      </w:pPr>
    </w:p>
    <w:p w14:paraId="66D42A2B" w14:textId="572CCBCC" w:rsidR="002F06E6" w:rsidRPr="00C84576" w:rsidRDefault="002F06E6" w:rsidP="00534AA2">
      <w:pPr>
        <w:spacing w:line="480" w:lineRule="auto"/>
        <w:jc w:val="center"/>
        <w:rPr>
          <w:rFonts w:cstheme="minorHAnsi"/>
          <w:sz w:val="24"/>
          <w:szCs w:val="24"/>
        </w:rPr>
      </w:pPr>
      <w:r w:rsidRPr="00C84576">
        <w:rPr>
          <w:rFonts w:cstheme="minorHAnsi"/>
          <w:sz w:val="24"/>
          <w:szCs w:val="24"/>
        </w:rPr>
        <w:t>Julie A. Roe</w:t>
      </w:r>
    </w:p>
    <w:p w14:paraId="31DC724C" w14:textId="0463C7A9" w:rsidR="002F06E6" w:rsidRDefault="00AA43CB" w:rsidP="00534AA2">
      <w:pPr>
        <w:spacing w:line="480" w:lineRule="auto"/>
        <w:jc w:val="center"/>
        <w:rPr>
          <w:rFonts w:cstheme="minorHAnsi"/>
          <w:sz w:val="24"/>
          <w:szCs w:val="24"/>
        </w:rPr>
      </w:pPr>
      <w:r>
        <w:rPr>
          <w:rFonts w:cstheme="minorHAnsi"/>
          <w:sz w:val="24"/>
          <w:szCs w:val="24"/>
        </w:rPr>
        <w:t xml:space="preserve">May </w:t>
      </w:r>
      <w:r w:rsidR="00441F01">
        <w:rPr>
          <w:rFonts w:cstheme="minorHAnsi"/>
          <w:sz w:val="24"/>
          <w:szCs w:val="24"/>
        </w:rPr>
        <w:t>17</w:t>
      </w:r>
      <w:r w:rsidR="00774FD3">
        <w:rPr>
          <w:rFonts w:cstheme="minorHAnsi"/>
          <w:sz w:val="24"/>
          <w:szCs w:val="24"/>
        </w:rPr>
        <w:t>, 2025</w:t>
      </w:r>
    </w:p>
    <w:p w14:paraId="4CA1BB66" w14:textId="77777777" w:rsidR="004348EC" w:rsidRDefault="004348EC" w:rsidP="004348EC">
      <w:pPr>
        <w:jc w:val="center"/>
        <w:rPr>
          <w:rFonts w:cstheme="minorHAnsi"/>
          <w:b/>
          <w:bCs/>
          <w:sz w:val="24"/>
          <w:szCs w:val="24"/>
        </w:rPr>
      </w:pPr>
      <w:r>
        <w:rPr>
          <w:rFonts w:cstheme="minorHAnsi"/>
          <w:sz w:val="24"/>
          <w:szCs w:val="24"/>
        </w:rPr>
        <w:br w:type="page"/>
      </w:r>
      <w:r w:rsidRPr="00441F01">
        <w:rPr>
          <w:rFonts w:cstheme="minorHAnsi"/>
          <w:b/>
          <w:bCs/>
          <w:sz w:val="24"/>
          <w:szCs w:val="24"/>
        </w:rPr>
        <w:lastRenderedPageBreak/>
        <w:t>Dedication</w:t>
      </w:r>
    </w:p>
    <w:p w14:paraId="36F69FCE" w14:textId="15FDB742" w:rsidR="004348EC" w:rsidRDefault="004348EC" w:rsidP="004348EC">
      <w:pPr>
        <w:jc w:val="center"/>
        <w:rPr>
          <w:rFonts w:cstheme="minorHAnsi"/>
          <w:b/>
          <w:bCs/>
          <w:sz w:val="24"/>
          <w:szCs w:val="24"/>
        </w:rPr>
      </w:pPr>
    </w:p>
    <w:p w14:paraId="4783CC0F" w14:textId="68B0405A" w:rsidR="004348EC" w:rsidRDefault="004348EC" w:rsidP="004348EC">
      <w:pPr>
        <w:jc w:val="center"/>
        <w:rPr>
          <w:rFonts w:cstheme="minorHAnsi"/>
          <w:b/>
          <w:bCs/>
          <w:sz w:val="24"/>
          <w:szCs w:val="24"/>
        </w:rPr>
      </w:pPr>
      <w:r>
        <w:rPr>
          <w:rFonts w:cstheme="minorHAnsi"/>
          <w:b/>
          <w:bCs/>
          <w:sz w:val="24"/>
          <w:szCs w:val="24"/>
        </w:rPr>
        <w:br w:type="page"/>
      </w:r>
      <w:r>
        <w:rPr>
          <w:rFonts w:cstheme="minorHAnsi"/>
          <w:b/>
          <w:bCs/>
          <w:sz w:val="24"/>
          <w:szCs w:val="24"/>
        </w:rPr>
        <w:lastRenderedPageBreak/>
        <w:br w:type="page"/>
      </w:r>
      <w:r>
        <w:rPr>
          <w:rFonts w:cstheme="minorHAnsi"/>
          <w:b/>
          <w:bCs/>
          <w:sz w:val="24"/>
          <w:szCs w:val="24"/>
        </w:rPr>
        <w:lastRenderedPageBreak/>
        <w:t>Acknowledgements</w:t>
      </w:r>
    </w:p>
    <w:p w14:paraId="5D82EB78" w14:textId="087CC12A" w:rsidR="004348EC" w:rsidRDefault="004348EC">
      <w:pPr>
        <w:rPr>
          <w:rFonts w:cstheme="minorHAnsi"/>
          <w:b/>
          <w:bCs/>
          <w:sz w:val="24"/>
          <w:szCs w:val="24"/>
        </w:rPr>
      </w:pPr>
      <w:r>
        <w:rPr>
          <w:rFonts w:cstheme="minorHAnsi"/>
          <w:b/>
          <w:bCs/>
          <w:sz w:val="24"/>
          <w:szCs w:val="24"/>
        </w:rPr>
        <w:br w:type="page"/>
      </w:r>
    </w:p>
    <w:p w14:paraId="309F2C9E" w14:textId="68E1F019" w:rsidR="00AA43CB" w:rsidRDefault="00AA43CB" w:rsidP="00534AA2">
      <w:pPr>
        <w:spacing w:line="480" w:lineRule="auto"/>
        <w:jc w:val="center"/>
        <w:rPr>
          <w:rFonts w:cstheme="minorHAnsi"/>
          <w:b/>
          <w:bCs/>
          <w:sz w:val="24"/>
          <w:szCs w:val="24"/>
        </w:rPr>
      </w:pPr>
      <w:r w:rsidRPr="00441F01">
        <w:rPr>
          <w:rFonts w:cstheme="minorHAnsi"/>
          <w:b/>
          <w:bCs/>
          <w:sz w:val="24"/>
          <w:szCs w:val="24"/>
        </w:rPr>
        <w:lastRenderedPageBreak/>
        <w:t>Abstract</w:t>
      </w:r>
    </w:p>
    <w:p w14:paraId="67DC8715" w14:textId="1CAA51B5" w:rsidR="00AA43CB" w:rsidRDefault="00AA43CB">
      <w:pPr>
        <w:rPr>
          <w:rFonts w:cstheme="minorHAnsi"/>
          <w:b/>
          <w:bCs/>
          <w:sz w:val="24"/>
          <w:szCs w:val="24"/>
        </w:rPr>
      </w:pPr>
      <w:r>
        <w:rPr>
          <w:rFonts w:cstheme="minorHAnsi"/>
          <w:b/>
          <w:bCs/>
          <w:sz w:val="24"/>
          <w:szCs w:val="24"/>
        </w:rPr>
        <w:br w:type="page"/>
      </w:r>
    </w:p>
    <w:p w14:paraId="4D0D5AC1" w14:textId="0BB85F0A" w:rsidR="00AA43CB" w:rsidRDefault="00AA43CB" w:rsidP="00534AA2">
      <w:pPr>
        <w:spacing w:line="480" w:lineRule="auto"/>
        <w:jc w:val="center"/>
        <w:rPr>
          <w:rFonts w:cstheme="minorHAnsi"/>
          <w:b/>
          <w:bCs/>
          <w:sz w:val="24"/>
          <w:szCs w:val="24"/>
        </w:rPr>
      </w:pPr>
      <w:r>
        <w:rPr>
          <w:rFonts w:cstheme="minorHAnsi"/>
          <w:b/>
          <w:bCs/>
          <w:sz w:val="24"/>
          <w:szCs w:val="24"/>
        </w:rPr>
        <w:lastRenderedPageBreak/>
        <w:t>Table of Contents</w:t>
      </w:r>
    </w:p>
    <w:p w14:paraId="26632FA5" w14:textId="77777777" w:rsidR="0055300F" w:rsidRDefault="00AA43CB" w:rsidP="0055300F">
      <w:pPr>
        <w:jc w:val="center"/>
        <w:rPr>
          <w:rFonts w:cstheme="minorHAnsi"/>
          <w:b/>
          <w:bCs/>
          <w:sz w:val="24"/>
          <w:szCs w:val="24"/>
        </w:rPr>
      </w:pPr>
      <w:r>
        <w:rPr>
          <w:rFonts w:cstheme="minorHAnsi"/>
          <w:b/>
          <w:bCs/>
          <w:sz w:val="24"/>
          <w:szCs w:val="24"/>
        </w:rPr>
        <w:br w:type="page"/>
      </w:r>
      <w:r w:rsidR="0055300F">
        <w:rPr>
          <w:rFonts w:cstheme="minorHAnsi"/>
          <w:b/>
          <w:bCs/>
          <w:sz w:val="24"/>
          <w:szCs w:val="24"/>
        </w:rPr>
        <w:lastRenderedPageBreak/>
        <w:t>List of Tables</w:t>
      </w:r>
    </w:p>
    <w:p w14:paraId="12B9A53E" w14:textId="77777777" w:rsidR="0055300F" w:rsidRPr="00441F01" w:rsidRDefault="0055300F" w:rsidP="0055300F">
      <w:pPr>
        <w:rPr>
          <w:rFonts w:cstheme="minorHAnsi"/>
          <w:sz w:val="24"/>
          <w:szCs w:val="24"/>
        </w:rPr>
      </w:pPr>
      <w:r w:rsidRPr="00441F01">
        <w:rPr>
          <w:rFonts w:cstheme="minorHAnsi"/>
          <w:sz w:val="24"/>
          <w:szCs w:val="24"/>
        </w:rPr>
        <w:t>Table Participant Demographics</w:t>
      </w:r>
    </w:p>
    <w:p w14:paraId="55CEF6AB" w14:textId="25F04E58" w:rsidR="0055300F" w:rsidRPr="00441F01" w:rsidRDefault="0055300F" w:rsidP="0055300F">
      <w:pPr>
        <w:rPr>
          <w:rFonts w:cstheme="minorHAnsi"/>
          <w:sz w:val="24"/>
          <w:szCs w:val="24"/>
        </w:rPr>
      </w:pPr>
      <w:r w:rsidRPr="00441F01">
        <w:rPr>
          <w:rFonts w:cstheme="minorHAnsi"/>
          <w:sz w:val="24"/>
          <w:szCs w:val="24"/>
        </w:rPr>
        <w:t>Table of Threat Assessment Models</w:t>
      </w:r>
    </w:p>
    <w:p w14:paraId="5EFD9751" w14:textId="77777777" w:rsidR="0055300F" w:rsidRPr="00441F01" w:rsidRDefault="0055300F" w:rsidP="0055300F">
      <w:pPr>
        <w:rPr>
          <w:rFonts w:cstheme="minorHAnsi"/>
          <w:sz w:val="24"/>
          <w:szCs w:val="24"/>
        </w:rPr>
      </w:pPr>
      <w:r w:rsidRPr="00441F01">
        <w:rPr>
          <w:rFonts w:cstheme="minorHAnsi"/>
          <w:sz w:val="24"/>
          <w:szCs w:val="24"/>
        </w:rPr>
        <w:t>Table of Fours Frames &amp; Utilization</w:t>
      </w:r>
    </w:p>
    <w:p w14:paraId="309FD695" w14:textId="41E419FA" w:rsidR="0055300F" w:rsidRDefault="0055300F" w:rsidP="0055300F">
      <w:pPr>
        <w:rPr>
          <w:rFonts w:cstheme="minorHAnsi"/>
          <w:b/>
          <w:bCs/>
          <w:sz w:val="24"/>
          <w:szCs w:val="24"/>
        </w:rPr>
      </w:pPr>
      <w:r w:rsidRPr="00441F01">
        <w:rPr>
          <w:rFonts w:cstheme="minorHAnsi"/>
          <w:sz w:val="24"/>
          <w:szCs w:val="24"/>
        </w:rPr>
        <w:t>Others?</w:t>
      </w:r>
      <w:r>
        <w:rPr>
          <w:rFonts w:cstheme="minorHAnsi"/>
          <w:b/>
          <w:bCs/>
          <w:sz w:val="24"/>
          <w:szCs w:val="24"/>
        </w:rPr>
        <w:br w:type="page"/>
      </w:r>
    </w:p>
    <w:p w14:paraId="2F3D5192" w14:textId="1F7041FA" w:rsidR="00651FFD" w:rsidRPr="009513A7" w:rsidRDefault="00534AA2" w:rsidP="00AB771A">
      <w:pPr>
        <w:spacing w:line="480" w:lineRule="auto"/>
        <w:jc w:val="center"/>
        <w:rPr>
          <w:rFonts w:cstheme="minorHAnsi"/>
          <w:b/>
          <w:bCs/>
          <w:sz w:val="24"/>
          <w:szCs w:val="24"/>
        </w:rPr>
      </w:pPr>
      <w:r w:rsidRPr="009513A7">
        <w:rPr>
          <w:rFonts w:cstheme="minorHAnsi"/>
          <w:b/>
          <w:bCs/>
          <w:sz w:val="24"/>
          <w:szCs w:val="24"/>
        </w:rPr>
        <w:lastRenderedPageBreak/>
        <w:t>CHAPTER 1</w:t>
      </w:r>
    </w:p>
    <w:p w14:paraId="11201B57" w14:textId="40AC73E2" w:rsidR="00534AA2" w:rsidRPr="009513A7" w:rsidRDefault="00534AA2" w:rsidP="00441F01">
      <w:pPr>
        <w:spacing w:line="480" w:lineRule="auto"/>
        <w:jc w:val="center"/>
        <w:rPr>
          <w:rFonts w:cstheme="minorHAnsi"/>
          <w:b/>
          <w:bCs/>
          <w:sz w:val="24"/>
          <w:szCs w:val="24"/>
        </w:rPr>
      </w:pPr>
      <w:r w:rsidRPr="009513A7">
        <w:rPr>
          <w:rFonts w:cstheme="minorHAnsi"/>
          <w:b/>
          <w:bCs/>
          <w:sz w:val="24"/>
          <w:szCs w:val="24"/>
        </w:rPr>
        <w:t>INTRODUCTI</w:t>
      </w:r>
      <w:r w:rsidR="007C0AA6" w:rsidRPr="009513A7">
        <w:rPr>
          <w:rFonts w:cstheme="minorHAnsi"/>
          <w:b/>
          <w:bCs/>
          <w:sz w:val="24"/>
          <w:szCs w:val="24"/>
        </w:rPr>
        <w:t>ON</w:t>
      </w:r>
    </w:p>
    <w:p w14:paraId="75188327" w14:textId="6C74DA40" w:rsidR="00EA4E06" w:rsidRDefault="00E26144" w:rsidP="002F06E6">
      <w:pPr>
        <w:spacing w:after="0" w:line="480" w:lineRule="auto"/>
        <w:ind w:firstLine="720"/>
        <w:rPr>
          <w:rFonts w:cstheme="minorHAnsi"/>
          <w:sz w:val="24"/>
          <w:szCs w:val="24"/>
        </w:rPr>
      </w:pPr>
      <w:r>
        <w:rPr>
          <w:rFonts w:cstheme="minorHAnsi"/>
          <w:sz w:val="24"/>
          <w:szCs w:val="24"/>
        </w:rPr>
        <w:t xml:space="preserve">A </w:t>
      </w:r>
      <w:r w:rsidR="00EA4E06">
        <w:rPr>
          <w:rFonts w:cstheme="minorHAnsi"/>
          <w:sz w:val="24"/>
          <w:szCs w:val="24"/>
        </w:rPr>
        <w:t xml:space="preserve">quiet </w:t>
      </w:r>
      <w:r w:rsidR="00243F5E">
        <w:rPr>
          <w:rFonts w:cstheme="minorHAnsi"/>
          <w:sz w:val="24"/>
          <w:szCs w:val="24"/>
        </w:rPr>
        <w:t xml:space="preserve">fall </w:t>
      </w:r>
      <w:r>
        <w:rPr>
          <w:rFonts w:cstheme="minorHAnsi"/>
          <w:sz w:val="24"/>
          <w:szCs w:val="24"/>
        </w:rPr>
        <w:t>day that start</w:t>
      </w:r>
      <w:r w:rsidR="00243F5E">
        <w:rPr>
          <w:rFonts w:cstheme="minorHAnsi"/>
          <w:sz w:val="24"/>
          <w:szCs w:val="24"/>
        </w:rPr>
        <w:t>ed</w:t>
      </w:r>
      <w:r>
        <w:rPr>
          <w:rFonts w:cstheme="minorHAnsi"/>
          <w:sz w:val="24"/>
          <w:szCs w:val="24"/>
        </w:rPr>
        <w:t xml:space="preserve"> out like any other day quickly </w:t>
      </w:r>
      <w:r w:rsidR="00243F5E">
        <w:rPr>
          <w:rFonts w:cstheme="minorHAnsi"/>
          <w:sz w:val="24"/>
          <w:szCs w:val="24"/>
        </w:rPr>
        <w:t xml:space="preserve">turned tragic as four students at the University of Idaho and three at the University of </w:t>
      </w:r>
      <w:r w:rsidR="002F06E6">
        <w:rPr>
          <w:rFonts w:cstheme="minorHAnsi"/>
          <w:sz w:val="24"/>
          <w:szCs w:val="24"/>
        </w:rPr>
        <w:t>Virginia</w:t>
      </w:r>
      <w:r w:rsidR="00243F5E">
        <w:rPr>
          <w:rFonts w:cstheme="minorHAnsi"/>
          <w:sz w:val="24"/>
          <w:szCs w:val="24"/>
        </w:rPr>
        <w:t xml:space="preserve"> died in separate tragedies on a Sunday in November 2022 (Rodrigues &amp; Goodman, 2022). </w:t>
      </w:r>
      <w:r>
        <w:rPr>
          <w:rFonts w:cstheme="minorHAnsi"/>
          <w:sz w:val="24"/>
          <w:szCs w:val="24"/>
        </w:rPr>
        <w:t>Unfortunately,</w:t>
      </w:r>
      <w:r w:rsidR="00243F5E">
        <w:rPr>
          <w:rFonts w:cstheme="minorHAnsi"/>
          <w:sz w:val="24"/>
          <w:szCs w:val="24"/>
        </w:rPr>
        <w:t xml:space="preserve"> the</w:t>
      </w:r>
      <w:r>
        <w:rPr>
          <w:rFonts w:cstheme="minorHAnsi"/>
          <w:sz w:val="24"/>
          <w:szCs w:val="24"/>
        </w:rPr>
        <w:t xml:space="preserve"> rise in active shooter cases</w:t>
      </w:r>
      <w:r w:rsidR="00746F12">
        <w:rPr>
          <w:rFonts w:cstheme="minorHAnsi"/>
          <w:sz w:val="24"/>
          <w:szCs w:val="24"/>
        </w:rPr>
        <w:t>,</w:t>
      </w:r>
      <w:r>
        <w:rPr>
          <w:rFonts w:cstheme="minorHAnsi"/>
          <w:sz w:val="24"/>
          <w:szCs w:val="24"/>
        </w:rPr>
        <w:t xml:space="preserve"> </w:t>
      </w:r>
      <w:r w:rsidR="00766AD6">
        <w:rPr>
          <w:rFonts w:cstheme="minorHAnsi"/>
          <w:sz w:val="24"/>
          <w:szCs w:val="24"/>
        </w:rPr>
        <w:t>in</w:t>
      </w:r>
      <w:r w:rsidR="00746F12">
        <w:rPr>
          <w:rFonts w:cstheme="minorHAnsi"/>
          <w:sz w:val="24"/>
          <w:szCs w:val="24"/>
        </w:rPr>
        <w:t>cluding</w:t>
      </w:r>
      <w:r w:rsidR="00766AD6">
        <w:rPr>
          <w:rFonts w:cstheme="minorHAnsi"/>
          <w:sz w:val="24"/>
          <w:szCs w:val="24"/>
        </w:rPr>
        <w:t xml:space="preserve"> </w:t>
      </w:r>
      <w:r w:rsidR="00B9712B">
        <w:rPr>
          <w:rFonts w:cstheme="minorHAnsi"/>
          <w:sz w:val="24"/>
          <w:szCs w:val="24"/>
        </w:rPr>
        <w:t xml:space="preserve">those in </w:t>
      </w:r>
      <w:r w:rsidR="00766AD6">
        <w:rPr>
          <w:rFonts w:cstheme="minorHAnsi"/>
          <w:sz w:val="24"/>
          <w:szCs w:val="24"/>
        </w:rPr>
        <w:t>educational environments</w:t>
      </w:r>
      <w:r w:rsidR="00746F12">
        <w:rPr>
          <w:rFonts w:cstheme="minorHAnsi"/>
          <w:sz w:val="24"/>
          <w:szCs w:val="24"/>
        </w:rPr>
        <w:t>,</w:t>
      </w:r>
      <w:r w:rsidR="00766AD6">
        <w:rPr>
          <w:rFonts w:cstheme="minorHAnsi"/>
          <w:sz w:val="24"/>
          <w:szCs w:val="24"/>
        </w:rPr>
        <w:t xml:space="preserve"> </w:t>
      </w:r>
      <w:r>
        <w:rPr>
          <w:rFonts w:cstheme="minorHAnsi"/>
          <w:sz w:val="24"/>
          <w:szCs w:val="24"/>
        </w:rPr>
        <w:t xml:space="preserve">and </w:t>
      </w:r>
      <w:r w:rsidR="00EA4E06">
        <w:rPr>
          <w:rFonts w:cstheme="minorHAnsi"/>
          <w:sz w:val="24"/>
          <w:szCs w:val="24"/>
        </w:rPr>
        <w:t>swift</w:t>
      </w:r>
      <w:r>
        <w:rPr>
          <w:rFonts w:cstheme="minorHAnsi"/>
          <w:sz w:val="24"/>
          <w:szCs w:val="24"/>
        </w:rPr>
        <w:t xml:space="preserve"> media </w:t>
      </w:r>
      <w:r w:rsidR="00EA4E06">
        <w:rPr>
          <w:rFonts w:cstheme="minorHAnsi"/>
          <w:sz w:val="24"/>
          <w:szCs w:val="24"/>
        </w:rPr>
        <w:t xml:space="preserve">response has continued to </w:t>
      </w:r>
      <w:r w:rsidR="00832D2E">
        <w:rPr>
          <w:rFonts w:cstheme="minorHAnsi"/>
          <w:sz w:val="24"/>
          <w:szCs w:val="24"/>
        </w:rPr>
        <w:t>increase</w:t>
      </w:r>
      <w:r w:rsidR="00EA4E06">
        <w:rPr>
          <w:rFonts w:cstheme="minorHAnsi"/>
          <w:sz w:val="24"/>
          <w:szCs w:val="24"/>
        </w:rPr>
        <w:t xml:space="preserve"> (</w:t>
      </w:r>
      <w:r w:rsidR="00746F12">
        <w:rPr>
          <w:rFonts w:cstheme="minorHAnsi"/>
          <w:sz w:val="24"/>
          <w:szCs w:val="24"/>
        </w:rPr>
        <w:t>Federal B</w:t>
      </w:r>
      <w:r w:rsidR="00B9712B">
        <w:rPr>
          <w:rFonts w:cstheme="minorHAnsi"/>
          <w:sz w:val="24"/>
          <w:szCs w:val="24"/>
        </w:rPr>
        <w:t>u</w:t>
      </w:r>
      <w:r w:rsidR="00746F12">
        <w:rPr>
          <w:rFonts w:cstheme="minorHAnsi"/>
          <w:sz w:val="24"/>
          <w:szCs w:val="24"/>
        </w:rPr>
        <w:t xml:space="preserve">reau of Investigation et al., 2022; </w:t>
      </w:r>
      <w:r w:rsidR="00243F5E">
        <w:rPr>
          <w:rFonts w:cstheme="minorHAnsi"/>
          <w:sz w:val="24"/>
          <w:szCs w:val="24"/>
        </w:rPr>
        <w:t>Reed, 2023</w:t>
      </w:r>
      <w:r w:rsidR="00EA4E06">
        <w:rPr>
          <w:rFonts w:cstheme="minorHAnsi"/>
          <w:sz w:val="24"/>
          <w:szCs w:val="24"/>
        </w:rPr>
        <w:t xml:space="preserve">). </w:t>
      </w:r>
      <w:r w:rsidR="000C4F49" w:rsidRPr="009513A7">
        <w:rPr>
          <w:rFonts w:cstheme="minorHAnsi"/>
          <w:sz w:val="24"/>
          <w:szCs w:val="24"/>
        </w:rPr>
        <w:t xml:space="preserve">While campus safety concerns are not a new phenomenon, the physical and mental safety of faculty, staff, and students can affect how they work and learn (Bolante &amp; Dykeman, 2017). </w:t>
      </w:r>
      <w:r w:rsidR="00C67E3E" w:rsidRPr="009513A7">
        <w:rPr>
          <w:rFonts w:cstheme="minorHAnsi"/>
          <w:sz w:val="24"/>
          <w:szCs w:val="24"/>
        </w:rPr>
        <w:t xml:space="preserve">Colleges and universities must remain flexible yet steadfast, by adapting to change while remaining faithful to their founding principles. </w:t>
      </w:r>
      <w:r w:rsidR="00145A35">
        <w:rPr>
          <w:rFonts w:cstheme="minorHAnsi"/>
          <w:sz w:val="24"/>
          <w:szCs w:val="24"/>
        </w:rPr>
        <w:t>M</w:t>
      </w:r>
      <w:r w:rsidR="00C67E3E" w:rsidRPr="009513A7">
        <w:rPr>
          <w:rFonts w:cstheme="minorHAnsi"/>
          <w:sz w:val="24"/>
          <w:szCs w:val="24"/>
        </w:rPr>
        <w:t>any critical issues challenge this notion</w:t>
      </w:r>
      <w:r w:rsidR="00832D2E">
        <w:rPr>
          <w:rFonts w:cstheme="minorHAnsi"/>
          <w:sz w:val="24"/>
          <w:szCs w:val="24"/>
        </w:rPr>
        <w:t>,</w:t>
      </w:r>
      <w:r w:rsidR="00145A35">
        <w:rPr>
          <w:rFonts w:cstheme="minorHAnsi"/>
          <w:sz w:val="24"/>
          <w:szCs w:val="24"/>
        </w:rPr>
        <w:t xml:space="preserve"> and </w:t>
      </w:r>
      <w:r w:rsidR="00C67E3E" w:rsidRPr="009513A7">
        <w:rPr>
          <w:rFonts w:cstheme="minorHAnsi"/>
          <w:sz w:val="24"/>
          <w:szCs w:val="24"/>
        </w:rPr>
        <w:t xml:space="preserve">campus safety is a prevalent issue facing institutions of higher education (IHEs; Allen &amp; Lengfellner, 2016; Blumenstyk, 2015; Drysdale et al., 2010; Flannery et al., 2021; </w:t>
      </w:r>
      <w:r w:rsidR="00C67E3E" w:rsidRPr="009513A7">
        <w:rPr>
          <w:rFonts w:cstheme="minorHAnsi"/>
          <w:sz w:val="24"/>
          <w:szCs w:val="24"/>
          <w:shd w:val="clear" w:color="auto" w:fill="FFFFFF"/>
        </w:rPr>
        <w:t>Hoisington, 2017; Paterson, 2020</w:t>
      </w:r>
      <w:r w:rsidR="00C67E3E" w:rsidRPr="009513A7">
        <w:rPr>
          <w:rFonts w:cstheme="minorHAnsi"/>
          <w:sz w:val="24"/>
          <w:szCs w:val="24"/>
        </w:rPr>
        <w:t xml:space="preserve">). </w:t>
      </w:r>
      <w:r w:rsidR="00790AC3">
        <w:rPr>
          <w:rFonts w:cstheme="minorHAnsi"/>
          <w:sz w:val="24"/>
          <w:szCs w:val="24"/>
        </w:rPr>
        <w:t>Further</w:t>
      </w:r>
      <w:r w:rsidR="00832D2E">
        <w:rPr>
          <w:rFonts w:cstheme="minorHAnsi"/>
          <w:sz w:val="24"/>
          <w:szCs w:val="24"/>
        </w:rPr>
        <w:t>more</w:t>
      </w:r>
      <w:r w:rsidR="00790AC3">
        <w:rPr>
          <w:rFonts w:cstheme="minorHAnsi"/>
          <w:sz w:val="24"/>
          <w:szCs w:val="24"/>
        </w:rPr>
        <w:t>, c</w:t>
      </w:r>
      <w:r w:rsidR="00A56BEF" w:rsidRPr="009513A7">
        <w:rPr>
          <w:rFonts w:cstheme="minorHAnsi"/>
          <w:sz w:val="24"/>
          <w:szCs w:val="24"/>
        </w:rPr>
        <w:t xml:space="preserve">ampus violence is an extension of societal, or community violence; therefore, colleges are obligated to establish environments through primary prevention strategies that may shift culture to create more mature adults and ultimately affect campus safety (Birnbaum, 2013; Paterson, 2020; Roark, 1987). </w:t>
      </w:r>
      <w:r w:rsidR="00F17F6E">
        <w:rPr>
          <w:rFonts w:cstheme="minorHAnsi"/>
          <w:sz w:val="24"/>
          <w:szCs w:val="24"/>
        </w:rPr>
        <w:t xml:space="preserve">The </w:t>
      </w:r>
      <w:r w:rsidR="00452290">
        <w:rPr>
          <w:rFonts w:cstheme="minorHAnsi"/>
          <w:sz w:val="24"/>
          <w:szCs w:val="24"/>
        </w:rPr>
        <w:t>relaxation of g</w:t>
      </w:r>
      <w:r w:rsidR="00F17F6E" w:rsidRPr="009513A7">
        <w:rPr>
          <w:rFonts w:cstheme="minorHAnsi"/>
          <w:sz w:val="24"/>
          <w:szCs w:val="24"/>
        </w:rPr>
        <w:t>un control</w:t>
      </w:r>
      <w:r w:rsidR="00452290">
        <w:rPr>
          <w:rFonts w:cstheme="minorHAnsi"/>
          <w:sz w:val="24"/>
          <w:szCs w:val="24"/>
        </w:rPr>
        <w:t xml:space="preserve"> </w:t>
      </w:r>
      <w:r w:rsidR="00452290" w:rsidRPr="009513A7">
        <w:rPr>
          <w:rFonts w:cstheme="minorHAnsi"/>
          <w:sz w:val="24"/>
          <w:szCs w:val="24"/>
        </w:rPr>
        <w:t xml:space="preserve"> </w:t>
      </w:r>
      <w:r w:rsidR="00C67E3E" w:rsidRPr="009513A7">
        <w:rPr>
          <w:rFonts w:cstheme="minorHAnsi"/>
          <w:sz w:val="24"/>
          <w:szCs w:val="24"/>
        </w:rPr>
        <w:t>, increase in active shooter cases, and continued prevalence of other types of campus violence (e.g., sexual assault</w:t>
      </w:r>
      <w:r w:rsidR="00145A35">
        <w:rPr>
          <w:rFonts w:cstheme="minorHAnsi"/>
          <w:sz w:val="24"/>
          <w:szCs w:val="24"/>
        </w:rPr>
        <w:t>, stalking</w:t>
      </w:r>
      <w:r w:rsidR="00C67E3E" w:rsidRPr="009513A7">
        <w:rPr>
          <w:rFonts w:cstheme="minorHAnsi"/>
          <w:sz w:val="24"/>
          <w:szCs w:val="24"/>
        </w:rPr>
        <w:t>)</w:t>
      </w:r>
      <w:r w:rsidR="00944044">
        <w:rPr>
          <w:rFonts w:cstheme="minorHAnsi"/>
          <w:sz w:val="24"/>
          <w:szCs w:val="24"/>
        </w:rPr>
        <w:t xml:space="preserve"> as well as insider threats</w:t>
      </w:r>
      <w:r w:rsidR="00C67E3E" w:rsidRPr="009513A7">
        <w:rPr>
          <w:rFonts w:cstheme="minorHAnsi"/>
          <w:sz w:val="24"/>
          <w:szCs w:val="24"/>
        </w:rPr>
        <w:t xml:space="preserve"> warrant ongoing and proactive mitigation strategies (Birnbaum, 2013; </w:t>
      </w:r>
      <w:r w:rsidR="00944044">
        <w:rPr>
          <w:rFonts w:cstheme="minorHAnsi"/>
          <w:sz w:val="24"/>
          <w:szCs w:val="24"/>
        </w:rPr>
        <w:t xml:space="preserve">Meloy &amp; Hoffmann, 2021; </w:t>
      </w:r>
      <w:r w:rsidR="00C67E3E" w:rsidRPr="009513A7">
        <w:rPr>
          <w:rFonts w:cstheme="minorHAnsi"/>
          <w:sz w:val="24"/>
          <w:szCs w:val="24"/>
        </w:rPr>
        <w:t>Paterson, 2020; Wilson &amp; Karus, 1983).</w:t>
      </w:r>
      <w:r w:rsidR="00145A35">
        <w:rPr>
          <w:rFonts w:cstheme="minorHAnsi"/>
          <w:sz w:val="24"/>
          <w:szCs w:val="24"/>
        </w:rPr>
        <w:t xml:space="preserve"> </w:t>
      </w:r>
      <w:r w:rsidR="00243F5E" w:rsidRPr="00243F5E">
        <w:rPr>
          <w:rFonts w:cstheme="minorHAnsi"/>
          <w:sz w:val="24"/>
          <w:szCs w:val="24"/>
        </w:rPr>
        <w:t>Multidisciplinary teams bring diversity of perspective and subject-matter experts together for collaborative and creative problem-solving (Deisinger et al., 2008</w:t>
      </w:r>
      <w:r w:rsidR="00DD5E30">
        <w:rPr>
          <w:rFonts w:cstheme="minorHAnsi"/>
          <w:sz w:val="24"/>
          <w:szCs w:val="24"/>
        </w:rPr>
        <w:t xml:space="preserve">; </w:t>
      </w:r>
      <w:bookmarkStart w:id="0" w:name="_Hlk149505978"/>
      <w:r w:rsidR="00DD5E30" w:rsidRPr="00CD5EC0">
        <w:rPr>
          <w:rFonts w:cstheme="minorHAnsi"/>
          <w:sz w:val="24"/>
          <w:szCs w:val="24"/>
        </w:rPr>
        <w:t>Meloy</w:t>
      </w:r>
      <w:r w:rsidR="00DD5E30">
        <w:rPr>
          <w:rFonts w:cstheme="minorHAnsi"/>
          <w:sz w:val="24"/>
          <w:szCs w:val="24"/>
        </w:rPr>
        <w:t xml:space="preserve"> &amp;</w:t>
      </w:r>
      <w:r w:rsidR="00DD5E30" w:rsidRPr="00CD5EC0">
        <w:rPr>
          <w:rFonts w:cstheme="minorHAnsi"/>
          <w:sz w:val="24"/>
          <w:szCs w:val="24"/>
        </w:rPr>
        <w:t xml:space="preserve"> Hoffmann, 2021</w:t>
      </w:r>
      <w:bookmarkEnd w:id="0"/>
      <w:r w:rsidR="00DD5E30">
        <w:rPr>
          <w:rFonts w:cstheme="minorHAnsi"/>
          <w:sz w:val="24"/>
          <w:szCs w:val="24"/>
        </w:rPr>
        <w:t>)</w:t>
      </w:r>
      <w:r w:rsidR="00243F5E" w:rsidRPr="00243F5E">
        <w:rPr>
          <w:rFonts w:cstheme="minorHAnsi"/>
          <w:sz w:val="24"/>
          <w:szCs w:val="24"/>
        </w:rPr>
        <w:t>.</w:t>
      </w:r>
      <w:r w:rsidR="00A56BEF">
        <w:rPr>
          <w:rFonts w:cstheme="minorHAnsi"/>
          <w:sz w:val="24"/>
          <w:szCs w:val="24"/>
        </w:rPr>
        <w:t xml:space="preserve"> </w:t>
      </w:r>
      <w:r w:rsidR="00A56BEF" w:rsidRPr="00F95FC0">
        <w:rPr>
          <w:rFonts w:cstheme="minorHAnsi"/>
          <w:sz w:val="24"/>
          <w:szCs w:val="24"/>
        </w:rPr>
        <w:lastRenderedPageBreak/>
        <w:t>Threat assessment teams (TATs) serve</w:t>
      </w:r>
      <w:r w:rsidR="00A56BEF" w:rsidRPr="009513A7">
        <w:rPr>
          <w:rFonts w:cstheme="minorHAnsi"/>
          <w:sz w:val="24"/>
          <w:szCs w:val="24"/>
        </w:rPr>
        <w:t xml:space="preserve"> as an effective way for </w:t>
      </w:r>
      <w:r w:rsidR="00143E9B">
        <w:rPr>
          <w:rFonts w:cstheme="minorHAnsi"/>
          <w:sz w:val="24"/>
          <w:szCs w:val="24"/>
        </w:rPr>
        <w:t>institutions of higher education (IHE)</w:t>
      </w:r>
      <w:r w:rsidR="00A56BEF" w:rsidRPr="009513A7">
        <w:rPr>
          <w:rFonts w:cstheme="minorHAnsi"/>
          <w:sz w:val="24"/>
          <w:szCs w:val="24"/>
        </w:rPr>
        <w:t xml:space="preserve">s to create a culture of care and fulfill institutional duty </w:t>
      </w:r>
      <w:r w:rsidR="00790AC3">
        <w:rPr>
          <w:rFonts w:cstheme="minorHAnsi"/>
          <w:sz w:val="24"/>
          <w:szCs w:val="24"/>
        </w:rPr>
        <w:t xml:space="preserve">in times of distress to prevent crisis </w:t>
      </w:r>
      <w:r w:rsidR="00A56BEF" w:rsidRPr="009513A7">
        <w:rPr>
          <w:rFonts w:cstheme="minorHAnsi"/>
          <w:sz w:val="24"/>
          <w:szCs w:val="24"/>
        </w:rPr>
        <w:t>(</w:t>
      </w:r>
      <w:r w:rsidR="00A56BEF" w:rsidRPr="009513A7">
        <w:rPr>
          <w:rFonts w:eastAsia="Calibri" w:cstheme="minorHAnsi"/>
          <w:sz w:val="24"/>
          <w:szCs w:val="24"/>
        </w:rPr>
        <w:t xml:space="preserve">Deisinger et al., 2008; Haynes, 2013; </w:t>
      </w:r>
      <w:r w:rsidR="00E222A5" w:rsidRPr="00CD5EC0">
        <w:rPr>
          <w:rFonts w:cstheme="minorHAnsi"/>
          <w:sz w:val="24"/>
          <w:szCs w:val="24"/>
        </w:rPr>
        <w:t>Meloy</w:t>
      </w:r>
      <w:r w:rsidR="00E222A5">
        <w:rPr>
          <w:rFonts w:cstheme="minorHAnsi"/>
          <w:sz w:val="24"/>
          <w:szCs w:val="24"/>
        </w:rPr>
        <w:t xml:space="preserve"> &amp;</w:t>
      </w:r>
      <w:r w:rsidR="00E222A5" w:rsidRPr="00CD5EC0">
        <w:rPr>
          <w:rFonts w:cstheme="minorHAnsi"/>
          <w:sz w:val="24"/>
          <w:szCs w:val="24"/>
        </w:rPr>
        <w:t xml:space="preserve"> Hoffmann, 2021</w:t>
      </w:r>
      <w:r w:rsidR="00E222A5">
        <w:rPr>
          <w:rFonts w:cstheme="minorHAnsi"/>
          <w:sz w:val="24"/>
          <w:szCs w:val="24"/>
        </w:rPr>
        <w:t xml:space="preserve">; </w:t>
      </w:r>
      <w:r w:rsidR="00A56BEF" w:rsidRPr="009513A7">
        <w:rPr>
          <w:rFonts w:eastAsia="Calibri" w:cstheme="minorHAnsi"/>
          <w:sz w:val="24"/>
          <w:szCs w:val="24"/>
        </w:rPr>
        <w:t>Okada &amp; Pollard, 2021)</w:t>
      </w:r>
      <w:r w:rsidR="00A56BEF" w:rsidRPr="009513A7">
        <w:rPr>
          <w:rFonts w:cstheme="minorHAnsi"/>
          <w:sz w:val="24"/>
          <w:szCs w:val="24"/>
        </w:rPr>
        <w:t>.</w:t>
      </w:r>
    </w:p>
    <w:p w14:paraId="69710C84" w14:textId="46BBC35E" w:rsidR="00A04160" w:rsidRDefault="000C4F49" w:rsidP="002F06E6">
      <w:pPr>
        <w:spacing w:after="0" w:line="480" w:lineRule="auto"/>
        <w:ind w:firstLine="720"/>
        <w:rPr>
          <w:rFonts w:cstheme="minorHAnsi"/>
          <w:sz w:val="24"/>
          <w:szCs w:val="24"/>
        </w:rPr>
      </w:pPr>
      <w:r>
        <w:rPr>
          <w:rFonts w:cstheme="minorHAnsi"/>
          <w:sz w:val="24"/>
          <w:szCs w:val="24"/>
        </w:rPr>
        <w:t>Threat assessment fosters</w:t>
      </w:r>
      <w:r w:rsidR="00C67E3E" w:rsidRPr="009513A7">
        <w:rPr>
          <w:rFonts w:cstheme="minorHAnsi"/>
          <w:sz w:val="24"/>
          <w:szCs w:val="24"/>
        </w:rPr>
        <w:t xml:space="preserve"> an </w:t>
      </w:r>
      <w:r w:rsidR="008173D0" w:rsidRPr="009513A7">
        <w:rPr>
          <w:rFonts w:cstheme="minorHAnsi"/>
          <w:sz w:val="24"/>
          <w:szCs w:val="24"/>
        </w:rPr>
        <w:t xml:space="preserve">institutional duty of care </w:t>
      </w:r>
      <w:r w:rsidR="00C67E3E" w:rsidRPr="009513A7">
        <w:rPr>
          <w:rFonts w:cstheme="minorHAnsi"/>
          <w:sz w:val="24"/>
          <w:szCs w:val="24"/>
        </w:rPr>
        <w:t>which can be conceptualized through foreseeability, proximity, and policy; in other words, identifying a person of concern, understanding their relationship to the IHE, and how to implement strategies within the bounds of policy and law (</w:t>
      </w:r>
      <w:r w:rsidR="00C77030">
        <w:rPr>
          <w:rFonts w:cstheme="minorHAnsi"/>
          <w:sz w:val="24"/>
          <w:szCs w:val="24"/>
        </w:rPr>
        <w:t xml:space="preserve">De Haven, 2009; </w:t>
      </w:r>
      <w:r w:rsidR="00977356" w:rsidRPr="00CD5EC0">
        <w:rPr>
          <w:rFonts w:cstheme="minorHAnsi"/>
          <w:sz w:val="24"/>
          <w:szCs w:val="24"/>
        </w:rPr>
        <w:t>Meloy</w:t>
      </w:r>
      <w:r w:rsidR="00977356">
        <w:rPr>
          <w:rFonts w:cstheme="minorHAnsi"/>
          <w:sz w:val="24"/>
          <w:szCs w:val="24"/>
        </w:rPr>
        <w:t xml:space="preserve"> &amp;</w:t>
      </w:r>
      <w:r w:rsidR="00977356" w:rsidRPr="00CD5EC0">
        <w:rPr>
          <w:rFonts w:cstheme="minorHAnsi"/>
          <w:sz w:val="24"/>
          <w:szCs w:val="24"/>
        </w:rPr>
        <w:t xml:space="preserve"> Hoffmann, 2021</w:t>
      </w:r>
      <w:r w:rsidR="00977356">
        <w:rPr>
          <w:rFonts w:cstheme="minorHAnsi"/>
          <w:sz w:val="24"/>
          <w:szCs w:val="24"/>
        </w:rPr>
        <w:t xml:space="preserve">; </w:t>
      </w:r>
      <w:r w:rsidR="00C67E3E" w:rsidRPr="009513A7">
        <w:rPr>
          <w:rFonts w:cstheme="minorHAnsi"/>
          <w:sz w:val="24"/>
          <w:szCs w:val="24"/>
        </w:rPr>
        <w:t xml:space="preserve">Whitting, 2005). </w:t>
      </w:r>
      <w:r w:rsidR="00C77030" w:rsidRPr="00C77030">
        <w:rPr>
          <w:rFonts w:cstheme="minorHAnsi"/>
          <w:sz w:val="24"/>
          <w:szCs w:val="24"/>
        </w:rPr>
        <w:t>Threat assessment models have expanded and have even been adapted for K-12 and postsecondary institutions (Cornell, 2010</w:t>
      </w:r>
      <w:r w:rsidR="00B9712B">
        <w:rPr>
          <w:rFonts w:cstheme="minorHAnsi"/>
          <w:sz w:val="24"/>
          <w:szCs w:val="24"/>
        </w:rPr>
        <w:t xml:space="preserve">; </w:t>
      </w:r>
      <w:r w:rsidR="00B9712B" w:rsidRPr="00CD5EC0">
        <w:rPr>
          <w:rFonts w:cstheme="minorHAnsi"/>
          <w:sz w:val="24"/>
          <w:szCs w:val="24"/>
        </w:rPr>
        <w:t>Meloy</w:t>
      </w:r>
      <w:r w:rsidR="00B9712B">
        <w:rPr>
          <w:rFonts w:cstheme="minorHAnsi"/>
          <w:sz w:val="24"/>
          <w:szCs w:val="24"/>
        </w:rPr>
        <w:t xml:space="preserve"> &amp;</w:t>
      </w:r>
      <w:r w:rsidR="00B9712B" w:rsidRPr="00CD5EC0">
        <w:rPr>
          <w:rFonts w:cstheme="minorHAnsi"/>
          <w:sz w:val="24"/>
          <w:szCs w:val="24"/>
        </w:rPr>
        <w:t xml:space="preserve"> Hoffmann, 2021</w:t>
      </w:r>
      <w:r w:rsidR="00C77030" w:rsidRPr="00C77030">
        <w:rPr>
          <w:rFonts w:cstheme="minorHAnsi"/>
          <w:sz w:val="24"/>
          <w:szCs w:val="24"/>
        </w:rPr>
        <w:t xml:space="preserve">). Some states have legislation that requires the implementation of a TAT while other states, although not required, have adopted some form of threat assessment as a safety measure (Modzeleski &amp; Randazzo, 2018). </w:t>
      </w:r>
      <w:r w:rsidR="00C67E3E" w:rsidRPr="009513A7">
        <w:rPr>
          <w:rFonts w:cstheme="minorHAnsi"/>
          <w:sz w:val="24"/>
          <w:szCs w:val="24"/>
        </w:rPr>
        <w:t xml:space="preserve">A wide range of violence prevention can be achieved through the work of </w:t>
      </w:r>
      <w:r w:rsidR="00A27A2E" w:rsidRPr="009513A7">
        <w:rPr>
          <w:rFonts w:cstheme="minorHAnsi"/>
          <w:sz w:val="24"/>
          <w:szCs w:val="24"/>
        </w:rPr>
        <w:t>TA</w:t>
      </w:r>
      <w:r w:rsidR="00A27A2E">
        <w:rPr>
          <w:rFonts w:cstheme="minorHAnsi"/>
          <w:sz w:val="24"/>
          <w:szCs w:val="24"/>
        </w:rPr>
        <w:t>Ts</w:t>
      </w:r>
      <w:r w:rsidR="00C67E3E" w:rsidRPr="009513A7">
        <w:rPr>
          <w:rFonts w:cstheme="minorHAnsi"/>
          <w:sz w:val="24"/>
          <w:szCs w:val="24"/>
        </w:rPr>
        <w:t xml:space="preserve">, such as threat assessment and case management (Cornell et al., 2021; </w:t>
      </w:r>
      <w:r w:rsidR="00977356" w:rsidRPr="00CD5EC0">
        <w:rPr>
          <w:rFonts w:cstheme="minorHAnsi"/>
          <w:sz w:val="24"/>
          <w:szCs w:val="24"/>
        </w:rPr>
        <w:t>Meloy</w:t>
      </w:r>
      <w:r w:rsidR="00977356">
        <w:rPr>
          <w:rFonts w:cstheme="minorHAnsi"/>
          <w:sz w:val="24"/>
          <w:szCs w:val="24"/>
        </w:rPr>
        <w:t xml:space="preserve"> &amp;</w:t>
      </w:r>
      <w:r w:rsidR="00977356" w:rsidRPr="00CD5EC0">
        <w:rPr>
          <w:rFonts w:cstheme="minorHAnsi"/>
          <w:sz w:val="24"/>
          <w:szCs w:val="24"/>
        </w:rPr>
        <w:t xml:space="preserve"> Hoffmann, 2021</w:t>
      </w:r>
      <w:r w:rsidR="00977356">
        <w:rPr>
          <w:rFonts w:cstheme="minorHAnsi"/>
          <w:sz w:val="24"/>
          <w:szCs w:val="24"/>
        </w:rPr>
        <w:t xml:space="preserve">; </w:t>
      </w:r>
      <w:r w:rsidR="00C67E3E" w:rsidRPr="009513A7">
        <w:rPr>
          <w:rFonts w:cstheme="minorHAnsi"/>
          <w:sz w:val="24"/>
          <w:szCs w:val="24"/>
        </w:rPr>
        <w:t xml:space="preserve">Paterson, 2020). </w:t>
      </w:r>
      <w:r w:rsidR="00817B63" w:rsidRPr="009513A7">
        <w:rPr>
          <w:rFonts w:cstheme="minorHAnsi"/>
          <w:sz w:val="24"/>
          <w:szCs w:val="24"/>
        </w:rPr>
        <w:t>Intervention strategies to mitigate risk are considered a best practice in caring for the campus community (</w:t>
      </w:r>
      <w:r w:rsidR="00817B63" w:rsidRPr="009513A7">
        <w:rPr>
          <w:rFonts w:cstheme="minorHAnsi"/>
          <w:bCs/>
          <w:sz w:val="24"/>
          <w:szCs w:val="24"/>
        </w:rPr>
        <w:t>Zdziarski et al., 2007</w:t>
      </w:r>
      <w:r w:rsidR="00817B63" w:rsidRPr="009513A7">
        <w:rPr>
          <w:rFonts w:cstheme="minorHAnsi"/>
          <w:sz w:val="24"/>
          <w:szCs w:val="24"/>
        </w:rPr>
        <w:t xml:space="preserve">). </w:t>
      </w:r>
      <w:r w:rsidR="008173D0" w:rsidRPr="009513A7">
        <w:rPr>
          <w:rFonts w:cstheme="minorHAnsi"/>
          <w:sz w:val="24"/>
          <w:szCs w:val="24"/>
        </w:rPr>
        <w:t xml:space="preserve">Further, Zdziarski </w:t>
      </w:r>
      <w:r w:rsidR="008173D0">
        <w:rPr>
          <w:rFonts w:cstheme="minorHAnsi"/>
          <w:sz w:val="24"/>
          <w:szCs w:val="24"/>
        </w:rPr>
        <w:t xml:space="preserve">and </w:t>
      </w:r>
      <w:r w:rsidR="00832D2E">
        <w:rPr>
          <w:rFonts w:cstheme="minorHAnsi"/>
          <w:sz w:val="24"/>
          <w:szCs w:val="24"/>
        </w:rPr>
        <w:t xml:space="preserve">colleagues </w:t>
      </w:r>
      <w:r w:rsidR="00817B63" w:rsidRPr="009513A7">
        <w:rPr>
          <w:rFonts w:cstheme="minorHAnsi"/>
          <w:sz w:val="24"/>
          <w:szCs w:val="24"/>
        </w:rPr>
        <w:t>(2007) noted that “caring for the individual, providing support to those who can benefit from attention to their needs, and enhancing the human experience as educators and mentors underlie much of what we do in higher education”</w:t>
      </w:r>
      <w:r w:rsidR="00832D2E">
        <w:rPr>
          <w:rFonts w:cstheme="minorHAnsi"/>
          <w:sz w:val="24"/>
          <w:szCs w:val="24"/>
        </w:rPr>
        <w:t xml:space="preserve"> (</w:t>
      </w:r>
      <w:r w:rsidR="00832D2E" w:rsidRPr="009513A7">
        <w:rPr>
          <w:rFonts w:cstheme="minorHAnsi"/>
          <w:sz w:val="24"/>
          <w:szCs w:val="24"/>
        </w:rPr>
        <w:t>p. 4</w:t>
      </w:r>
      <w:r w:rsidR="00832D2E">
        <w:rPr>
          <w:rFonts w:cstheme="minorHAnsi"/>
          <w:sz w:val="24"/>
          <w:szCs w:val="24"/>
        </w:rPr>
        <w:t>).</w:t>
      </w:r>
      <w:r w:rsidR="00817B63" w:rsidRPr="009513A7">
        <w:rPr>
          <w:rFonts w:cstheme="minorHAnsi"/>
          <w:sz w:val="24"/>
          <w:szCs w:val="24"/>
        </w:rPr>
        <w:t xml:space="preserve"> </w:t>
      </w:r>
      <w:r w:rsidR="00C67E3E" w:rsidRPr="009513A7">
        <w:rPr>
          <w:rFonts w:cstheme="minorHAnsi"/>
          <w:sz w:val="24"/>
          <w:szCs w:val="24"/>
        </w:rPr>
        <w:t xml:space="preserve">Behavioral intervention through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00C67E3E" w:rsidRPr="009513A7">
        <w:rPr>
          <w:rFonts w:cstheme="minorHAnsi"/>
          <w:sz w:val="24"/>
          <w:szCs w:val="24"/>
        </w:rPr>
        <w:t>is often more cost effective than other measures, such as intricate building security or zero-tolerance policies (Cornell, 2010</w:t>
      </w:r>
      <w:r w:rsidR="00832D2E">
        <w:rPr>
          <w:rFonts w:cstheme="minorHAnsi"/>
          <w:sz w:val="24"/>
          <w:szCs w:val="24"/>
        </w:rPr>
        <w:t>;</w:t>
      </w:r>
      <w:r w:rsidR="00C67E3E" w:rsidRPr="009513A7">
        <w:rPr>
          <w:rFonts w:cstheme="minorHAnsi"/>
          <w:sz w:val="24"/>
          <w:szCs w:val="24"/>
        </w:rPr>
        <w:t xml:space="preserve"> 2020; Deisinger et al., 2008). </w:t>
      </w:r>
      <w:r w:rsidR="00351C1B">
        <w:rPr>
          <w:rFonts w:cstheme="minorHAnsi"/>
          <w:sz w:val="24"/>
          <w:szCs w:val="24"/>
        </w:rPr>
        <w:t>However, w</w:t>
      </w:r>
      <w:r w:rsidR="006D5D5C">
        <w:rPr>
          <w:rFonts w:cstheme="minorHAnsi"/>
          <w:sz w:val="24"/>
          <w:szCs w:val="24"/>
        </w:rPr>
        <w:t>ith the rising</w:t>
      </w:r>
      <w:r w:rsidR="00AF7077">
        <w:rPr>
          <w:rFonts w:cstheme="minorHAnsi"/>
          <w:sz w:val="24"/>
          <w:szCs w:val="24"/>
        </w:rPr>
        <w:t xml:space="preserve"> </w:t>
      </w:r>
      <w:r w:rsidR="005B67F9">
        <w:rPr>
          <w:rFonts w:cstheme="minorHAnsi"/>
          <w:sz w:val="24"/>
          <w:szCs w:val="24"/>
        </w:rPr>
        <w:t xml:space="preserve">number of </w:t>
      </w:r>
      <w:r w:rsidR="00AF7077">
        <w:rPr>
          <w:rFonts w:cstheme="minorHAnsi"/>
          <w:sz w:val="24"/>
          <w:szCs w:val="24"/>
        </w:rPr>
        <w:t xml:space="preserve">active shooter incidents </w:t>
      </w:r>
      <w:r w:rsidR="006D5D5C">
        <w:rPr>
          <w:rFonts w:cstheme="minorHAnsi"/>
          <w:sz w:val="24"/>
          <w:szCs w:val="24"/>
        </w:rPr>
        <w:t>and growing mental health cris</w:t>
      </w:r>
      <w:r w:rsidR="00832D2E">
        <w:rPr>
          <w:rFonts w:cstheme="minorHAnsi"/>
          <w:sz w:val="24"/>
          <w:szCs w:val="24"/>
        </w:rPr>
        <w:t>e</w:t>
      </w:r>
      <w:r w:rsidR="006D5D5C">
        <w:rPr>
          <w:rFonts w:cstheme="minorHAnsi"/>
          <w:sz w:val="24"/>
          <w:szCs w:val="24"/>
        </w:rPr>
        <w:t xml:space="preserve">s comes increasing pressure for </w:t>
      </w:r>
      <w:r w:rsidR="00B2002C">
        <w:rPr>
          <w:rFonts w:cstheme="minorHAnsi"/>
          <w:sz w:val="24"/>
          <w:szCs w:val="24"/>
        </w:rPr>
        <w:t>TATs</w:t>
      </w:r>
      <w:r w:rsidR="006D5D5C">
        <w:rPr>
          <w:rFonts w:cstheme="minorHAnsi"/>
          <w:sz w:val="24"/>
          <w:szCs w:val="24"/>
        </w:rPr>
        <w:t xml:space="preserve"> to successfully prevent tragedy (</w:t>
      </w:r>
      <w:r w:rsidR="00B9712B">
        <w:rPr>
          <w:rFonts w:cstheme="minorHAnsi"/>
          <w:sz w:val="24"/>
          <w:szCs w:val="24"/>
        </w:rPr>
        <w:t>Federal Bureau of Investigation</w:t>
      </w:r>
      <w:r w:rsidR="001A59F7">
        <w:rPr>
          <w:rFonts w:cstheme="minorHAnsi"/>
          <w:sz w:val="24"/>
          <w:szCs w:val="24"/>
        </w:rPr>
        <w:t xml:space="preserve"> et al., 2022</w:t>
      </w:r>
      <w:r w:rsidR="00B9712B">
        <w:rPr>
          <w:rFonts w:cstheme="minorHAnsi"/>
          <w:sz w:val="24"/>
          <w:szCs w:val="24"/>
        </w:rPr>
        <w:t>; Reed, 2023</w:t>
      </w:r>
      <w:r w:rsidR="006D5D5C">
        <w:rPr>
          <w:rFonts w:cstheme="minorHAnsi"/>
          <w:sz w:val="24"/>
          <w:szCs w:val="24"/>
        </w:rPr>
        <w:t xml:space="preserve">). </w:t>
      </w:r>
      <w:r w:rsidR="00351C1B">
        <w:rPr>
          <w:rFonts w:cstheme="minorHAnsi"/>
          <w:sz w:val="24"/>
          <w:szCs w:val="24"/>
        </w:rPr>
        <w:t xml:space="preserve">TAT leadership must </w:t>
      </w:r>
      <w:r w:rsidR="0002293A">
        <w:rPr>
          <w:rFonts w:cstheme="minorHAnsi"/>
          <w:sz w:val="24"/>
          <w:szCs w:val="24"/>
        </w:rPr>
        <w:lastRenderedPageBreak/>
        <w:t>guide</w:t>
      </w:r>
      <w:r w:rsidR="00351C1B">
        <w:rPr>
          <w:rFonts w:cstheme="minorHAnsi"/>
          <w:sz w:val="24"/>
          <w:szCs w:val="24"/>
        </w:rPr>
        <w:t xml:space="preserve"> a high-performing team </w:t>
      </w:r>
      <w:r w:rsidR="0002293A">
        <w:rPr>
          <w:rFonts w:cstheme="minorHAnsi"/>
          <w:sz w:val="24"/>
          <w:szCs w:val="24"/>
        </w:rPr>
        <w:t xml:space="preserve">in collaboration with campus partners </w:t>
      </w:r>
      <w:r w:rsidR="00351C1B">
        <w:rPr>
          <w:rFonts w:cstheme="minorHAnsi"/>
          <w:sz w:val="24"/>
          <w:szCs w:val="24"/>
        </w:rPr>
        <w:t xml:space="preserve">during prevention, intervention, and for some, postvention which can yield a wealth of challenges and even criticism. </w:t>
      </w:r>
    </w:p>
    <w:p w14:paraId="6A7A0F23" w14:textId="6231E120" w:rsidR="00644956" w:rsidRPr="009513A7" w:rsidRDefault="00B10171" w:rsidP="002F06E6">
      <w:pPr>
        <w:spacing w:after="0" w:line="480" w:lineRule="auto"/>
        <w:ind w:firstLine="720"/>
        <w:rPr>
          <w:rFonts w:cstheme="minorHAnsi"/>
          <w:sz w:val="24"/>
          <w:szCs w:val="24"/>
        </w:rPr>
      </w:pPr>
      <w:r>
        <w:rPr>
          <w:rFonts w:cstheme="minorHAnsi"/>
          <w:sz w:val="24"/>
          <w:szCs w:val="24"/>
        </w:rPr>
        <w:t xml:space="preserve">Leo Tolstoy began </w:t>
      </w:r>
      <w:r>
        <w:rPr>
          <w:rFonts w:cstheme="minorHAnsi"/>
          <w:i/>
          <w:iCs/>
          <w:sz w:val="24"/>
          <w:szCs w:val="24"/>
        </w:rPr>
        <w:t xml:space="preserve">Anna Karenina </w:t>
      </w:r>
      <w:r>
        <w:rPr>
          <w:rFonts w:cstheme="minorHAnsi"/>
          <w:sz w:val="24"/>
          <w:szCs w:val="24"/>
        </w:rPr>
        <w:t>by observing, “Happy families are all alike; every unhappy</w:t>
      </w:r>
      <w:r w:rsidR="005B67F9">
        <w:rPr>
          <w:rFonts w:cstheme="minorHAnsi"/>
          <w:sz w:val="24"/>
          <w:szCs w:val="24"/>
        </w:rPr>
        <w:t xml:space="preserve"> family </w:t>
      </w:r>
      <w:r>
        <w:rPr>
          <w:rFonts w:cstheme="minorHAnsi"/>
          <w:sz w:val="24"/>
          <w:szCs w:val="24"/>
        </w:rPr>
        <w:t>is unhappy in its own way”</w:t>
      </w:r>
      <w:r w:rsidR="00817B63">
        <w:rPr>
          <w:rFonts w:cstheme="minorHAnsi"/>
          <w:sz w:val="24"/>
          <w:szCs w:val="24"/>
        </w:rPr>
        <w:t xml:space="preserve"> (</w:t>
      </w:r>
      <w:r w:rsidR="00817B63" w:rsidRPr="00817B63">
        <w:rPr>
          <w:rFonts w:cstheme="minorHAnsi"/>
          <w:sz w:val="24"/>
          <w:szCs w:val="24"/>
        </w:rPr>
        <w:t>Tolstoy &amp; Gibian,</w:t>
      </w:r>
      <w:r w:rsidR="00817B63">
        <w:rPr>
          <w:rFonts w:cstheme="minorHAnsi"/>
          <w:sz w:val="24"/>
          <w:szCs w:val="24"/>
        </w:rPr>
        <w:t xml:space="preserve"> </w:t>
      </w:r>
      <w:r w:rsidR="00817B63" w:rsidRPr="00817B63">
        <w:rPr>
          <w:rFonts w:cstheme="minorHAnsi"/>
          <w:sz w:val="24"/>
          <w:szCs w:val="24"/>
        </w:rPr>
        <w:t>1970</w:t>
      </w:r>
      <w:r w:rsidR="00817B63">
        <w:rPr>
          <w:rFonts w:cstheme="minorHAnsi"/>
          <w:sz w:val="24"/>
          <w:szCs w:val="24"/>
        </w:rPr>
        <w:t xml:space="preserve">, p. </w:t>
      </w:r>
      <w:r w:rsidR="00E222A5">
        <w:rPr>
          <w:rFonts w:cstheme="minorHAnsi"/>
          <w:sz w:val="24"/>
          <w:szCs w:val="24"/>
        </w:rPr>
        <w:t>1</w:t>
      </w:r>
      <w:r w:rsidR="00817B63">
        <w:rPr>
          <w:rFonts w:cstheme="minorHAnsi"/>
          <w:sz w:val="24"/>
          <w:szCs w:val="24"/>
        </w:rPr>
        <w:t>).</w:t>
      </w:r>
      <w:r w:rsidR="00E222A5">
        <w:rPr>
          <w:rFonts w:cstheme="minorHAnsi"/>
          <w:sz w:val="24"/>
          <w:szCs w:val="24"/>
        </w:rPr>
        <w:t xml:space="preserve"> Specialized teams</w:t>
      </w:r>
      <w:r w:rsidR="00DB446E">
        <w:rPr>
          <w:rFonts w:cstheme="minorHAnsi"/>
          <w:sz w:val="24"/>
          <w:szCs w:val="24"/>
        </w:rPr>
        <w:t xml:space="preserve"> </w:t>
      </w:r>
      <w:r w:rsidR="00E222A5">
        <w:rPr>
          <w:rFonts w:cstheme="minorHAnsi"/>
          <w:sz w:val="24"/>
          <w:szCs w:val="24"/>
        </w:rPr>
        <w:t xml:space="preserve">have a similar purpose and </w:t>
      </w:r>
      <w:r w:rsidR="00DB446E">
        <w:rPr>
          <w:rFonts w:cstheme="minorHAnsi"/>
          <w:sz w:val="24"/>
          <w:szCs w:val="24"/>
        </w:rPr>
        <w:t xml:space="preserve">standards </w:t>
      </w:r>
      <w:r w:rsidR="00E222A5">
        <w:rPr>
          <w:rFonts w:cstheme="minorHAnsi"/>
          <w:sz w:val="24"/>
          <w:szCs w:val="24"/>
        </w:rPr>
        <w:t xml:space="preserve">for success, but the failures </w:t>
      </w:r>
      <w:r w:rsidR="00DB446E">
        <w:rPr>
          <w:rFonts w:cstheme="minorHAnsi"/>
          <w:sz w:val="24"/>
          <w:szCs w:val="24"/>
        </w:rPr>
        <w:t>vary, even for</w:t>
      </w:r>
      <w:r w:rsidR="005B67F9">
        <w:rPr>
          <w:rFonts w:cstheme="minorHAnsi"/>
          <w:sz w:val="24"/>
          <w:szCs w:val="24"/>
        </w:rPr>
        <w:t xml:space="preserve"> threat assessment teams</w:t>
      </w:r>
      <w:r w:rsidR="00DB446E">
        <w:rPr>
          <w:rFonts w:cstheme="minorHAnsi"/>
          <w:sz w:val="24"/>
          <w:szCs w:val="24"/>
        </w:rPr>
        <w:t xml:space="preserve"> (Bolman &amp; Deal, 2021; </w:t>
      </w:r>
      <w:r w:rsidR="00DB446E" w:rsidRPr="00CD5EC0">
        <w:rPr>
          <w:rFonts w:cstheme="minorHAnsi"/>
          <w:sz w:val="24"/>
          <w:szCs w:val="24"/>
        </w:rPr>
        <w:t>Meloy</w:t>
      </w:r>
      <w:r w:rsidR="00DB446E">
        <w:rPr>
          <w:rFonts w:cstheme="minorHAnsi"/>
          <w:sz w:val="24"/>
          <w:szCs w:val="24"/>
        </w:rPr>
        <w:t xml:space="preserve"> &amp;</w:t>
      </w:r>
      <w:r w:rsidR="00DB446E" w:rsidRPr="00CD5EC0">
        <w:rPr>
          <w:rFonts w:cstheme="minorHAnsi"/>
          <w:sz w:val="24"/>
          <w:szCs w:val="24"/>
        </w:rPr>
        <w:t xml:space="preserve"> Hoffmann, 2021</w:t>
      </w:r>
      <w:r w:rsidR="00DB446E">
        <w:rPr>
          <w:rFonts w:cstheme="minorHAnsi"/>
          <w:sz w:val="24"/>
          <w:szCs w:val="24"/>
        </w:rPr>
        <w:t>)</w:t>
      </w:r>
      <w:r w:rsidR="005B67F9">
        <w:rPr>
          <w:rFonts w:cstheme="minorHAnsi"/>
          <w:sz w:val="24"/>
          <w:szCs w:val="24"/>
        </w:rPr>
        <w:t xml:space="preserve">. </w:t>
      </w:r>
      <w:r w:rsidRPr="009513A7">
        <w:rPr>
          <w:rFonts w:cstheme="minorHAnsi"/>
          <w:sz w:val="24"/>
          <w:szCs w:val="24"/>
        </w:rPr>
        <w:t xml:space="preserve">While there are </w:t>
      </w:r>
      <w:r>
        <w:rPr>
          <w:rFonts w:cstheme="minorHAnsi"/>
          <w:sz w:val="24"/>
          <w:szCs w:val="24"/>
        </w:rPr>
        <w:t xml:space="preserve">threat assessment </w:t>
      </w:r>
      <w:r w:rsidRPr="009513A7">
        <w:rPr>
          <w:rFonts w:cstheme="minorHAnsi"/>
          <w:sz w:val="24"/>
          <w:szCs w:val="24"/>
        </w:rPr>
        <w:t>protocols that may be common</w:t>
      </w:r>
      <w:r w:rsidR="005B67F9">
        <w:rPr>
          <w:rFonts w:cstheme="minorHAnsi"/>
          <w:sz w:val="24"/>
          <w:szCs w:val="24"/>
        </w:rPr>
        <w:t xml:space="preserve"> to all</w:t>
      </w:r>
      <w:r w:rsidRPr="009513A7">
        <w:rPr>
          <w:rFonts w:cstheme="minorHAnsi"/>
          <w:sz w:val="24"/>
          <w:szCs w:val="24"/>
        </w:rPr>
        <w:t xml:space="preserve">, such as the composition of the teams or steps to </w:t>
      </w:r>
      <w:r w:rsidR="00832D2E">
        <w:rPr>
          <w:rFonts w:cstheme="minorHAnsi"/>
          <w:sz w:val="24"/>
          <w:szCs w:val="24"/>
        </w:rPr>
        <w:t>collect</w:t>
      </w:r>
      <w:r w:rsidR="00832D2E" w:rsidRPr="009513A7">
        <w:rPr>
          <w:rFonts w:cstheme="minorHAnsi"/>
          <w:sz w:val="24"/>
          <w:szCs w:val="24"/>
        </w:rPr>
        <w:t xml:space="preserve"> </w:t>
      </w:r>
      <w:r w:rsidRPr="009513A7">
        <w:rPr>
          <w:rFonts w:cstheme="minorHAnsi"/>
          <w:sz w:val="24"/>
          <w:szCs w:val="24"/>
        </w:rPr>
        <w:t>information</w:t>
      </w:r>
      <w:r w:rsidR="00832D2E">
        <w:rPr>
          <w:rFonts w:cstheme="minorHAnsi"/>
          <w:sz w:val="24"/>
          <w:szCs w:val="24"/>
        </w:rPr>
        <w:t xml:space="preserve"> and data</w:t>
      </w:r>
      <w:r w:rsidRPr="009513A7">
        <w:rPr>
          <w:rFonts w:cstheme="minorHAnsi"/>
          <w:sz w:val="24"/>
          <w:szCs w:val="24"/>
        </w:rPr>
        <w:t xml:space="preserve">, higher education is a unique field with a variety of stakeholders </w:t>
      </w:r>
      <w:r w:rsidR="00EC3DA0">
        <w:rPr>
          <w:rFonts w:cstheme="minorHAnsi"/>
          <w:sz w:val="24"/>
          <w:szCs w:val="24"/>
        </w:rPr>
        <w:t xml:space="preserve">and room for error </w:t>
      </w:r>
      <w:r w:rsidRPr="009513A7">
        <w:rPr>
          <w:rFonts w:cstheme="minorHAnsi"/>
          <w:sz w:val="24"/>
          <w:szCs w:val="24"/>
        </w:rPr>
        <w:t>(</w:t>
      </w:r>
      <w:r w:rsidRPr="009513A7">
        <w:rPr>
          <w:rFonts w:eastAsia="Calibri" w:cstheme="minorHAnsi"/>
          <w:sz w:val="24"/>
          <w:szCs w:val="24"/>
        </w:rPr>
        <w:t>Deisinger</w:t>
      </w:r>
      <w:r w:rsidRPr="009513A7">
        <w:rPr>
          <w:rFonts w:cstheme="minorHAnsi"/>
          <w:sz w:val="24"/>
          <w:szCs w:val="24"/>
        </w:rPr>
        <w:t xml:space="preserve"> et al., 2008</w:t>
      </w:r>
      <w:r w:rsidR="00E222A5">
        <w:rPr>
          <w:rFonts w:cstheme="minorHAnsi"/>
          <w:sz w:val="24"/>
          <w:szCs w:val="24"/>
        </w:rPr>
        <w:t>;</w:t>
      </w:r>
      <w:r w:rsidR="00E222A5" w:rsidRPr="00E222A5">
        <w:rPr>
          <w:rFonts w:cstheme="minorHAnsi"/>
          <w:sz w:val="24"/>
          <w:szCs w:val="24"/>
        </w:rPr>
        <w:t xml:space="preserve"> </w:t>
      </w:r>
      <w:r w:rsidR="00E222A5" w:rsidRPr="00CD5EC0">
        <w:rPr>
          <w:rFonts w:cstheme="minorHAnsi"/>
          <w:sz w:val="24"/>
          <w:szCs w:val="24"/>
        </w:rPr>
        <w:t>Meloy</w:t>
      </w:r>
      <w:r w:rsidR="00E222A5">
        <w:rPr>
          <w:rFonts w:cstheme="minorHAnsi"/>
          <w:sz w:val="24"/>
          <w:szCs w:val="24"/>
        </w:rPr>
        <w:t xml:space="preserve"> &amp;</w:t>
      </w:r>
      <w:r w:rsidR="00E222A5" w:rsidRPr="00CD5EC0">
        <w:rPr>
          <w:rFonts w:cstheme="minorHAnsi"/>
          <w:sz w:val="24"/>
          <w:szCs w:val="24"/>
        </w:rPr>
        <w:t xml:space="preserve"> Hoffmann, 2021</w:t>
      </w:r>
      <w:r w:rsidRPr="009513A7">
        <w:rPr>
          <w:rFonts w:cstheme="minorHAnsi"/>
          <w:sz w:val="24"/>
          <w:szCs w:val="24"/>
        </w:rPr>
        <w:t>).</w:t>
      </w:r>
      <w:r w:rsidR="005B67F9">
        <w:rPr>
          <w:rFonts w:cstheme="minorHAnsi"/>
          <w:sz w:val="24"/>
          <w:szCs w:val="24"/>
        </w:rPr>
        <w:t xml:space="preserve"> </w:t>
      </w:r>
      <w:r w:rsidR="00A04160">
        <w:rPr>
          <w:rFonts w:cstheme="minorHAnsi"/>
          <w:sz w:val="24"/>
          <w:szCs w:val="24"/>
        </w:rPr>
        <w:t>Katzenbach and Smith (1993</w:t>
      </w:r>
      <w:r w:rsidR="00894B74">
        <w:rPr>
          <w:rFonts w:cstheme="minorHAnsi"/>
          <w:sz w:val="24"/>
          <w:szCs w:val="24"/>
        </w:rPr>
        <w:t>)</w:t>
      </w:r>
      <w:r w:rsidR="00A04160">
        <w:rPr>
          <w:rFonts w:cstheme="minorHAnsi"/>
          <w:sz w:val="24"/>
          <w:szCs w:val="24"/>
        </w:rPr>
        <w:t xml:space="preserve"> defined a high-performing team</w:t>
      </w:r>
      <w:r w:rsidR="00685799">
        <w:rPr>
          <w:rFonts w:cstheme="minorHAnsi"/>
          <w:sz w:val="24"/>
          <w:szCs w:val="24"/>
        </w:rPr>
        <w:t xml:space="preserve"> as,</w:t>
      </w:r>
      <w:r w:rsidR="00A04160">
        <w:rPr>
          <w:rFonts w:cstheme="minorHAnsi"/>
          <w:sz w:val="24"/>
          <w:szCs w:val="24"/>
        </w:rPr>
        <w:t xml:space="preserve"> “</w:t>
      </w:r>
      <w:r w:rsidR="0089543A">
        <w:rPr>
          <w:rFonts w:cstheme="minorHAnsi"/>
          <w:sz w:val="24"/>
          <w:szCs w:val="24"/>
        </w:rPr>
        <w:t>…</w:t>
      </w:r>
      <w:r w:rsidR="00A04160">
        <w:rPr>
          <w:rFonts w:cstheme="minorHAnsi"/>
          <w:sz w:val="24"/>
          <w:szCs w:val="24"/>
        </w:rPr>
        <w:t>a small number of people with complementary skills, who are committed to a common purpose, set of performance goals and approach for which they hold themselves mutually accountable”</w:t>
      </w:r>
      <w:r w:rsidR="00894B74">
        <w:rPr>
          <w:rFonts w:cstheme="minorHAnsi"/>
          <w:sz w:val="24"/>
          <w:szCs w:val="24"/>
        </w:rPr>
        <w:t xml:space="preserve"> </w:t>
      </w:r>
      <w:r w:rsidR="00685799">
        <w:rPr>
          <w:rFonts w:cstheme="minorHAnsi"/>
          <w:sz w:val="24"/>
          <w:szCs w:val="24"/>
        </w:rPr>
        <w:t>(</w:t>
      </w:r>
      <w:r w:rsidR="00DB446E">
        <w:rPr>
          <w:rFonts w:cstheme="minorHAnsi"/>
          <w:sz w:val="24"/>
          <w:szCs w:val="24"/>
        </w:rPr>
        <w:t>p. 112</w:t>
      </w:r>
      <w:r w:rsidR="00685799">
        <w:rPr>
          <w:rFonts w:cstheme="minorHAnsi"/>
          <w:sz w:val="24"/>
          <w:szCs w:val="24"/>
        </w:rPr>
        <w:t>).</w:t>
      </w:r>
      <w:r w:rsidR="00A04160">
        <w:rPr>
          <w:rFonts w:cstheme="minorHAnsi"/>
          <w:sz w:val="24"/>
          <w:szCs w:val="24"/>
        </w:rPr>
        <w:t xml:space="preserve"> </w:t>
      </w:r>
      <w:r w:rsidRPr="00C77030">
        <w:rPr>
          <w:rFonts w:cstheme="minorHAnsi"/>
          <w:sz w:val="24"/>
          <w:szCs w:val="24"/>
        </w:rPr>
        <w:t xml:space="preserve">At IHEs </w:t>
      </w:r>
      <w:r w:rsidR="00685799">
        <w:rPr>
          <w:rFonts w:cstheme="minorHAnsi"/>
          <w:sz w:val="24"/>
          <w:szCs w:val="24"/>
        </w:rPr>
        <w:t>individuals</w:t>
      </w:r>
      <w:r w:rsidRPr="00C77030">
        <w:rPr>
          <w:rFonts w:cstheme="minorHAnsi"/>
          <w:sz w:val="24"/>
          <w:szCs w:val="24"/>
        </w:rPr>
        <w:t xml:space="preserve"> serving on TATs often do so as a subject-matter expert and collaborate with others as a small part of their everyday work and regular role within the institution (Bennett &amp; Bates, 2015). Although case management and threat assessment may be infrequent</w:t>
      </w:r>
      <w:r w:rsidR="0089543A">
        <w:rPr>
          <w:rFonts w:cstheme="minorHAnsi"/>
          <w:sz w:val="24"/>
          <w:szCs w:val="24"/>
        </w:rPr>
        <w:t xml:space="preserve"> compared to other priorities for IHEs</w:t>
      </w:r>
      <w:r w:rsidRPr="00C77030">
        <w:rPr>
          <w:rFonts w:cstheme="minorHAnsi"/>
          <w:sz w:val="24"/>
          <w:szCs w:val="24"/>
        </w:rPr>
        <w:t xml:space="preserve">, they are critical steps for overall campus health and safety (Bolante &amp; Dykeman, 2017). Variance in case volume, frequency, and even severity may </w:t>
      </w:r>
      <w:r w:rsidR="00685799">
        <w:rPr>
          <w:rFonts w:cstheme="minorHAnsi"/>
          <w:sz w:val="24"/>
          <w:szCs w:val="24"/>
        </w:rPr>
        <w:t xml:space="preserve">affect </w:t>
      </w:r>
      <w:r w:rsidRPr="00C77030">
        <w:rPr>
          <w:rFonts w:cstheme="minorHAnsi"/>
          <w:sz w:val="24"/>
          <w:szCs w:val="24"/>
        </w:rPr>
        <w:t>team member engagement</w:t>
      </w:r>
      <w:r w:rsidR="00EB228A">
        <w:rPr>
          <w:rFonts w:cstheme="minorHAnsi"/>
          <w:sz w:val="24"/>
          <w:szCs w:val="24"/>
        </w:rPr>
        <w:t xml:space="preserve"> and </w:t>
      </w:r>
      <w:r w:rsidR="00EC3DA0">
        <w:rPr>
          <w:rFonts w:cstheme="minorHAnsi"/>
          <w:sz w:val="24"/>
          <w:szCs w:val="24"/>
        </w:rPr>
        <w:t xml:space="preserve">the ability to measure </w:t>
      </w:r>
      <w:r w:rsidR="00EB228A">
        <w:rPr>
          <w:rFonts w:cstheme="minorHAnsi"/>
          <w:sz w:val="24"/>
          <w:szCs w:val="24"/>
        </w:rPr>
        <w:t>overall success</w:t>
      </w:r>
      <w:r w:rsidR="00A04160">
        <w:rPr>
          <w:rFonts w:cstheme="minorHAnsi"/>
          <w:sz w:val="24"/>
          <w:szCs w:val="24"/>
        </w:rPr>
        <w:t xml:space="preserve">, </w:t>
      </w:r>
      <w:r w:rsidR="00EC3DA0" w:rsidRPr="009513A7">
        <w:rPr>
          <w:rFonts w:cstheme="minorHAnsi"/>
          <w:sz w:val="24"/>
          <w:szCs w:val="24"/>
        </w:rPr>
        <w:t>often defined as the absence of a tragic event (Junod, 2014</w:t>
      </w:r>
      <w:r w:rsidR="00EC3DA0">
        <w:rPr>
          <w:rFonts w:cstheme="minorHAnsi"/>
          <w:sz w:val="24"/>
          <w:szCs w:val="24"/>
        </w:rPr>
        <w:t xml:space="preserve">; </w:t>
      </w:r>
      <w:r w:rsidR="00977356" w:rsidRPr="00CD5EC0">
        <w:rPr>
          <w:rFonts w:cstheme="minorHAnsi"/>
          <w:sz w:val="24"/>
          <w:szCs w:val="24"/>
        </w:rPr>
        <w:t>Meloy</w:t>
      </w:r>
      <w:r w:rsidR="00977356">
        <w:rPr>
          <w:rFonts w:cstheme="minorHAnsi"/>
          <w:sz w:val="24"/>
          <w:szCs w:val="24"/>
        </w:rPr>
        <w:t xml:space="preserve"> &amp;</w:t>
      </w:r>
      <w:r w:rsidR="00977356" w:rsidRPr="00CD5EC0">
        <w:rPr>
          <w:rFonts w:cstheme="minorHAnsi"/>
          <w:sz w:val="24"/>
          <w:szCs w:val="24"/>
        </w:rPr>
        <w:t xml:space="preserve"> Hoffmann, 2021</w:t>
      </w:r>
      <w:r w:rsidR="00EC3DA0" w:rsidRPr="009513A7">
        <w:rPr>
          <w:rFonts w:cstheme="minorHAnsi"/>
          <w:sz w:val="24"/>
          <w:szCs w:val="24"/>
        </w:rPr>
        <w:t>).</w:t>
      </w:r>
      <w:r w:rsidR="00A04160">
        <w:rPr>
          <w:rFonts w:cstheme="minorHAnsi"/>
          <w:sz w:val="24"/>
          <w:szCs w:val="24"/>
        </w:rPr>
        <w:t xml:space="preserve"> </w:t>
      </w:r>
      <w:r w:rsidR="00644956" w:rsidRPr="009513A7">
        <w:rPr>
          <w:rFonts w:cstheme="minorHAnsi"/>
          <w:sz w:val="24"/>
          <w:szCs w:val="24"/>
        </w:rPr>
        <w:t>Proxy measurements, such as surveys and general feedback, may provide additional insight regarding other ways</w:t>
      </w:r>
      <w:r w:rsidR="00A04160">
        <w:rPr>
          <w:rFonts w:cstheme="minorHAnsi"/>
          <w:sz w:val="24"/>
          <w:szCs w:val="24"/>
        </w:rPr>
        <w:t xml:space="preserve"> engagement and success</w:t>
      </w:r>
      <w:r w:rsidR="00644956" w:rsidRPr="009513A7">
        <w:rPr>
          <w:rFonts w:cstheme="minorHAnsi"/>
          <w:sz w:val="24"/>
          <w:szCs w:val="24"/>
        </w:rPr>
        <w:t xml:space="preserve"> is defined (</w:t>
      </w:r>
      <w:r w:rsidR="00644956" w:rsidRPr="009513A7">
        <w:rPr>
          <w:rFonts w:cstheme="minorHAnsi"/>
          <w:sz w:val="24"/>
          <w:szCs w:val="24"/>
          <w:shd w:val="clear" w:color="auto" w:fill="FFFFFF"/>
        </w:rPr>
        <w:t>Modzeleski &amp; Randazzo, 2018</w:t>
      </w:r>
      <w:r w:rsidR="00644956" w:rsidRPr="009513A7">
        <w:rPr>
          <w:rFonts w:cstheme="minorHAnsi"/>
          <w:sz w:val="24"/>
          <w:szCs w:val="24"/>
        </w:rPr>
        <w:t>).</w:t>
      </w:r>
    </w:p>
    <w:p w14:paraId="2C34D95E" w14:textId="3DAAABEF" w:rsidR="00E72957" w:rsidRPr="009513A7" w:rsidRDefault="00E72957" w:rsidP="00E72957">
      <w:pPr>
        <w:spacing w:after="0" w:line="480" w:lineRule="auto"/>
        <w:jc w:val="center"/>
        <w:rPr>
          <w:rFonts w:cstheme="minorHAnsi"/>
          <w:b/>
          <w:bCs/>
          <w:sz w:val="24"/>
          <w:szCs w:val="24"/>
        </w:rPr>
      </w:pPr>
      <w:r w:rsidRPr="009513A7">
        <w:rPr>
          <w:rFonts w:cstheme="minorHAnsi"/>
          <w:b/>
          <w:bCs/>
          <w:sz w:val="24"/>
          <w:szCs w:val="24"/>
        </w:rPr>
        <w:lastRenderedPageBreak/>
        <w:t>Statement of Problem</w:t>
      </w:r>
    </w:p>
    <w:p w14:paraId="114910B1" w14:textId="0DAF68D1" w:rsidR="00E72957" w:rsidRPr="009513A7" w:rsidRDefault="00AE170B" w:rsidP="00E72957">
      <w:pPr>
        <w:spacing w:after="0" w:line="480" w:lineRule="auto"/>
        <w:ind w:firstLine="720"/>
        <w:rPr>
          <w:rFonts w:cstheme="minorHAnsi"/>
          <w:sz w:val="24"/>
          <w:szCs w:val="24"/>
        </w:rPr>
      </w:pPr>
      <w:r>
        <w:rPr>
          <w:rFonts w:cstheme="minorHAnsi"/>
          <w:sz w:val="24"/>
          <w:szCs w:val="24"/>
        </w:rPr>
        <w:t>Each tragedy that occurs at IHEs brings new challenges an</w:t>
      </w:r>
      <w:r w:rsidR="00554FE0">
        <w:rPr>
          <w:rFonts w:cstheme="minorHAnsi"/>
          <w:sz w:val="24"/>
          <w:szCs w:val="24"/>
        </w:rPr>
        <w:t>d</w:t>
      </w:r>
      <w:r>
        <w:rPr>
          <w:rFonts w:cstheme="minorHAnsi"/>
          <w:sz w:val="24"/>
          <w:szCs w:val="24"/>
        </w:rPr>
        <w:t xml:space="preserve"> criticisms with an ever-increasing call for </w:t>
      </w:r>
      <w:r w:rsidR="00554FE0">
        <w:rPr>
          <w:rFonts w:cstheme="minorHAnsi"/>
          <w:sz w:val="24"/>
          <w:szCs w:val="24"/>
        </w:rPr>
        <w:t>successful prevention</w:t>
      </w:r>
      <w:r w:rsidR="00C54FFF">
        <w:rPr>
          <w:rFonts w:cstheme="minorHAnsi"/>
          <w:sz w:val="24"/>
          <w:szCs w:val="24"/>
        </w:rPr>
        <w:t xml:space="preserve"> efforts</w:t>
      </w:r>
      <w:r w:rsidR="00143E9B">
        <w:rPr>
          <w:rFonts w:cstheme="minorHAnsi"/>
          <w:sz w:val="24"/>
          <w:szCs w:val="24"/>
        </w:rPr>
        <w:t xml:space="preserve"> </w:t>
      </w:r>
      <w:r w:rsidR="00143E9B" w:rsidRPr="00143E9B">
        <w:rPr>
          <w:rFonts w:cstheme="minorHAnsi"/>
          <w:sz w:val="24"/>
          <w:szCs w:val="24"/>
        </w:rPr>
        <w:t>(Federal Bureau of Investigation et al., 2022). Well-functioning multidisciplinary teams are an effective approach to reaching shared goals (Bohnenkamp et al., 2023; Meloy &amp; Hoffmann, 2021). Threat assessment teams (TATs) are multidisciplinary teams that mitigate risk and enhance safety to prevent crisis (Deisinger et al., 2008; Meloy &amp; Hoffmann, 2021). TATs bring diversity of perspective and subject-matter experts together for collaborative and creative problem-solving (Deisinger et al., 2008; Jaeger et al., 1993; Meloy &amp; Hoffmann, 2021). However, it is unclear how TATs at IHEs operationalize and define success in the absence of a tragic event (Meloy &amp; Hoffmann, 2021). While there is a common protocol for routine threat assessment, common successes are unclear.</w:t>
      </w:r>
    </w:p>
    <w:p w14:paraId="7C684D4F" w14:textId="65781120" w:rsidR="00E72957" w:rsidRPr="009513A7" w:rsidRDefault="00E72957" w:rsidP="00E72957">
      <w:pPr>
        <w:spacing w:after="0" w:line="480" w:lineRule="auto"/>
        <w:jc w:val="center"/>
        <w:rPr>
          <w:rFonts w:cstheme="minorHAnsi"/>
          <w:b/>
          <w:bCs/>
          <w:sz w:val="24"/>
          <w:szCs w:val="24"/>
        </w:rPr>
      </w:pPr>
      <w:r w:rsidRPr="009513A7">
        <w:rPr>
          <w:rFonts w:cstheme="minorHAnsi"/>
          <w:b/>
          <w:bCs/>
          <w:sz w:val="24"/>
          <w:szCs w:val="24"/>
        </w:rPr>
        <w:t>Purpose of Study</w:t>
      </w:r>
    </w:p>
    <w:p w14:paraId="486AB77A" w14:textId="1640A032" w:rsidR="00E72957" w:rsidRPr="009513A7" w:rsidRDefault="00E72957" w:rsidP="00E72957">
      <w:pPr>
        <w:spacing w:after="0" w:line="480" w:lineRule="auto"/>
        <w:ind w:firstLine="720"/>
        <w:rPr>
          <w:rFonts w:cstheme="minorHAnsi"/>
          <w:sz w:val="24"/>
          <w:szCs w:val="24"/>
        </w:rPr>
      </w:pPr>
      <w:bookmarkStart w:id="1" w:name="_Hlk128827708"/>
      <w:r w:rsidRPr="009513A7">
        <w:rPr>
          <w:rFonts w:cstheme="minorHAnsi"/>
          <w:sz w:val="24"/>
          <w:szCs w:val="24"/>
        </w:rPr>
        <w:t xml:space="preserve">The purpose of this study </w:t>
      </w:r>
      <w:r w:rsidR="002F6F81">
        <w:rPr>
          <w:rFonts w:cstheme="minorHAnsi"/>
          <w:sz w:val="24"/>
          <w:szCs w:val="24"/>
        </w:rPr>
        <w:t>was</w:t>
      </w:r>
      <w:r w:rsidRPr="009513A7">
        <w:rPr>
          <w:rFonts w:cstheme="minorHAnsi"/>
          <w:sz w:val="24"/>
          <w:szCs w:val="24"/>
        </w:rPr>
        <w:t xml:space="preserve"> to examine the experiences of individuals </w:t>
      </w:r>
      <w:r w:rsidR="00011CBD">
        <w:rPr>
          <w:rFonts w:cstheme="minorHAnsi"/>
          <w:sz w:val="24"/>
          <w:szCs w:val="24"/>
        </w:rPr>
        <w:t xml:space="preserve">who lead </w:t>
      </w:r>
      <w:r w:rsidRPr="009513A7">
        <w:rPr>
          <w:rFonts w:cstheme="minorHAnsi"/>
          <w:sz w:val="24"/>
          <w:szCs w:val="24"/>
        </w:rPr>
        <w:t xml:space="preserve">threat assessment </w:t>
      </w:r>
      <w:r w:rsidR="00C117A6">
        <w:rPr>
          <w:rFonts w:cstheme="minorHAnsi"/>
          <w:sz w:val="24"/>
          <w:szCs w:val="24"/>
        </w:rPr>
        <w:t>teams (</w:t>
      </w:r>
      <w:r w:rsidR="00A27A2E" w:rsidRPr="009513A7">
        <w:rPr>
          <w:rFonts w:cstheme="minorHAnsi"/>
          <w:sz w:val="24"/>
          <w:szCs w:val="24"/>
        </w:rPr>
        <w:t>TA</w:t>
      </w:r>
      <w:r w:rsidR="00A27A2E">
        <w:rPr>
          <w:rFonts w:cstheme="minorHAnsi"/>
          <w:sz w:val="24"/>
          <w:szCs w:val="24"/>
        </w:rPr>
        <w:t>Ts</w:t>
      </w:r>
      <w:r w:rsidR="00C117A6">
        <w:rPr>
          <w:rFonts w:cstheme="minorHAnsi"/>
          <w:sz w:val="24"/>
          <w:szCs w:val="24"/>
        </w:rPr>
        <w:t>)</w:t>
      </w:r>
      <w:r w:rsidRPr="009513A7">
        <w:rPr>
          <w:rFonts w:cstheme="minorHAnsi"/>
          <w:sz w:val="24"/>
          <w:szCs w:val="24"/>
        </w:rPr>
        <w:t xml:space="preserve"> in higher education, specifically to understand </w:t>
      </w:r>
      <w:r w:rsidR="002F6F81" w:rsidRPr="002F6F81">
        <w:rPr>
          <w:rFonts w:cstheme="minorHAnsi"/>
          <w:sz w:val="24"/>
          <w:szCs w:val="24"/>
        </w:rPr>
        <w:t xml:space="preserve">how they operationalize and define success. </w:t>
      </w:r>
      <w:r w:rsidR="002F6F81" w:rsidRPr="00143E9B">
        <w:rPr>
          <w:rFonts w:cstheme="minorHAnsi"/>
          <w:sz w:val="24"/>
          <w:szCs w:val="24"/>
        </w:rPr>
        <w:t xml:space="preserve">Furthermore, I </w:t>
      </w:r>
      <w:r w:rsidR="002F6F81">
        <w:rPr>
          <w:rFonts w:cstheme="minorHAnsi"/>
          <w:sz w:val="24"/>
          <w:szCs w:val="24"/>
        </w:rPr>
        <w:t xml:space="preserve">sought </w:t>
      </w:r>
      <w:r w:rsidR="002F6F81" w:rsidRPr="00143E9B">
        <w:rPr>
          <w:rFonts w:cstheme="minorHAnsi"/>
          <w:sz w:val="24"/>
          <w:szCs w:val="24"/>
        </w:rPr>
        <w:t>to learn how team leaders, not policy or standards, operationalize and define success, and understand what that looks like in practice to them</w:t>
      </w:r>
      <w:r w:rsidR="002F6F81">
        <w:rPr>
          <w:rFonts w:cstheme="minorHAnsi"/>
          <w:sz w:val="24"/>
          <w:szCs w:val="24"/>
        </w:rPr>
        <w:t xml:space="preserve">. </w:t>
      </w:r>
    </w:p>
    <w:bookmarkEnd w:id="1"/>
    <w:p w14:paraId="5C0AFBEC" w14:textId="409A7A35" w:rsidR="004B74D0" w:rsidRPr="009513A7" w:rsidRDefault="005277B3" w:rsidP="004B74D0">
      <w:pPr>
        <w:spacing w:after="0" w:line="480" w:lineRule="auto"/>
        <w:jc w:val="center"/>
        <w:rPr>
          <w:rFonts w:cstheme="minorHAnsi"/>
          <w:b/>
          <w:bCs/>
          <w:sz w:val="24"/>
          <w:szCs w:val="24"/>
        </w:rPr>
      </w:pPr>
      <w:r>
        <w:rPr>
          <w:rFonts w:cstheme="minorHAnsi"/>
          <w:b/>
          <w:bCs/>
          <w:sz w:val="24"/>
          <w:szCs w:val="24"/>
        </w:rPr>
        <w:t xml:space="preserve">Basic </w:t>
      </w:r>
      <w:r w:rsidR="004B74D0" w:rsidRPr="009513A7">
        <w:rPr>
          <w:rFonts w:cstheme="minorHAnsi"/>
          <w:b/>
          <w:bCs/>
          <w:sz w:val="24"/>
          <w:szCs w:val="24"/>
        </w:rPr>
        <w:t xml:space="preserve">Qualitative </w:t>
      </w:r>
      <w:r>
        <w:rPr>
          <w:rFonts w:cstheme="minorHAnsi"/>
          <w:b/>
          <w:bCs/>
          <w:sz w:val="24"/>
          <w:szCs w:val="24"/>
        </w:rPr>
        <w:t>Research</w:t>
      </w:r>
      <w:r w:rsidR="004B74D0" w:rsidRPr="009513A7">
        <w:rPr>
          <w:rFonts w:cstheme="minorHAnsi"/>
          <w:b/>
          <w:bCs/>
          <w:sz w:val="24"/>
          <w:szCs w:val="24"/>
        </w:rPr>
        <w:t xml:space="preserve"> Study</w:t>
      </w:r>
    </w:p>
    <w:p w14:paraId="7F48C9B9" w14:textId="4C4F35C3" w:rsidR="005277B3" w:rsidRPr="005277B3" w:rsidRDefault="00A4782C" w:rsidP="005277B3">
      <w:pPr>
        <w:spacing w:after="0" w:line="480" w:lineRule="auto"/>
        <w:ind w:firstLine="720"/>
        <w:rPr>
          <w:rFonts w:eastAsia="Calibri" w:cstheme="minorHAnsi"/>
          <w:sz w:val="24"/>
          <w:szCs w:val="24"/>
        </w:rPr>
      </w:pPr>
      <w:bookmarkStart w:id="2" w:name="_Hlk157942947"/>
      <w:r w:rsidRPr="009513A7">
        <w:rPr>
          <w:rFonts w:eastAsia="Calibri" w:cstheme="minorHAnsi"/>
          <w:sz w:val="24"/>
          <w:szCs w:val="24"/>
        </w:rPr>
        <w:t xml:space="preserve">The methodology for this study </w:t>
      </w:r>
      <w:r w:rsidR="005277B3">
        <w:rPr>
          <w:rFonts w:eastAsia="Calibri" w:cstheme="minorHAnsi"/>
          <w:sz w:val="24"/>
          <w:szCs w:val="24"/>
        </w:rPr>
        <w:t xml:space="preserve">was </w:t>
      </w:r>
      <w:r w:rsidR="005277B3" w:rsidRPr="005277B3">
        <w:rPr>
          <w:rFonts w:eastAsia="Calibri" w:cstheme="minorHAnsi"/>
          <w:sz w:val="24"/>
          <w:szCs w:val="24"/>
        </w:rPr>
        <w:t xml:space="preserve">basic qualitative research which is the most common form of qualitative research found in education (Merriam &amp; Tisdell, 2016). Merriam and Tisdell (2016) described qualitative research as a method to uncover and interpret meaning. The researcher is the primary instrument of data collection and analysis in this </w:t>
      </w:r>
      <w:r w:rsidR="005277B3" w:rsidRPr="005277B3">
        <w:rPr>
          <w:rFonts w:eastAsia="Calibri" w:cstheme="minorHAnsi"/>
          <w:sz w:val="24"/>
          <w:szCs w:val="24"/>
        </w:rPr>
        <w:lastRenderedPageBreak/>
        <w:t>inductive and richly descriptive process (Creswell, 2014). I collect</w:t>
      </w:r>
      <w:r w:rsidR="005277B3">
        <w:rPr>
          <w:rFonts w:eastAsia="Calibri" w:cstheme="minorHAnsi"/>
          <w:sz w:val="24"/>
          <w:szCs w:val="24"/>
        </w:rPr>
        <w:t>ed</w:t>
      </w:r>
      <w:r w:rsidR="005277B3" w:rsidRPr="005277B3">
        <w:rPr>
          <w:rFonts w:eastAsia="Calibri" w:cstheme="minorHAnsi"/>
          <w:sz w:val="24"/>
          <w:szCs w:val="24"/>
        </w:rPr>
        <w:t xml:space="preserve"> data through interviews and document analysis to uncover participant experiences. I analyze</w:t>
      </w:r>
      <w:r w:rsidR="005277B3">
        <w:rPr>
          <w:rFonts w:eastAsia="Calibri" w:cstheme="minorHAnsi"/>
          <w:sz w:val="24"/>
          <w:szCs w:val="24"/>
        </w:rPr>
        <w:t>d</w:t>
      </w:r>
      <w:r w:rsidR="005277B3" w:rsidRPr="005277B3">
        <w:rPr>
          <w:rFonts w:eastAsia="Calibri" w:cstheme="minorHAnsi"/>
          <w:sz w:val="24"/>
          <w:szCs w:val="24"/>
        </w:rPr>
        <w:t xml:space="preserve"> the experiences of individuals that lead threat assessment teams (TATs) starting with thirteen Southeastern Conference (SEC) schools to better understand how TAT leaders operationalize and define success. The unit of analysis for this study </w:t>
      </w:r>
      <w:r w:rsidR="005277B3">
        <w:rPr>
          <w:rFonts w:eastAsia="Calibri" w:cstheme="minorHAnsi"/>
          <w:sz w:val="24"/>
          <w:szCs w:val="24"/>
        </w:rPr>
        <w:t>was</w:t>
      </w:r>
      <w:r w:rsidR="005277B3" w:rsidRPr="005277B3">
        <w:rPr>
          <w:rFonts w:eastAsia="Calibri" w:cstheme="minorHAnsi"/>
          <w:sz w:val="24"/>
          <w:szCs w:val="24"/>
        </w:rPr>
        <w:t xml:space="preserve"> TAT leaders. I use</w:t>
      </w:r>
      <w:r w:rsidR="005277B3">
        <w:rPr>
          <w:rFonts w:eastAsia="Calibri" w:cstheme="minorHAnsi"/>
          <w:sz w:val="24"/>
          <w:szCs w:val="24"/>
        </w:rPr>
        <w:t>d</w:t>
      </w:r>
      <w:r w:rsidR="005277B3" w:rsidRPr="005277B3">
        <w:rPr>
          <w:rFonts w:eastAsia="Calibri" w:cstheme="minorHAnsi"/>
          <w:sz w:val="24"/>
          <w:szCs w:val="24"/>
        </w:rPr>
        <w:t xml:space="preserve"> a non-probability sampling method in this study. Non-probability sampling is the process of selecting participants from a non-random sample and preferred for qualitative research (Merriam &amp; Tisdell, 2016). This sampling method allow</w:t>
      </w:r>
      <w:r w:rsidR="005277B3">
        <w:rPr>
          <w:rFonts w:eastAsia="Calibri" w:cstheme="minorHAnsi"/>
          <w:sz w:val="24"/>
          <w:szCs w:val="24"/>
        </w:rPr>
        <w:t>ed</w:t>
      </w:r>
      <w:r w:rsidR="005277B3" w:rsidRPr="005277B3">
        <w:rPr>
          <w:rFonts w:eastAsia="Calibri" w:cstheme="minorHAnsi"/>
          <w:sz w:val="24"/>
          <w:szCs w:val="24"/>
        </w:rPr>
        <w:t xml:space="preserve"> me to select participants from TATs to better understand how leaders operationalize and define success from the perspective of those who lead (Creswell, 2014; Honigmann, 1982; LeCompte &amp; Schensul, 2010). A type of non-probability sampling is criterion-based or purposeful sampling (Chein, 1981; Merriam &amp; Tisdell, 2016; Patton, 2015). I</w:t>
      </w:r>
      <w:r w:rsidR="005277B3">
        <w:rPr>
          <w:rFonts w:eastAsia="Calibri" w:cstheme="minorHAnsi"/>
          <w:sz w:val="24"/>
          <w:szCs w:val="24"/>
        </w:rPr>
        <w:t xml:space="preserve"> </w:t>
      </w:r>
      <w:r w:rsidR="005277B3" w:rsidRPr="005277B3">
        <w:rPr>
          <w:rFonts w:eastAsia="Calibri" w:cstheme="minorHAnsi"/>
          <w:sz w:val="24"/>
          <w:szCs w:val="24"/>
        </w:rPr>
        <w:t xml:space="preserve"> use</w:t>
      </w:r>
      <w:r w:rsidR="005277B3">
        <w:rPr>
          <w:rFonts w:eastAsia="Calibri" w:cstheme="minorHAnsi"/>
          <w:sz w:val="24"/>
          <w:szCs w:val="24"/>
        </w:rPr>
        <w:t>d</w:t>
      </w:r>
      <w:r w:rsidR="005277B3" w:rsidRPr="005277B3">
        <w:rPr>
          <w:rFonts w:eastAsia="Calibri" w:cstheme="minorHAnsi"/>
          <w:sz w:val="24"/>
          <w:szCs w:val="24"/>
        </w:rPr>
        <w:t xml:space="preserve"> the most common form of purposeful sampling known as snowball sampling (Merriam &amp; Tisdell, 2016). I first s</w:t>
      </w:r>
      <w:r w:rsidR="005277B3">
        <w:rPr>
          <w:rFonts w:eastAsia="Calibri" w:cstheme="minorHAnsi"/>
          <w:sz w:val="24"/>
          <w:szCs w:val="24"/>
        </w:rPr>
        <w:t>ought</w:t>
      </w:r>
      <w:r w:rsidR="005277B3" w:rsidRPr="005277B3">
        <w:rPr>
          <w:rFonts w:eastAsia="Calibri" w:cstheme="minorHAnsi"/>
          <w:sz w:val="24"/>
          <w:szCs w:val="24"/>
        </w:rPr>
        <w:t xml:space="preserve"> participants from TATs in the SEC as TATs are a recognized group within the SEC. As I interview</w:t>
      </w:r>
      <w:r w:rsidR="005277B3">
        <w:rPr>
          <w:rFonts w:eastAsia="Calibri" w:cstheme="minorHAnsi"/>
          <w:sz w:val="24"/>
          <w:szCs w:val="24"/>
        </w:rPr>
        <w:t>ed</w:t>
      </w:r>
      <w:r w:rsidR="005277B3" w:rsidRPr="005277B3">
        <w:rPr>
          <w:rFonts w:eastAsia="Calibri" w:cstheme="minorHAnsi"/>
          <w:sz w:val="24"/>
          <w:szCs w:val="24"/>
        </w:rPr>
        <w:t xml:space="preserve"> key participants who met the criteria for my study, I ask</w:t>
      </w:r>
      <w:r w:rsidR="005277B3">
        <w:rPr>
          <w:rFonts w:eastAsia="Calibri" w:cstheme="minorHAnsi"/>
          <w:sz w:val="24"/>
          <w:szCs w:val="24"/>
        </w:rPr>
        <w:t>ed</w:t>
      </w:r>
      <w:r w:rsidR="005277B3" w:rsidRPr="005277B3">
        <w:rPr>
          <w:rFonts w:eastAsia="Calibri" w:cstheme="minorHAnsi"/>
          <w:sz w:val="24"/>
          <w:szCs w:val="24"/>
        </w:rPr>
        <w:t xml:space="preserve"> each to refer me to other participants. With each referral the number of participants, or snowball, gr</w:t>
      </w:r>
      <w:r w:rsidR="005277B3">
        <w:rPr>
          <w:rFonts w:eastAsia="Calibri" w:cstheme="minorHAnsi"/>
          <w:sz w:val="24"/>
          <w:szCs w:val="24"/>
        </w:rPr>
        <w:t>e</w:t>
      </w:r>
      <w:r w:rsidR="005277B3" w:rsidRPr="005277B3">
        <w:rPr>
          <w:rFonts w:eastAsia="Calibri" w:cstheme="minorHAnsi"/>
          <w:sz w:val="24"/>
          <w:szCs w:val="24"/>
        </w:rPr>
        <w:t>w, and I accumulate</w:t>
      </w:r>
      <w:r w:rsidR="005277B3">
        <w:rPr>
          <w:rFonts w:eastAsia="Calibri" w:cstheme="minorHAnsi"/>
          <w:sz w:val="24"/>
          <w:szCs w:val="24"/>
        </w:rPr>
        <w:t>d</w:t>
      </w:r>
      <w:r w:rsidR="005277B3" w:rsidRPr="005277B3">
        <w:rPr>
          <w:rFonts w:eastAsia="Calibri" w:cstheme="minorHAnsi"/>
          <w:sz w:val="24"/>
          <w:szCs w:val="24"/>
        </w:rPr>
        <w:t xml:space="preserve"> information-rich cases (Merriam &amp; Tisdell, 2016; Patton, 2015). I engage</w:t>
      </w:r>
      <w:r w:rsidR="00A324A4">
        <w:rPr>
          <w:rFonts w:eastAsia="Calibri" w:cstheme="minorHAnsi"/>
          <w:sz w:val="24"/>
          <w:szCs w:val="24"/>
        </w:rPr>
        <w:t>d</w:t>
      </w:r>
      <w:r w:rsidR="005277B3" w:rsidRPr="005277B3">
        <w:rPr>
          <w:rFonts w:eastAsia="Calibri" w:cstheme="minorHAnsi"/>
          <w:sz w:val="24"/>
          <w:szCs w:val="24"/>
        </w:rPr>
        <w:t xml:space="preserve"> in two forms of data collection – semi-structured interviews and document analysis (Merriam &amp; Tisdell, 2016). I collect</w:t>
      </w:r>
      <w:r w:rsidR="00A324A4">
        <w:rPr>
          <w:rFonts w:eastAsia="Calibri" w:cstheme="minorHAnsi"/>
          <w:sz w:val="24"/>
          <w:szCs w:val="24"/>
        </w:rPr>
        <w:t>ed</w:t>
      </w:r>
      <w:r w:rsidR="005277B3" w:rsidRPr="005277B3">
        <w:rPr>
          <w:rFonts w:eastAsia="Calibri" w:cstheme="minorHAnsi"/>
          <w:sz w:val="24"/>
          <w:szCs w:val="24"/>
        </w:rPr>
        <w:t xml:space="preserve"> thick, rich data and analyze</w:t>
      </w:r>
      <w:r w:rsidR="00A324A4">
        <w:rPr>
          <w:rFonts w:eastAsia="Calibri" w:cstheme="minorHAnsi"/>
          <w:sz w:val="24"/>
          <w:szCs w:val="24"/>
        </w:rPr>
        <w:t>d</w:t>
      </w:r>
      <w:r w:rsidR="005277B3" w:rsidRPr="005277B3">
        <w:rPr>
          <w:rFonts w:eastAsia="Calibri" w:cstheme="minorHAnsi"/>
          <w:sz w:val="24"/>
          <w:szCs w:val="24"/>
        </w:rPr>
        <w:t xml:space="preserve"> it so that it “makes sense” (Firestone, 1987, p. 19) to the reader. The interviews and documents provide</w:t>
      </w:r>
      <w:r w:rsidR="00A324A4">
        <w:rPr>
          <w:rFonts w:eastAsia="Calibri" w:cstheme="minorHAnsi"/>
          <w:sz w:val="24"/>
          <w:szCs w:val="24"/>
        </w:rPr>
        <w:t>d</w:t>
      </w:r>
      <w:r w:rsidR="005277B3" w:rsidRPr="005277B3">
        <w:rPr>
          <w:rFonts w:eastAsia="Calibri" w:cstheme="minorHAnsi"/>
          <w:sz w:val="24"/>
          <w:szCs w:val="24"/>
        </w:rPr>
        <w:t xml:space="preserve"> data to answer the research question (Merriam &amp; Tisdell, 2016; Ponterotto, 2006). I</w:t>
      </w:r>
      <w:r w:rsidR="00A324A4">
        <w:rPr>
          <w:rFonts w:eastAsia="Calibri" w:cstheme="minorHAnsi"/>
          <w:sz w:val="24"/>
          <w:szCs w:val="24"/>
        </w:rPr>
        <w:t xml:space="preserve"> </w:t>
      </w:r>
      <w:r w:rsidR="005277B3" w:rsidRPr="005277B3">
        <w:rPr>
          <w:rFonts w:eastAsia="Calibri" w:cstheme="minorHAnsi"/>
          <w:sz w:val="24"/>
          <w:szCs w:val="24"/>
        </w:rPr>
        <w:t>engage</w:t>
      </w:r>
      <w:r w:rsidR="00A324A4">
        <w:rPr>
          <w:rFonts w:eastAsia="Calibri" w:cstheme="minorHAnsi"/>
          <w:sz w:val="24"/>
          <w:szCs w:val="24"/>
        </w:rPr>
        <w:t>d</w:t>
      </w:r>
      <w:r w:rsidR="005277B3" w:rsidRPr="005277B3">
        <w:rPr>
          <w:rFonts w:eastAsia="Calibri" w:cstheme="minorHAnsi"/>
          <w:sz w:val="24"/>
          <w:szCs w:val="24"/>
        </w:rPr>
        <w:t xml:space="preserve"> in data collection until the point of saturation. Saturation </w:t>
      </w:r>
      <w:r w:rsidR="00A324A4">
        <w:rPr>
          <w:rFonts w:eastAsia="Calibri" w:cstheme="minorHAnsi"/>
          <w:sz w:val="24"/>
          <w:szCs w:val="24"/>
        </w:rPr>
        <w:t>wa</w:t>
      </w:r>
      <w:r w:rsidR="005277B3" w:rsidRPr="005277B3">
        <w:rPr>
          <w:rFonts w:eastAsia="Calibri" w:cstheme="minorHAnsi"/>
          <w:sz w:val="24"/>
          <w:szCs w:val="24"/>
        </w:rPr>
        <w:t>s achieved when data collection bec</w:t>
      </w:r>
      <w:r w:rsidR="00A324A4">
        <w:rPr>
          <w:rFonts w:eastAsia="Calibri" w:cstheme="minorHAnsi"/>
          <w:sz w:val="24"/>
          <w:szCs w:val="24"/>
        </w:rPr>
        <w:t>a</w:t>
      </w:r>
      <w:r w:rsidR="005277B3" w:rsidRPr="005277B3">
        <w:rPr>
          <w:rFonts w:eastAsia="Calibri" w:cstheme="minorHAnsi"/>
          <w:sz w:val="24"/>
          <w:szCs w:val="24"/>
        </w:rPr>
        <w:t xml:space="preserve">me redundant </w:t>
      </w:r>
      <w:r w:rsidR="005277B3" w:rsidRPr="005277B3">
        <w:rPr>
          <w:rFonts w:eastAsia="Calibri" w:cstheme="minorHAnsi"/>
          <w:sz w:val="24"/>
          <w:szCs w:val="24"/>
        </w:rPr>
        <w:lastRenderedPageBreak/>
        <w:t xml:space="preserve">and no new information </w:t>
      </w:r>
      <w:r w:rsidR="00A324A4">
        <w:rPr>
          <w:rFonts w:eastAsia="Calibri" w:cstheme="minorHAnsi"/>
          <w:sz w:val="24"/>
          <w:szCs w:val="24"/>
        </w:rPr>
        <w:t>wa</w:t>
      </w:r>
      <w:r w:rsidR="005277B3" w:rsidRPr="005277B3">
        <w:rPr>
          <w:rFonts w:eastAsia="Calibri" w:cstheme="minorHAnsi"/>
          <w:sz w:val="24"/>
          <w:szCs w:val="24"/>
        </w:rPr>
        <w:t>s forthcoming (Lincoln &amp; Guba, 1985; Merriam &amp; Tisdell, 2016; Patton, 2015).</w:t>
      </w:r>
    </w:p>
    <w:p w14:paraId="5E36F886" w14:textId="2D18DE9C" w:rsidR="00F34EB0" w:rsidRDefault="00E62820" w:rsidP="00441F01">
      <w:pPr>
        <w:spacing w:after="0" w:line="480" w:lineRule="auto"/>
        <w:ind w:firstLine="720"/>
        <w:rPr>
          <w:rFonts w:cstheme="minorHAnsi"/>
          <w:sz w:val="24"/>
          <w:szCs w:val="24"/>
        </w:rPr>
      </w:pPr>
      <w:r>
        <w:rPr>
          <w:rFonts w:eastAsia="Calibri" w:cstheme="minorHAnsi"/>
          <w:sz w:val="24"/>
          <w:szCs w:val="24"/>
        </w:rPr>
        <w:t xml:space="preserve">A </w:t>
      </w:r>
      <w:r w:rsidR="005277B3" w:rsidRPr="005277B3">
        <w:rPr>
          <w:rFonts w:eastAsia="Calibri" w:cstheme="minorHAnsi"/>
          <w:sz w:val="24"/>
          <w:szCs w:val="24"/>
        </w:rPr>
        <w:t xml:space="preserve">basic qualitative study </w:t>
      </w:r>
      <w:r>
        <w:rPr>
          <w:rFonts w:eastAsia="Calibri" w:cstheme="minorHAnsi"/>
          <w:sz w:val="24"/>
          <w:szCs w:val="24"/>
        </w:rPr>
        <w:t>wa</w:t>
      </w:r>
      <w:r w:rsidR="005277B3" w:rsidRPr="005277B3">
        <w:rPr>
          <w:rFonts w:eastAsia="Calibri" w:cstheme="minorHAnsi"/>
          <w:sz w:val="24"/>
          <w:szCs w:val="24"/>
        </w:rPr>
        <w:t>s ideal to conduct in-depth interviews, review documents, and analyze the experiences of those who lead TATs. Each tragedy that occurs at institutions of higher education (IHEs) brings new challenges and criticisms with an ever-increasing call for successful prevention efforts (Federal Bureau of Investigation et al., 2022). This research is important to understand how threat assessment team leaders operationalize and define success (Bolman &amp; Deal, 2021; Meloy &amp; Hoffmann, 2021).</w:t>
      </w:r>
      <w:bookmarkEnd w:id="2"/>
      <w:r w:rsidR="00A4782C" w:rsidRPr="009513A7">
        <w:rPr>
          <w:rFonts w:eastAsia="Calibri" w:cstheme="minorHAnsi"/>
          <w:sz w:val="24"/>
          <w:szCs w:val="24"/>
        </w:rPr>
        <w:t xml:space="preserve"> </w:t>
      </w:r>
      <w:r w:rsidR="00316254">
        <w:rPr>
          <w:rFonts w:eastAsia="Calibri" w:cstheme="minorHAnsi"/>
          <w:sz w:val="24"/>
          <w:szCs w:val="24"/>
        </w:rPr>
        <w:t>In Chapter 3, I discuss</w:t>
      </w:r>
      <w:r>
        <w:rPr>
          <w:rFonts w:eastAsia="Calibri" w:cstheme="minorHAnsi"/>
          <w:sz w:val="24"/>
          <w:szCs w:val="24"/>
        </w:rPr>
        <w:t>ed</w:t>
      </w:r>
      <w:r w:rsidR="00316254">
        <w:rPr>
          <w:rFonts w:eastAsia="Calibri" w:cstheme="minorHAnsi"/>
          <w:sz w:val="24"/>
          <w:szCs w:val="24"/>
        </w:rPr>
        <w:t xml:space="preserve"> </w:t>
      </w:r>
      <w:r w:rsidR="00894B74">
        <w:rPr>
          <w:rFonts w:eastAsia="Calibri" w:cstheme="minorHAnsi"/>
          <w:sz w:val="24"/>
          <w:szCs w:val="24"/>
        </w:rPr>
        <w:t>participants</w:t>
      </w:r>
      <w:r w:rsidR="00316254">
        <w:rPr>
          <w:rFonts w:eastAsia="Calibri" w:cstheme="minorHAnsi"/>
          <w:sz w:val="24"/>
          <w:szCs w:val="24"/>
        </w:rPr>
        <w:t xml:space="preserve">, data collection and analysis, as well as </w:t>
      </w:r>
      <w:r w:rsidR="00316254">
        <w:rPr>
          <w:rFonts w:cstheme="minorHAnsi"/>
          <w:sz w:val="24"/>
          <w:szCs w:val="24"/>
        </w:rPr>
        <w:t xml:space="preserve">trustworthiness, ethical considerations, insider/outside issues, and </w:t>
      </w:r>
      <w:r w:rsidR="00F34EB0">
        <w:rPr>
          <w:rFonts w:cstheme="minorHAnsi"/>
          <w:sz w:val="24"/>
          <w:szCs w:val="24"/>
        </w:rPr>
        <w:t xml:space="preserve">my </w:t>
      </w:r>
      <w:r w:rsidR="00316254">
        <w:rPr>
          <w:rFonts w:cstheme="minorHAnsi"/>
          <w:sz w:val="24"/>
          <w:szCs w:val="24"/>
        </w:rPr>
        <w:t>reflexivity</w:t>
      </w:r>
      <w:r w:rsidR="00F34EB0">
        <w:rPr>
          <w:rFonts w:cstheme="minorHAnsi"/>
          <w:sz w:val="24"/>
          <w:szCs w:val="24"/>
        </w:rPr>
        <w:t>.</w:t>
      </w:r>
    </w:p>
    <w:p w14:paraId="6D5E5C05" w14:textId="432E31BD" w:rsidR="00E72957" w:rsidRPr="009513A7" w:rsidRDefault="00E72957" w:rsidP="00E72957">
      <w:pPr>
        <w:spacing w:after="0" w:line="480" w:lineRule="auto"/>
        <w:jc w:val="center"/>
        <w:rPr>
          <w:rFonts w:cstheme="minorHAnsi"/>
          <w:sz w:val="24"/>
          <w:szCs w:val="24"/>
        </w:rPr>
      </w:pPr>
      <w:r w:rsidRPr="009513A7">
        <w:rPr>
          <w:rFonts w:cstheme="minorHAnsi"/>
          <w:b/>
          <w:bCs/>
          <w:sz w:val="24"/>
          <w:szCs w:val="24"/>
        </w:rPr>
        <w:t>Research Question</w:t>
      </w:r>
    </w:p>
    <w:p w14:paraId="410D8CD3" w14:textId="2E20D220" w:rsidR="00E72957" w:rsidRPr="009513A7" w:rsidRDefault="00E72957" w:rsidP="00E72957">
      <w:pPr>
        <w:spacing w:after="0" w:line="480" w:lineRule="auto"/>
        <w:rPr>
          <w:rFonts w:eastAsia="Calibri" w:cstheme="minorHAnsi"/>
          <w:sz w:val="24"/>
          <w:szCs w:val="24"/>
        </w:rPr>
      </w:pPr>
      <w:r w:rsidRPr="009513A7">
        <w:rPr>
          <w:rFonts w:eastAsia="Calibri" w:cstheme="minorHAnsi"/>
          <w:sz w:val="24"/>
          <w:szCs w:val="24"/>
        </w:rPr>
        <w:t>The following research question guide</w:t>
      </w:r>
      <w:r w:rsidR="00154A25">
        <w:rPr>
          <w:rFonts w:eastAsia="Calibri" w:cstheme="minorHAnsi"/>
          <w:sz w:val="24"/>
          <w:szCs w:val="24"/>
        </w:rPr>
        <w:t>d</w:t>
      </w:r>
      <w:r w:rsidRPr="009513A7">
        <w:rPr>
          <w:rFonts w:eastAsia="Calibri" w:cstheme="minorHAnsi"/>
          <w:sz w:val="24"/>
          <w:szCs w:val="24"/>
        </w:rPr>
        <w:t xml:space="preserve"> this study:</w:t>
      </w:r>
    </w:p>
    <w:p w14:paraId="3A0F896B" w14:textId="4603D43F" w:rsidR="00A64049" w:rsidRPr="009513A7" w:rsidRDefault="00E72957" w:rsidP="00E72957">
      <w:pPr>
        <w:spacing w:after="0" w:line="480" w:lineRule="auto"/>
        <w:rPr>
          <w:rFonts w:eastAsia="Calibri" w:cstheme="minorHAnsi"/>
          <w:sz w:val="24"/>
          <w:szCs w:val="24"/>
        </w:rPr>
      </w:pPr>
      <w:r w:rsidRPr="00482AF8">
        <w:rPr>
          <w:rFonts w:eastAsia="Calibri" w:cstheme="minorHAnsi"/>
          <w:b/>
          <w:bCs/>
          <w:sz w:val="24"/>
          <w:szCs w:val="24"/>
        </w:rPr>
        <w:t>RQ1:</w:t>
      </w:r>
      <w:r w:rsidRPr="00482AF8">
        <w:rPr>
          <w:rFonts w:eastAsia="Calibri" w:cstheme="minorHAnsi"/>
          <w:sz w:val="24"/>
          <w:szCs w:val="24"/>
        </w:rPr>
        <w:t xml:space="preserve"> </w:t>
      </w:r>
      <w:bookmarkStart w:id="3" w:name="_Hlk98687738"/>
      <w:bookmarkStart w:id="4" w:name="_Hlk128817955"/>
      <w:r w:rsidR="00154A25" w:rsidRPr="00154A25">
        <w:rPr>
          <w:rFonts w:eastAsia="Calibri" w:cstheme="minorHAnsi"/>
          <w:sz w:val="24"/>
          <w:szCs w:val="24"/>
        </w:rPr>
        <w:t>How do threat assessment team leaders operationalize and define success?</w:t>
      </w:r>
    </w:p>
    <w:bookmarkEnd w:id="3"/>
    <w:bookmarkEnd w:id="4"/>
    <w:p w14:paraId="3D5C1028" w14:textId="009D5758" w:rsidR="00733F8B" w:rsidRPr="009513A7" w:rsidRDefault="00733F8B" w:rsidP="00733F8B">
      <w:pPr>
        <w:spacing w:after="0" w:line="480" w:lineRule="auto"/>
        <w:jc w:val="center"/>
        <w:rPr>
          <w:rFonts w:cstheme="minorHAnsi"/>
          <w:b/>
          <w:bCs/>
          <w:sz w:val="24"/>
          <w:szCs w:val="24"/>
        </w:rPr>
      </w:pPr>
      <w:r w:rsidRPr="009513A7">
        <w:rPr>
          <w:rFonts w:cstheme="minorHAnsi"/>
          <w:b/>
          <w:bCs/>
          <w:sz w:val="24"/>
          <w:szCs w:val="24"/>
        </w:rPr>
        <w:t>Theoretical Framework</w:t>
      </w:r>
    </w:p>
    <w:p w14:paraId="676D78E5" w14:textId="72BCD34B" w:rsidR="00C64F87" w:rsidRDefault="00733F8B" w:rsidP="00316254">
      <w:pPr>
        <w:spacing w:after="0" w:line="480" w:lineRule="auto"/>
        <w:ind w:firstLine="720"/>
        <w:rPr>
          <w:rFonts w:cstheme="minorHAnsi"/>
          <w:bCs/>
          <w:sz w:val="24"/>
          <w:szCs w:val="24"/>
        </w:rPr>
      </w:pPr>
      <w:r w:rsidRPr="009513A7">
        <w:rPr>
          <w:rFonts w:cstheme="minorHAnsi"/>
          <w:bCs/>
          <w:sz w:val="24"/>
          <w:szCs w:val="24"/>
        </w:rPr>
        <w:t>Bolman and Deal’s (20</w:t>
      </w:r>
      <w:r w:rsidR="00081304">
        <w:rPr>
          <w:rFonts w:cstheme="minorHAnsi"/>
          <w:bCs/>
          <w:sz w:val="24"/>
          <w:szCs w:val="24"/>
        </w:rPr>
        <w:t>21</w:t>
      </w:r>
      <w:r w:rsidRPr="009513A7">
        <w:rPr>
          <w:rFonts w:cstheme="minorHAnsi"/>
          <w:bCs/>
          <w:sz w:val="24"/>
          <w:szCs w:val="24"/>
        </w:rPr>
        <w:t>) organizational frames model is the theoretical framework that guide</w:t>
      </w:r>
      <w:r w:rsidR="00154A25">
        <w:rPr>
          <w:rFonts w:cstheme="minorHAnsi"/>
          <w:bCs/>
          <w:sz w:val="24"/>
          <w:szCs w:val="24"/>
        </w:rPr>
        <w:t>d</w:t>
      </w:r>
      <w:r w:rsidRPr="009513A7">
        <w:rPr>
          <w:rFonts w:cstheme="minorHAnsi"/>
          <w:bCs/>
          <w:sz w:val="24"/>
          <w:szCs w:val="24"/>
        </w:rPr>
        <w:t xml:space="preserve"> this study.</w:t>
      </w:r>
      <w:r w:rsidR="00BF088C">
        <w:rPr>
          <w:rFonts w:cstheme="minorHAnsi"/>
          <w:bCs/>
          <w:sz w:val="24"/>
          <w:szCs w:val="24"/>
        </w:rPr>
        <w:t xml:space="preserve"> Theory has been defined in a variety of </w:t>
      </w:r>
      <w:r w:rsidR="00316254">
        <w:rPr>
          <w:rFonts w:cstheme="minorHAnsi"/>
          <w:bCs/>
          <w:sz w:val="24"/>
          <w:szCs w:val="24"/>
        </w:rPr>
        <w:t xml:space="preserve">ways </w:t>
      </w:r>
      <w:r w:rsidR="00BF088C">
        <w:rPr>
          <w:rFonts w:cstheme="minorHAnsi"/>
          <w:bCs/>
          <w:sz w:val="24"/>
          <w:szCs w:val="24"/>
        </w:rPr>
        <w:t>t</w:t>
      </w:r>
      <w:r w:rsidR="006F6395">
        <w:rPr>
          <w:rFonts w:cstheme="minorHAnsi"/>
          <w:bCs/>
          <w:sz w:val="24"/>
          <w:szCs w:val="24"/>
        </w:rPr>
        <w:t>o</w:t>
      </w:r>
      <w:r w:rsidR="00BF088C">
        <w:rPr>
          <w:rFonts w:cstheme="minorHAnsi"/>
          <w:bCs/>
          <w:sz w:val="24"/>
          <w:szCs w:val="24"/>
        </w:rPr>
        <w:t xml:space="preserve"> help researchers evaluate interconnected </w:t>
      </w:r>
      <w:r w:rsidR="00493BA1">
        <w:rPr>
          <w:rFonts w:cstheme="minorHAnsi"/>
          <w:bCs/>
          <w:sz w:val="24"/>
          <w:szCs w:val="24"/>
        </w:rPr>
        <w:t>observations</w:t>
      </w:r>
      <w:r w:rsidR="00BF088C">
        <w:rPr>
          <w:rFonts w:cstheme="minorHAnsi"/>
          <w:bCs/>
          <w:sz w:val="24"/>
          <w:szCs w:val="24"/>
        </w:rPr>
        <w:t xml:space="preserve"> and make meaning about the relationships between them, in other words, to help us to understand why something is the way it is (</w:t>
      </w:r>
      <w:r w:rsidR="00EE61F9">
        <w:rPr>
          <w:rFonts w:cstheme="minorHAnsi"/>
          <w:bCs/>
          <w:sz w:val="24"/>
          <w:szCs w:val="24"/>
        </w:rPr>
        <w:t xml:space="preserve">Anfara &amp; Mertz, 2015; </w:t>
      </w:r>
      <w:r w:rsidR="00BF088C">
        <w:rPr>
          <w:rFonts w:cstheme="minorHAnsi"/>
          <w:bCs/>
          <w:sz w:val="24"/>
          <w:szCs w:val="24"/>
        </w:rPr>
        <w:t>Argyris &amp; Schon, 1974;</w:t>
      </w:r>
      <w:r w:rsidR="00302AF6">
        <w:rPr>
          <w:rFonts w:cstheme="minorHAnsi"/>
          <w:bCs/>
          <w:sz w:val="24"/>
          <w:szCs w:val="24"/>
        </w:rPr>
        <w:t xml:space="preserve"> LeCompte &amp; Preissle, 1993; </w:t>
      </w:r>
      <w:r w:rsidR="00BF088C">
        <w:rPr>
          <w:rFonts w:cstheme="minorHAnsi"/>
          <w:bCs/>
          <w:sz w:val="24"/>
          <w:szCs w:val="24"/>
        </w:rPr>
        <w:t xml:space="preserve">Kerlinger, 1983; </w:t>
      </w:r>
      <w:r w:rsidR="00302AF6">
        <w:rPr>
          <w:rFonts w:cstheme="minorHAnsi"/>
          <w:bCs/>
          <w:sz w:val="24"/>
          <w:szCs w:val="24"/>
        </w:rPr>
        <w:t xml:space="preserve">Silver, 1983; </w:t>
      </w:r>
      <w:r w:rsidR="00493BA1">
        <w:rPr>
          <w:rFonts w:cstheme="minorHAnsi"/>
          <w:bCs/>
          <w:sz w:val="24"/>
          <w:szCs w:val="24"/>
        </w:rPr>
        <w:t xml:space="preserve">Thornton, 1993; </w:t>
      </w:r>
      <w:r w:rsidR="00302AF6">
        <w:rPr>
          <w:rFonts w:cstheme="minorHAnsi"/>
          <w:bCs/>
          <w:sz w:val="24"/>
          <w:szCs w:val="24"/>
        </w:rPr>
        <w:t>Strauss, 1995).</w:t>
      </w:r>
      <w:r w:rsidR="00D62B8E">
        <w:rPr>
          <w:rFonts w:cstheme="minorHAnsi"/>
          <w:bCs/>
          <w:sz w:val="24"/>
          <w:szCs w:val="24"/>
        </w:rPr>
        <w:t xml:space="preserve"> </w:t>
      </w:r>
      <w:r w:rsidR="00E25E66">
        <w:rPr>
          <w:rFonts w:cstheme="minorHAnsi"/>
          <w:bCs/>
          <w:sz w:val="24"/>
          <w:szCs w:val="24"/>
        </w:rPr>
        <w:t>Our epistemology, or theory of knowledge, is how we make sense of the world (Crotty</w:t>
      </w:r>
      <w:r w:rsidR="0082187B">
        <w:rPr>
          <w:rFonts w:cstheme="minorHAnsi"/>
          <w:bCs/>
          <w:sz w:val="24"/>
          <w:szCs w:val="24"/>
        </w:rPr>
        <w:t>, 1998;</w:t>
      </w:r>
      <w:r w:rsidR="00E25E66">
        <w:rPr>
          <w:rFonts w:cstheme="minorHAnsi"/>
          <w:bCs/>
          <w:sz w:val="24"/>
          <w:szCs w:val="24"/>
        </w:rPr>
        <w:t xml:space="preserve"> </w:t>
      </w:r>
      <w:r w:rsidR="0082187B">
        <w:rPr>
          <w:rFonts w:cstheme="minorHAnsi"/>
          <w:bCs/>
          <w:sz w:val="24"/>
          <w:szCs w:val="24"/>
        </w:rPr>
        <w:t>Merriam &amp; Tisdell, 2016</w:t>
      </w:r>
      <w:r w:rsidR="00E25E66">
        <w:rPr>
          <w:rFonts w:cstheme="minorHAnsi"/>
          <w:bCs/>
          <w:sz w:val="24"/>
          <w:szCs w:val="24"/>
        </w:rPr>
        <w:t>)</w:t>
      </w:r>
      <w:r w:rsidR="0082187B">
        <w:rPr>
          <w:rFonts w:cstheme="minorHAnsi"/>
          <w:bCs/>
          <w:sz w:val="24"/>
          <w:szCs w:val="24"/>
        </w:rPr>
        <w:t>.</w:t>
      </w:r>
      <w:r w:rsidR="00E25E66">
        <w:rPr>
          <w:rFonts w:cstheme="minorHAnsi"/>
          <w:bCs/>
          <w:sz w:val="24"/>
          <w:szCs w:val="24"/>
        </w:rPr>
        <w:t xml:space="preserve"> </w:t>
      </w:r>
      <w:r w:rsidR="001B671C">
        <w:rPr>
          <w:rFonts w:cstheme="minorHAnsi"/>
          <w:bCs/>
          <w:sz w:val="24"/>
          <w:szCs w:val="24"/>
        </w:rPr>
        <w:t>Instead, k</w:t>
      </w:r>
      <w:r w:rsidR="00E25E66">
        <w:rPr>
          <w:rFonts w:cstheme="minorHAnsi"/>
          <w:bCs/>
          <w:sz w:val="24"/>
          <w:szCs w:val="24"/>
        </w:rPr>
        <w:t>nowledge and understanding w</w:t>
      </w:r>
      <w:r w:rsidR="00154A25">
        <w:rPr>
          <w:rFonts w:cstheme="minorHAnsi"/>
          <w:bCs/>
          <w:sz w:val="24"/>
          <w:szCs w:val="24"/>
        </w:rPr>
        <w:t>as</w:t>
      </w:r>
      <w:r w:rsidR="002C134F">
        <w:rPr>
          <w:rFonts w:cstheme="minorHAnsi"/>
          <w:bCs/>
          <w:sz w:val="24"/>
          <w:szCs w:val="24"/>
        </w:rPr>
        <w:t>co-</w:t>
      </w:r>
      <w:r w:rsidR="00E25E66">
        <w:rPr>
          <w:rFonts w:cstheme="minorHAnsi"/>
          <w:bCs/>
          <w:sz w:val="24"/>
          <w:szCs w:val="24"/>
        </w:rPr>
        <w:t xml:space="preserve">constructed </w:t>
      </w:r>
      <w:r w:rsidR="0082187B">
        <w:rPr>
          <w:rFonts w:cstheme="minorHAnsi"/>
          <w:bCs/>
          <w:sz w:val="24"/>
          <w:szCs w:val="24"/>
        </w:rPr>
        <w:t xml:space="preserve">by the </w:t>
      </w:r>
      <w:r w:rsidR="00316254">
        <w:rPr>
          <w:rFonts w:cstheme="minorHAnsi"/>
          <w:bCs/>
          <w:sz w:val="24"/>
          <w:szCs w:val="24"/>
        </w:rPr>
        <w:t>participants</w:t>
      </w:r>
      <w:r w:rsidR="00894B74">
        <w:rPr>
          <w:rFonts w:cstheme="minorHAnsi"/>
          <w:bCs/>
          <w:sz w:val="24"/>
          <w:szCs w:val="24"/>
        </w:rPr>
        <w:t xml:space="preserve"> and me</w:t>
      </w:r>
      <w:r w:rsidR="00316254">
        <w:rPr>
          <w:rFonts w:cstheme="minorHAnsi"/>
          <w:bCs/>
          <w:sz w:val="24"/>
          <w:szCs w:val="24"/>
        </w:rPr>
        <w:t xml:space="preserve"> </w:t>
      </w:r>
      <w:r w:rsidR="0082187B">
        <w:rPr>
          <w:rFonts w:cstheme="minorHAnsi"/>
          <w:bCs/>
          <w:sz w:val="24"/>
          <w:szCs w:val="24"/>
        </w:rPr>
        <w:t xml:space="preserve">through </w:t>
      </w:r>
      <w:r w:rsidR="001B671C">
        <w:rPr>
          <w:rFonts w:cstheme="minorHAnsi"/>
          <w:bCs/>
          <w:sz w:val="24"/>
          <w:szCs w:val="24"/>
        </w:rPr>
        <w:t xml:space="preserve">a </w:t>
      </w:r>
      <w:r w:rsidR="00154A25">
        <w:rPr>
          <w:rFonts w:cstheme="minorHAnsi"/>
          <w:bCs/>
          <w:sz w:val="24"/>
          <w:szCs w:val="24"/>
        </w:rPr>
        <w:t xml:space="preserve">basic qualitative </w:t>
      </w:r>
      <w:r w:rsidR="001B671C">
        <w:rPr>
          <w:rFonts w:cstheme="minorHAnsi"/>
          <w:bCs/>
          <w:sz w:val="24"/>
          <w:szCs w:val="24"/>
        </w:rPr>
        <w:t>study</w:t>
      </w:r>
      <w:r w:rsidR="00894B74">
        <w:rPr>
          <w:rFonts w:cstheme="minorHAnsi"/>
          <w:bCs/>
          <w:sz w:val="24"/>
          <w:szCs w:val="24"/>
        </w:rPr>
        <w:t xml:space="preserve"> </w:t>
      </w:r>
      <w:r w:rsidR="001B671C">
        <w:rPr>
          <w:rFonts w:cstheme="minorHAnsi"/>
          <w:bCs/>
          <w:sz w:val="24"/>
          <w:szCs w:val="24"/>
        </w:rPr>
        <w:t xml:space="preserve">(Crotty, 1998; Flick, </w:t>
      </w:r>
      <w:r w:rsidR="001B671C">
        <w:rPr>
          <w:rFonts w:cstheme="minorHAnsi"/>
          <w:bCs/>
          <w:sz w:val="24"/>
          <w:szCs w:val="24"/>
        </w:rPr>
        <w:lastRenderedPageBreak/>
        <w:t xml:space="preserve">2014; Lincoln &amp; Guba, 1985; Merriam &amp; Tisdell, 2016). Therefore, a constructivist epistemology </w:t>
      </w:r>
      <w:r w:rsidR="00154A25">
        <w:rPr>
          <w:rFonts w:cstheme="minorHAnsi"/>
          <w:bCs/>
          <w:sz w:val="24"/>
          <w:szCs w:val="24"/>
        </w:rPr>
        <w:t>wa</w:t>
      </w:r>
      <w:r w:rsidR="001B671C">
        <w:rPr>
          <w:rFonts w:cstheme="minorHAnsi"/>
          <w:bCs/>
          <w:sz w:val="24"/>
          <w:szCs w:val="24"/>
        </w:rPr>
        <w:t>s best fit for this research.</w:t>
      </w:r>
      <w:r w:rsidR="0082187B">
        <w:rPr>
          <w:rFonts w:cstheme="minorHAnsi"/>
          <w:bCs/>
          <w:sz w:val="24"/>
          <w:szCs w:val="24"/>
        </w:rPr>
        <w:t xml:space="preserve"> </w:t>
      </w:r>
      <w:r w:rsidR="00C64F87">
        <w:rPr>
          <w:rFonts w:cstheme="minorHAnsi"/>
          <w:bCs/>
          <w:sz w:val="24"/>
          <w:szCs w:val="24"/>
        </w:rPr>
        <w:t xml:space="preserve">To </w:t>
      </w:r>
      <w:r w:rsidR="00BE1D28">
        <w:rPr>
          <w:rFonts w:cstheme="minorHAnsi"/>
          <w:bCs/>
          <w:sz w:val="24"/>
          <w:szCs w:val="24"/>
        </w:rPr>
        <w:t xml:space="preserve">gain a deeper understanding throughout this </w:t>
      </w:r>
      <w:r w:rsidR="00154A25">
        <w:rPr>
          <w:rFonts w:cstheme="minorHAnsi"/>
          <w:bCs/>
          <w:sz w:val="24"/>
          <w:szCs w:val="24"/>
        </w:rPr>
        <w:t>basic qualitative</w:t>
      </w:r>
      <w:r w:rsidR="00BE1D28">
        <w:rPr>
          <w:rFonts w:cstheme="minorHAnsi"/>
          <w:bCs/>
          <w:sz w:val="24"/>
          <w:szCs w:val="24"/>
        </w:rPr>
        <w:t xml:space="preserve"> study, </w:t>
      </w:r>
      <w:r w:rsidR="00F76DD9">
        <w:rPr>
          <w:rFonts w:cstheme="minorHAnsi"/>
          <w:bCs/>
          <w:sz w:val="24"/>
          <w:szCs w:val="24"/>
        </w:rPr>
        <w:t>I use</w:t>
      </w:r>
      <w:r w:rsidR="00154A25">
        <w:rPr>
          <w:rFonts w:cstheme="minorHAnsi"/>
          <w:bCs/>
          <w:sz w:val="24"/>
          <w:szCs w:val="24"/>
        </w:rPr>
        <w:t>d</w:t>
      </w:r>
      <w:r w:rsidR="00F76DD9">
        <w:rPr>
          <w:rFonts w:cstheme="minorHAnsi"/>
          <w:bCs/>
          <w:sz w:val="24"/>
          <w:szCs w:val="24"/>
        </w:rPr>
        <w:t xml:space="preserve"> </w:t>
      </w:r>
      <w:r w:rsidR="00BE1D28">
        <w:rPr>
          <w:rFonts w:cstheme="minorHAnsi"/>
          <w:bCs/>
          <w:sz w:val="24"/>
          <w:szCs w:val="24"/>
        </w:rPr>
        <w:t>Bolman and Deal’s (2021) four</w:t>
      </w:r>
      <w:r w:rsidR="00F711DF">
        <w:rPr>
          <w:rFonts w:cstheme="minorHAnsi"/>
          <w:bCs/>
          <w:sz w:val="24"/>
          <w:szCs w:val="24"/>
        </w:rPr>
        <w:t>-</w:t>
      </w:r>
      <w:r w:rsidR="00BE1D28">
        <w:rPr>
          <w:rFonts w:cstheme="minorHAnsi"/>
          <w:bCs/>
          <w:sz w:val="24"/>
          <w:szCs w:val="24"/>
        </w:rPr>
        <w:t>frame model</w:t>
      </w:r>
      <w:r w:rsidR="00992EED">
        <w:rPr>
          <w:rFonts w:cstheme="minorHAnsi"/>
          <w:bCs/>
          <w:sz w:val="24"/>
          <w:szCs w:val="24"/>
        </w:rPr>
        <w:t xml:space="preserve"> as the theoretical framework, or “lenses,” through which I conduct</w:t>
      </w:r>
      <w:r w:rsidR="00154A25">
        <w:rPr>
          <w:rFonts w:cstheme="minorHAnsi"/>
          <w:bCs/>
          <w:sz w:val="24"/>
          <w:szCs w:val="24"/>
        </w:rPr>
        <w:t>ed</w:t>
      </w:r>
      <w:r w:rsidR="00992EED">
        <w:rPr>
          <w:rFonts w:cstheme="minorHAnsi"/>
          <w:bCs/>
          <w:sz w:val="24"/>
          <w:szCs w:val="24"/>
        </w:rPr>
        <w:t xml:space="preserve"> the study (Anfara &amp; Mertz, 2015, p. 15; Crotty, 1998; Merriam &amp; Tisdell, 2016; Yin, 2014).</w:t>
      </w:r>
      <w:r w:rsidR="00BE1D28">
        <w:rPr>
          <w:rFonts w:cstheme="minorHAnsi"/>
          <w:bCs/>
          <w:sz w:val="24"/>
          <w:szCs w:val="24"/>
        </w:rPr>
        <w:t xml:space="preserve"> Identifying this theoretical framework at the outset of this study help</w:t>
      </w:r>
      <w:r w:rsidR="004A29BB">
        <w:rPr>
          <w:rFonts w:cstheme="minorHAnsi"/>
          <w:bCs/>
          <w:sz w:val="24"/>
          <w:szCs w:val="24"/>
        </w:rPr>
        <w:t>ed</w:t>
      </w:r>
      <w:r w:rsidR="00BE1D28">
        <w:rPr>
          <w:rFonts w:cstheme="minorHAnsi"/>
          <w:bCs/>
          <w:sz w:val="24"/>
          <w:szCs w:val="24"/>
        </w:rPr>
        <w:t xml:space="preserve"> </w:t>
      </w:r>
      <w:r w:rsidR="002C71B9">
        <w:rPr>
          <w:rFonts w:cstheme="minorHAnsi"/>
          <w:bCs/>
          <w:sz w:val="24"/>
          <w:szCs w:val="24"/>
        </w:rPr>
        <w:t xml:space="preserve">me </w:t>
      </w:r>
      <w:r w:rsidR="00BE1D28">
        <w:rPr>
          <w:rFonts w:cstheme="minorHAnsi"/>
          <w:bCs/>
          <w:sz w:val="24"/>
          <w:szCs w:val="24"/>
        </w:rPr>
        <w:t>develop the interview questions, analysis, and interpretation of the findings (</w:t>
      </w:r>
      <w:r w:rsidR="0020098E">
        <w:rPr>
          <w:rFonts w:cstheme="minorHAnsi"/>
          <w:bCs/>
          <w:sz w:val="24"/>
          <w:szCs w:val="24"/>
        </w:rPr>
        <w:t>Anfara &amp; Mertz, 2015; Creswell, 20</w:t>
      </w:r>
      <w:r w:rsidR="002D4F24">
        <w:rPr>
          <w:rFonts w:cstheme="minorHAnsi"/>
          <w:bCs/>
          <w:sz w:val="24"/>
          <w:szCs w:val="24"/>
        </w:rPr>
        <w:t>14</w:t>
      </w:r>
      <w:r w:rsidR="0020098E">
        <w:rPr>
          <w:rFonts w:cstheme="minorHAnsi"/>
          <w:bCs/>
          <w:sz w:val="24"/>
          <w:szCs w:val="24"/>
        </w:rPr>
        <w:t xml:space="preserve">, </w:t>
      </w:r>
      <w:r w:rsidR="00992EED">
        <w:rPr>
          <w:rFonts w:cstheme="minorHAnsi"/>
          <w:bCs/>
          <w:sz w:val="24"/>
          <w:szCs w:val="24"/>
        </w:rPr>
        <w:t xml:space="preserve">Crotty, 1998; </w:t>
      </w:r>
      <w:r w:rsidR="0020098E">
        <w:rPr>
          <w:rFonts w:cstheme="minorHAnsi"/>
          <w:bCs/>
          <w:sz w:val="24"/>
          <w:szCs w:val="24"/>
        </w:rPr>
        <w:t>Merriam &amp; Tisdell</w:t>
      </w:r>
      <w:r w:rsidR="00731A28">
        <w:rPr>
          <w:rFonts w:cstheme="minorHAnsi"/>
          <w:bCs/>
          <w:sz w:val="24"/>
          <w:szCs w:val="24"/>
        </w:rPr>
        <w:t>,</w:t>
      </w:r>
      <w:r w:rsidR="0020098E">
        <w:rPr>
          <w:rFonts w:cstheme="minorHAnsi"/>
          <w:bCs/>
          <w:sz w:val="24"/>
          <w:szCs w:val="24"/>
        </w:rPr>
        <w:t xml:space="preserve"> 2016;</w:t>
      </w:r>
      <w:r w:rsidR="00992EED">
        <w:rPr>
          <w:rFonts w:cstheme="minorHAnsi"/>
          <w:bCs/>
          <w:sz w:val="24"/>
          <w:szCs w:val="24"/>
        </w:rPr>
        <w:t xml:space="preserve"> Roberts, 2010;</w:t>
      </w:r>
      <w:r w:rsidR="0020098E">
        <w:rPr>
          <w:rFonts w:cstheme="minorHAnsi"/>
          <w:bCs/>
          <w:sz w:val="24"/>
          <w:szCs w:val="24"/>
        </w:rPr>
        <w:t xml:space="preserve"> Yin, </w:t>
      </w:r>
      <w:r w:rsidR="002D4F24">
        <w:rPr>
          <w:rFonts w:cstheme="minorHAnsi"/>
          <w:bCs/>
          <w:sz w:val="24"/>
          <w:szCs w:val="24"/>
        </w:rPr>
        <w:t>2014</w:t>
      </w:r>
      <w:r w:rsidR="0020098E">
        <w:rPr>
          <w:rFonts w:cstheme="minorHAnsi"/>
          <w:bCs/>
          <w:sz w:val="24"/>
          <w:szCs w:val="24"/>
        </w:rPr>
        <w:t>).</w:t>
      </w:r>
      <w:r w:rsidR="00731A28">
        <w:rPr>
          <w:rFonts w:cstheme="minorHAnsi"/>
          <w:bCs/>
          <w:sz w:val="24"/>
          <w:szCs w:val="24"/>
        </w:rPr>
        <w:t xml:space="preserve"> The four</w:t>
      </w:r>
      <w:r w:rsidR="002C71B9">
        <w:rPr>
          <w:rFonts w:cstheme="minorHAnsi"/>
          <w:bCs/>
          <w:sz w:val="24"/>
          <w:szCs w:val="24"/>
        </w:rPr>
        <w:t>-</w:t>
      </w:r>
      <w:r w:rsidR="00731A28">
        <w:rPr>
          <w:rFonts w:cstheme="minorHAnsi"/>
          <w:bCs/>
          <w:sz w:val="24"/>
          <w:szCs w:val="24"/>
        </w:rPr>
        <w:t>frame model serve</w:t>
      </w:r>
      <w:r w:rsidR="004A29BB">
        <w:rPr>
          <w:rFonts w:cstheme="minorHAnsi"/>
          <w:bCs/>
          <w:sz w:val="24"/>
          <w:szCs w:val="24"/>
        </w:rPr>
        <w:t>d</w:t>
      </w:r>
      <w:r w:rsidR="00731A28">
        <w:rPr>
          <w:rFonts w:cstheme="minorHAnsi"/>
          <w:bCs/>
          <w:sz w:val="24"/>
          <w:szCs w:val="24"/>
        </w:rPr>
        <w:t xml:space="preserve"> as the scaffolding for this study (Merriam &amp; Tisdell, 2016; Roberts, 2010).</w:t>
      </w:r>
    </w:p>
    <w:p w14:paraId="5B650C52" w14:textId="123E96B9" w:rsidR="00733F8B" w:rsidRDefault="00113823" w:rsidP="00316254">
      <w:pPr>
        <w:spacing w:after="0" w:line="480" w:lineRule="auto"/>
        <w:ind w:firstLine="720"/>
        <w:rPr>
          <w:rFonts w:cstheme="minorHAnsi"/>
          <w:bCs/>
          <w:sz w:val="24"/>
          <w:szCs w:val="24"/>
        </w:rPr>
      </w:pPr>
      <w:r>
        <w:rPr>
          <w:rFonts w:cstheme="minorHAnsi"/>
          <w:bCs/>
          <w:sz w:val="24"/>
          <w:szCs w:val="24"/>
        </w:rPr>
        <w:t xml:space="preserve">A theoretical framework is often influenced by the </w:t>
      </w:r>
      <w:r w:rsidR="009877BF">
        <w:rPr>
          <w:rFonts w:cstheme="minorHAnsi"/>
          <w:bCs/>
          <w:sz w:val="24"/>
          <w:szCs w:val="24"/>
        </w:rPr>
        <w:t xml:space="preserve">professional </w:t>
      </w:r>
      <w:r>
        <w:rPr>
          <w:rFonts w:cstheme="minorHAnsi"/>
          <w:bCs/>
          <w:sz w:val="24"/>
          <w:szCs w:val="24"/>
        </w:rPr>
        <w:t xml:space="preserve">field, experiences, and </w:t>
      </w:r>
      <w:r w:rsidR="009877BF">
        <w:rPr>
          <w:rFonts w:cstheme="minorHAnsi"/>
          <w:bCs/>
          <w:sz w:val="24"/>
          <w:szCs w:val="24"/>
        </w:rPr>
        <w:t xml:space="preserve">personal </w:t>
      </w:r>
      <w:r>
        <w:rPr>
          <w:rFonts w:cstheme="minorHAnsi"/>
          <w:bCs/>
          <w:sz w:val="24"/>
          <w:szCs w:val="24"/>
        </w:rPr>
        <w:t>beliefs of the researcher (Crotty, 1998</w:t>
      </w:r>
      <w:r w:rsidR="00522CE0">
        <w:rPr>
          <w:rFonts w:cstheme="minorHAnsi"/>
          <w:bCs/>
          <w:sz w:val="24"/>
          <w:szCs w:val="24"/>
        </w:rPr>
        <w:t>; Merriam &amp; Tisdell, 2016</w:t>
      </w:r>
      <w:r>
        <w:rPr>
          <w:rFonts w:cstheme="minorHAnsi"/>
          <w:bCs/>
          <w:sz w:val="24"/>
          <w:szCs w:val="24"/>
        </w:rPr>
        <w:t xml:space="preserve">). </w:t>
      </w:r>
      <w:r w:rsidR="00FD7B5F">
        <w:rPr>
          <w:rFonts w:cstheme="minorHAnsi"/>
          <w:bCs/>
          <w:sz w:val="24"/>
          <w:szCs w:val="24"/>
        </w:rPr>
        <w:t xml:space="preserve">In addition to personal and professional influences, </w:t>
      </w:r>
      <w:r w:rsidR="008573C4">
        <w:rPr>
          <w:rFonts w:cstheme="minorHAnsi"/>
          <w:bCs/>
          <w:sz w:val="24"/>
          <w:szCs w:val="24"/>
        </w:rPr>
        <w:t>I chose this framework</w:t>
      </w:r>
      <w:r w:rsidR="00733F8B" w:rsidRPr="009513A7">
        <w:rPr>
          <w:rFonts w:cstheme="minorHAnsi"/>
          <w:bCs/>
          <w:sz w:val="24"/>
          <w:szCs w:val="24"/>
        </w:rPr>
        <w:t xml:space="preserve"> </w:t>
      </w:r>
      <w:r w:rsidR="004A29BB">
        <w:rPr>
          <w:rFonts w:cstheme="minorHAnsi"/>
          <w:bCs/>
          <w:sz w:val="24"/>
          <w:szCs w:val="24"/>
        </w:rPr>
        <w:t>to</w:t>
      </w:r>
      <w:r w:rsidR="00FD7B5F">
        <w:rPr>
          <w:rFonts w:cstheme="minorHAnsi"/>
          <w:bCs/>
          <w:sz w:val="24"/>
          <w:szCs w:val="24"/>
        </w:rPr>
        <w:t xml:space="preserve"> help me make sense of </w:t>
      </w:r>
      <w:r w:rsidR="008573C4">
        <w:rPr>
          <w:rFonts w:cstheme="minorHAnsi"/>
          <w:bCs/>
          <w:sz w:val="24"/>
          <w:szCs w:val="24"/>
        </w:rPr>
        <w:t xml:space="preserve">and understand </w:t>
      </w:r>
      <w:r w:rsidR="00FD7B5F">
        <w:rPr>
          <w:rFonts w:cstheme="minorHAnsi"/>
          <w:bCs/>
          <w:sz w:val="24"/>
          <w:szCs w:val="24"/>
        </w:rPr>
        <w:t>the data</w:t>
      </w:r>
      <w:r w:rsidR="006D5277">
        <w:rPr>
          <w:rFonts w:cstheme="minorHAnsi"/>
          <w:bCs/>
          <w:sz w:val="24"/>
          <w:szCs w:val="24"/>
        </w:rPr>
        <w:t>,</w:t>
      </w:r>
      <w:r w:rsidR="00FD7B5F">
        <w:rPr>
          <w:rFonts w:cstheme="minorHAnsi"/>
          <w:bCs/>
          <w:sz w:val="24"/>
          <w:szCs w:val="24"/>
        </w:rPr>
        <w:t xml:space="preserve"> but </w:t>
      </w:r>
      <w:r w:rsidR="004A29BB">
        <w:rPr>
          <w:rFonts w:cstheme="minorHAnsi"/>
          <w:bCs/>
          <w:sz w:val="24"/>
          <w:szCs w:val="24"/>
        </w:rPr>
        <w:t xml:space="preserve">it </w:t>
      </w:r>
      <w:r w:rsidR="00FD7B5F">
        <w:rPr>
          <w:rFonts w:cstheme="minorHAnsi"/>
          <w:bCs/>
          <w:sz w:val="24"/>
          <w:szCs w:val="24"/>
        </w:rPr>
        <w:t>also allow</w:t>
      </w:r>
      <w:r w:rsidR="004A29BB">
        <w:rPr>
          <w:rFonts w:cstheme="minorHAnsi"/>
          <w:bCs/>
          <w:sz w:val="24"/>
          <w:szCs w:val="24"/>
        </w:rPr>
        <w:t>ed</w:t>
      </w:r>
      <w:r w:rsidR="00FD7B5F">
        <w:rPr>
          <w:rFonts w:cstheme="minorHAnsi"/>
          <w:bCs/>
          <w:sz w:val="24"/>
          <w:szCs w:val="24"/>
        </w:rPr>
        <w:t xml:space="preserve"> me to see </w:t>
      </w:r>
      <w:r w:rsidR="008573C4">
        <w:rPr>
          <w:rFonts w:cstheme="minorHAnsi"/>
          <w:bCs/>
          <w:sz w:val="24"/>
          <w:szCs w:val="24"/>
        </w:rPr>
        <w:t xml:space="preserve">that which </w:t>
      </w:r>
      <w:r w:rsidR="00FD7B5F">
        <w:rPr>
          <w:rFonts w:cstheme="minorHAnsi"/>
          <w:bCs/>
          <w:sz w:val="24"/>
          <w:szCs w:val="24"/>
        </w:rPr>
        <w:t>I might otherwise miss (Merriam &amp; Tisdell 2016; Thornton, 1993)</w:t>
      </w:r>
      <w:r w:rsidR="009877BF">
        <w:rPr>
          <w:rFonts w:cstheme="minorHAnsi"/>
          <w:bCs/>
          <w:sz w:val="24"/>
          <w:szCs w:val="24"/>
        </w:rPr>
        <w:t xml:space="preserve">. </w:t>
      </w:r>
      <w:r w:rsidR="00FD7B5F">
        <w:rPr>
          <w:rFonts w:cstheme="minorHAnsi"/>
          <w:bCs/>
          <w:sz w:val="24"/>
          <w:szCs w:val="24"/>
        </w:rPr>
        <w:t>When applied to this study, the four frames reveal</w:t>
      </w:r>
      <w:r w:rsidR="004A29BB">
        <w:rPr>
          <w:rFonts w:cstheme="minorHAnsi"/>
          <w:bCs/>
          <w:sz w:val="24"/>
          <w:szCs w:val="24"/>
        </w:rPr>
        <w:t>ed</w:t>
      </w:r>
      <w:r w:rsidR="00FD7B5F">
        <w:rPr>
          <w:rFonts w:cstheme="minorHAnsi"/>
          <w:bCs/>
          <w:sz w:val="24"/>
          <w:szCs w:val="24"/>
        </w:rPr>
        <w:t xml:space="preserve"> and conceal</w:t>
      </w:r>
      <w:r w:rsidR="004A29BB">
        <w:rPr>
          <w:rFonts w:cstheme="minorHAnsi"/>
          <w:bCs/>
          <w:sz w:val="24"/>
          <w:szCs w:val="24"/>
        </w:rPr>
        <w:t>ed</w:t>
      </w:r>
      <w:r w:rsidR="00FD7B5F">
        <w:rPr>
          <w:rFonts w:cstheme="minorHAnsi"/>
          <w:bCs/>
          <w:sz w:val="24"/>
          <w:szCs w:val="24"/>
        </w:rPr>
        <w:t xml:space="preserve"> </w:t>
      </w:r>
      <w:r w:rsidR="006D5277">
        <w:rPr>
          <w:rFonts w:cstheme="minorHAnsi"/>
          <w:bCs/>
          <w:sz w:val="24"/>
          <w:szCs w:val="24"/>
        </w:rPr>
        <w:t>meaning (Anfara &amp; Mertz, 2015).</w:t>
      </w:r>
      <w:r w:rsidR="00FD7B5F">
        <w:rPr>
          <w:rFonts w:cstheme="minorHAnsi"/>
          <w:bCs/>
          <w:sz w:val="24"/>
          <w:szCs w:val="24"/>
        </w:rPr>
        <w:t xml:space="preserve"> </w:t>
      </w:r>
      <w:r w:rsidR="009877BF">
        <w:rPr>
          <w:rFonts w:cstheme="minorHAnsi"/>
          <w:bCs/>
          <w:sz w:val="24"/>
          <w:szCs w:val="24"/>
        </w:rPr>
        <w:t>Further, the four</w:t>
      </w:r>
      <w:r w:rsidR="00F80FCA">
        <w:rPr>
          <w:rFonts w:cstheme="minorHAnsi"/>
          <w:bCs/>
          <w:sz w:val="24"/>
          <w:szCs w:val="24"/>
        </w:rPr>
        <w:t>-</w:t>
      </w:r>
      <w:r w:rsidR="009877BF">
        <w:rPr>
          <w:rFonts w:cstheme="minorHAnsi"/>
          <w:bCs/>
          <w:sz w:val="24"/>
          <w:szCs w:val="24"/>
        </w:rPr>
        <w:t xml:space="preserve">frame model </w:t>
      </w:r>
      <w:r w:rsidR="004A29BB">
        <w:rPr>
          <w:rFonts w:cstheme="minorHAnsi"/>
          <w:bCs/>
          <w:sz w:val="24"/>
          <w:szCs w:val="24"/>
        </w:rPr>
        <w:t>can</w:t>
      </w:r>
      <w:r w:rsidR="0068421D" w:rsidRPr="009513A7">
        <w:rPr>
          <w:rFonts w:cstheme="minorHAnsi"/>
          <w:bCs/>
          <w:sz w:val="24"/>
          <w:szCs w:val="24"/>
        </w:rPr>
        <w:t xml:space="preserve"> be </w:t>
      </w:r>
      <w:r w:rsidR="00733F8B" w:rsidRPr="009513A7">
        <w:rPr>
          <w:rFonts w:cstheme="minorHAnsi"/>
          <w:bCs/>
          <w:sz w:val="24"/>
          <w:szCs w:val="24"/>
        </w:rPr>
        <w:t xml:space="preserve">applied to </w:t>
      </w:r>
      <w:r>
        <w:rPr>
          <w:rFonts w:cstheme="minorHAnsi"/>
          <w:bCs/>
          <w:sz w:val="24"/>
          <w:szCs w:val="24"/>
        </w:rPr>
        <w:t>the complex</w:t>
      </w:r>
      <w:r w:rsidR="001B671C">
        <w:rPr>
          <w:rFonts w:cstheme="minorHAnsi"/>
          <w:bCs/>
          <w:sz w:val="24"/>
          <w:szCs w:val="24"/>
        </w:rPr>
        <w:t xml:space="preserve">ities of higher education, </w:t>
      </w:r>
      <w:r w:rsidR="00733F8B" w:rsidRPr="009513A7">
        <w:rPr>
          <w:rFonts w:cstheme="minorHAnsi"/>
          <w:bCs/>
          <w:sz w:val="24"/>
          <w:szCs w:val="24"/>
        </w:rPr>
        <w:t xml:space="preserve">the experiences of those </w:t>
      </w:r>
      <w:r w:rsidR="002C134F">
        <w:rPr>
          <w:rFonts w:cstheme="minorHAnsi"/>
          <w:bCs/>
          <w:sz w:val="24"/>
          <w:szCs w:val="24"/>
        </w:rPr>
        <w:t xml:space="preserve">in a leadership role on </w:t>
      </w:r>
      <w:r w:rsidR="00A27A2E" w:rsidRPr="009513A7">
        <w:rPr>
          <w:rFonts w:cstheme="minorHAnsi"/>
          <w:sz w:val="24"/>
          <w:szCs w:val="24"/>
        </w:rPr>
        <w:t>TA</w:t>
      </w:r>
      <w:r w:rsidR="00A27A2E">
        <w:rPr>
          <w:rFonts w:cstheme="minorHAnsi"/>
          <w:sz w:val="24"/>
          <w:szCs w:val="24"/>
        </w:rPr>
        <w:t>Ts</w:t>
      </w:r>
      <w:r w:rsidR="001B671C">
        <w:rPr>
          <w:rFonts w:cstheme="minorHAnsi"/>
          <w:bCs/>
          <w:sz w:val="24"/>
          <w:szCs w:val="24"/>
        </w:rPr>
        <w:t>, as well as the response</w:t>
      </w:r>
      <w:r w:rsidR="008573C4">
        <w:rPr>
          <w:rFonts w:cstheme="minorHAnsi"/>
          <w:bCs/>
          <w:sz w:val="24"/>
          <w:szCs w:val="24"/>
        </w:rPr>
        <w:t>s</w:t>
      </w:r>
      <w:r w:rsidR="001B671C">
        <w:rPr>
          <w:rFonts w:cstheme="minorHAnsi"/>
          <w:bCs/>
          <w:sz w:val="24"/>
          <w:szCs w:val="24"/>
        </w:rPr>
        <w:t xml:space="preserve"> of</w:t>
      </w:r>
      <w:r w:rsidR="00BB1655">
        <w:rPr>
          <w:rFonts w:cstheme="minorHAnsi"/>
          <w:bCs/>
          <w:sz w:val="24"/>
          <w:szCs w:val="24"/>
        </w:rPr>
        <w:t xml:space="preserve"> </w:t>
      </w:r>
      <w:r w:rsidR="008573C4">
        <w:rPr>
          <w:rFonts w:cstheme="minorHAnsi"/>
          <w:bCs/>
          <w:sz w:val="24"/>
          <w:szCs w:val="24"/>
        </w:rPr>
        <w:t>TATs</w:t>
      </w:r>
      <w:r w:rsidR="001B671C">
        <w:rPr>
          <w:rFonts w:cstheme="minorHAnsi"/>
          <w:bCs/>
          <w:sz w:val="24"/>
          <w:szCs w:val="24"/>
        </w:rPr>
        <w:t xml:space="preserve"> to a crisis. Th</w:t>
      </w:r>
      <w:r w:rsidR="008573C4">
        <w:rPr>
          <w:rFonts w:cstheme="minorHAnsi"/>
          <w:bCs/>
          <w:sz w:val="24"/>
          <w:szCs w:val="24"/>
        </w:rPr>
        <w:t>e</w:t>
      </w:r>
      <w:r w:rsidR="001B671C">
        <w:rPr>
          <w:rFonts w:cstheme="minorHAnsi"/>
          <w:bCs/>
          <w:sz w:val="24"/>
          <w:szCs w:val="24"/>
        </w:rPr>
        <w:t xml:space="preserve"> framework </w:t>
      </w:r>
      <w:r w:rsidR="008573C4">
        <w:rPr>
          <w:rFonts w:cstheme="minorHAnsi"/>
          <w:bCs/>
          <w:sz w:val="24"/>
          <w:szCs w:val="24"/>
        </w:rPr>
        <w:t>help</w:t>
      </w:r>
      <w:r w:rsidR="004A29BB">
        <w:rPr>
          <w:rFonts w:cstheme="minorHAnsi"/>
          <w:bCs/>
          <w:sz w:val="24"/>
          <w:szCs w:val="24"/>
        </w:rPr>
        <w:t>ed</w:t>
      </w:r>
      <w:r w:rsidR="008573C4">
        <w:rPr>
          <w:rFonts w:cstheme="minorHAnsi"/>
          <w:bCs/>
          <w:sz w:val="24"/>
          <w:szCs w:val="24"/>
        </w:rPr>
        <w:t xml:space="preserve"> </w:t>
      </w:r>
      <w:r w:rsidR="001B671C">
        <w:rPr>
          <w:rFonts w:cstheme="minorHAnsi"/>
          <w:bCs/>
          <w:sz w:val="24"/>
          <w:szCs w:val="24"/>
        </w:rPr>
        <w:t>me</w:t>
      </w:r>
      <w:r w:rsidR="002C134F">
        <w:rPr>
          <w:rFonts w:cstheme="minorHAnsi"/>
          <w:bCs/>
          <w:sz w:val="24"/>
          <w:szCs w:val="24"/>
        </w:rPr>
        <w:t xml:space="preserve"> learn more about </w:t>
      </w:r>
      <w:r w:rsidR="004A29BB">
        <w:rPr>
          <w:rFonts w:cstheme="minorHAnsi"/>
          <w:bCs/>
          <w:sz w:val="24"/>
          <w:szCs w:val="24"/>
        </w:rPr>
        <w:t xml:space="preserve">how team leaders operationalize and define success </w:t>
      </w:r>
      <w:r w:rsidR="00733F8B" w:rsidRPr="009513A7">
        <w:rPr>
          <w:rFonts w:cstheme="minorHAnsi"/>
          <w:bCs/>
          <w:sz w:val="24"/>
          <w:szCs w:val="24"/>
        </w:rPr>
        <w:t>Bolman &amp; Deal, 20</w:t>
      </w:r>
      <w:r w:rsidR="00E25522">
        <w:rPr>
          <w:rFonts w:cstheme="minorHAnsi"/>
          <w:bCs/>
          <w:sz w:val="24"/>
          <w:szCs w:val="24"/>
        </w:rPr>
        <w:t>21</w:t>
      </w:r>
      <w:r w:rsidR="00733F8B" w:rsidRPr="009513A7">
        <w:rPr>
          <w:rFonts w:cstheme="minorHAnsi"/>
          <w:bCs/>
          <w:sz w:val="24"/>
          <w:szCs w:val="24"/>
        </w:rPr>
        <w:t xml:space="preserve">; </w:t>
      </w:r>
      <w:r w:rsidR="00733F8B" w:rsidRPr="009513A7">
        <w:rPr>
          <w:rFonts w:cstheme="minorHAnsi"/>
          <w:sz w:val="24"/>
          <w:szCs w:val="24"/>
        </w:rPr>
        <w:t>Sypawka et al., 2010</w:t>
      </w:r>
      <w:r w:rsidR="00733F8B" w:rsidRPr="009513A7">
        <w:rPr>
          <w:rFonts w:cstheme="minorHAnsi"/>
          <w:bCs/>
          <w:sz w:val="24"/>
          <w:szCs w:val="24"/>
        </w:rPr>
        <w:t xml:space="preserve">). The four frames (structural, human relations, </w:t>
      </w:r>
      <w:r w:rsidR="002C134F">
        <w:rPr>
          <w:rFonts w:cstheme="minorHAnsi"/>
          <w:bCs/>
          <w:sz w:val="24"/>
          <w:szCs w:val="24"/>
        </w:rPr>
        <w:t>political, symbolic</w:t>
      </w:r>
      <w:r w:rsidR="00733F8B" w:rsidRPr="009513A7">
        <w:rPr>
          <w:rFonts w:cstheme="minorHAnsi"/>
          <w:bCs/>
          <w:sz w:val="24"/>
          <w:szCs w:val="24"/>
        </w:rPr>
        <w:t>) help</w:t>
      </w:r>
      <w:r w:rsidR="004A29BB">
        <w:rPr>
          <w:rFonts w:cstheme="minorHAnsi"/>
          <w:bCs/>
          <w:sz w:val="24"/>
          <w:szCs w:val="24"/>
        </w:rPr>
        <w:t>ed</w:t>
      </w:r>
      <w:r w:rsidR="00733F8B" w:rsidRPr="009513A7">
        <w:rPr>
          <w:rFonts w:cstheme="minorHAnsi"/>
          <w:bCs/>
          <w:sz w:val="24"/>
          <w:szCs w:val="24"/>
        </w:rPr>
        <w:t xml:space="preserve"> me</w:t>
      </w:r>
      <w:r w:rsidR="008573C4">
        <w:rPr>
          <w:rFonts w:cstheme="minorHAnsi"/>
          <w:bCs/>
          <w:sz w:val="24"/>
          <w:szCs w:val="24"/>
        </w:rPr>
        <w:t xml:space="preserve"> </w:t>
      </w:r>
      <w:r>
        <w:rPr>
          <w:rFonts w:cstheme="minorHAnsi"/>
          <w:bCs/>
          <w:sz w:val="24"/>
          <w:szCs w:val="24"/>
        </w:rPr>
        <w:t xml:space="preserve">to </w:t>
      </w:r>
      <w:r w:rsidR="009D2435">
        <w:rPr>
          <w:rFonts w:cstheme="minorHAnsi"/>
          <w:bCs/>
          <w:sz w:val="24"/>
          <w:szCs w:val="24"/>
        </w:rPr>
        <w:t xml:space="preserve">co-construct, </w:t>
      </w:r>
      <w:r>
        <w:rPr>
          <w:rFonts w:cstheme="minorHAnsi"/>
          <w:bCs/>
          <w:sz w:val="24"/>
          <w:szCs w:val="24"/>
        </w:rPr>
        <w:t>interpret</w:t>
      </w:r>
      <w:r w:rsidR="009D2435">
        <w:rPr>
          <w:rFonts w:cstheme="minorHAnsi"/>
          <w:bCs/>
          <w:sz w:val="24"/>
          <w:szCs w:val="24"/>
        </w:rPr>
        <w:t>,</w:t>
      </w:r>
      <w:r>
        <w:rPr>
          <w:rFonts w:cstheme="minorHAnsi"/>
          <w:bCs/>
          <w:sz w:val="24"/>
          <w:szCs w:val="24"/>
        </w:rPr>
        <w:t xml:space="preserve"> and derive meaning from the data (Crotty, 1998; Merriam &amp; Tisdell, 2016). </w:t>
      </w:r>
      <w:r w:rsidR="00894B74">
        <w:rPr>
          <w:rFonts w:cstheme="minorHAnsi"/>
          <w:bCs/>
          <w:sz w:val="24"/>
          <w:szCs w:val="24"/>
        </w:rPr>
        <w:t>I discuss</w:t>
      </w:r>
      <w:r w:rsidR="004A29BB">
        <w:rPr>
          <w:rFonts w:cstheme="minorHAnsi"/>
          <w:bCs/>
          <w:sz w:val="24"/>
          <w:szCs w:val="24"/>
        </w:rPr>
        <w:t>ed</w:t>
      </w:r>
      <w:r w:rsidR="00894B74">
        <w:rPr>
          <w:rFonts w:cstheme="minorHAnsi"/>
          <w:bCs/>
          <w:sz w:val="24"/>
          <w:szCs w:val="24"/>
        </w:rPr>
        <w:t xml:space="preserve"> t</w:t>
      </w:r>
      <w:r w:rsidR="00992EED">
        <w:rPr>
          <w:rFonts w:cstheme="minorHAnsi"/>
          <w:bCs/>
          <w:sz w:val="24"/>
          <w:szCs w:val="24"/>
        </w:rPr>
        <w:t xml:space="preserve">he four frames in more detail in Chapter 2. </w:t>
      </w:r>
      <w:r w:rsidR="00A27A2E" w:rsidRPr="009513A7">
        <w:rPr>
          <w:rFonts w:cstheme="minorHAnsi"/>
          <w:sz w:val="24"/>
          <w:szCs w:val="24"/>
        </w:rPr>
        <w:t>TA</w:t>
      </w:r>
      <w:r w:rsidR="00A27A2E">
        <w:rPr>
          <w:rFonts w:cstheme="minorHAnsi"/>
          <w:sz w:val="24"/>
          <w:szCs w:val="24"/>
        </w:rPr>
        <w:t>Ts</w:t>
      </w:r>
      <w:r w:rsidR="00A27A2E">
        <w:rPr>
          <w:rFonts w:cstheme="minorHAnsi"/>
          <w:bCs/>
          <w:sz w:val="24"/>
          <w:szCs w:val="24"/>
        </w:rPr>
        <w:t xml:space="preserve"> </w:t>
      </w:r>
      <w:r w:rsidR="009D2435">
        <w:rPr>
          <w:rFonts w:cstheme="minorHAnsi"/>
          <w:bCs/>
          <w:sz w:val="24"/>
          <w:szCs w:val="24"/>
        </w:rPr>
        <w:t>are responsible for prevention, intervention, and postvention strategies to mitigate risk</w:t>
      </w:r>
      <w:r w:rsidR="00CD5EC0">
        <w:rPr>
          <w:rFonts w:cstheme="minorHAnsi"/>
          <w:bCs/>
          <w:sz w:val="24"/>
          <w:szCs w:val="24"/>
        </w:rPr>
        <w:t xml:space="preserve"> in a higher education setting</w:t>
      </w:r>
      <w:r w:rsidR="00524D3F">
        <w:rPr>
          <w:rFonts w:cstheme="minorHAnsi"/>
          <w:bCs/>
          <w:sz w:val="24"/>
          <w:szCs w:val="24"/>
        </w:rPr>
        <w:t xml:space="preserve"> (</w:t>
      </w:r>
      <w:r w:rsidR="00EF53AA" w:rsidRPr="00CD5EC0">
        <w:rPr>
          <w:rFonts w:cstheme="minorHAnsi"/>
          <w:sz w:val="24"/>
          <w:szCs w:val="24"/>
        </w:rPr>
        <w:t>Meloy</w:t>
      </w:r>
      <w:r w:rsidR="00EF53AA">
        <w:rPr>
          <w:rFonts w:cstheme="minorHAnsi"/>
          <w:sz w:val="24"/>
          <w:szCs w:val="24"/>
        </w:rPr>
        <w:t xml:space="preserve"> &amp;</w:t>
      </w:r>
      <w:r w:rsidR="00EF53AA" w:rsidRPr="00CD5EC0">
        <w:rPr>
          <w:rFonts w:cstheme="minorHAnsi"/>
          <w:sz w:val="24"/>
          <w:szCs w:val="24"/>
        </w:rPr>
        <w:t xml:space="preserve"> Hoffmann, 2021</w:t>
      </w:r>
      <w:r w:rsidR="00524D3F">
        <w:rPr>
          <w:rFonts w:cstheme="minorHAnsi"/>
          <w:bCs/>
          <w:sz w:val="24"/>
          <w:szCs w:val="24"/>
        </w:rPr>
        <w:t>)</w:t>
      </w:r>
      <w:r w:rsidR="009D2435">
        <w:rPr>
          <w:rFonts w:cstheme="minorHAnsi"/>
          <w:bCs/>
          <w:sz w:val="24"/>
          <w:szCs w:val="24"/>
        </w:rPr>
        <w:t>.</w:t>
      </w:r>
      <w:r w:rsidR="00CD5EC0">
        <w:rPr>
          <w:rFonts w:cstheme="minorHAnsi"/>
          <w:bCs/>
          <w:sz w:val="24"/>
          <w:szCs w:val="24"/>
        </w:rPr>
        <w:t xml:space="preserve"> </w:t>
      </w:r>
      <w:r w:rsidR="00CD5EC0">
        <w:rPr>
          <w:rFonts w:cstheme="minorHAnsi"/>
          <w:bCs/>
          <w:sz w:val="24"/>
          <w:szCs w:val="24"/>
        </w:rPr>
        <w:lastRenderedPageBreak/>
        <w:t>Reframing, using the four</w:t>
      </w:r>
      <w:r w:rsidR="002E08F2">
        <w:rPr>
          <w:rFonts w:cstheme="minorHAnsi"/>
          <w:bCs/>
          <w:sz w:val="24"/>
          <w:szCs w:val="24"/>
        </w:rPr>
        <w:t>-</w:t>
      </w:r>
      <w:r w:rsidR="00CD5EC0">
        <w:rPr>
          <w:rFonts w:cstheme="minorHAnsi"/>
          <w:bCs/>
          <w:sz w:val="24"/>
          <w:szCs w:val="24"/>
        </w:rPr>
        <w:t xml:space="preserve">frame model, requires individuals to think from a multi-frame perspective to develop alternative strategies, which in the world of threat assessment, can be paramount (Bolman &amp; Deal, 2021; </w:t>
      </w:r>
      <w:r w:rsidR="001B671C" w:rsidRPr="009513A7">
        <w:rPr>
          <w:rFonts w:eastAsia="Calibri" w:cstheme="minorHAnsi"/>
          <w:sz w:val="24"/>
          <w:szCs w:val="24"/>
        </w:rPr>
        <w:t>Deisinger</w:t>
      </w:r>
      <w:r w:rsidR="001B671C" w:rsidRPr="009513A7">
        <w:rPr>
          <w:rFonts w:cstheme="minorHAnsi"/>
          <w:sz w:val="24"/>
          <w:szCs w:val="24"/>
        </w:rPr>
        <w:t xml:space="preserve"> et al., 2008</w:t>
      </w:r>
      <w:r w:rsidR="001B671C">
        <w:rPr>
          <w:rFonts w:cstheme="minorHAnsi"/>
          <w:sz w:val="24"/>
          <w:szCs w:val="24"/>
        </w:rPr>
        <w:t xml:space="preserve">; </w:t>
      </w:r>
      <w:r w:rsidR="006C31CD">
        <w:rPr>
          <w:rFonts w:cstheme="minorHAnsi"/>
          <w:bCs/>
          <w:sz w:val="24"/>
          <w:szCs w:val="24"/>
        </w:rPr>
        <w:t>Meloy &amp; Hoffmann, 2021)</w:t>
      </w:r>
      <w:r w:rsidR="00CD5EC0">
        <w:rPr>
          <w:rFonts w:cstheme="minorHAnsi"/>
          <w:bCs/>
          <w:sz w:val="24"/>
          <w:szCs w:val="24"/>
        </w:rPr>
        <w:t xml:space="preserve">. </w:t>
      </w:r>
    </w:p>
    <w:p w14:paraId="77101520" w14:textId="77777777" w:rsidR="004B74D0" w:rsidRPr="009513A7" w:rsidRDefault="004B74D0" w:rsidP="00000F22">
      <w:pPr>
        <w:spacing w:after="0" w:line="480" w:lineRule="auto"/>
        <w:jc w:val="center"/>
        <w:rPr>
          <w:rFonts w:cstheme="minorHAnsi"/>
          <w:b/>
          <w:bCs/>
          <w:sz w:val="24"/>
          <w:szCs w:val="24"/>
        </w:rPr>
      </w:pPr>
      <w:r w:rsidRPr="009513A7">
        <w:rPr>
          <w:rFonts w:cstheme="minorHAnsi"/>
          <w:b/>
          <w:bCs/>
          <w:sz w:val="24"/>
          <w:szCs w:val="24"/>
        </w:rPr>
        <w:t>Significance of Study</w:t>
      </w:r>
    </w:p>
    <w:p w14:paraId="3F076410" w14:textId="5B503CBA" w:rsidR="004B74D0" w:rsidRPr="009513A7" w:rsidRDefault="004B74D0" w:rsidP="00000F22">
      <w:pPr>
        <w:spacing w:after="0" w:line="480" w:lineRule="auto"/>
        <w:rPr>
          <w:rFonts w:cstheme="minorHAnsi"/>
          <w:b/>
          <w:bCs/>
          <w:sz w:val="24"/>
          <w:szCs w:val="24"/>
        </w:rPr>
      </w:pPr>
      <w:r w:rsidRPr="009513A7">
        <w:rPr>
          <w:rFonts w:cstheme="minorHAnsi"/>
          <w:sz w:val="24"/>
          <w:szCs w:val="24"/>
        </w:rPr>
        <w:tab/>
        <w:t xml:space="preserve">This research is important because understanding the experiences of those directly involved with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00B622F9">
        <w:rPr>
          <w:rFonts w:cstheme="minorHAnsi"/>
          <w:sz w:val="24"/>
          <w:szCs w:val="24"/>
        </w:rPr>
        <w:t>will</w:t>
      </w:r>
      <w:r w:rsidRPr="009513A7">
        <w:rPr>
          <w:rFonts w:cstheme="minorHAnsi"/>
          <w:sz w:val="24"/>
          <w:szCs w:val="24"/>
        </w:rPr>
        <w:t xml:space="preserve"> yield insight into the functionality, failures, and successes of these teams. A review of the literature describe</w:t>
      </w:r>
      <w:r w:rsidR="004A29BB">
        <w:rPr>
          <w:rFonts w:cstheme="minorHAnsi"/>
          <w:sz w:val="24"/>
          <w:szCs w:val="24"/>
        </w:rPr>
        <w:t>d</w:t>
      </w:r>
      <w:r w:rsidRPr="009513A7">
        <w:rPr>
          <w:rFonts w:cstheme="minorHAnsi"/>
          <w:sz w:val="24"/>
          <w:szCs w:val="24"/>
        </w:rPr>
        <w:t xml:space="preserve"> the history and best practices for threat assessment in higher education</w:t>
      </w:r>
      <w:r w:rsidR="00EF53AA">
        <w:rPr>
          <w:rFonts w:cstheme="minorHAnsi"/>
          <w:sz w:val="24"/>
          <w:szCs w:val="24"/>
        </w:rPr>
        <w:t xml:space="preserve"> (</w:t>
      </w:r>
      <w:r w:rsidR="002D71F0">
        <w:rPr>
          <w:rFonts w:cstheme="minorHAnsi"/>
          <w:sz w:val="24"/>
          <w:szCs w:val="24"/>
        </w:rPr>
        <w:t xml:space="preserve">Deisinger et al., 2008; Fein et al., 2004; Meloy &amp; Genzman, 2016; </w:t>
      </w:r>
      <w:r w:rsidR="00EF53AA" w:rsidRPr="00361D80">
        <w:rPr>
          <w:rFonts w:cstheme="minorHAnsi"/>
          <w:bCs/>
          <w:sz w:val="24"/>
          <w:szCs w:val="24"/>
        </w:rPr>
        <w:t>Meloy &amp; Hoffmann, 2021</w:t>
      </w:r>
      <w:r w:rsidR="00B622F9">
        <w:rPr>
          <w:rFonts w:cstheme="minorHAnsi"/>
          <w:bCs/>
          <w:sz w:val="24"/>
          <w:szCs w:val="24"/>
        </w:rPr>
        <w:t>)</w:t>
      </w:r>
      <w:r w:rsidR="00EF53AA">
        <w:rPr>
          <w:rFonts w:cstheme="minorHAnsi"/>
          <w:bCs/>
          <w:sz w:val="24"/>
          <w:szCs w:val="24"/>
        </w:rPr>
        <w:t>.</w:t>
      </w:r>
      <w:r w:rsidRPr="009513A7">
        <w:rPr>
          <w:rFonts w:cstheme="minorHAnsi"/>
          <w:sz w:val="24"/>
          <w:szCs w:val="24"/>
        </w:rPr>
        <w:t xml:space="preserve"> However, minimal research can be found from the perspective of those doing the work, especially as it relates to </w:t>
      </w:r>
      <w:r w:rsidR="004A29BB">
        <w:rPr>
          <w:rFonts w:cstheme="minorHAnsi"/>
          <w:sz w:val="24"/>
          <w:szCs w:val="24"/>
        </w:rPr>
        <w:t>how leaders operationalize and define success</w:t>
      </w:r>
      <w:r w:rsidRPr="009513A7">
        <w:rPr>
          <w:rFonts w:cstheme="minorHAnsi"/>
          <w:sz w:val="24"/>
          <w:szCs w:val="24"/>
        </w:rPr>
        <w:t xml:space="preserve">. Study participants, their respective teams, and other IHEs </w:t>
      </w:r>
      <w:r w:rsidR="00B622F9">
        <w:rPr>
          <w:rFonts w:cstheme="minorHAnsi"/>
          <w:sz w:val="24"/>
          <w:szCs w:val="24"/>
        </w:rPr>
        <w:t>could</w:t>
      </w:r>
      <w:r w:rsidRPr="009513A7">
        <w:rPr>
          <w:rFonts w:cstheme="minorHAnsi"/>
          <w:sz w:val="24"/>
          <w:szCs w:val="24"/>
        </w:rPr>
        <w:t xml:space="preserve"> benefit from a shared understanding of</w:t>
      </w:r>
      <w:r w:rsidR="004A29BB">
        <w:rPr>
          <w:rFonts w:cstheme="minorHAnsi"/>
          <w:sz w:val="24"/>
          <w:szCs w:val="24"/>
        </w:rPr>
        <w:t xml:space="preserve"> how</w:t>
      </w:r>
      <w:r w:rsidRPr="009513A7">
        <w:rPr>
          <w:rFonts w:cstheme="minorHAnsi"/>
          <w:sz w:val="24"/>
          <w:szCs w:val="24"/>
        </w:rPr>
        <w:t xml:space="preserve"> </w:t>
      </w:r>
      <w:r w:rsidR="004A29BB" w:rsidRPr="004A29BB">
        <w:rPr>
          <w:rFonts w:cstheme="minorHAnsi"/>
          <w:sz w:val="24"/>
          <w:szCs w:val="24"/>
        </w:rPr>
        <w:t>threat assessment team leaders operationalize and define success</w:t>
      </w:r>
    </w:p>
    <w:p w14:paraId="199681F9" w14:textId="77777777" w:rsidR="004B74D0" w:rsidRPr="009513A7" w:rsidRDefault="004B74D0" w:rsidP="004B74D0">
      <w:pPr>
        <w:spacing w:after="0" w:line="480" w:lineRule="auto"/>
        <w:jc w:val="center"/>
        <w:rPr>
          <w:rFonts w:cstheme="minorHAnsi"/>
          <w:b/>
          <w:bCs/>
          <w:sz w:val="24"/>
          <w:szCs w:val="24"/>
        </w:rPr>
      </w:pPr>
      <w:r w:rsidRPr="009513A7">
        <w:rPr>
          <w:rFonts w:cstheme="minorHAnsi"/>
          <w:b/>
          <w:bCs/>
          <w:sz w:val="24"/>
          <w:szCs w:val="24"/>
        </w:rPr>
        <w:t>Delimitations</w:t>
      </w:r>
    </w:p>
    <w:p w14:paraId="3E04DDDC" w14:textId="1B63991B" w:rsidR="004B74D0" w:rsidRPr="009513A7" w:rsidRDefault="004B74D0" w:rsidP="004B74D0">
      <w:pPr>
        <w:spacing w:after="0" w:line="480" w:lineRule="auto"/>
        <w:ind w:firstLine="720"/>
        <w:rPr>
          <w:rFonts w:cstheme="minorHAnsi"/>
          <w:sz w:val="24"/>
          <w:szCs w:val="24"/>
        </w:rPr>
      </w:pPr>
      <w:r w:rsidRPr="009513A7">
        <w:rPr>
          <w:rFonts w:cstheme="minorHAnsi"/>
          <w:sz w:val="24"/>
          <w:szCs w:val="24"/>
        </w:rPr>
        <w:t>Delimitations are boundaries set by the researcher (</w:t>
      </w:r>
      <w:r w:rsidR="002D71F0">
        <w:rPr>
          <w:rFonts w:cstheme="minorHAnsi"/>
          <w:sz w:val="24"/>
          <w:szCs w:val="24"/>
        </w:rPr>
        <w:t xml:space="preserve">Merriam &amp; Tisdell, 2016; </w:t>
      </w:r>
      <w:r w:rsidRPr="009513A7">
        <w:rPr>
          <w:rFonts w:cstheme="minorHAnsi"/>
          <w:sz w:val="24"/>
          <w:szCs w:val="24"/>
        </w:rPr>
        <w:t>Neutens &amp; Rubinson, 2014</w:t>
      </w:r>
      <w:r w:rsidR="00B622F9">
        <w:rPr>
          <w:rFonts w:cstheme="minorHAnsi"/>
          <w:sz w:val="24"/>
          <w:szCs w:val="24"/>
        </w:rPr>
        <w:t>)</w:t>
      </w:r>
      <w:r w:rsidRPr="009513A7">
        <w:rPr>
          <w:rFonts w:cstheme="minorHAnsi"/>
          <w:sz w:val="24"/>
          <w:szCs w:val="24"/>
        </w:rPr>
        <w:t xml:space="preserve">. This study </w:t>
      </w:r>
      <w:r w:rsidR="004A29BB">
        <w:rPr>
          <w:rFonts w:cstheme="minorHAnsi"/>
          <w:sz w:val="24"/>
          <w:szCs w:val="24"/>
        </w:rPr>
        <w:t>wa</w:t>
      </w:r>
      <w:r w:rsidRPr="009513A7">
        <w:rPr>
          <w:rFonts w:cstheme="minorHAnsi"/>
          <w:sz w:val="24"/>
          <w:szCs w:val="24"/>
        </w:rPr>
        <w:t xml:space="preserve">s delimited in several ways. First, all SEC institutions with a </w:t>
      </w:r>
      <w:r w:rsidR="00A27A2E" w:rsidRPr="009513A7">
        <w:rPr>
          <w:rFonts w:cstheme="minorHAnsi"/>
          <w:sz w:val="24"/>
          <w:szCs w:val="24"/>
        </w:rPr>
        <w:t>TA</w:t>
      </w:r>
      <w:r w:rsidR="00A27A2E">
        <w:rPr>
          <w:rFonts w:cstheme="minorHAnsi"/>
          <w:sz w:val="24"/>
          <w:szCs w:val="24"/>
        </w:rPr>
        <w:t>T</w:t>
      </w:r>
      <w:r w:rsidR="00B622F9">
        <w:rPr>
          <w:rFonts w:cstheme="minorHAnsi"/>
          <w:sz w:val="24"/>
          <w:szCs w:val="24"/>
        </w:rPr>
        <w:t>,</w:t>
      </w:r>
      <w:r w:rsidR="00A27A2E" w:rsidRPr="009513A7">
        <w:rPr>
          <w:rFonts w:cstheme="minorHAnsi"/>
          <w:sz w:val="24"/>
          <w:szCs w:val="24"/>
        </w:rPr>
        <w:t xml:space="preserve"> </w:t>
      </w:r>
      <w:r w:rsidR="00CC64E1" w:rsidRPr="009513A7">
        <w:rPr>
          <w:rFonts w:cstheme="minorHAnsi"/>
          <w:sz w:val="24"/>
          <w:szCs w:val="24"/>
        </w:rPr>
        <w:t>except for</w:t>
      </w:r>
      <w:r w:rsidRPr="009513A7">
        <w:rPr>
          <w:rFonts w:cstheme="minorHAnsi"/>
          <w:sz w:val="24"/>
          <w:szCs w:val="24"/>
        </w:rPr>
        <w:t xml:space="preserve"> the University of Tennessee, Knoxville w</w:t>
      </w:r>
      <w:r w:rsidR="004A29BB">
        <w:rPr>
          <w:rFonts w:cstheme="minorHAnsi"/>
          <w:sz w:val="24"/>
          <w:szCs w:val="24"/>
        </w:rPr>
        <w:t>ere initially</w:t>
      </w:r>
      <w:r w:rsidRPr="009513A7">
        <w:rPr>
          <w:rFonts w:cstheme="minorHAnsi"/>
          <w:sz w:val="24"/>
          <w:szCs w:val="24"/>
        </w:rPr>
        <w:t xml:space="preserve"> invited to participate in this </w:t>
      </w:r>
      <w:r w:rsidR="004A29BB">
        <w:rPr>
          <w:rFonts w:cstheme="minorHAnsi"/>
          <w:sz w:val="24"/>
          <w:szCs w:val="24"/>
        </w:rPr>
        <w:t>basic qualitative</w:t>
      </w:r>
      <w:r w:rsidRPr="009513A7">
        <w:rPr>
          <w:rFonts w:cstheme="minorHAnsi"/>
          <w:sz w:val="24"/>
          <w:szCs w:val="24"/>
        </w:rPr>
        <w:t xml:space="preserve"> study regardless of whether a mass shooting or high-level incident has occurred on campus. The University of Oklahoma and University of Texas </w:t>
      </w:r>
      <w:r w:rsidR="00CC64E1">
        <w:rPr>
          <w:rFonts w:cstheme="minorHAnsi"/>
          <w:sz w:val="24"/>
          <w:szCs w:val="24"/>
        </w:rPr>
        <w:t>were</w:t>
      </w:r>
      <w:r w:rsidRPr="009513A7">
        <w:rPr>
          <w:rFonts w:cstheme="minorHAnsi"/>
          <w:sz w:val="24"/>
          <w:szCs w:val="24"/>
        </w:rPr>
        <w:t xml:space="preserve"> slated to join the SEC July 1, 202</w:t>
      </w:r>
      <w:r w:rsidR="00000F22">
        <w:rPr>
          <w:rFonts w:cstheme="minorHAnsi"/>
          <w:sz w:val="24"/>
          <w:szCs w:val="24"/>
        </w:rPr>
        <w:t>4</w:t>
      </w:r>
      <w:r w:rsidRPr="009513A7">
        <w:rPr>
          <w:rFonts w:cstheme="minorHAnsi"/>
          <w:sz w:val="24"/>
          <w:szCs w:val="24"/>
        </w:rPr>
        <w:t xml:space="preserve">, increasing the membership to 16 schools. This study </w:t>
      </w:r>
      <w:r w:rsidR="00CC64E1">
        <w:rPr>
          <w:rFonts w:cstheme="minorHAnsi"/>
          <w:sz w:val="24"/>
          <w:szCs w:val="24"/>
        </w:rPr>
        <w:t>did</w:t>
      </w:r>
      <w:r w:rsidRPr="009513A7">
        <w:rPr>
          <w:rFonts w:cstheme="minorHAnsi"/>
          <w:sz w:val="24"/>
          <w:szCs w:val="24"/>
        </w:rPr>
        <w:t xml:space="preserve"> not include Oklahoma and Texas (see Definition of Key Terms). </w:t>
      </w:r>
      <w:r w:rsidR="004A29BB">
        <w:rPr>
          <w:rFonts w:cstheme="minorHAnsi"/>
          <w:sz w:val="24"/>
          <w:szCs w:val="24"/>
        </w:rPr>
        <w:t>Additional participants from other IHEs were</w:t>
      </w:r>
      <w:r w:rsidR="00CC64E1">
        <w:rPr>
          <w:rFonts w:cstheme="minorHAnsi"/>
          <w:sz w:val="24"/>
          <w:szCs w:val="24"/>
        </w:rPr>
        <w:t xml:space="preserve"> obtained through snowball sampling and discussed in more detail in chapter 3.</w:t>
      </w:r>
      <w:r w:rsidR="004A29BB">
        <w:rPr>
          <w:rFonts w:cstheme="minorHAnsi"/>
          <w:sz w:val="24"/>
          <w:szCs w:val="24"/>
        </w:rPr>
        <w:t xml:space="preserve"> </w:t>
      </w:r>
      <w:r w:rsidRPr="009513A7">
        <w:rPr>
          <w:rFonts w:cstheme="minorHAnsi"/>
          <w:sz w:val="24"/>
          <w:szCs w:val="24"/>
        </w:rPr>
        <w:t xml:space="preserve">Second, </w:t>
      </w:r>
      <w:r w:rsidR="00000F22">
        <w:rPr>
          <w:rFonts w:cstheme="minorHAnsi"/>
          <w:sz w:val="24"/>
          <w:szCs w:val="24"/>
        </w:rPr>
        <w:t>I conduct</w:t>
      </w:r>
      <w:r w:rsidR="00CC64E1">
        <w:rPr>
          <w:rFonts w:cstheme="minorHAnsi"/>
          <w:sz w:val="24"/>
          <w:szCs w:val="24"/>
        </w:rPr>
        <w:t>ed</w:t>
      </w:r>
      <w:r w:rsidR="00000F22">
        <w:rPr>
          <w:rFonts w:cstheme="minorHAnsi"/>
          <w:sz w:val="24"/>
          <w:szCs w:val="24"/>
        </w:rPr>
        <w:t xml:space="preserve"> </w:t>
      </w:r>
      <w:r w:rsidRPr="009513A7">
        <w:rPr>
          <w:rFonts w:cstheme="minorHAnsi"/>
          <w:sz w:val="24"/>
          <w:szCs w:val="24"/>
        </w:rPr>
        <w:t xml:space="preserve">all interviews virtually using an online </w:t>
      </w:r>
      <w:r w:rsidR="00CC64E1">
        <w:rPr>
          <w:rFonts w:cstheme="minorHAnsi"/>
          <w:sz w:val="24"/>
          <w:szCs w:val="24"/>
        </w:rPr>
        <w:t>platform, Zoom</w:t>
      </w:r>
      <w:r w:rsidRPr="009513A7">
        <w:rPr>
          <w:rFonts w:cstheme="minorHAnsi"/>
          <w:sz w:val="24"/>
          <w:szCs w:val="24"/>
        </w:rPr>
        <w:t xml:space="preserve">. Third, interview participants </w:t>
      </w:r>
      <w:r w:rsidR="00CC64E1">
        <w:rPr>
          <w:rFonts w:cstheme="minorHAnsi"/>
          <w:sz w:val="24"/>
          <w:szCs w:val="24"/>
        </w:rPr>
        <w:t xml:space="preserve">were required to serve </w:t>
      </w:r>
      <w:r w:rsidRPr="009513A7">
        <w:rPr>
          <w:rFonts w:cstheme="minorHAnsi"/>
          <w:sz w:val="24"/>
          <w:szCs w:val="24"/>
        </w:rPr>
        <w:t xml:space="preserve">on </w:t>
      </w:r>
      <w:r w:rsidRPr="009513A7">
        <w:rPr>
          <w:rFonts w:cstheme="minorHAnsi"/>
          <w:sz w:val="24"/>
          <w:szCs w:val="24"/>
        </w:rPr>
        <w:lastRenderedPageBreak/>
        <w:t xml:space="preserve">a </w:t>
      </w:r>
      <w:r w:rsidR="00A27A2E" w:rsidRPr="009513A7">
        <w:rPr>
          <w:rFonts w:cstheme="minorHAnsi"/>
          <w:sz w:val="24"/>
          <w:szCs w:val="24"/>
        </w:rPr>
        <w:t>TA</w:t>
      </w:r>
      <w:r w:rsidR="00A27A2E">
        <w:rPr>
          <w:rFonts w:cstheme="minorHAnsi"/>
          <w:sz w:val="24"/>
          <w:szCs w:val="24"/>
        </w:rPr>
        <w:t>T</w:t>
      </w:r>
      <w:r w:rsidR="00CC64E1">
        <w:rPr>
          <w:rFonts w:cstheme="minorHAnsi"/>
          <w:sz w:val="24"/>
          <w:szCs w:val="24"/>
        </w:rPr>
        <w:t xml:space="preserve"> at the time of the interview</w:t>
      </w:r>
      <w:r w:rsidR="00A27A2E" w:rsidRPr="009513A7">
        <w:rPr>
          <w:rFonts w:cstheme="minorHAnsi"/>
          <w:sz w:val="24"/>
          <w:szCs w:val="24"/>
        </w:rPr>
        <w:t xml:space="preserve"> </w:t>
      </w:r>
      <w:r w:rsidRPr="009513A7">
        <w:rPr>
          <w:rFonts w:cstheme="minorHAnsi"/>
          <w:sz w:val="24"/>
          <w:szCs w:val="24"/>
        </w:rPr>
        <w:t xml:space="preserve">and must have served a minimum of one year (or 12 months). The service minimum </w:t>
      </w:r>
      <w:r w:rsidR="00CC64E1">
        <w:rPr>
          <w:rFonts w:cstheme="minorHAnsi"/>
          <w:sz w:val="24"/>
          <w:szCs w:val="24"/>
        </w:rPr>
        <w:t>was intended to</w:t>
      </w:r>
      <w:r w:rsidR="00CC64E1" w:rsidRPr="009513A7">
        <w:rPr>
          <w:rFonts w:cstheme="minorHAnsi"/>
          <w:sz w:val="24"/>
          <w:szCs w:val="24"/>
        </w:rPr>
        <w:t xml:space="preserve"> </w:t>
      </w:r>
      <w:r w:rsidRPr="009513A7">
        <w:rPr>
          <w:rFonts w:cstheme="minorHAnsi"/>
          <w:sz w:val="24"/>
          <w:szCs w:val="24"/>
        </w:rPr>
        <w:t xml:space="preserve">increase the likelihood that a participant </w:t>
      </w:r>
      <w:r w:rsidR="00CC64E1">
        <w:rPr>
          <w:rFonts w:cstheme="minorHAnsi"/>
          <w:sz w:val="24"/>
          <w:szCs w:val="24"/>
        </w:rPr>
        <w:t>was</w:t>
      </w:r>
      <w:r w:rsidR="00CC64E1" w:rsidRPr="009513A7">
        <w:rPr>
          <w:rFonts w:cstheme="minorHAnsi"/>
          <w:sz w:val="24"/>
          <w:szCs w:val="24"/>
        </w:rPr>
        <w:t xml:space="preserve"> </w:t>
      </w:r>
      <w:r w:rsidRPr="009513A7">
        <w:rPr>
          <w:rFonts w:cstheme="minorHAnsi"/>
          <w:sz w:val="24"/>
          <w:szCs w:val="24"/>
        </w:rPr>
        <w:t>familiar with the institution and/or team protocols and</w:t>
      </w:r>
      <w:r w:rsidR="00CC64E1">
        <w:rPr>
          <w:rFonts w:cstheme="minorHAnsi"/>
          <w:sz w:val="24"/>
          <w:szCs w:val="24"/>
        </w:rPr>
        <w:t>had</w:t>
      </w:r>
      <w:r w:rsidRPr="009513A7">
        <w:rPr>
          <w:rFonts w:cstheme="minorHAnsi"/>
          <w:sz w:val="24"/>
          <w:szCs w:val="24"/>
        </w:rPr>
        <w:t xml:space="preserve"> been involved in casework. Fourth, interview participants from each </w:t>
      </w:r>
      <w:r w:rsidR="00A27A2E" w:rsidRPr="009513A7">
        <w:rPr>
          <w:rFonts w:cstheme="minorHAnsi"/>
          <w:sz w:val="24"/>
          <w:szCs w:val="24"/>
        </w:rPr>
        <w:t>TA</w:t>
      </w:r>
      <w:r w:rsidR="00A27A2E">
        <w:rPr>
          <w:rFonts w:cstheme="minorHAnsi"/>
          <w:sz w:val="24"/>
          <w:szCs w:val="24"/>
        </w:rPr>
        <w:t>T</w:t>
      </w:r>
      <w:r w:rsidR="00A27A2E" w:rsidRPr="009513A7">
        <w:rPr>
          <w:rFonts w:cstheme="minorHAnsi"/>
          <w:sz w:val="24"/>
          <w:szCs w:val="24"/>
        </w:rPr>
        <w:t xml:space="preserve"> </w:t>
      </w:r>
      <w:r w:rsidR="00CC64E1">
        <w:rPr>
          <w:rFonts w:cstheme="minorHAnsi"/>
          <w:sz w:val="24"/>
          <w:szCs w:val="24"/>
        </w:rPr>
        <w:t xml:space="preserve">were required to </w:t>
      </w:r>
      <w:r w:rsidRPr="009513A7">
        <w:rPr>
          <w:rFonts w:cstheme="minorHAnsi"/>
          <w:sz w:val="24"/>
          <w:szCs w:val="24"/>
        </w:rPr>
        <w:t xml:space="preserve">serve in a chair, co-chair, or team leadership role. </w:t>
      </w:r>
      <w:r w:rsidR="00000F22">
        <w:rPr>
          <w:rFonts w:cstheme="minorHAnsi"/>
          <w:sz w:val="24"/>
          <w:szCs w:val="24"/>
        </w:rPr>
        <w:t>I invite</w:t>
      </w:r>
      <w:r w:rsidR="00CC64E1">
        <w:rPr>
          <w:rFonts w:cstheme="minorHAnsi"/>
          <w:sz w:val="24"/>
          <w:szCs w:val="24"/>
        </w:rPr>
        <w:t>d</w:t>
      </w:r>
      <w:r w:rsidR="00000F22">
        <w:rPr>
          <w:rFonts w:cstheme="minorHAnsi"/>
          <w:sz w:val="24"/>
          <w:szCs w:val="24"/>
        </w:rPr>
        <w:t xml:space="preserve"> </w:t>
      </w:r>
      <w:r w:rsidRPr="009513A7">
        <w:rPr>
          <w:rFonts w:cstheme="minorHAnsi"/>
          <w:sz w:val="24"/>
          <w:szCs w:val="24"/>
        </w:rPr>
        <w:t>team members to participate and provide</w:t>
      </w:r>
      <w:r w:rsidR="00CC64E1">
        <w:rPr>
          <w:rFonts w:cstheme="minorHAnsi"/>
          <w:sz w:val="24"/>
          <w:szCs w:val="24"/>
        </w:rPr>
        <w:t>d</w:t>
      </w:r>
      <w:r w:rsidRPr="009513A7">
        <w:rPr>
          <w:rFonts w:cstheme="minorHAnsi"/>
          <w:sz w:val="24"/>
          <w:szCs w:val="24"/>
        </w:rPr>
        <w:t xml:space="preserve"> the</w:t>
      </w:r>
      <w:r w:rsidR="00000F22">
        <w:rPr>
          <w:rFonts w:cstheme="minorHAnsi"/>
          <w:sz w:val="24"/>
          <w:szCs w:val="24"/>
        </w:rPr>
        <w:t xml:space="preserve"> above</w:t>
      </w:r>
      <w:r w:rsidRPr="009513A7">
        <w:rPr>
          <w:rFonts w:cstheme="minorHAnsi"/>
          <w:sz w:val="24"/>
          <w:szCs w:val="24"/>
        </w:rPr>
        <w:t xml:space="preserve"> criteria</w:t>
      </w:r>
      <w:r w:rsidR="00000F22">
        <w:rPr>
          <w:rFonts w:cstheme="minorHAnsi"/>
          <w:sz w:val="24"/>
          <w:szCs w:val="24"/>
        </w:rPr>
        <w:t xml:space="preserve"> to prospective participants</w:t>
      </w:r>
      <w:r w:rsidRPr="009513A7">
        <w:rPr>
          <w:rFonts w:cstheme="minorHAnsi"/>
          <w:sz w:val="24"/>
          <w:szCs w:val="24"/>
        </w:rPr>
        <w:t xml:space="preserve">. The total number of interviews </w:t>
      </w:r>
      <w:r w:rsidR="00CC64E1">
        <w:rPr>
          <w:rFonts w:cstheme="minorHAnsi"/>
          <w:sz w:val="24"/>
          <w:szCs w:val="24"/>
        </w:rPr>
        <w:t>was</w:t>
      </w:r>
      <w:r w:rsidRPr="009513A7">
        <w:rPr>
          <w:rFonts w:cstheme="minorHAnsi"/>
          <w:sz w:val="24"/>
          <w:szCs w:val="24"/>
        </w:rPr>
        <w:t xml:space="preserve"> based upon the number of eligible, willing participants and/or the point of saturation (Merriam &amp; Tisdell, 2016).</w:t>
      </w:r>
    </w:p>
    <w:p w14:paraId="465A8FDE" w14:textId="77777777" w:rsidR="004B74D0" w:rsidRDefault="004B74D0" w:rsidP="004B74D0">
      <w:pPr>
        <w:spacing w:after="0" w:line="480" w:lineRule="auto"/>
        <w:jc w:val="center"/>
        <w:rPr>
          <w:rFonts w:cstheme="minorHAnsi"/>
          <w:b/>
          <w:bCs/>
          <w:sz w:val="24"/>
          <w:szCs w:val="24"/>
        </w:rPr>
      </w:pPr>
      <w:r w:rsidRPr="009513A7">
        <w:rPr>
          <w:rFonts w:cstheme="minorHAnsi"/>
          <w:b/>
          <w:bCs/>
          <w:sz w:val="24"/>
          <w:szCs w:val="24"/>
        </w:rPr>
        <w:t>Definition of Key Terms and Member Roles</w:t>
      </w:r>
    </w:p>
    <w:p w14:paraId="1297A2F7" w14:textId="1A3385C5" w:rsidR="004B74D0" w:rsidRPr="009513A7" w:rsidRDefault="007B79D9" w:rsidP="004B74D0">
      <w:pPr>
        <w:spacing w:after="0" w:line="480" w:lineRule="auto"/>
        <w:rPr>
          <w:rFonts w:cstheme="minorHAnsi"/>
          <w:sz w:val="24"/>
          <w:szCs w:val="24"/>
        </w:rPr>
      </w:pPr>
      <w:r>
        <w:rPr>
          <w:rFonts w:cstheme="minorHAnsi"/>
          <w:b/>
          <w:bCs/>
          <w:szCs w:val="24"/>
        </w:rPr>
        <w:tab/>
      </w:r>
      <w:r w:rsidR="002C71B9" w:rsidRPr="00441F01">
        <w:rPr>
          <w:rFonts w:cstheme="minorHAnsi"/>
          <w:sz w:val="24"/>
          <w:szCs w:val="24"/>
        </w:rPr>
        <w:t>In the section, I define</w:t>
      </w:r>
      <w:r w:rsidR="002621D5" w:rsidRPr="00441F01">
        <w:rPr>
          <w:rFonts w:cstheme="minorHAnsi"/>
          <w:sz w:val="24"/>
          <w:szCs w:val="24"/>
        </w:rPr>
        <w:t>d</w:t>
      </w:r>
      <w:r w:rsidR="002C71B9" w:rsidRPr="00441F01">
        <w:rPr>
          <w:rFonts w:cstheme="minorHAnsi"/>
          <w:sz w:val="24"/>
          <w:szCs w:val="24"/>
        </w:rPr>
        <w:t xml:space="preserve"> key terms and roles that inform the study. </w:t>
      </w:r>
      <w:r w:rsidR="004B74D0" w:rsidRPr="00441F01">
        <w:rPr>
          <w:rFonts w:cstheme="minorHAnsi"/>
          <w:b/>
          <w:bCs/>
          <w:sz w:val="24"/>
          <w:szCs w:val="24"/>
        </w:rPr>
        <w:t>Threat assessment</w:t>
      </w:r>
      <w:r w:rsidR="004B74D0" w:rsidRPr="00441F01">
        <w:rPr>
          <w:rFonts w:cstheme="minorHAnsi"/>
          <w:sz w:val="24"/>
          <w:szCs w:val="24"/>
        </w:rPr>
        <w:t xml:space="preserve"> </w:t>
      </w:r>
      <w:r w:rsidR="00DD7D17" w:rsidRPr="00441F01">
        <w:rPr>
          <w:rFonts w:cstheme="minorHAnsi"/>
          <w:sz w:val="24"/>
          <w:szCs w:val="24"/>
        </w:rPr>
        <w:t xml:space="preserve">can be summarized </w:t>
      </w:r>
      <w:r w:rsidR="004B74D0" w:rsidRPr="00441F01">
        <w:rPr>
          <w:rFonts w:cstheme="minorHAnsi"/>
          <w:sz w:val="24"/>
          <w:szCs w:val="24"/>
        </w:rPr>
        <w:t>as</w:t>
      </w:r>
      <w:r w:rsidR="00DD7D17" w:rsidRPr="00441F01">
        <w:rPr>
          <w:rFonts w:cstheme="minorHAnsi"/>
          <w:sz w:val="24"/>
          <w:szCs w:val="24"/>
        </w:rPr>
        <w:t xml:space="preserve"> learning of a person who may pose a threat and gathering information about that person from multiple sources to assess risk and understand the threat. Threat management, also known as case management, follows threat assessment and includes developing and implementing an individualized plan to reduce any threat and mitigate risk (Deisinger et al., 2008; Meloy &amp; Hoffman, 2021).</w:t>
      </w:r>
      <w:r w:rsidRPr="002621D5">
        <w:rPr>
          <w:rFonts w:cstheme="minorHAnsi"/>
          <w:sz w:val="24"/>
          <w:szCs w:val="24"/>
        </w:rPr>
        <w:t xml:space="preserve"> </w:t>
      </w:r>
      <w:r w:rsidR="004B74D0" w:rsidRPr="002621D5">
        <w:rPr>
          <w:rFonts w:cstheme="minorHAnsi"/>
          <w:sz w:val="24"/>
          <w:szCs w:val="24"/>
        </w:rPr>
        <w:t xml:space="preserve">The purpose of threat assessment, </w:t>
      </w:r>
      <w:r w:rsidR="004B74D0" w:rsidRPr="009513A7">
        <w:rPr>
          <w:rFonts w:cstheme="minorHAnsi"/>
          <w:sz w:val="24"/>
          <w:szCs w:val="24"/>
        </w:rPr>
        <w:t xml:space="preserve">and </w:t>
      </w:r>
      <w:r w:rsidR="00BF55E0">
        <w:rPr>
          <w:rFonts w:cstheme="minorHAnsi"/>
          <w:sz w:val="24"/>
          <w:szCs w:val="24"/>
        </w:rPr>
        <w:t xml:space="preserve">ultimately </w:t>
      </w:r>
      <w:r w:rsidR="00A27A2E" w:rsidRPr="009513A7">
        <w:rPr>
          <w:rFonts w:cstheme="minorHAnsi"/>
          <w:sz w:val="24"/>
          <w:szCs w:val="24"/>
        </w:rPr>
        <w:t>TA</w:t>
      </w:r>
      <w:r w:rsidR="00A27A2E">
        <w:rPr>
          <w:rFonts w:cstheme="minorHAnsi"/>
          <w:sz w:val="24"/>
          <w:szCs w:val="24"/>
        </w:rPr>
        <w:t>Ts</w:t>
      </w:r>
      <w:r w:rsidR="004B74D0" w:rsidRPr="009513A7">
        <w:rPr>
          <w:rFonts w:cstheme="minorHAnsi"/>
          <w:sz w:val="24"/>
          <w:szCs w:val="24"/>
        </w:rPr>
        <w:t xml:space="preserve">, is to identify threats and prevent violence, such as a mass shooting. This may be achieved through </w:t>
      </w:r>
      <w:r w:rsidR="00B622F9">
        <w:rPr>
          <w:rFonts w:cstheme="minorHAnsi"/>
          <w:sz w:val="24"/>
          <w:szCs w:val="24"/>
        </w:rPr>
        <w:t xml:space="preserve">case management as well as </w:t>
      </w:r>
      <w:r w:rsidR="004B74D0" w:rsidRPr="009513A7">
        <w:rPr>
          <w:rFonts w:cstheme="minorHAnsi"/>
          <w:sz w:val="24"/>
          <w:szCs w:val="24"/>
        </w:rPr>
        <w:t xml:space="preserve">campus and community efforts with the support of </w:t>
      </w:r>
      <w:r w:rsidR="00A27A2E" w:rsidRPr="009513A7">
        <w:rPr>
          <w:rFonts w:cstheme="minorHAnsi"/>
          <w:sz w:val="24"/>
          <w:szCs w:val="24"/>
        </w:rPr>
        <w:t>TA</w:t>
      </w:r>
      <w:r w:rsidR="00A27A2E">
        <w:rPr>
          <w:rFonts w:cstheme="minorHAnsi"/>
          <w:sz w:val="24"/>
          <w:szCs w:val="24"/>
        </w:rPr>
        <w:t>T</w:t>
      </w:r>
      <w:r w:rsidR="00A27A2E" w:rsidRPr="009513A7">
        <w:rPr>
          <w:rFonts w:cstheme="minorHAnsi"/>
          <w:sz w:val="24"/>
          <w:szCs w:val="24"/>
        </w:rPr>
        <w:t xml:space="preserve"> </w:t>
      </w:r>
      <w:r w:rsidR="004B74D0" w:rsidRPr="009513A7">
        <w:rPr>
          <w:rFonts w:cstheme="minorHAnsi"/>
          <w:sz w:val="24"/>
          <w:szCs w:val="24"/>
        </w:rPr>
        <w:t>subject-matter experts (Albrecht, 2010; Cornell &amp; Allen, 2011; Deisinger et al</w:t>
      </w:r>
      <w:r w:rsidR="002C71B9">
        <w:rPr>
          <w:rFonts w:cstheme="minorHAnsi"/>
          <w:sz w:val="24"/>
          <w:szCs w:val="24"/>
        </w:rPr>
        <w:t>.</w:t>
      </w:r>
      <w:r w:rsidR="004B74D0" w:rsidRPr="009513A7">
        <w:rPr>
          <w:rFonts w:cstheme="minorHAnsi"/>
          <w:sz w:val="24"/>
          <w:szCs w:val="24"/>
        </w:rPr>
        <w:t xml:space="preserve">, 2008; Dunkle et al., 2008; </w:t>
      </w:r>
      <w:r w:rsidR="00EF53AA" w:rsidRPr="00361D80">
        <w:rPr>
          <w:rFonts w:cstheme="minorHAnsi"/>
          <w:bCs/>
          <w:sz w:val="24"/>
          <w:szCs w:val="24"/>
        </w:rPr>
        <w:t>Meloy &amp; Hoffmann, 2021</w:t>
      </w:r>
      <w:r w:rsidR="00EF53AA">
        <w:rPr>
          <w:rFonts w:cstheme="minorHAnsi"/>
          <w:bCs/>
          <w:sz w:val="24"/>
          <w:szCs w:val="24"/>
        </w:rPr>
        <w:t xml:space="preserve">; </w:t>
      </w:r>
      <w:r w:rsidR="004B74D0" w:rsidRPr="009513A7">
        <w:rPr>
          <w:rFonts w:cstheme="minorHAnsi"/>
          <w:sz w:val="24"/>
          <w:szCs w:val="24"/>
        </w:rPr>
        <w:t>Pollard et al., 2012).</w:t>
      </w:r>
      <w:r w:rsidR="004B74D0" w:rsidRPr="0093100B">
        <w:rPr>
          <w:rFonts w:cstheme="minorHAnsi"/>
          <w:sz w:val="24"/>
          <w:szCs w:val="24"/>
        </w:rPr>
        <w:t xml:space="preserve"> </w:t>
      </w:r>
    </w:p>
    <w:p w14:paraId="2796433E" w14:textId="3C474573" w:rsidR="00DD76B6" w:rsidRPr="00DD76B6" w:rsidRDefault="00DD76B6" w:rsidP="00DD76B6">
      <w:pPr>
        <w:spacing w:after="0" w:line="240" w:lineRule="auto"/>
        <w:rPr>
          <w:rFonts w:cstheme="minorHAnsi"/>
          <w:sz w:val="24"/>
          <w:szCs w:val="24"/>
        </w:rPr>
      </w:pPr>
      <w:r w:rsidRPr="00DD76B6">
        <w:rPr>
          <w:rFonts w:cstheme="minorHAnsi"/>
          <w:b/>
          <w:bCs/>
          <w:sz w:val="24"/>
          <w:szCs w:val="24"/>
        </w:rPr>
        <w:t>Southeastern Conference (SEC)</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The SEC, established in 1933 “has provided leadership on the vital issues facing intercollegiate competition” (Southeastern Conference, 2021). There are currently fourteen-member schools in the SEC: University of Alabama, University of Arkansas, Auburn University, University of Florida, University of Georgia, University of Kentucky, Louisiana State University, University of Mississippi, Mississippi State University, University of Missouri, University of South Carolina, University of Tennessee, Texas A&amp;M University, and Vanderbilt University. </w:t>
      </w:r>
      <w:bookmarkStart w:id="5" w:name="_Hlk116039145"/>
      <w:r w:rsidRPr="00DD76B6">
        <w:rPr>
          <w:rFonts w:cstheme="minorHAnsi"/>
          <w:sz w:val="24"/>
          <w:szCs w:val="24"/>
        </w:rPr>
        <w:t xml:space="preserve">The University of Oklahoma and University of Texas </w:t>
      </w:r>
      <w:r w:rsidR="002621D5">
        <w:rPr>
          <w:rFonts w:cstheme="minorHAnsi"/>
          <w:sz w:val="24"/>
          <w:szCs w:val="24"/>
        </w:rPr>
        <w:t>were</w:t>
      </w:r>
      <w:r w:rsidRPr="00DD76B6">
        <w:rPr>
          <w:rFonts w:cstheme="minorHAnsi"/>
          <w:sz w:val="24"/>
          <w:szCs w:val="24"/>
        </w:rPr>
        <w:t xml:space="preserve"> slated to join the SEC July </w:t>
      </w:r>
      <w:r w:rsidRPr="00DD76B6">
        <w:rPr>
          <w:rFonts w:cstheme="minorHAnsi"/>
          <w:sz w:val="24"/>
          <w:szCs w:val="24"/>
        </w:rPr>
        <w:lastRenderedPageBreak/>
        <w:t>1, 202</w:t>
      </w:r>
      <w:r w:rsidR="002C71B9">
        <w:rPr>
          <w:rFonts w:cstheme="minorHAnsi"/>
          <w:sz w:val="24"/>
          <w:szCs w:val="24"/>
        </w:rPr>
        <w:t>4</w:t>
      </w:r>
      <w:r w:rsidRPr="00DD76B6">
        <w:rPr>
          <w:rFonts w:cstheme="minorHAnsi"/>
          <w:sz w:val="24"/>
          <w:szCs w:val="24"/>
        </w:rPr>
        <w:t>, increasing the membership to 16 schools (Southeastern Conference, 2018; Southeastern Conference, 2021)</w:t>
      </w:r>
      <w:bookmarkEnd w:id="5"/>
      <w:r w:rsidRPr="00DD76B6">
        <w:rPr>
          <w:rFonts w:cstheme="minorHAnsi"/>
          <w:sz w:val="24"/>
          <w:szCs w:val="24"/>
        </w:rPr>
        <w:t>.</w:t>
      </w:r>
    </w:p>
    <w:p w14:paraId="4A9E77F9" w14:textId="77777777" w:rsidR="00DD76B6" w:rsidRPr="00DD76B6" w:rsidRDefault="00DD76B6" w:rsidP="00DD76B6">
      <w:pPr>
        <w:spacing w:after="0" w:line="240" w:lineRule="auto"/>
        <w:rPr>
          <w:rFonts w:cstheme="minorHAnsi"/>
          <w:sz w:val="24"/>
          <w:szCs w:val="24"/>
        </w:rPr>
      </w:pPr>
    </w:p>
    <w:p w14:paraId="3C6D5E54"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Family Educational Rights and Privacy Act (FERPA)</w:t>
      </w:r>
      <w:r w:rsidRPr="00DD76B6">
        <w:rPr>
          <w:rFonts w:cstheme="minorHAnsi"/>
          <w:sz w:val="24"/>
          <w:szCs w:val="24"/>
        </w:rPr>
        <w:t xml:space="preserve"> – Protects the privacy of student education records; FERPA applies to all institutions that receive federal funds under any program administered by the U.S. Department of Education (USDHHS &amp; USED, 2019).</w:t>
      </w:r>
    </w:p>
    <w:p w14:paraId="4AC8924F" w14:textId="77777777" w:rsidR="00DD76B6" w:rsidRPr="00DD76B6" w:rsidRDefault="00DD76B6" w:rsidP="00DD76B6">
      <w:pPr>
        <w:spacing w:after="0" w:line="240" w:lineRule="auto"/>
        <w:rPr>
          <w:rFonts w:cstheme="minorHAnsi"/>
          <w:i/>
          <w:iCs/>
          <w:sz w:val="24"/>
          <w:szCs w:val="24"/>
        </w:rPr>
      </w:pPr>
    </w:p>
    <w:p w14:paraId="0BA1B9B8"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Health Insurance Portability and Accountability Act (HIPAA)</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Enacted to “improve the efficiency and effectiveness of the health care system through the establishment of national standards and requirements for electronic health care transactions and to protect the privacy and security of individually identifiable health information” (USDHHS &amp; USED, 2019, p. 5).</w:t>
      </w:r>
    </w:p>
    <w:p w14:paraId="565E733A" w14:textId="77777777" w:rsidR="00DD76B6" w:rsidRPr="00DD76B6" w:rsidRDefault="00DD76B6" w:rsidP="00DD76B6">
      <w:pPr>
        <w:spacing w:after="0" w:line="240" w:lineRule="auto"/>
        <w:rPr>
          <w:rFonts w:cstheme="minorHAnsi"/>
          <w:sz w:val="24"/>
          <w:szCs w:val="24"/>
        </w:rPr>
      </w:pPr>
    </w:p>
    <w:p w14:paraId="0077586F" w14:textId="4721614D" w:rsidR="00DD76B6" w:rsidRPr="00DD76B6" w:rsidRDefault="00DD76B6" w:rsidP="00DD76B6">
      <w:pPr>
        <w:spacing w:after="0" w:line="240" w:lineRule="auto"/>
        <w:rPr>
          <w:rFonts w:cstheme="minorHAnsi"/>
          <w:sz w:val="24"/>
          <w:szCs w:val="24"/>
        </w:rPr>
      </w:pPr>
      <w:r w:rsidRPr="00DD76B6">
        <w:rPr>
          <w:rFonts w:cstheme="minorHAnsi"/>
          <w:b/>
          <w:bCs/>
          <w:sz w:val="24"/>
          <w:szCs w:val="24"/>
        </w:rPr>
        <w:t xml:space="preserve">Violence </w:t>
      </w:r>
      <w:r w:rsidRPr="00DD76B6">
        <w:rPr>
          <w:rFonts w:cstheme="minorHAnsi"/>
          <w:sz w:val="24"/>
          <w:szCs w:val="24"/>
        </w:rPr>
        <w:t>–</w:t>
      </w:r>
      <w:r w:rsidRPr="00DD76B6">
        <w:rPr>
          <w:rFonts w:cstheme="minorHAnsi"/>
          <w:i/>
          <w:iCs/>
          <w:sz w:val="24"/>
          <w:szCs w:val="24"/>
        </w:rPr>
        <w:t xml:space="preserve"> </w:t>
      </w:r>
      <w:r w:rsidRPr="00DD76B6">
        <w:rPr>
          <w:rFonts w:cstheme="minorHAnsi"/>
          <w:sz w:val="24"/>
          <w:szCs w:val="24"/>
        </w:rPr>
        <w:t xml:space="preserve">“…the intentional use of physical force or power, threatened or actual, against oneself, another person, or against a group or community, that either results in or has a high likelihood of resulting in injury, death, psychological harm, mal-development or deprivation” (The World Health Organization, 2002, p. 4). </w:t>
      </w:r>
    </w:p>
    <w:p w14:paraId="7D883E10" w14:textId="77777777" w:rsidR="00DD76B6" w:rsidRPr="00DD76B6" w:rsidRDefault="00DD76B6" w:rsidP="00DD76B6">
      <w:pPr>
        <w:spacing w:after="0" w:line="240" w:lineRule="auto"/>
        <w:rPr>
          <w:rFonts w:cstheme="minorHAnsi"/>
          <w:i/>
          <w:iCs/>
          <w:sz w:val="24"/>
          <w:szCs w:val="24"/>
        </w:rPr>
      </w:pPr>
    </w:p>
    <w:p w14:paraId="6EC1DE4D"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Targeted Violence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“…an incident of violence where a known or knowable attacker selects a particular target prior to their violent attack” (Drysdale et al., 2010, p. 19).</w:t>
      </w:r>
    </w:p>
    <w:p w14:paraId="1E7A2A55" w14:textId="77777777" w:rsidR="00DD76B6" w:rsidRPr="00DD76B6" w:rsidRDefault="00DD76B6" w:rsidP="00DD76B6">
      <w:pPr>
        <w:spacing w:after="0" w:line="240" w:lineRule="auto"/>
        <w:rPr>
          <w:rFonts w:cstheme="minorHAnsi"/>
          <w:i/>
          <w:iCs/>
          <w:sz w:val="24"/>
          <w:szCs w:val="24"/>
        </w:rPr>
      </w:pPr>
    </w:p>
    <w:p w14:paraId="4FB6CA2E"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Threat</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A statement of intent to inflict harm, such as direct or indirect threats. Threat can be further broken down into transient (lack of true intent to harm) or substantive (evidence supports an intent to harm; Fast, 2008).</w:t>
      </w:r>
    </w:p>
    <w:p w14:paraId="3277359B" w14:textId="77777777" w:rsidR="00DD76B6" w:rsidRPr="00DD76B6" w:rsidRDefault="00DD76B6" w:rsidP="00DD76B6">
      <w:pPr>
        <w:spacing w:after="0" w:line="240" w:lineRule="auto"/>
        <w:rPr>
          <w:rFonts w:cstheme="minorHAnsi"/>
          <w:sz w:val="24"/>
          <w:szCs w:val="24"/>
        </w:rPr>
      </w:pPr>
    </w:p>
    <w:p w14:paraId="22504E8E"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Active Shooter</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“An individual actively engaged in killing or attempting to kill people in a confined and populated area” (Blair &amp; Schweit, 2014, p. 44).</w:t>
      </w:r>
    </w:p>
    <w:p w14:paraId="7DE26FDB" w14:textId="77777777" w:rsidR="00DD76B6" w:rsidRPr="00DD76B6" w:rsidRDefault="00DD76B6" w:rsidP="00DD76B6">
      <w:pPr>
        <w:spacing w:after="0" w:line="240" w:lineRule="auto"/>
        <w:rPr>
          <w:rFonts w:cstheme="minorHAnsi"/>
          <w:sz w:val="24"/>
          <w:szCs w:val="24"/>
        </w:rPr>
      </w:pPr>
    </w:p>
    <w:p w14:paraId="72EA0F54"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Threat Assessment &amp; Management Team (TAM Team)</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“a multidisciplinary team that is responsible for the careful and contextual identification and evaluation of behaviors that raise concern and that may precede violent activity on campus” (Deisinger et al., 2008, p. 5) or a group of officials that convene to identify, evaluate, and address threats or potential threats to school security (U.S. Department of Education, 2016).</w:t>
      </w:r>
    </w:p>
    <w:p w14:paraId="185B0394" w14:textId="77777777" w:rsidR="00DD76B6" w:rsidRPr="00DD76B6" w:rsidRDefault="00DD76B6" w:rsidP="00DD76B6">
      <w:pPr>
        <w:spacing w:after="0" w:line="240" w:lineRule="auto"/>
        <w:rPr>
          <w:rFonts w:cstheme="minorHAnsi"/>
          <w:sz w:val="24"/>
          <w:szCs w:val="24"/>
        </w:rPr>
      </w:pPr>
    </w:p>
    <w:p w14:paraId="76A4F431" w14:textId="77777777" w:rsidR="00DD76B6" w:rsidRPr="00DD76B6" w:rsidRDefault="00DD76B6" w:rsidP="00DD76B6">
      <w:pPr>
        <w:spacing w:after="0" w:line="240" w:lineRule="auto"/>
        <w:rPr>
          <w:rFonts w:cstheme="minorHAnsi"/>
          <w:sz w:val="24"/>
          <w:szCs w:val="24"/>
        </w:rPr>
      </w:pPr>
      <w:r w:rsidRPr="00DD76B6">
        <w:rPr>
          <w:rFonts w:cstheme="minorHAnsi"/>
          <w:sz w:val="24"/>
          <w:szCs w:val="24"/>
        </w:rPr>
        <w:t xml:space="preserve">Each threat assessment team may be unique. However, the following are roles often associated with threat assessment for IHEs. </w:t>
      </w:r>
    </w:p>
    <w:p w14:paraId="3138FB2E" w14:textId="77777777" w:rsidR="00DD76B6" w:rsidRPr="00DD76B6" w:rsidRDefault="00DD76B6" w:rsidP="00DD76B6">
      <w:pPr>
        <w:spacing w:after="0" w:line="240" w:lineRule="auto"/>
        <w:rPr>
          <w:rFonts w:cstheme="minorHAnsi"/>
          <w:sz w:val="24"/>
          <w:szCs w:val="24"/>
        </w:rPr>
      </w:pPr>
    </w:p>
    <w:p w14:paraId="7208E574"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 xml:space="preserve">Academic Affairs/Provost Role </w:t>
      </w:r>
      <w:r w:rsidRPr="00DD76B6">
        <w:rPr>
          <w:rFonts w:cstheme="minorHAnsi"/>
          <w:sz w:val="24"/>
          <w:szCs w:val="24"/>
        </w:rPr>
        <w:t>– “This team member acts as a liaison to/from the college or university’s academic units and centers and is responsible for interpreting academic policies and priorities” (Deisinger et al. 2008, p. 38).</w:t>
      </w:r>
    </w:p>
    <w:p w14:paraId="5A5799DC" w14:textId="77777777" w:rsidR="00DD76B6" w:rsidRPr="00DD76B6" w:rsidRDefault="00DD76B6" w:rsidP="00DD76B6">
      <w:pPr>
        <w:spacing w:after="0" w:line="240" w:lineRule="auto"/>
        <w:rPr>
          <w:rFonts w:cstheme="minorHAnsi"/>
          <w:sz w:val="24"/>
          <w:szCs w:val="24"/>
        </w:rPr>
      </w:pPr>
    </w:p>
    <w:p w14:paraId="6DB67D89" w14:textId="14598831" w:rsidR="00DD76B6" w:rsidRPr="00DD76B6" w:rsidRDefault="00DD76B6" w:rsidP="00DD76B6">
      <w:pPr>
        <w:spacing w:after="0" w:line="240" w:lineRule="auto"/>
        <w:rPr>
          <w:rFonts w:cstheme="minorHAnsi"/>
          <w:sz w:val="24"/>
          <w:szCs w:val="24"/>
        </w:rPr>
      </w:pPr>
      <w:r w:rsidRPr="00DD76B6">
        <w:rPr>
          <w:rFonts w:cstheme="minorHAnsi"/>
          <w:b/>
          <w:bCs/>
          <w:sz w:val="24"/>
          <w:szCs w:val="24"/>
        </w:rPr>
        <w:t>Human Resources (HR) Role</w:t>
      </w:r>
      <w:r w:rsidRPr="00DD76B6">
        <w:rPr>
          <w:rFonts w:cstheme="minorHAnsi"/>
          <w:sz w:val="24"/>
          <w:szCs w:val="24"/>
        </w:rPr>
        <w:t xml:space="preserve"> – “This team member has access to employee information and records and provides this information to the team in cases where a faculty or staff member has raised some concern. He/she is responsible for interpreting personnel policies, contractual issues that may affect decision-making, and generally acts as a liaison to/from HR. This </w:t>
      </w:r>
      <w:r w:rsidRPr="00DD76B6">
        <w:rPr>
          <w:rFonts w:cstheme="minorHAnsi"/>
          <w:sz w:val="24"/>
          <w:szCs w:val="24"/>
        </w:rPr>
        <w:lastRenderedPageBreak/>
        <w:t xml:space="preserve">individual keeps the team informed about important personnel developments, such as an anticipated termination of benefits or employment” (Deisinger et al., 2008, </w:t>
      </w:r>
      <w:r w:rsidR="00C40D8D">
        <w:rPr>
          <w:rFonts w:cstheme="minorHAnsi"/>
          <w:sz w:val="24"/>
          <w:szCs w:val="24"/>
        </w:rPr>
        <w:t>p</w:t>
      </w:r>
      <w:r w:rsidRPr="00DD76B6">
        <w:rPr>
          <w:rFonts w:cstheme="minorHAnsi"/>
          <w:sz w:val="24"/>
          <w:szCs w:val="24"/>
        </w:rPr>
        <w:t>p. 38–39).</w:t>
      </w:r>
    </w:p>
    <w:p w14:paraId="0CFAF133" w14:textId="77777777" w:rsidR="00DD76B6" w:rsidRPr="00DD76B6" w:rsidRDefault="00DD76B6" w:rsidP="00DD76B6">
      <w:pPr>
        <w:spacing w:after="0" w:line="240" w:lineRule="auto"/>
        <w:rPr>
          <w:rFonts w:cstheme="minorHAnsi"/>
          <w:sz w:val="24"/>
          <w:szCs w:val="24"/>
        </w:rPr>
      </w:pPr>
    </w:p>
    <w:p w14:paraId="1203F1E5"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Media Relations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“This individual is responsible for maintaining public information in major cases and relating it to the media when appropriate, and generally acts as a liaison to the media and the public. Even for internal cases, this member of the team can provide valuable advice regarding how information about policies and procedures should be shared with the college/university community, as well as how information should be disseminated to the campus community about the operation of the team. In addition, the media relations representative may be able to inform the team about potential threats, such as those stemming from controversial research being conducted on campus” (Deisinger et al., 2008, p. 39). </w:t>
      </w:r>
    </w:p>
    <w:p w14:paraId="3C6392CB" w14:textId="77777777" w:rsidR="00DD76B6" w:rsidRPr="00DD76B6" w:rsidRDefault="00DD76B6" w:rsidP="00DD76B6">
      <w:pPr>
        <w:spacing w:after="0" w:line="240" w:lineRule="auto"/>
        <w:rPr>
          <w:rFonts w:cstheme="minorHAnsi"/>
          <w:sz w:val="24"/>
          <w:szCs w:val="24"/>
        </w:rPr>
      </w:pPr>
    </w:p>
    <w:p w14:paraId="53033CDA"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Police/Security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“If the college or university has its own police or security force, a representative of that unit should be on the team. The police/security representative is responsible for conducting investigations and coordinating efforts with both internal and external law enforcement agencies. He/she coordinates emergency services and acts as a liaison for all law enforcement actions. An institution may also choose to involve representation from local law enforcement in addition to campus law enforcement or security services, or where there are no campus law enforcement or security services. In any case, the law enforcement or security department will be most effective when it maintains a strong focus on community policing and crime prevention” (Deisinger et al., 2008, p. 39).</w:t>
      </w:r>
    </w:p>
    <w:p w14:paraId="3E425F7F" w14:textId="77777777" w:rsidR="00DD76B6" w:rsidRPr="00DD76B6" w:rsidRDefault="00DD76B6" w:rsidP="00DD76B6">
      <w:pPr>
        <w:spacing w:after="0" w:line="240" w:lineRule="auto"/>
        <w:rPr>
          <w:rFonts w:cstheme="minorHAnsi"/>
          <w:sz w:val="24"/>
          <w:szCs w:val="24"/>
        </w:rPr>
      </w:pPr>
    </w:p>
    <w:p w14:paraId="13565EFC" w14:textId="3905DACF" w:rsidR="00DD76B6" w:rsidRPr="00DD76B6" w:rsidRDefault="00DD76B6" w:rsidP="00DD76B6">
      <w:pPr>
        <w:spacing w:after="0" w:line="240" w:lineRule="auto"/>
        <w:rPr>
          <w:rFonts w:cstheme="minorHAnsi"/>
          <w:sz w:val="24"/>
          <w:szCs w:val="24"/>
        </w:rPr>
      </w:pPr>
      <w:r w:rsidRPr="00DD76B6">
        <w:rPr>
          <w:rFonts w:cstheme="minorHAnsi"/>
          <w:b/>
          <w:bCs/>
          <w:sz w:val="24"/>
          <w:szCs w:val="24"/>
        </w:rPr>
        <w:t>Residence Life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“Depending upon how much of the college or university’s student population lives on campus in residential housing, it may be extremely helpful to have a residence life representative on the team. If a significant portion of the student body live on campus, then the representative will help the team with detecting new cases, since residence life personnel may be aware of students who may be engaging in suspicious or concerning behavior in the on-campus dormitories or apartments. This team member can also be extremely valuable once a case is already under investigation by the team because residence life personnel may be able to suggest which students know the person of concern and should be interviewed – and which should not. Similarly, the residence life representative may have the ability to monitor individuals who may pose a threat and are being managed by the team” (Deisinger et al., 2008, </w:t>
      </w:r>
      <w:r w:rsidR="00C40D8D">
        <w:rPr>
          <w:rFonts w:cstheme="minorHAnsi"/>
          <w:sz w:val="24"/>
          <w:szCs w:val="24"/>
        </w:rPr>
        <w:t>p</w:t>
      </w:r>
      <w:r w:rsidRPr="00DD76B6">
        <w:rPr>
          <w:rFonts w:cstheme="minorHAnsi"/>
          <w:sz w:val="24"/>
          <w:szCs w:val="24"/>
        </w:rPr>
        <w:t xml:space="preserve">p. 39–40). </w:t>
      </w:r>
    </w:p>
    <w:p w14:paraId="7386A6D6" w14:textId="77777777" w:rsidR="00DD76B6" w:rsidRPr="00DD76B6" w:rsidRDefault="00DD76B6" w:rsidP="00DD76B6">
      <w:pPr>
        <w:spacing w:after="0" w:line="240" w:lineRule="auto"/>
        <w:rPr>
          <w:rFonts w:cstheme="minorHAnsi"/>
          <w:sz w:val="24"/>
          <w:szCs w:val="24"/>
        </w:rPr>
      </w:pPr>
    </w:p>
    <w:p w14:paraId="0FBB4FEA"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Student Affairs/Dean of Students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“This person is responsible for interpreting the student code of conduct and other student-related policies. This person also has access to student records and other information, provides this information to the team, and acts as a liaison with students’ parents and families. Other responsibilities include maintaining an up-to-date list of members of the TAM team and serving as the liaison to administrative decision-makers” (Deisinger et al., 2008, p. 40).</w:t>
      </w:r>
    </w:p>
    <w:p w14:paraId="1FF57457" w14:textId="77777777" w:rsidR="00DD76B6" w:rsidRPr="00DD76B6" w:rsidRDefault="00DD76B6" w:rsidP="00DD76B6">
      <w:pPr>
        <w:spacing w:after="0" w:line="240" w:lineRule="auto"/>
        <w:rPr>
          <w:rFonts w:cstheme="minorHAnsi"/>
          <w:sz w:val="24"/>
          <w:szCs w:val="24"/>
        </w:rPr>
      </w:pPr>
    </w:p>
    <w:p w14:paraId="267CE727"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Mental Health Consultant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“This team member can provide helpful consultation regarding mental health issues and how they may impact upon a case. This person can come from the student counseling center, employee assistance program, or be an outside consultant. </w:t>
      </w:r>
      <w:r w:rsidRPr="00DD76B6">
        <w:rPr>
          <w:rFonts w:cstheme="minorHAnsi"/>
          <w:sz w:val="24"/>
          <w:szCs w:val="24"/>
        </w:rPr>
        <w:lastRenderedPageBreak/>
        <w:t>This person can also coordinate efforts with outside mental health agencies so that services are available to the individual who cannot be served adequately by campus services. No mental health professional that advises the team should be in a treating relationship with anyone who is a focus of threat assessment or management efforts. This would likely result in a significant conflict of interest” (Deisinger et al., 2008, p. 40).</w:t>
      </w:r>
    </w:p>
    <w:p w14:paraId="20BC89D4" w14:textId="77777777" w:rsidR="00DD76B6" w:rsidRPr="00DD76B6" w:rsidRDefault="00DD76B6" w:rsidP="00DD76B6">
      <w:pPr>
        <w:spacing w:after="0" w:line="240" w:lineRule="auto"/>
        <w:rPr>
          <w:rFonts w:cstheme="minorHAnsi"/>
          <w:sz w:val="24"/>
          <w:szCs w:val="24"/>
        </w:rPr>
      </w:pPr>
    </w:p>
    <w:p w14:paraId="7C004881" w14:textId="77777777" w:rsidR="00DD76B6" w:rsidRPr="00DD76B6" w:rsidRDefault="00DD76B6" w:rsidP="00DD76B6">
      <w:pPr>
        <w:spacing w:after="0" w:line="240" w:lineRule="auto"/>
        <w:rPr>
          <w:rFonts w:cstheme="minorHAnsi"/>
          <w:sz w:val="24"/>
          <w:szCs w:val="24"/>
        </w:rPr>
      </w:pPr>
      <w:r w:rsidRPr="00DD76B6">
        <w:rPr>
          <w:rFonts w:cstheme="minorHAnsi"/>
          <w:b/>
          <w:bCs/>
          <w:sz w:val="24"/>
          <w:szCs w:val="24"/>
        </w:rPr>
        <w:t>Legal Counsel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“Legal counsel can provide guidance and advice regarding the development and operation of the team to best ensure compliance with relevant laws and policies. The legal representative can also discuss privacy and confidentiality issues, facilitate obtaining court injunctions and temporary restraining orders, and assist in preparing legal documents to deal with potentially dangerous situations” (Deisinger et al., 2008, p. 40).</w:t>
      </w:r>
    </w:p>
    <w:p w14:paraId="31EA6970" w14:textId="77777777" w:rsidR="00DD76B6" w:rsidRPr="00DD76B6" w:rsidRDefault="00DD76B6" w:rsidP="00DD76B6">
      <w:pPr>
        <w:spacing w:after="0" w:line="240" w:lineRule="auto"/>
        <w:rPr>
          <w:rFonts w:cstheme="minorHAnsi"/>
          <w:sz w:val="24"/>
          <w:szCs w:val="24"/>
        </w:rPr>
      </w:pPr>
    </w:p>
    <w:p w14:paraId="08DBA8CF" w14:textId="4231B89E" w:rsidR="00DD76B6" w:rsidRPr="00DD76B6" w:rsidRDefault="00DD76B6" w:rsidP="00DD76B6">
      <w:pPr>
        <w:spacing w:after="0" w:line="240" w:lineRule="auto"/>
        <w:rPr>
          <w:rFonts w:cstheme="minorHAnsi"/>
          <w:sz w:val="24"/>
          <w:szCs w:val="24"/>
        </w:rPr>
      </w:pPr>
      <w:r w:rsidRPr="00DD76B6">
        <w:rPr>
          <w:rFonts w:cstheme="minorHAnsi"/>
          <w:b/>
          <w:bCs/>
          <w:sz w:val="24"/>
          <w:szCs w:val="24"/>
        </w:rPr>
        <w:t>Graduate and Professional Schools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“If the college or university has a graduate and/or professional schools, it is particularly important to have a representative of the graduate/professional schools on the team in addition to the undergraduate dean of students. Some teams find that a greater proportion of graduate students – compared with undergraduate students – is reported to the team. A representative from the graduate/professional school may be able to inform the team about dynamics that are unique to, or more pronounced for, graduate students – such as pressure to achieve academic goals, reliance on the approval of one or two faculty members for advancement (rather than on passing grades in coursework) and added dynamics such as cultural </w:t>
      </w:r>
      <w:r w:rsidRPr="0093100B">
        <w:rPr>
          <w:rFonts w:cstheme="minorHAnsi"/>
          <w:sz w:val="24"/>
          <w:szCs w:val="24"/>
        </w:rPr>
        <w:t xml:space="preserve">influences for </w:t>
      </w:r>
      <w:r w:rsidR="00C40D8D" w:rsidRPr="0093100B">
        <w:rPr>
          <w:rFonts w:cstheme="minorHAnsi"/>
          <w:sz w:val="24"/>
          <w:szCs w:val="24"/>
        </w:rPr>
        <w:t>[international]</w:t>
      </w:r>
      <w:r w:rsidRPr="00DD76B6">
        <w:rPr>
          <w:rFonts w:cstheme="minorHAnsi"/>
          <w:sz w:val="24"/>
          <w:szCs w:val="24"/>
        </w:rPr>
        <w:t xml:space="preserve"> graduate students” (Deisinger et al., 2008, </w:t>
      </w:r>
      <w:r w:rsidR="00C40D8D">
        <w:rPr>
          <w:rFonts w:cstheme="minorHAnsi"/>
          <w:sz w:val="24"/>
          <w:szCs w:val="24"/>
        </w:rPr>
        <w:t>p</w:t>
      </w:r>
      <w:r w:rsidRPr="00DD76B6">
        <w:rPr>
          <w:rFonts w:cstheme="minorHAnsi"/>
          <w:sz w:val="24"/>
          <w:szCs w:val="24"/>
        </w:rPr>
        <w:t xml:space="preserve">p. 40–41). </w:t>
      </w:r>
    </w:p>
    <w:p w14:paraId="6DE7CCBC" w14:textId="77777777" w:rsidR="00DD76B6" w:rsidRPr="00DD76B6" w:rsidRDefault="00DD76B6" w:rsidP="00DD76B6">
      <w:pPr>
        <w:spacing w:after="0" w:line="240" w:lineRule="auto"/>
        <w:rPr>
          <w:rFonts w:cstheme="minorHAnsi"/>
          <w:sz w:val="24"/>
          <w:szCs w:val="24"/>
        </w:rPr>
      </w:pPr>
    </w:p>
    <w:p w14:paraId="70A649B2" w14:textId="008A7A3B" w:rsidR="00DD76B6" w:rsidRDefault="00DD76B6" w:rsidP="00DD76B6">
      <w:pPr>
        <w:spacing w:after="0" w:line="240" w:lineRule="auto"/>
        <w:rPr>
          <w:rFonts w:cstheme="minorHAnsi"/>
          <w:sz w:val="24"/>
          <w:szCs w:val="24"/>
        </w:rPr>
      </w:pPr>
      <w:r w:rsidRPr="00DD76B6">
        <w:rPr>
          <w:rFonts w:cstheme="minorHAnsi"/>
          <w:b/>
          <w:bCs/>
          <w:sz w:val="24"/>
          <w:szCs w:val="24"/>
        </w:rPr>
        <w:t>Specialty Member Role</w:t>
      </w:r>
      <w:r w:rsidRPr="00DD76B6">
        <w:rPr>
          <w:rFonts w:cstheme="minorHAnsi"/>
          <w:sz w:val="24"/>
          <w:szCs w:val="24"/>
        </w:rPr>
        <w:t xml:space="preserve"> –</w:t>
      </w:r>
      <w:r w:rsidRPr="00DD76B6">
        <w:rPr>
          <w:rFonts w:cstheme="minorHAnsi"/>
          <w:i/>
          <w:iCs/>
          <w:sz w:val="24"/>
          <w:szCs w:val="24"/>
        </w:rPr>
        <w:t xml:space="preserve"> </w:t>
      </w:r>
      <w:r w:rsidRPr="00DD76B6">
        <w:rPr>
          <w:rFonts w:cstheme="minorHAnsi"/>
          <w:sz w:val="24"/>
          <w:szCs w:val="24"/>
        </w:rPr>
        <w:t xml:space="preserve">“In addition to the regular members who comprise the team, it may also be helpful, on a case-by-case basis, to include a specialty member(s). This may include someone who knows the student or employee in question, so that he/she can provide an inside perspective and assist with the team’s assessment and management of the case. It may also include someone from a department on campus that can provide case-specific information. For example, a member of the </w:t>
      </w:r>
      <w:r w:rsidR="00A153E3">
        <w:rPr>
          <w:rFonts w:cstheme="minorHAnsi"/>
          <w:sz w:val="24"/>
          <w:szCs w:val="24"/>
        </w:rPr>
        <w:t>R</w:t>
      </w:r>
      <w:r w:rsidRPr="00DD76B6">
        <w:rPr>
          <w:rFonts w:cstheme="minorHAnsi"/>
          <w:sz w:val="24"/>
          <w:szCs w:val="24"/>
        </w:rPr>
        <w:t xml:space="preserve">eligious </w:t>
      </w:r>
      <w:r w:rsidR="00A153E3">
        <w:rPr>
          <w:rFonts w:cstheme="minorHAnsi"/>
          <w:sz w:val="24"/>
          <w:szCs w:val="24"/>
        </w:rPr>
        <w:t>L</w:t>
      </w:r>
      <w:r w:rsidRPr="00DD76B6">
        <w:rPr>
          <w:rFonts w:cstheme="minorHAnsi"/>
          <w:sz w:val="24"/>
          <w:szCs w:val="24"/>
        </w:rPr>
        <w:t>ife may be helpful for cases where religion may be important to the person; a member of the chemistry department may be helpful in cases where chemicals have been found in a student’s dorm room; or a member from the student gay, lesbian, bisexual, and transgender organization may be helpful in cases where hazing of a gay student is involved” (Deisinger et al., 2008, p. 41).</w:t>
      </w:r>
    </w:p>
    <w:p w14:paraId="5C26D755" w14:textId="77777777" w:rsidR="00C40D8D" w:rsidRDefault="00C40D8D" w:rsidP="00250772">
      <w:pPr>
        <w:spacing w:after="0" w:line="480" w:lineRule="auto"/>
        <w:rPr>
          <w:rFonts w:cstheme="minorHAnsi"/>
          <w:b/>
          <w:bCs/>
          <w:sz w:val="24"/>
          <w:szCs w:val="24"/>
        </w:rPr>
      </w:pPr>
    </w:p>
    <w:p w14:paraId="7A8BBBBE" w14:textId="415E5D1C" w:rsidR="00A5362E" w:rsidRPr="00A5362E" w:rsidRDefault="00A5362E" w:rsidP="00A5362E">
      <w:pPr>
        <w:spacing w:after="0" w:line="480" w:lineRule="auto"/>
        <w:jc w:val="center"/>
        <w:rPr>
          <w:rFonts w:cstheme="minorHAnsi"/>
          <w:b/>
          <w:bCs/>
          <w:sz w:val="24"/>
          <w:szCs w:val="24"/>
        </w:rPr>
      </w:pPr>
      <w:r w:rsidRPr="00A5362E">
        <w:rPr>
          <w:rFonts w:cstheme="minorHAnsi"/>
          <w:b/>
          <w:bCs/>
          <w:sz w:val="24"/>
          <w:szCs w:val="24"/>
        </w:rPr>
        <w:t>Organization of Study</w:t>
      </w:r>
    </w:p>
    <w:p w14:paraId="57B59063" w14:textId="08B2C24C" w:rsidR="004B74D0" w:rsidRPr="009513A7" w:rsidRDefault="007841E6" w:rsidP="00501548">
      <w:pPr>
        <w:spacing w:line="480" w:lineRule="auto"/>
        <w:ind w:firstLine="720"/>
        <w:rPr>
          <w:rFonts w:cstheme="minorHAnsi"/>
          <w:sz w:val="24"/>
          <w:szCs w:val="24"/>
        </w:rPr>
      </w:pPr>
      <w:r>
        <w:rPr>
          <w:rFonts w:cstheme="minorHAnsi"/>
          <w:sz w:val="24"/>
          <w:szCs w:val="24"/>
        </w:rPr>
        <w:t xml:space="preserve">This dissertation </w:t>
      </w:r>
      <w:r w:rsidRPr="007841E6">
        <w:rPr>
          <w:rFonts w:cstheme="minorHAnsi"/>
          <w:sz w:val="24"/>
          <w:szCs w:val="24"/>
        </w:rPr>
        <w:t>examine</w:t>
      </w:r>
      <w:r>
        <w:rPr>
          <w:rFonts w:cstheme="minorHAnsi"/>
          <w:sz w:val="24"/>
          <w:szCs w:val="24"/>
        </w:rPr>
        <w:t>d</w:t>
      </w:r>
      <w:r w:rsidRPr="007841E6">
        <w:rPr>
          <w:rFonts w:cstheme="minorHAnsi"/>
          <w:sz w:val="24"/>
          <w:szCs w:val="24"/>
        </w:rPr>
        <w:t xml:space="preserve"> the </w:t>
      </w:r>
      <w:r>
        <w:rPr>
          <w:rFonts w:cstheme="minorHAnsi"/>
          <w:sz w:val="24"/>
          <w:szCs w:val="24"/>
        </w:rPr>
        <w:t xml:space="preserve">lived </w:t>
      </w:r>
      <w:r w:rsidRPr="007841E6">
        <w:rPr>
          <w:rFonts w:cstheme="minorHAnsi"/>
          <w:sz w:val="24"/>
          <w:szCs w:val="24"/>
        </w:rPr>
        <w:t xml:space="preserve">experiences of individuals who lead threat assessment teams (TATs) in higher education, specifically to understand how they operationalize and define success. </w:t>
      </w:r>
      <w:r w:rsidR="004B74D0" w:rsidRPr="009513A7">
        <w:rPr>
          <w:rFonts w:cstheme="minorHAnsi"/>
          <w:sz w:val="24"/>
          <w:szCs w:val="24"/>
        </w:rPr>
        <w:t xml:space="preserve">In Chapter 2, I provide an in-depth review of the literature on threat assessment. Topics include school violence, legislative implications, a history of threat </w:t>
      </w:r>
      <w:r w:rsidR="004B74D0" w:rsidRPr="009513A7">
        <w:rPr>
          <w:rFonts w:cstheme="minorHAnsi"/>
          <w:sz w:val="24"/>
          <w:szCs w:val="24"/>
        </w:rPr>
        <w:lastRenderedPageBreak/>
        <w:t>assessment, and contemporary threat assessment models.</w:t>
      </w:r>
      <w:bookmarkStart w:id="6" w:name="_Hlk123820743"/>
      <w:r w:rsidR="004B74D0" w:rsidRPr="009513A7">
        <w:rPr>
          <w:rFonts w:cstheme="minorHAnsi"/>
          <w:sz w:val="24"/>
          <w:szCs w:val="24"/>
        </w:rPr>
        <w:t xml:space="preserve"> </w:t>
      </w:r>
      <w:bookmarkEnd w:id="6"/>
      <w:r w:rsidR="004B74D0" w:rsidRPr="009513A7">
        <w:rPr>
          <w:rFonts w:cstheme="minorHAnsi"/>
          <w:sz w:val="24"/>
          <w:szCs w:val="24"/>
        </w:rPr>
        <w:t>In Chapter 3</w:t>
      </w:r>
      <w:r>
        <w:rPr>
          <w:rFonts w:cstheme="minorHAnsi"/>
          <w:sz w:val="24"/>
          <w:szCs w:val="24"/>
        </w:rPr>
        <w:t>,</w:t>
      </w:r>
      <w:r w:rsidR="004B74D0" w:rsidRPr="009513A7">
        <w:rPr>
          <w:rFonts w:cstheme="minorHAnsi"/>
          <w:sz w:val="24"/>
          <w:szCs w:val="24"/>
        </w:rPr>
        <w:t xml:space="preserve"> I discuss the methodology use</w:t>
      </w:r>
      <w:r>
        <w:rPr>
          <w:rFonts w:cstheme="minorHAnsi"/>
          <w:sz w:val="24"/>
          <w:szCs w:val="24"/>
        </w:rPr>
        <w:t>d</w:t>
      </w:r>
      <w:r w:rsidR="004B74D0" w:rsidRPr="009513A7">
        <w:rPr>
          <w:rFonts w:cstheme="minorHAnsi"/>
          <w:sz w:val="24"/>
          <w:szCs w:val="24"/>
        </w:rPr>
        <w:t xml:space="preserve"> </w:t>
      </w:r>
      <w:r w:rsidR="002C71B9">
        <w:rPr>
          <w:rFonts w:cstheme="minorHAnsi"/>
          <w:sz w:val="24"/>
          <w:szCs w:val="24"/>
        </w:rPr>
        <w:t>to conduct the</w:t>
      </w:r>
      <w:r w:rsidR="004B74D0" w:rsidRPr="009513A7">
        <w:rPr>
          <w:rFonts w:cstheme="minorHAnsi"/>
          <w:sz w:val="24"/>
          <w:szCs w:val="24"/>
        </w:rPr>
        <w:t xml:space="preserve"> study.</w:t>
      </w:r>
      <w:r>
        <w:rPr>
          <w:rFonts w:cstheme="minorHAnsi"/>
          <w:sz w:val="24"/>
          <w:szCs w:val="24"/>
        </w:rPr>
        <w:t xml:space="preserve"> I provide a thorough review of the rationale for this basic qualitative research study</w:t>
      </w:r>
      <w:r w:rsidR="00DC0479">
        <w:rPr>
          <w:rFonts w:cstheme="minorHAnsi"/>
          <w:sz w:val="24"/>
          <w:szCs w:val="24"/>
        </w:rPr>
        <w:t>. I discuss</w:t>
      </w:r>
      <w:r w:rsidR="008213A7">
        <w:rPr>
          <w:rFonts w:cstheme="minorHAnsi"/>
          <w:sz w:val="24"/>
          <w:szCs w:val="24"/>
        </w:rPr>
        <w:t>ed</w:t>
      </w:r>
      <w:r w:rsidR="00DC0479">
        <w:rPr>
          <w:rFonts w:cstheme="minorHAnsi"/>
          <w:sz w:val="24"/>
          <w:szCs w:val="24"/>
        </w:rPr>
        <w:t xml:space="preserve"> the research design, participants, trustworthiness, ethical considerations, insider/outsider status, and my reflexivity. In chapter 4, I provide an extensive review of the findings and present themes. Lastly, in chapter 5, I </w:t>
      </w:r>
      <w:r w:rsidR="00DC0479" w:rsidRPr="00DC0479">
        <w:rPr>
          <w:rFonts w:cstheme="minorHAnsi"/>
          <w:sz w:val="24"/>
          <w:szCs w:val="24"/>
        </w:rPr>
        <w:t>summarize the study, discuss implications, and make recommendations for future research</w:t>
      </w:r>
      <w:r w:rsidR="00DC0479">
        <w:rPr>
          <w:rFonts w:cstheme="minorHAnsi"/>
          <w:sz w:val="24"/>
          <w:szCs w:val="24"/>
        </w:rPr>
        <w:t>.</w:t>
      </w:r>
    </w:p>
    <w:p w14:paraId="2BEB439C" w14:textId="0B499FC8" w:rsidR="0093100B" w:rsidRDefault="0093100B">
      <w:pPr>
        <w:rPr>
          <w:rFonts w:cstheme="minorHAnsi"/>
          <w:b/>
          <w:bCs/>
          <w:sz w:val="24"/>
          <w:szCs w:val="24"/>
        </w:rPr>
      </w:pPr>
    </w:p>
    <w:p w14:paraId="065EBC81" w14:textId="77777777" w:rsidR="00655000" w:rsidRDefault="00655000">
      <w:pPr>
        <w:rPr>
          <w:rFonts w:cstheme="minorHAnsi"/>
          <w:b/>
          <w:bCs/>
          <w:sz w:val="24"/>
          <w:szCs w:val="24"/>
        </w:rPr>
      </w:pPr>
      <w:r>
        <w:rPr>
          <w:rFonts w:cstheme="minorHAnsi"/>
          <w:b/>
          <w:bCs/>
          <w:sz w:val="24"/>
          <w:szCs w:val="24"/>
        </w:rPr>
        <w:br w:type="page"/>
      </w:r>
    </w:p>
    <w:p w14:paraId="1B4EB6D7" w14:textId="4F86EDD4" w:rsidR="004B74D0" w:rsidRPr="009513A7" w:rsidRDefault="00077CD5" w:rsidP="00250772">
      <w:pPr>
        <w:spacing w:after="0" w:line="480" w:lineRule="auto"/>
        <w:jc w:val="center"/>
        <w:rPr>
          <w:rFonts w:cstheme="minorHAnsi"/>
          <w:b/>
          <w:bCs/>
          <w:sz w:val="24"/>
          <w:szCs w:val="24"/>
        </w:rPr>
      </w:pPr>
      <w:r w:rsidRPr="009513A7">
        <w:rPr>
          <w:rFonts w:cstheme="minorHAnsi"/>
          <w:b/>
          <w:bCs/>
          <w:sz w:val="24"/>
          <w:szCs w:val="24"/>
        </w:rPr>
        <w:lastRenderedPageBreak/>
        <w:t>CHAPTER 2</w:t>
      </w:r>
    </w:p>
    <w:p w14:paraId="34931F75" w14:textId="0098FCD6" w:rsidR="00501548" w:rsidRPr="009513A7" w:rsidRDefault="00501548" w:rsidP="00250772">
      <w:pPr>
        <w:spacing w:after="0" w:line="480" w:lineRule="auto"/>
        <w:jc w:val="center"/>
        <w:rPr>
          <w:rFonts w:cstheme="minorHAnsi"/>
          <w:b/>
          <w:bCs/>
          <w:sz w:val="24"/>
          <w:szCs w:val="24"/>
        </w:rPr>
      </w:pPr>
      <w:r w:rsidRPr="009513A7">
        <w:rPr>
          <w:rFonts w:cstheme="minorHAnsi"/>
          <w:b/>
          <w:bCs/>
          <w:sz w:val="24"/>
          <w:szCs w:val="24"/>
        </w:rPr>
        <w:t>R</w:t>
      </w:r>
      <w:r w:rsidR="008856F9">
        <w:rPr>
          <w:rFonts w:cstheme="minorHAnsi"/>
          <w:b/>
          <w:bCs/>
          <w:sz w:val="24"/>
          <w:szCs w:val="24"/>
        </w:rPr>
        <w:t>EVIEW OF LITERATURE</w:t>
      </w:r>
    </w:p>
    <w:p w14:paraId="4CA377FE" w14:textId="4CD49A87" w:rsidR="00501548" w:rsidRPr="009513A7" w:rsidRDefault="00501548" w:rsidP="00501548">
      <w:pPr>
        <w:spacing w:after="0" w:line="480" w:lineRule="auto"/>
        <w:ind w:firstLine="720"/>
        <w:contextualSpacing/>
        <w:rPr>
          <w:rFonts w:cstheme="minorHAnsi"/>
          <w:bCs/>
          <w:iCs/>
          <w:sz w:val="24"/>
          <w:szCs w:val="24"/>
        </w:rPr>
      </w:pPr>
      <w:r w:rsidRPr="009513A7">
        <w:rPr>
          <w:rFonts w:cstheme="minorHAnsi"/>
          <w:bCs/>
          <w:iCs/>
          <w:sz w:val="24"/>
          <w:szCs w:val="24"/>
        </w:rPr>
        <w:t>The last three decades have seen an increase in active shooter incidents in educational settings, although the total number is relatively small</w:t>
      </w:r>
      <w:r w:rsidR="00A57AFA">
        <w:rPr>
          <w:rFonts w:cstheme="minorHAnsi"/>
          <w:bCs/>
          <w:iCs/>
          <w:sz w:val="24"/>
          <w:szCs w:val="24"/>
        </w:rPr>
        <w:t xml:space="preserve"> (</w:t>
      </w:r>
      <w:r w:rsidR="00E064D2">
        <w:rPr>
          <w:rFonts w:cstheme="minorHAnsi"/>
          <w:bCs/>
          <w:iCs/>
          <w:sz w:val="24"/>
          <w:szCs w:val="24"/>
        </w:rPr>
        <w:t xml:space="preserve">Federal Bureau of Investigation et al., 2022; </w:t>
      </w:r>
      <w:r w:rsidR="00EF53AA" w:rsidRPr="00361D80">
        <w:rPr>
          <w:rFonts w:cstheme="minorHAnsi"/>
          <w:bCs/>
          <w:sz w:val="24"/>
          <w:szCs w:val="24"/>
        </w:rPr>
        <w:t>Meloy &amp; Hoffmann, 2021</w:t>
      </w:r>
      <w:r w:rsidR="00A57AFA">
        <w:rPr>
          <w:rFonts w:cstheme="minorHAnsi"/>
          <w:bCs/>
          <w:iCs/>
          <w:sz w:val="24"/>
          <w:szCs w:val="24"/>
        </w:rPr>
        <w:t>)</w:t>
      </w:r>
      <w:r w:rsidRPr="009513A7">
        <w:rPr>
          <w:rFonts w:cstheme="minorHAnsi"/>
          <w:bCs/>
          <w:iCs/>
          <w:sz w:val="24"/>
          <w:szCs w:val="24"/>
        </w:rPr>
        <w:t xml:space="preserve">. </w:t>
      </w:r>
      <w:r w:rsidR="00E064D2">
        <w:rPr>
          <w:rFonts w:cstheme="minorHAnsi"/>
          <w:bCs/>
          <w:iCs/>
          <w:sz w:val="24"/>
          <w:szCs w:val="24"/>
        </w:rPr>
        <w:t>However</w:t>
      </w:r>
      <w:r w:rsidRPr="009513A7">
        <w:rPr>
          <w:rFonts w:cstheme="minorHAnsi"/>
          <w:bCs/>
          <w:iCs/>
          <w:sz w:val="24"/>
          <w:szCs w:val="24"/>
        </w:rPr>
        <w:t xml:space="preserve">, the attention on school shootings is greater than that of other types of school violence </w:t>
      </w:r>
      <w:r w:rsidR="003003A8">
        <w:rPr>
          <w:rFonts w:cstheme="minorHAnsi"/>
          <w:bCs/>
          <w:iCs/>
          <w:sz w:val="24"/>
          <w:szCs w:val="24"/>
        </w:rPr>
        <w:t xml:space="preserve">and yields </w:t>
      </w:r>
      <w:r w:rsidR="00DC0479">
        <w:rPr>
          <w:rFonts w:cstheme="minorHAnsi"/>
          <w:bCs/>
          <w:iCs/>
          <w:sz w:val="24"/>
          <w:szCs w:val="24"/>
        </w:rPr>
        <w:t xml:space="preserve">more </w:t>
      </w:r>
      <w:r w:rsidR="003003A8">
        <w:rPr>
          <w:rFonts w:cstheme="minorHAnsi"/>
          <w:bCs/>
          <w:iCs/>
          <w:sz w:val="24"/>
          <w:szCs w:val="24"/>
        </w:rPr>
        <w:t xml:space="preserve">challenges and criticisms </w:t>
      </w:r>
      <w:r w:rsidRPr="009513A7">
        <w:rPr>
          <w:rFonts w:cstheme="minorHAnsi"/>
          <w:bCs/>
          <w:iCs/>
          <w:sz w:val="24"/>
          <w:szCs w:val="24"/>
        </w:rPr>
        <w:t>(</w:t>
      </w:r>
      <w:r w:rsidR="00EF53AA" w:rsidRPr="00361D80">
        <w:rPr>
          <w:rFonts w:cstheme="minorHAnsi"/>
          <w:bCs/>
          <w:sz w:val="24"/>
          <w:szCs w:val="24"/>
        </w:rPr>
        <w:t>Meloy &amp; Hoffmann, 2021</w:t>
      </w:r>
      <w:r w:rsidR="00EF53AA">
        <w:rPr>
          <w:rFonts w:cstheme="minorHAnsi"/>
          <w:bCs/>
          <w:sz w:val="24"/>
          <w:szCs w:val="24"/>
        </w:rPr>
        <w:t xml:space="preserve">; </w:t>
      </w:r>
      <w:r w:rsidRPr="009513A7">
        <w:rPr>
          <w:rFonts w:cstheme="minorHAnsi"/>
          <w:bCs/>
          <w:iCs/>
          <w:sz w:val="24"/>
          <w:szCs w:val="24"/>
        </w:rPr>
        <w:t>Mushcert, 2007</w:t>
      </w:r>
      <w:r w:rsidR="00EF53AA">
        <w:rPr>
          <w:rFonts w:cstheme="minorHAnsi"/>
          <w:bCs/>
          <w:iCs/>
          <w:sz w:val="24"/>
          <w:szCs w:val="24"/>
        </w:rPr>
        <w:t xml:space="preserve">; </w:t>
      </w:r>
      <w:r w:rsidR="00E064D2">
        <w:rPr>
          <w:rFonts w:cstheme="minorHAnsi"/>
          <w:bCs/>
          <w:iCs/>
          <w:sz w:val="24"/>
          <w:szCs w:val="24"/>
        </w:rPr>
        <w:t>Reed, 2023</w:t>
      </w:r>
      <w:r w:rsidR="00EF53AA">
        <w:rPr>
          <w:rFonts w:cstheme="minorHAnsi"/>
          <w:bCs/>
          <w:iCs/>
          <w:sz w:val="24"/>
          <w:szCs w:val="24"/>
        </w:rPr>
        <w:t xml:space="preserve">). </w:t>
      </w:r>
      <w:r w:rsidRPr="009513A7">
        <w:rPr>
          <w:rFonts w:cstheme="minorHAnsi"/>
          <w:bCs/>
          <w:iCs/>
          <w:sz w:val="24"/>
          <w:szCs w:val="24"/>
        </w:rPr>
        <w:t xml:space="preserve">The campus environment varies by institution, but for many IHEs a “dense population, relatively low police presence, and open and welcoming nature” make them ripe for a targeted, violent attack (Sulkowski &amp; Lazarus, 2011, p. 338). Policies and practices </w:t>
      </w:r>
      <w:r w:rsidR="00EC0F4A">
        <w:rPr>
          <w:rFonts w:cstheme="minorHAnsi"/>
          <w:bCs/>
          <w:iCs/>
          <w:sz w:val="24"/>
          <w:szCs w:val="24"/>
        </w:rPr>
        <w:t>centered on</w:t>
      </w:r>
      <w:r w:rsidRPr="009513A7">
        <w:rPr>
          <w:rFonts w:cstheme="minorHAnsi"/>
          <w:bCs/>
          <w:iCs/>
          <w:sz w:val="24"/>
          <w:szCs w:val="24"/>
        </w:rPr>
        <w:t xml:space="preserve"> violence prevention </w:t>
      </w:r>
      <w:r w:rsidR="00EC0F4A">
        <w:rPr>
          <w:rFonts w:cstheme="minorHAnsi"/>
          <w:bCs/>
          <w:iCs/>
          <w:sz w:val="24"/>
          <w:szCs w:val="24"/>
        </w:rPr>
        <w:t>remain</w:t>
      </w:r>
      <w:r w:rsidRPr="009513A7">
        <w:rPr>
          <w:rFonts w:cstheme="minorHAnsi"/>
          <w:bCs/>
          <w:iCs/>
          <w:sz w:val="24"/>
          <w:szCs w:val="24"/>
        </w:rPr>
        <w:t xml:space="preserve"> issue</w:t>
      </w:r>
      <w:r w:rsidR="00EC0F4A">
        <w:rPr>
          <w:rFonts w:cstheme="minorHAnsi"/>
          <w:bCs/>
          <w:iCs/>
          <w:sz w:val="24"/>
          <w:szCs w:val="24"/>
        </w:rPr>
        <w:t>s</w:t>
      </w:r>
      <w:r w:rsidR="00A57AFA">
        <w:rPr>
          <w:rFonts w:cstheme="minorHAnsi"/>
          <w:bCs/>
          <w:iCs/>
          <w:sz w:val="24"/>
          <w:szCs w:val="24"/>
        </w:rPr>
        <w:t xml:space="preserve"> </w:t>
      </w:r>
      <w:r w:rsidR="00EF53AA">
        <w:rPr>
          <w:rFonts w:cstheme="minorHAnsi"/>
          <w:bCs/>
          <w:iCs/>
          <w:sz w:val="24"/>
          <w:szCs w:val="24"/>
        </w:rPr>
        <w:t>(Birnbaum, 2013</w:t>
      </w:r>
      <w:r w:rsidR="00DD7D17">
        <w:rPr>
          <w:rFonts w:cstheme="minorHAnsi"/>
          <w:bCs/>
          <w:iCs/>
          <w:sz w:val="24"/>
          <w:szCs w:val="24"/>
        </w:rPr>
        <w:t>; Cornell, 2020; Cornell et al., 2021</w:t>
      </w:r>
      <w:r w:rsidR="00A57AFA">
        <w:rPr>
          <w:rFonts w:cstheme="minorHAnsi"/>
          <w:bCs/>
          <w:iCs/>
          <w:sz w:val="24"/>
          <w:szCs w:val="24"/>
        </w:rPr>
        <w:t>)</w:t>
      </w:r>
      <w:r w:rsidRPr="009513A7">
        <w:rPr>
          <w:rFonts w:cstheme="minorHAnsi"/>
          <w:bCs/>
          <w:iCs/>
          <w:sz w:val="24"/>
          <w:szCs w:val="24"/>
        </w:rPr>
        <w:t>. While random attacks are rare, many act</w:t>
      </w:r>
      <w:r w:rsidR="00A57AFA">
        <w:rPr>
          <w:rFonts w:cstheme="minorHAnsi"/>
          <w:bCs/>
          <w:iCs/>
          <w:sz w:val="24"/>
          <w:szCs w:val="24"/>
        </w:rPr>
        <w:t>s</w:t>
      </w:r>
      <w:r w:rsidRPr="009513A7">
        <w:rPr>
          <w:rFonts w:cstheme="minorHAnsi"/>
          <w:bCs/>
          <w:iCs/>
          <w:sz w:val="24"/>
          <w:szCs w:val="24"/>
        </w:rPr>
        <w:t xml:space="preserve"> of violence in the classroom or workplace may be targeted due to one or </w:t>
      </w:r>
      <w:r w:rsidR="00EC0F4A">
        <w:rPr>
          <w:rFonts w:cstheme="minorHAnsi"/>
          <w:bCs/>
          <w:iCs/>
          <w:sz w:val="24"/>
          <w:szCs w:val="24"/>
        </w:rPr>
        <w:t xml:space="preserve">more </w:t>
      </w:r>
      <w:r w:rsidRPr="009513A7">
        <w:rPr>
          <w:rFonts w:cstheme="minorHAnsi"/>
          <w:bCs/>
          <w:iCs/>
          <w:sz w:val="24"/>
          <w:szCs w:val="24"/>
        </w:rPr>
        <w:t>motives such as revenge, power, loyalty, terror, or profit (</w:t>
      </w:r>
      <w:r w:rsidR="00136BFC">
        <w:rPr>
          <w:rFonts w:cstheme="minorHAnsi"/>
          <w:bCs/>
          <w:iCs/>
          <w:sz w:val="24"/>
          <w:szCs w:val="24"/>
        </w:rPr>
        <w:t xml:space="preserve">Federal Bureau of Investigation et al., 2022; </w:t>
      </w:r>
      <w:r w:rsidRPr="009513A7">
        <w:rPr>
          <w:rFonts w:cstheme="minorHAnsi"/>
          <w:bCs/>
          <w:iCs/>
          <w:sz w:val="24"/>
          <w:szCs w:val="24"/>
        </w:rPr>
        <w:t>Fox &amp; DeLateur, 2013</w:t>
      </w:r>
      <w:r w:rsidR="00136BFC">
        <w:rPr>
          <w:rFonts w:cstheme="minorHAnsi"/>
          <w:bCs/>
          <w:iCs/>
          <w:sz w:val="24"/>
          <w:szCs w:val="24"/>
        </w:rPr>
        <w:t>; Meloy &amp; Hoffmann, 2021</w:t>
      </w:r>
      <w:r w:rsidRPr="009513A7">
        <w:rPr>
          <w:rFonts w:cstheme="minorHAnsi"/>
          <w:bCs/>
          <w:iCs/>
          <w:sz w:val="24"/>
          <w:szCs w:val="24"/>
        </w:rPr>
        <w:t xml:space="preserve">). </w:t>
      </w:r>
    </w:p>
    <w:p w14:paraId="363F2E1B" w14:textId="3AB59BE3" w:rsidR="00501548" w:rsidRPr="009513A7" w:rsidRDefault="00501548" w:rsidP="00EF53AA">
      <w:pPr>
        <w:spacing w:after="0" w:line="480" w:lineRule="auto"/>
        <w:contextualSpacing/>
        <w:rPr>
          <w:rFonts w:cstheme="minorHAnsi"/>
          <w:sz w:val="24"/>
          <w:szCs w:val="24"/>
        </w:rPr>
      </w:pPr>
      <w:r w:rsidRPr="009513A7">
        <w:rPr>
          <w:rFonts w:cstheme="minorHAnsi"/>
          <w:bCs/>
          <w:iCs/>
          <w:sz w:val="24"/>
          <w:szCs w:val="24"/>
        </w:rPr>
        <w:tab/>
      </w:r>
      <w:r w:rsidR="00EC0F4A">
        <w:rPr>
          <w:rFonts w:cstheme="minorHAnsi"/>
          <w:bCs/>
          <w:iCs/>
          <w:sz w:val="24"/>
          <w:szCs w:val="24"/>
        </w:rPr>
        <w:t xml:space="preserve">One </w:t>
      </w:r>
      <w:r w:rsidRPr="009513A7">
        <w:rPr>
          <w:rFonts w:cstheme="minorHAnsi"/>
          <w:bCs/>
          <w:iCs/>
          <w:sz w:val="24"/>
          <w:szCs w:val="24"/>
        </w:rPr>
        <w:t>problem for IHEs continues to be the ability to identify potential violence, threats, or those on a pathway to violence (</w:t>
      </w:r>
      <w:r w:rsidR="00136BFC">
        <w:rPr>
          <w:rFonts w:cstheme="minorHAnsi"/>
          <w:bCs/>
          <w:iCs/>
          <w:sz w:val="24"/>
          <w:szCs w:val="24"/>
        </w:rPr>
        <w:t xml:space="preserve">Boyton, 2003; </w:t>
      </w:r>
      <w:r w:rsidRPr="009513A7">
        <w:rPr>
          <w:rFonts w:cstheme="minorHAnsi"/>
          <w:bCs/>
          <w:iCs/>
          <w:sz w:val="24"/>
          <w:szCs w:val="24"/>
        </w:rPr>
        <w:t>Deisinger et al., 2008</w:t>
      </w:r>
      <w:r w:rsidR="00EF53AA">
        <w:rPr>
          <w:rFonts w:cstheme="minorHAnsi"/>
          <w:bCs/>
          <w:iCs/>
          <w:sz w:val="24"/>
          <w:szCs w:val="24"/>
        </w:rPr>
        <w:t xml:space="preserve">; </w:t>
      </w:r>
      <w:r w:rsidR="00EF53AA" w:rsidRPr="00361D80">
        <w:rPr>
          <w:rFonts w:cstheme="minorHAnsi"/>
          <w:bCs/>
          <w:sz w:val="24"/>
          <w:szCs w:val="24"/>
        </w:rPr>
        <w:t>Meloy &amp; Hoffmann, 2021</w:t>
      </w:r>
      <w:r w:rsidRPr="009513A7">
        <w:rPr>
          <w:rFonts w:cstheme="minorHAnsi"/>
          <w:bCs/>
          <w:iCs/>
          <w:sz w:val="24"/>
          <w:szCs w:val="24"/>
        </w:rPr>
        <w:t>).</w:t>
      </w:r>
      <w:r w:rsidR="00A27A2E" w:rsidRPr="00A27A2E">
        <w:rPr>
          <w:rFonts w:cstheme="minorHAnsi"/>
          <w:sz w:val="24"/>
          <w:szCs w:val="24"/>
        </w:rPr>
        <w:t xml:space="preserve"> </w:t>
      </w:r>
      <w:r w:rsidR="00A27A2E" w:rsidRPr="009513A7">
        <w:rPr>
          <w:rFonts w:cstheme="minorHAnsi"/>
          <w:sz w:val="24"/>
          <w:szCs w:val="24"/>
        </w:rPr>
        <w:t>TA</w:t>
      </w:r>
      <w:r w:rsidR="00A27A2E">
        <w:rPr>
          <w:rFonts w:cstheme="minorHAnsi"/>
          <w:sz w:val="24"/>
          <w:szCs w:val="24"/>
        </w:rPr>
        <w:t>Ts</w:t>
      </w:r>
      <w:r w:rsidR="00A27A2E" w:rsidRPr="009513A7">
        <w:rPr>
          <w:rFonts w:cstheme="minorHAnsi"/>
          <w:bCs/>
          <w:iCs/>
          <w:sz w:val="24"/>
          <w:szCs w:val="24"/>
        </w:rPr>
        <w:t xml:space="preserve"> </w:t>
      </w:r>
      <w:r w:rsidRPr="009513A7">
        <w:rPr>
          <w:rFonts w:cstheme="minorHAnsi"/>
          <w:bCs/>
          <w:iCs/>
          <w:sz w:val="24"/>
          <w:szCs w:val="24"/>
        </w:rPr>
        <w:t>are a best practice in threat prevention and assessment</w:t>
      </w:r>
      <w:r w:rsidR="00A57AFA">
        <w:rPr>
          <w:rFonts w:cstheme="minorHAnsi"/>
          <w:bCs/>
          <w:iCs/>
          <w:sz w:val="24"/>
          <w:szCs w:val="24"/>
        </w:rPr>
        <w:t xml:space="preserve"> </w:t>
      </w:r>
      <w:r w:rsidR="00EF53AA">
        <w:rPr>
          <w:rFonts w:cstheme="minorHAnsi"/>
          <w:bCs/>
          <w:iCs/>
          <w:sz w:val="24"/>
          <w:szCs w:val="24"/>
        </w:rPr>
        <w:t>(</w:t>
      </w:r>
      <w:r w:rsidR="00DD7D17">
        <w:rPr>
          <w:rFonts w:cstheme="minorHAnsi"/>
          <w:bCs/>
          <w:iCs/>
          <w:sz w:val="24"/>
          <w:szCs w:val="24"/>
        </w:rPr>
        <w:t xml:space="preserve">Cornell et al., 2021; </w:t>
      </w:r>
      <w:r w:rsidR="00EF53AA" w:rsidRPr="00361D80">
        <w:rPr>
          <w:rFonts w:cstheme="minorHAnsi"/>
          <w:bCs/>
          <w:sz w:val="24"/>
          <w:szCs w:val="24"/>
        </w:rPr>
        <w:t>Meloy &amp; Hoffmann, 2021</w:t>
      </w:r>
      <w:r w:rsidR="00EF53AA">
        <w:rPr>
          <w:rFonts w:cstheme="minorHAnsi"/>
          <w:bCs/>
          <w:sz w:val="24"/>
          <w:szCs w:val="24"/>
        </w:rPr>
        <w:t>)</w:t>
      </w:r>
      <w:r w:rsidRPr="009513A7">
        <w:rPr>
          <w:rFonts w:cstheme="minorHAnsi"/>
          <w:bCs/>
          <w:iCs/>
          <w:sz w:val="24"/>
          <w:szCs w:val="24"/>
        </w:rPr>
        <w:t xml:space="preserve">. One </w:t>
      </w:r>
      <w:r w:rsidR="003003A8">
        <w:rPr>
          <w:rFonts w:cstheme="minorHAnsi"/>
          <w:bCs/>
          <w:iCs/>
          <w:sz w:val="24"/>
          <w:szCs w:val="24"/>
        </w:rPr>
        <w:t>challenge</w:t>
      </w:r>
      <w:r w:rsidR="00EC0F4A">
        <w:rPr>
          <w:rFonts w:cstheme="minorHAnsi"/>
          <w:bCs/>
          <w:iCs/>
          <w:sz w:val="24"/>
          <w:szCs w:val="24"/>
        </w:rPr>
        <w:t xml:space="preserve"> for</w:t>
      </w:r>
      <w:r w:rsidRPr="009513A7">
        <w:rPr>
          <w:rFonts w:cstheme="minorHAnsi"/>
          <w:bCs/>
          <w:iCs/>
          <w:sz w:val="24"/>
          <w:szCs w:val="24"/>
        </w:rPr>
        <w:t xml:space="preserve"> </w:t>
      </w:r>
      <w:r w:rsidR="00A27A2E" w:rsidRPr="009513A7">
        <w:rPr>
          <w:rFonts w:cstheme="minorHAnsi"/>
          <w:sz w:val="24"/>
          <w:szCs w:val="24"/>
        </w:rPr>
        <w:t>TA</w:t>
      </w:r>
      <w:r w:rsidR="00A27A2E">
        <w:rPr>
          <w:rFonts w:cstheme="minorHAnsi"/>
          <w:sz w:val="24"/>
          <w:szCs w:val="24"/>
        </w:rPr>
        <w:t>Ts</w:t>
      </w:r>
      <w:r w:rsidR="00A27A2E" w:rsidRPr="009513A7">
        <w:rPr>
          <w:rFonts w:cstheme="minorHAnsi"/>
          <w:bCs/>
          <w:iCs/>
          <w:sz w:val="24"/>
          <w:szCs w:val="24"/>
        </w:rPr>
        <w:t xml:space="preserve"> </w:t>
      </w:r>
      <w:r w:rsidR="00EC0F4A">
        <w:rPr>
          <w:rFonts w:cstheme="minorHAnsi"/>
          <w:bCs/>
          <w:iCs/>
          <w:sz w:val="24"/>
          <w:szCs w:val="24"/>
        </w:rPr>
        <w:t>is their reliance</w:t>
      </w:r>
      <w:r w:rsidRPr="009513A7">
        <w:rPr>
          <w:rFonts w:cstheme="minorHAnsi"/>
          <w:bCs/>
          <w:iCs/>
          <w:sz w:val="24"/>
          <w:szCs w:val="24"/>
        </w:rPr>
        <w:t xml:space="preserve"> on faculty, staff, students, and the community at large to report concerning behavior</w:t>
      </w:r>
      <w:r w:rsidR="00DD7D17">
        <w:rPr>
          <w:rFonts w:cstheme="minorHAnsi"/>
          <w:bCs/>
          <w:iCs/>
          <w:sz w:val="24"/>
          <w:szCs w:val="24"/>
        </w:rPr>
        <w:t xml:space="preserve"> (Cornell, et al., 2021)</w:t>
      </w:r>
      <w:r w:rsidRPr="009513A7">
        <w:rPr>
          <w:rFonts w:cstheme="minorHAnsi"/>
          <w:bCs/>
          <w:iCs/>
          <w:sz w:val="24"/>
          <w:szCs w:val="24"/>
        </w:rPr>
        <w:t xml:space="preserve">. </w:t>
      </w:r>
      <w:r w:rsidR="00081715">
        <w:rPr>
          <w:rFonts w:cstheme="minorHAnsi"/>
          <w:bCs/>
          <w:iCs/>
          <w:sz w:val="24"/>
          <w:szCs w:val="24"/>
        </w:rPr>
        <w:t xml:space="preserve">Reports on previous gun violence incidents </w:t>
      </w:r>
      <w:r w:rsidRPr="009513A7">
        <w:rPr>
          <w:rFonts w:cstheme="minorHAnsi"/>
          <w:bCs/>
          <w:iCs/>
          <w:sz w:val="24"/>
          <w:szCs w:val="24"/>
        </w:rPr>
        <w:t>have shown that students speak up, but not always in time (</w:t>
      </w:r>
      <w:r w:rsidRPr="009513A7">
        <w:rPr>
          <w:rFonts w:cstheme="minorHAnsi"/>
          <w:sz w:val="24"/>
          <w:szCs w:val="24"/>
          <w:shd w:val="clear" w:color="auto" w:fill="FFFFFF"/>
        </w:rPr>
        <w:t xml:space="preserve">Northern Illinois Review Panel, 2008; </w:t>
      </w:r>
      <w:r w:rsidRPr="009513A7">
        <w:rPr>
          <w:rFonts w:cstheme="minorHAnsi"/>
          <w:sz w:val="24"/>
          <w:szCs w:val="24"/>
        </w:rPr>
        <w:t xml:space="preserve">Virginia Tech Review Panel, 2007). </w:t>
      </w:r>
      <w:r w:rsidRPr="009513A7">
        <w:rPr>
          <w:rFonts w:cstheme="minorHAnsi"/>
          <w:bCs/>
          <w:iCs/>
          <w:sz w:val="24"/>
          <w:szCs w:val="24"/>
        </w:rPr>
        <w:t xml:space="preserve">In addition, employees may report concerns about others, but in some cases, there may be fear associated with raising </w:t>
      </w:r>
      <w:r w:rsidRPr="009513A7">
        <w:rPr>
          <w:rFonts w:cstheme="minorHAnsi"/>
          <w:bCs/>
          <w:iCs/>
          <w:sz w:val="24"/>
          <w:szCs w:val="24"/>
        </w:rPr>
        <w:lastRenderedPageBreak/>
        <w:t xml:space="preserve">concerns to </w:t>
      </w:r>
      <w:r w:rsidR="00EC0F4A">
        <w:rPr>
          <w:rFonts w:cstheme="minorHAnsi"/>
          <w:bCs/>
          <w:iCs/>
          <w:sz w:val="24"/>
          <w:szCs w:val="24"/>
        </w:rPr>
        <w:t xml:space="preserve">the </w:t>
      </w:r>
      <w:r w:rsidRPr="009513A7">
        <w:rPr>
          <w:rFonts w:cstheme="minorHAnsi"/>
          <w:bCs/>
          <w:iCs/>
          <w:sz w:val="24"/>
          <w:szCs w:val="24"/>
        </w:rPr>
        <w:t xml:space="preserve">administration or others (Sokolow et al., 2014). The work of gathering and responding to information in the form of threat assessment and case management can be </w:t>
      </w:r>
      <w:r w:rsidRPr="00EF53AA">
        <w:rPr>
          <w:rFonts w:cstheme="minorHAnsi"/>
          <w:bCs/>
          <w:iCs/>
          <w:sz w:val="24"/>
          <w:szCs w:val="24"/>
        </w:rPr>
        <w:t>daunting</w:t>
      </w:r>
      <w:r w:rsidR="00A57AFA" w:rsidRPr="00EF53AA">
        <w:rPr>
          <w:rFonts w:cstheme="minorHAnsi"/>
          <w:bCs/>
          <w:iCs/>
          <w:sz w:val="24"/>
          <w:szCs w:val="24"/>
        </w:rPr>
        <w:t xml:space="preserve"> </w:t>
      </w:r>
      <w:r w:rsidR="00EF53AA" w:rsidRPr="00EF53AA">
        <w:rPr>
          <w:rFonts w:cstheme="minorHAnsi"/>
          <w:bCs/>
          <w:iCs/>
          <w:sz w:val="24"/>
          <w:szCs w:val="24"/>
        </w:rPr>
        <w:t>(</w:t>
      </w:r>
      <w:r w:rsidR="00EF53AA" w:rsidRPr="00361D80">
        <w:rPr>
          <w:rFonts w:cstheme="minorHAnsi"/>
          <w:bCs/>
          <w:sz w:val="24"/>
          <w:szCs w:val="24"/>
        </w:rPr>
        <w:t>Meloy &amp; Hoffmann, 2021</w:t>
      </w:r>
      <w:r w:rsidR="00EF53AA">
        <w:rPr>
          <w:rFonts w:cstheme="minorHAnsi"/>
          <w:bCs/>
          <w:sz w:val="24"/>
          <w:szCs w:val="24"/>
        </w:rPr>
        <w:t>)</w:t>
      </w:r>
      <w:r w:rsidRPr="009513A7">
        <w:rPr>
          <w:rFonts w:cstheme="minorHAnsi"/>
          <w:bCs/>
          <w:iCs/>
          <w:sz w:val="24"/>
          <w:szCs w:val="24"/>
        </w:rPr>
        <w:t xml:space="preserve">. Those serving on </w:t>
      </w:r>
      <w:r w:rsidR="00A27A2E" w:rsidRPr="009513A7">
        <w:rPr>
          <w:rFonts w:cstheme="minorHAnsi"/>
          <w:sz w:val="24"/>
          <w:szCs w:val="24"/>
        </w:rPr>
        <w:t>TA</w:t>
      </w:r>
      <w:r w:rsidR="00A27A2E">
        <w:rPr>
          <w:rFonts w:cstheme="minorHAnsi"/>
          <w:sz w:val="24"/>
          <w:szCs w:val="24"/>
        </w:rPr>
        <w:t>Ts</w:t>
      </w:r>
      <w:r w:rsidR="00A27A2E" w:rsidRPr="009513A7">
        <w:rPr>
          <w:rFonts w:cstheme="minorHAnsi"/>
          <w:bCs/>
          <w:iCs/>
          <w:sz w:val="24"/>
          <w:szCs w:val="24"/>
        </w:rPr>
        <w:t xml:space="preserve"> </w:t>
      </w:r>
      <w:r w:rsidRPr="009513A7">
        <w:rPr>
          <w:rFonts w:cstheme="minorHAnsi"/>
          <w:bCs/>
          <w:iCs/>
          <w:sz w:val="24"/>
          <w:szCs w:val="24"/>
        </w:rPr>
        <w:t>are often doing so as a small part of their full-time job, although some IHEs hire staff to conduct threat assessment and case management full-time (</w:t>
      </w:r>
      <w:r w:rsidR="00DD7D17">
        <w:rPr>
          <w:rFonts w:cstheme="minorHAnsi"/>
          <w:bCs/>
          <w:iCs/>
          <w:sz w:val="24"/>
          <w:szCs w:val="24"/>
        </w:rPr>
        <w:t xml:space="preserve">Cornell et al., 2021; Meloy &amp; Hoffman, 2021; </w:t>
      </w:r>
      <w:r w:rsidRPr="009513A7">
        <w:rPr>
          <w:rFonts w:cstheme="minorHAnsi"/>
          <w:bCs/>
          <w:iCs/>
          <w:sz w:val="24"/>
          <w:szCs w:val="24"/>
        </w:rPr>
        <w:t xml:space="preserve">Schiemann &amp; Van Brunt, 2018; Sokolow et al., 2014). </w:t>
      </w:r>
      <w:r w:rsidRPr="009513A7">
        <w:rPr>
          <w:rFonts w:cstheme="minorHAnsi"/>
          <w:sz w:val="24"/>
          <w:szCs w:val="24"/>
        </w:rPr>
        <w:t>With so much autonomy to set guidelines for threat assessment in higher education, having an engaged team and effective protocol is paramount</w:t>
      </w:r>
      <w:r w:rsidR="00EF53AA">
        <w:rPr>
          <w:rFonts w:cstheme="minorHAnsi"/>
          <w:bCs/>
          <w:iCs/>
          <w:sz w:val="24"/>
          <w:szCs w:val="24"/>
        </w:rPr>
        <w:t xml:space="preserve"> (</w:t>
      </w:r>
      <w:r w:rsidR="00DD7D17">
        <w:rPr>
          <w:rFonts w:cstheme="minorHAnsi"/>
          <w:bCs/>
          <w:iCs/>
          <w:sz w:val="24"/>
          <w:szCs w:val="24"/>
        </w:rPr>
        <w:t xml:space="preserve">Deisinger et al., 2008; </w:t>
      </w:r>
      <w:r w:rsidR="00EF53AA" w:rsidRPr="00361D80">
        <w:rPr>
          <w:rFonts w:cstheme="minorHAnsi"/>
          <w:bCs/>
          <w:sz w:val="24"/>
          <w:szCs w:val="24"/>
        </w:rPr>
        <w:t>Meloy &amp; Hoffmann, 2021</w:t>
      </w:r>
      <w:r w:rsidR="00EF53AA">
        <w:rPr>
          <w:rFonts w:cstheme="minorHAnsi"/>
          <w:bCs/>
          <w:sz w:val="24"/>
          <w:szCs w:val="24"/>
        </w:rPr>
        <w:t>)</w:t>
      </w:r>
      <w:r w:rsidRPr="009513A7">
        <w:rPr>
          <w:rFonts w:cstheme="minorHAnsi"/>
          <w:sz w:val="24"/>
          <w:szCs w:val="24"/>
        </w:rPr>
        <w:t xml:space="preserve">. </w:t>
      </w:r>
      <w:r w:rsidR="00746E9F" w:rsidRPr="00EC0F4A">
        <w:rPr>
          <w:rFonts w:cstheme="minorHAnsi"/>
          <w:sz w:val="24"/>
          <w:szCs w:val="24"/>
        </w:rPr>
        <w:t xml:space="preserve">In this chapter, I </w:t>
      </w:r>
      <w:r w:rsidR="00746E9F" w:rsidRPr="009513A7">
        <w:rPr>
          <w:rFonts w:cstheme="minorHAnsi"/>
          <w:sz w:val="24"/>
          <w:szCs w:val="24"/>
        </w:rPr>
        <w:t>provide an in-depth review of the literature on threat assessment</w:t>
      </w:r>
      <w:r w:rsidR="002D5C7E">
        <w:rPr>
          <w:rFonts w:cstheme="minorHAnsi"/>
          <w:sz w:val="24"/>
          <w:szCs w:val="24"/>
        </w:rPr>
        <w:t>. Topics</w:t>
      </w:r>
      <w:r w:rsidR="00746E9F" w:rsidRPr="009513A7">
        <w:rPr>
          <w:rFonts w:cstheme="minorHAnsi"/>
          <w:sz w:val="24"/>
          <w:szCs w:val="24"/>
        </w:rPr>
        <w:t xml:space="preserve"> </w:t>
      </w:r>
      <w:r w:rsidR="00EC0F4A">
        <w:rPr>
          <w:rFonts w:cstheme="minorHAnsi"/>
          <w:sz w:val="24"/>
          <w:szCs w:val="24"/>
        </w:rPr>
        <w:t xml:space="preserve">reviewed </w:t>
      </w:r>
      <w:r w:rsidR="00746E9F" w:rsidRPr="009513A7">
        <w:rPr>
          <w:rFonts w:cstheme="minorHAnsi"/>
          <w:sz w:val="24"/>
          <w:szCs w:val="24"/>
        </w:rPr>
        <w:t xml:space="preserve">include </w:t>
      </w:r>
      <w:r w:rsidR="00CE4E71">
        <w:rPr>
          <w:rFonts w:cstheme="minorHAnsi"/>
          <w:sz w:val="24"/>
          <w:szCs w:val="24"/>
        </w:rPr>
        <w:t xml:space="preserve">guns on campus, </w:t>
      </w:r>
      <w:r w:rsidR="00746E9F" w:rsidRPr="009513A7">
        <w:rPr>
          <w:rFonts w:cstheme="minorHAnsi"/>
          <w:sz w:val="24"/>
          <w:szCs w:val="24"/>
        </w:rPr>
        <w:t xml:space="preserve">school violence, </w:t>
      </w:r>
      <w:r w:rsidR="00EC0F4A">
        <w:rPr>
          <w:rFonts w:cstheme="minorHAnsi"/>
          <w:sz w:val="24"/>
          <w:szCs w:val="24"/>
        </w:rPr>
        <w:t xml:space="preserve">gun </w:t>
      </w:r>
      <w:r w:rsidR="00746E9F" w:rsidRPr="009513A7">
        <w:rPr>
          <w:rFonts w:cstheme="minorHAnsi"/>
          <w:sz w:val="24"/>
          <w:szCs w:val="24"/>
        </w:rPr>
        <w:t>legislati</w:t>
      </w:r>
      <w:r w:rsidR="00EC0F4A">
        <w:rPr>
          <w:rFonts w:cstheme="minorHAnsi"/>
          <w:sz w:val="24"/>
          <w:szCs w:val="24"/>
        </w:rPr>
        <w:t>on</w:t>
      </w:r>
      <w:r w:rsidR="00746E9F" w:rsidRPr="009513A7">
        <w:rPr>
          <w:rFonts w:cstheme="minorHAnsi"/>
          <w:sz w:val="24"/>
          <w:szCs w:val="24"/>
        </w:rPr>
        <w:t>, a history of threat assessment, and contemporary threat assessment models</w:t>
      </w:r>
      <w:r w:rsidR="00746E9F">
        <w:rPr>
          <w:rFonts w:cstheme="minorHAnsi"/>
          <w:sz w:val="24"/>
          <w:szCs w:val="24"/>
        </w:rPr>
        <w:t>.</w:t>
      </w:r>
    </w:p>
    <w:p w14:paraId="6C9A2EF0" w14:textId="0585090D" w:rsidR="00501548" w:rsidRPr="009513A7" w:rsidRDefault="0068421D" w:rsidP="00501548">
      <w:pPr>
        <w:spacing w:after="0" w:line="240" w:lineRule="auto"/>
        <w:contextualSpacing/>
        <w:jc w:val="center"/>
        <w:rPr>
          <w:rFonts w:cstheme="minorHAnsi"/>
          <w:b/>
          <w:iCs/>
          <w:sz w:val="24"/>
          <w:szCs w:val="24"/>
        </w:rPr>
      </w:pPr>
      <w:r w:rsidRPr="009513A7">
        <w:rPr>
          <w:rFonts w:cstheme="minorHAnsi"/>
          <w:b/>
          <w:iCs/>
          <w:sz w:val="24"/>
          <w:szCs w:val="24"/>
        </w:rPr>
        <w:t>Guns</w:t>
      </w:r>
      <w:r w:rsidR="00501548" w:rsidRPr="009513A7">
        <w:rPr>
          <w:rFonts w:cstheme="minorHAnsi"/>
          <w:b/>
          <w:iCs/>
          <w:sz w:val="24"/>
          <w:szCs w:val="24"/>
        </w:rPr>
        <w:t xml:space="preserve"> on Campus</w:t>
      </w:r>
    </w:p>
    <w:p w14:paraId="7207AAD7" w14:textId="77777777" w:rsidR="00501548" w:rsidRPr="009513A7" w:rsidRDefault="00501548" w:rsidP="00501548">
      <w:pPr>
        <w:spacing w:after="0" w:line="240" w:lineRule="auto"/>
        <w:contextualSpacing/>
        <w:jc w:val="center"/>
        <w:rPr>
          <w:rFonts w:cstheme="minorHAnsi"/>
          <w:b/>
          <w:iCs/>
          <w:sz w:val="24"/>
          <w:szCs w:val="24"/>
        </w:rPr>
      </w:pPr>
    </w:p>
    <w:p w14:paraId="3523540E" w14:textId="562CA1BC" w:rsidR="00501548" w:rsidRPr="009513A7" w:rsidRDefault="00501548" w:rsidP="001323C9">
      <w:pPr>
        <w:spacing w:after="0" w:line="480" w:lineRule="auto"/>
        <w:ind w:firstLine="720"/>
        <w:rPr>
          <w:rFonts w:cstheme="minorHAnsi"/>
          <w:sz w:val="24"/>
          <w:szCs w:val="24"/>
        </w:rPr>
      </w:pPr>
      <w:r w:rsidRPr="009513A7">
        <w:rPr>
          <w:rFonts w:cstheme="minorHAnsi"/>
          <w:sz w:val="24"/>
          <w:szCs w:val="24"/>
        </w:rPr>
        <w:t xml:space="preserve">The continuing debate on gun control surges with each act of violence in the U.S. </w:t>
      </w:r>
      <w:r w:rsidR="00EF53AA">
        <w:rPr>
          <w:rFonts w:cstheme="minorHAnsi"/>
          <w:bCs/>
          <w:iCs/>
          <w:sz w:val="24"/>
          <w:szCs w:val="24"/>
        </w:rPr>
        <w:t>(Birnbaum, 2013</w:t>
      </w:r>
      <w:r w:rsidR="00CE4E71">
        <w:rPr>
          <w:rFonts w:cstheme="minorHAnsi"/>
          <w:bCs/>
          <w:iCs/>
          <w:sz w:val="24"/>
          <w:szCs w:val="24"/>
        </w:rPr>
        <w:t>; Federal Bureau of Investigation et al., 2022</w:t>
      </w:r>
      <w:r w:rsidR="00DD7D17">
        <w:rPr>
          <w:rFonts w:cstheme="minorHAnsi"/>
          <w:bCs/>
          <w:iCs/>
          <w:sz w:val="24"/>
          <w:szCs w:val="24"/>
        </w:rPr>
        <w:t xml:space="preserve">; </w:t>
      </w:r>
      <w:r w:rsidR="00DD7D17">
        <w:rPr>
          <w:rFonts w:cstheme="minorHAnsi"/>
          <w:sz w:val="24"/>
          <w:szCs w:val="24"/>
        </w:rPr>
        <w:t>Olzak, 2023</w:t>
      </w:r>
      <w:r w:rsidR="00EF53AA">
        <w:rPr>
          <w:rFonts w:cstheme="minorHAnsi"/>
          <w:bCs/>
          <w:iCs/>
          <w:sz w:val="24"/>
          <w:szCs w:val="24"/>
        </w:rPr>
        <w:t>).</w:t>
      </w:r>
      <w:r w:rsidR="00A57AFA" w:rsidRPr="009513A7">
        <w:rPr>
          <w:rFonts w:cstheme="minorHAnsi"/>
          <w:sz w:val="24"/>
          <w:szCs w:val="24"/>
        </w:rPr>
        <w:t xml:space="preserve"> </w:t>
      </w:r>
      <w:r w:rsidRPr="009513A7">
        <w:rPr>
          <w:rFonts w:cstheme="minorHAnsi"/>
          <w:sz w:val="24"/>
          <w:szCs w:val="24"/>
        </w:rPr>
        <w:t>Incidents on</w:t>
      </w:r>
      <w:r w:rsidR="00EC0F4A">
        <w:rPr>
          <w:rFonts w:cstheme="minorHAnsi"/>
          <w:sz w:val="24"/>
          <w:szCs w:val="24"/>
        </w:rPr>
        <w:t xml:space="preserve"> </w:t>
      </w:r>
      <w:r w:rsidRPr="009513A7">
        <w:rPr>
          <w:rFonts w:cstheme="minorHAnsi"/>
          <w:sz w:val="24"/>
          <w:szCs w:val="24"/>
        </w:rPr>
        <w:t>college campus</w:t>
      </w:r>
      <w:r w:rsidR="00EC0F4A">
        <w:rPr>
          <w:rFonts w:cstheme="minorHAnsi"/>
          <w:sz w:val="24"/>
          <w:szCs w:val="24"/>
        </w:rPr>
        <w:t>es</w:t>
      </w:r>
      <w:r w:rsidRPr="009513A7">
        <w:rPr>
          <w:rFonts w:cstheme="minorHAnsi"/>
          <w:sz w:val="24"/>
          <w:szCs w:val="24"/>
        </w:rPr>
        <w:t xml:space="preserve"> can escalate fear and safety concerns of faculty, staff, students, parents, and even surrounding </w:t>
      </w:r>
      <w:r w:rsidR="00EC0F4A">
        <w:rPr>
          <w:rFonts w:cstheme="minorHAnsi"/>
          <w:sz w:val="24"/>
          <w:szCs w:val="24"/>
        </w:rPr>
        <w:t xml:space="preserve">local </w:t>
      </w:r>
      <w:r w:rsidRPr="009513A7">
        <w:rPr>
          <w:rFonts w:cstheme="minorHAnsi"/>
          <w:sz w:val="24"/>
          <w:szCs w:val="24"/>
        </w:rPr>
        <w:t>communities (Birnbaum, 2013; Paterson, 2020). Institutional response to an actual event or a mere growing concern is critical to the success and well-being of IHEs</w:t>
      </w:r>
      <w:r w:rsidR="00DD7D17">
        <w:rPr>
          <w:rFonts w:cstheme="minorHAnsi"/>
          <w:sz w:val="24"/>
          <w:szCs w:val="24"/>
        </w:rPr>
        <w:t xml:space="preserve"> (Cornell et al., 2021)</w:t>
      </w:r>
      <w:r w:rsidRPr="009513A7">
        <w:rPr>
          <w:rFonts w:cstheme="minorHAnsi"/>
          <w:sz w:val="24"/>
          <w:szCs w:val="24"/>
        </w:rPr>
        <w:t>.</w:t>
      </w:r>
      <w:r w:rsidR="00A57AFA">
        <w:rPr>
          <w:rFonts w:cstheme="minorHAnsi"/>
          <w:sz w:val="24"/>
          <w:szCs w:val="24"/>
        </w:rPr>
        <w:t xml:space="preserve"> </w:t>
      </w:r>
      <w:r w:rsidRPr="009513A7">
        <w:rPr>
          <w:rFonts w:cstheme="minorHAnsi"/>
          <w:sz w:val="24"/>
          <w:szCs w:val="24"/>
        </w:rPr>
        <w:t>There are those who argue more guns will enhance safety while others implore less guns to be the safest solution</w:t>
      </w:r>
      <w:r w:rsidR="00CE4E71">
        <w:rPr>
          <w:rFonts w:cstheme="minorHAnsi"/>
          <w:sz w:val="24"/>
          <w:szCs w:val="24"/>
        </w:rPr>
        <w:t xml:space="preserve"> (</w:t>
      </w:r>
      <w:r w:rsidR="00DD7D17">
        <w:rPr>
          <w:rFonts w:cstheme="minorHAnsi"/>
          <w:sz w:val="24"/>
          <w:szCs w:val="24"/>
        </w:rPr>
        <w:t xml:space="preserve">Birnbaum, 2013; Borum et al., 2010; </w:t>
      </w:r>
      <w:r w:rsidR="00081715">
        <w:rPr>
          <w:rFonts w:cstheme="minorHAnsi"/>
          <w:bCs/>
          <w:iCs/>
          <w:sz w:val="24"/>
          <w:szCs w:val="24"/>
        </w:rPr>
        <w:t>Federal Bureau of Investigation et al., 2022;</w:t>
      </w:r>
      <w:r w:rsidR="00DD7D17">
        <w:rPr>
          <w:rFonts w:cstheme="minorHAnsi"/>
          <w:bCs/>
          <w:iCs/>
          <w:sz w:val="24"/>
          <w:szCs w:val="24"/>
        </w:rPr>
        <w:t xml:space="preserve"> </w:t>
      </w:r>
      <w:r w:rsidR="00DD7D17">
        <w:rPr>
          <w:rFonts w:cstheme="minorHAnsi"/>
          <w:sz w:val="24"/>
          <w:szCs w:val="24"/>
        </w:rPr>
        <w:t>Olzak, 2023</w:t>
      </w:r>
      <w:r w:rsidR="00CE4E71">
        <w:rPr>
          <w:rFonts w:cstheme="minorHAnsi"/>
          <w:sz w:val="24"/>
          <w:szCs w:val="24"/>
        </w:rPr>
        <w:t>)</w:t>
      </w:r>
      <w:r w:rsidR="00EF53AA">
        <w:rPr>
          <w:rFonts w:cstheme="minorHAnsi"/>
          <w:bCs/>
          <w:iCs/>
          <w:sz w:val="24"/>
          <w:szCs w:val="24"/>
        </w:rPr>
        <w:t>.</w:t>
      </w:r>
      <w:r w:rsidRPr="009513A7">
        <w:rPr>
          <w:rFonts w:cstheme="minorHAnsi"/>
          <w:sz w:val="24"/>
          <w:szCs w:val="24"/>
        </w:rPr>
        <w:t xml:space="preserve"> </w:t>
      </w:r>
      <w:r w:rsidR="00E15069">
        <w:rPr>
          <w:rFonts w:cstheme="minorHAnsi"/>
          <w:sz w:val="24"/>
          <w:szCs w:val="24"/>
        </w:rPr>
        <w:t>D</w:t>
      </w:r>
      <w:r w:rsidRPr="009513A7">
        <w:rPr>
          <w:rFonts w:cstheme="minorHAnsi"/>
          <w:sz w:val="24"/>
          <w:szCs w:val="24"/>
        </w:rPr>
        <w:t>ata on the presence or absence of guns does not alleviate the conflict between the two groups (Birnbaum, 2013</w:t>
      </w:r>
      <w:r w:rsidR="00E15069">
        <w:rPr>
          <w:rFonts w:cstheme="minorHAnsi"/>
          <w:sz w:val="24"/>
          <w:szCs w:val="24"/>
        </w:rPr>
        <w:t>; Education Commission for the State, 2022</w:t>
      </w:r>
      <w:r w:rsidR="00DD7D17">
        <w:rPr>
          <w:rFonts w:cstheme="minorHAnsi"/>
          <w:sz w:val="24"/>
          <w:szCs w:val="24"/>
        </w:rPr>
        <w:t>; Olzak, 2023</w:t>
      </w:r>
      <w:r w:rsidRPr="009513A7">
        <w:rPr>
          <w:rFonts w:cstheme="minorHAnsi"/>
          <w:sz w:val="24"/>
          <w:szCs w:val="24"/>
        </w:rPr>
        <w:t>).</w:t>
      </w:r>
      <w:r w:rsidR="00CE4E71">
        <w:rPr>
          <w:rFonts w:cstheme="minorHAnsi"/>
          <w:sz w:val="24"/>
          <w:szCs w:val="24"/>
        </w:rPr>
        <w:t xml:space="preserve"> Guns on campus is not</w:t>
      </w:r>
      <w:r w:rsidR="00A717F6">
        <w:rPr>
          <w:rFonts w:cstheme="minorHAnsi"/>
          <w:sz w:val="24"/>
          <w:szCs w:val="24"/>
        </w:rPr>
        <w:t xml:space="preserve"> a</w:t>
      </w:r>
      <w:r w:rsidR="00CE4E71">
        <w:rPr>
          <w:rFonts w:cstheme="minorHAnsi"/>
          <w:sz w:val="24"/>
          <w:szCs w:val="24"/>
        </w:rPr>
        <w:t xml:space="preserve"> new </w:t>
      </w:r>
      <w:r w:rsidR="00A717F6">
        <w:rPr>
          <w:rFonts w:cstheme="minorHAnsi"/>
          <w:sz w:val="24"/>
          <w:szCs w:val="24"/>
        </w:rPr>
        <w:t xml:space="preserve">issue </w:t>
      </w:r>
      <w:r w:rsidR="00CE4E71">
        <w:rPr>
          <w:rFonts w:cstheme="minorHAnsi"/>
          <w:sz w:val="24"/>
          <w:szCs w:val="24"/>
        </w:rPr>
        <w:t>for IHEs</w:t>
      </w:r>
      <w:r w:rsidR="00DD7D17">
        <w:rPr>
          <w:rFonts w:cstheme="minorHAnsi"/>
          <w:sz w:val="24"/>
          <w:szCs w:val="24"/>
        </w:rPr>
        <w:t xml:space="preserve"> (Education Commission for the State, 2022)</w:t>
      </w:r>
      <w:r w:rsidR="00CE4E71">
        <w:rPr>
          <w:rFonts w:cstheme="minorHAnsi"/>
          <w:sz w:val="24"/>
          <w:szCs w:val="24"/>
        </w:rPr>
        <w:t xml:space="preserve">. </w:t>
      </w:r>
      <w:r w:rsidR="00E15069">
        <w:rPr>
          <w:rFonts w:cstheme="minorHAnsi"/>
          <w:sz w:val="24"/>
          <w:szCs w:val="24"/>
        </w:rPr>
        <w:t xml:space="preserve">Guns have always been on campus. </w:t>
      </w:r>
      <w:r w:rsidR="00564AD3">
        <w:rPr>
          <w:rFonts w:cstheme="minorHAnsi"/>
          <w:sz w:val="24"/>
          <w:szCs w:val="24"/>
        </w:rPr>
        <w:t xml:space="preserve">However, the student body has </w:t>
      </w:r>
      <w:r w:rsidR="00564AD3">
        <w:rPr>
          <w:rFonts w:cstheme="minorHAnsi"/>
          <w:sz w:val="24"/>
          <w:szCs w:val="24"/>
        </w:rPr>
        <w:lastRenderedPageBreak/>
        <w:t>changed since the</w:t>
      </w:r>
      <w:r w:rsidR="00D47B80">
        <w:rPr>
          <w:rFonts w:cstheme="minorHAnsi"/>
          <w:sz w:val="24"/>
          <w:szCs w:val="24"/>
        </w:rPr>
        <w:t xml:space="preserve"> initial</w:t>
      </w:r>
      <w:r w:rsidR="00564AD3">
        <w:rPr>
          <w:rFonts w:cstheme="minorHAnsi"/>
          <w:sz w:val="24"/>
          <w:szCs w:val="24"/>
        </w:rPr>
        <w:t xml:space="preserve"> establishment of colleges and universities which </w:t>
      </w:r>
      <w:r w:rsidR="00564AD3" w:rsidRPr="009513A7">
        <w:rPr>
          <w:rFonts w:cstheme="minorHAnsi"/>
          <w:sz w:val="24"/>
          <w:szCs w:val="24"/>
        </w:rPr>
        <w:t xml:space="preserve">were designed to educate and develop young men of the colonial </w:t>
      </w:r>
      <w:r w:rsidR="00D47B80">
        <w:rPr>
          <w:rFonts w:cstheme="minorHAnsi"/>
          <w:sz w:val="24"/>
          <w:szCs w:val="24"/>
        </w:rPr>
        <w:t>era</w:t>
      </w:r>
      <w:r w:rsidR="00564AD3" w:rsidRPr="009513A7">
        <w:rPr>
          <w:rFonts w:cstheme="minorHAnsi"/>
          <w:sz w:val="24"/>
          <w:szCs w:val="24"/>
        </w:rPr>
        <w:t xml:space="preserve"> (Thelin, 2011). </w:t>
      </w:r>
      <w:r w:rsidRPr="009513A7">
        <w:rPr>
          <w:rFonts w:cstheme="minorHAnsi"/>
          <w:sz w:val="24"/>
          <w:szCs w:val="24"/>
        </w:rPr>
        <w:t xml:space="preserve">As </w:t>
      </w:r>
      <w:r w:rsidR="00A57AFA" w:rsidRPr="009513A7">
        <w:rPr>
          <w:rFonts w:cstheme="minorHAnsi"/>
          <w:sz w:val="24"/>
          <w:szCs w:val="24"/>
        </w:rPr>
        <w:t>students</w:t>
      </w:r>
      <w:r w:rsidRPr="009513A7">
        <w:rPr>
          <w:rFonts w:cstheme="minorHAnsi"/>
          <w:sz w:val="24"/>
          <w:szCs w:val="24"/>
        </w:rPr>
        <w:t xml:space="preserve"> changed so did the institutions. To understand the evolution of guns on campus, or weapons in general, it is necessary to understand </w:t>
      </w:r>
      <w:r w:rsidR="00A717F6">
        <w:rPr>
          <w:rFonts w:cstheme="minorHAnsi"/>
          <w:sz w:val="24"/>
          <w:szCs w:val="24"/>
        </w:rPr>
        <w:t xml:space="preserve">the </w:t>
      </w:r>
      <w:r w:rsidRPr="009513A7">
        <w:rPr>
          <w:rFonts w:cstheme="minorHAnsi"/>
          <w:sz w:val="24"/>
          <w:szCs w:val="24"/>
        </w:rPr>
        <w:t>history</w:t>
      </w:r>
      <w:r w:rsidR="00A717F6">
        <w:rPr>
          <w:rFonts w:cstheme="minorHAnsi"/>
          <w:sz w:val="24"/>
          <w:szCs w:val="24"/>
        </w:rPr>
        <w:t xml:space="preserve"> of higher education</w:t>
      </w:r>
      <w:r w:rsidRPr="009513A7">
        <w:rPr>
          <w:rFonts w:cstheme="minorHAnsi"/>
          <w:sz w:val="24"/>
          <w:szCs w:val="24"/>
        </w:rPr>
        <w:t xml:space="preserve">. </w:t>
      </w:r>
    </w:p>
    <w:p w14:paraId="275C616C" w14:textId="7927859D" w:rsidR="00501548" w:rsidRPr="009513A7" w:rsidRDefault="007B79D9" w:rsidP="00501548">
      <w:pPr>
        <w:spacing w:after="0" w:line="480" w:lineRule="auto"/>
        <w:ind w:firstLine="720"/>
        <w:rPr>
          <w:rFonts w:cstheme="minorHAnsi"/>
          <w:sz w:val="24"/>
          <w:szCs w:val="24"/>
        </w:rPr>
      </w:pPr>
      <w:r>
        <w:rPr>
          <w:rFonts w:cstheme="minorHAnsi"/>
          <w:sz w:val="24"/>
          <w:szCs w:val="24"/>
        </w:rPr>
        <w:t>During</w:t>
      </w:r>
      <w:r w:rsidR="00501548" w:rsidRPr="009513A7">
        <w:rPr>
          <w:rFonts w:cstheme="minorHAnsi"/>
          <w:sz w:val="24"/>
          <w:szCs w:val="24"/>
        </w:rPr>
        <w:t xml:space="preserve"> the</w:t>
      </w:r>
      <w:r w:rsidR="004F1708">
        <w:rPr>
          <w:rFonts w:cstheme="minorHAnsi"/>
          <w:sz w:val="24"/>
          <w:szCs w:val="24"/>
        </w:rPr>
        <w:t xml:space="preserve"> colonial </w:t>
      </w:r>
      <w:r>
        <w:rPr>
          <w:rFonts w:cstheme="minorHAnsi"/>
          <w:sz w:val="24"/>
          <w:szCs w:val="24"/>
        </w:rPr>
        <w:t>era</w:t>
      </w:r>
      <w:r w:rsidR="00501548" w:rsidRPr="009513A7">
        <w:rPr>
          <w:rFonts w:cstheme="minorHAnsi"/>
          <w:sz w:val="24"/>
          <w:szCs w:val="24"/>
        </w:rPr>
        <w:t xml:space="preserve">, the tutor or </w:t>
      </w:r>
      <w:r w:rsidR="002D5C7E" w:rsidRPr="009513A7">
        <w:rPr>
          <w:rFonts w:cstheme="minorHAnsi"/>
          <w:sz w:val="24"/>
          <w:szCs w:val="24"/>
        </w:rPr>
        <w:t>faculty</w:t>
      </w:r>
      <w:r w:rsidR="00FB2D8A">
        <w:rPr>
          <w:rFonts w:cstheme="minorHAnsi"/>
          <w:sz w:val="24"/>
          <w:szCs w:val="24"/>
        </w:rPr>
        <w:t>,</w:t>
      </w:r>
      <w:r w:rsidR="00501548" w:rsidRPr="009513A7">
        <w:rPr>
          <w:rFonts w:cstheme="minorHAnsi"/>
          <w:sz w:val="24"/>
          <w:szCs w:val="24"/>
        </w:rPr>
        <w:t xml:space="preserve"> often </w:t>
      </w:r>
      <w:r w:rsidR="00A717F6">
        <w:rPr>
          <w:rFonts w:cstheme="minorHAnsi"/>
          <w:sz w:val="24"/>
          <w:szCs w:val="24"/>
        </w:rPr>
        <w:t>assumed</w:t>
      </w:r>
      <w:r w:rsidR="00501548" w:rsidRPr="009513A7">
        <w:rPr>
          <w:rFonts w:cstheme="minorHAnsi"/>
          <w:sz w:val="24"/>
          <w:szCs w:val="24"/>
        </w:rPr>
        <w:t xml:space="preserve"> the role of disciplinarian. This caused tension among students and </w:t>
      </w:r>
      <w:r w:rsidR="00A717F6">
        <w:rPr>
          <w:rFonts w:cstheme="minorHAnsi"/>
          <w:sz w:val="24"/>
          <w:szCs w:val="24"/>
        </w:rPr>
        <w:t>instructors</w:t>
      </w:r>
      <w:r w:rsidR="00A717F6" w:rsidRPr="009513A7">
        <w:rPr>
          <w:rFonts w:cstheme="minorHAnsi"/>
          <w:sz w:val="24"/>
          <w:szCs w:val="24"/>
        </w:rPr>
        <w:t xml:space="preserve"> </w:t>
      </w:r>
      <w:r w:rsidR="00501548" w:rsidRPr="009513A7">
        <w:rPr>
          <w:rFonts w:cstheme="minorHAnsi"/>
          <w:sz w:val="24"/>
          <w:szCs w:val="24"/>
        </w:rPr>
        <w:t xml:space="preserve">(Thelin, 2011). Faculty were harassed and beaten by students at the University of Virginia during the Jeffersonian </w:t>
      </w:r>
      <w:r w:rsidR="00A717F6">
        <w:rPr>
          <w:rFonts w:cstheme="minorHAnsi"/>
          <w:sz w:val="24"/>
          <w:szCs w:val="24"/>
        </w:rPr>
        <w:t>E</w:t>
      </w:r>
      <w:r w:rsidR="00501548" w:rsidRPr="009513A7">
        <w:rPr>
          <w:rFonts w:cstheme="minorHAnsi"/>
          <w:sz w:val="24"/>
          <w:szCs w:val="24"/>
        </w:rPr>
        <w:t>ra</w:t>
      </w:r>
      <w:r w:rsidR="00564AD3" w:rsidRPr="009513A7">
        <w:rPr>
          <w:rFonts w:cstheme="minorHAnsi"/>
          <w:sz w:val="24"/>
          <w:szCs w:val="24"/>
        </w:rPr>
        <w:t>. Thomas Jefferson wanted to place</w:t>
      </w:r>
      <w:r w:rsidR="00564AD3">
        <w:rPr>
          <w:rFonts w:cstheme="minorHAnsi"/>
          <w:sz w:val="24"/>
          <w:szCs w:val="24"/>
        </w:rPr>
        <w:t xml:space="preserve"> greater </w:t>
      </w:r>
      <w:r w:rsidR="00564AD3" w:rsidRPr="009513A7">
        <w:rPr>
          <w:rFonts w:cstheme="minorHAnsi"/>
          <w:sz w:val="24"/>
          <w:szCs w:val="24"/>
        </w:rPr>
        <w:t>responsibility in the hands of the students.</w:t>
      </w:r>
      <w:r w:rsidR="00D47B80">
        <w:rPr>
          <w:rFonts w:cstheme="minorHAnsi"/>
          <w:sz w:val="24"/>
          <w:szCs w:val="24"/>
        </w:rPr>
        <w:t xml:space="preserve"> </w:t>
      </w:r>
      <w:r w:rsidR="00501548" w:rsidRPr="009513A7">
        <w:rPr>
          <w:rFonts w:cstheme="minorHAnsi"/>
          <w:sz w:val="24"/>
          <w:szCs w:val="24"/>
        </w:rPr>
        <w:t>A student rebellion began and fighting ensued. Students were expelled and eventually one professor was shot and killed (Wagoner, 1985). At that time</w:t>
      </w:r>
      <w:r w:rsidR="00A717F6">
        <w:rPr>
          <w:rFonts w:cstheme="minorHAnsi"/>
          <w:sz w:val="24"/>
          <w:szCs w:val="24"/>
        </w:rPr>
        <w:t>,</w:t>
      </w:r>
      <w:r w:rsidR="00501548" w:rsidRPr="009513A7">
        <w:rPr>
          <w:rFonts w:cstheme="minorHAnsi"/>
          <w:sz w:val="24"/>
          <w:szCs w:val="24"/>
        </w:rPr>
        <w:t xml:space="preserve"> guns were present on campus, even when prohibited. This illustrates what was expected by policy</w:t>
      </w:r>
      <w:r w:rsidR="00A717F6">
        <w:rPr>
          <w:rFonts w:cstheme="minorHAnsi"/>
          <w:sz w:val="24"/>
          <w:szCs w:val="24"/>
        </w:rPr>
        <w:t>,</w:t>
      </w:r>
      <w:r w:rsidR="00501548" w:rsidRPr="009513A7">
        <w:rPr>
          <w:rFonts w:cstheme="minorHAnsi"/>
          <w:sz w:val="24"/>
          <w:szCs w:val="24"/>
        </w:rPr>
        <w:t xml:space="preserve"> yet not enforced in practice and ultimately </w:t>
      </w:r>
      <w:r w:rsidR="00A717F6">
        <w:rPr>
          <w:rFonts w:cstheme="minorHAnsi"/>
          <w:sz w:val="24"/>
          <w:szCs w:val="24"/>
        </w:rPr>
        <w:t xml:space="preserve">deemed </w:t>
      </w:r>
      <w:r w:rsidR="00501548" w:rsidRPr="009513A7">
        <w:rPr>
          <w:rFonts w:cstheme="minorHAnsi"/>
          <w:sz w:val="24"/>
          <w:szCs w:val="24"/>
        </w:rPr>
        <w:t xml:space="preserve">acceptable </w:t>
      </w:r>
      <w:r w:rsidR="00A717F6">
        <w:rPr>
          <w:rFonts w:cstheme="minorHAnsi"/>
          <w:sz w:val="24"/>
          <w:szCs w:val="24"/>
        </w:rPr>
        <w:t xml:space="preserve">until </w:t>
      </w:r>
      <w:r w:rsidR="00501548" w:rsidRPr="009513A7">
        <w:rPr>
          <w:rFonts w:cstheme="minorHAnsi"/>
          <w:sz w:val="24"/>
          <w:szCs w:val="24"/>
        </w:rPr>
        <w:t xml:space="preserve">the 1820s. Even though guns were prohibited, students seemed to have guns and other weapons at their disposal. This may have been for a variety of reasons. Hunting was a pastime </w:t>
      </w:r>
      <w:r w:rsidR="00A717F6">
        <w:rPr>
          <w:rFonts w:cstheme="minorHAnsi"/>
          <w:sz w:val="24"/>
          <w:szCs w:val="24"/>
        </w:rPr>
        <w:t>for</w:t>
      </w:r>
      <w:r w:rsidR="00501548" w:rsidRPr="009513A7">
        <w:rPr>
          <w:rFonts w:cstheme="minorHAnsi"/>
          <w:sz w:val="24"/>
          <w:szCs w:val="24"/>
        </w:rPr>
        <w:t xml:space="preserve"> many students. In addition, men aged 16 and over were generally expected to be prepared for militia duty at any moment. This implied that although guns were prohibited students should have access to them (Militia Statute, 1716).</w:t>
      </w:r>
    </w:p>
    <w:p w14:paraId="1E1238E3" w14:textId="2D31834F" w:rsidR="00501548" w:rsidRPr="009513A7" w:rsidRDefault="00501548" w:rsidP="00501548">
      <w:pPr>
        <w:spacing w:after="0" w:line="480" w:lineRule="auto"/>
        <w:ind w:firstLine="720"/>
        <w:rPr>
          <w:rFonts w:cstheme="minorHAnsi"/>
          <w:sz w:val="24"/>
          <w:szCs w:val="24"/>
        </w:rPr>
      </w:pPr>
      <w:r w:rsidRPr="009513A7">
        <w:rPr>
          <w:rFonts w:cstheme="minorHAnsi"/>
          <w:sz w:val="24"/>
          <w:szCs w:val="24"/>
        </w:rPr>
        <w:t xml:space="preserve">There are </w:t>
      </w:r>
      <w:r w:rsidR="00A717F6">
        <w:rPr>
          <w:rFonts w:cstheme="minorHAnsi"/>
          <w:sz w:val="24"/>
          <w:szCs w:val="24"/>
        </w:rPr>
        <w:t xml:space="preserve">historical </w:t>
      </w:r>
      <w:r w:rsidRPr="009513A7">
        <w:rPr>
          <w:rFonts w:cstheme="minorHAnsi"/>
          <w:sz w:val="24"/>
          <w:szCs w:val="24"/>
        </w:rPr>
        <w:t>milestones that mark turning point</w:t>
      </w:r>
      <w:r w:rsidR="00DD7D17">
        <w:rPr>
          <w:rFonts w:cstheme="minorHAnsi"/>
          <w:sz w:val="24"/>
          <w:szCs w:val="24"/>
        </w:rPr>
        <w:t>s</w:t>
      </w:r>
      <w:r w:rsidRPr="009513A7">
        <w:rPr>
          <w:rFonts w:cstheme="minorHAnsi"/>
          <w:sz w:val="24"/>
          <w:szCs w:val="24"/>
        </w:rPr>
        <w:t xml:space="preserve"> for guns on campus, the relationship of the college and student, and the perception of student</w:t>
      </w:r>
      <w:r w:rsidR="00186BD0">
        <w:rPr>
          <w:rFonts w:cstheme="minorHAnsi"/>
          <w:sz w:val="24"/>
          <w:szCs w:val="24"/>
        </w:rPr>
        <w:t>s</w:t>
      </w:r>
      <w:r w:rsidRPr="009513A7">
        <w:rPr>
          <w:rFonts w:cstheme="minorHAnsi"/>
          <w:sz w:val="24"/>
          <w:szCs w:val="24"/>
        </w:rPr>
        <w:t xml:space="preserve"> </w:t>
      </w:r>
      <w:r w:rsidR="002D5C7E" w:rsidRPr="009513A7">
        <w:rPr>
          <w:rFonts w:cstheme="minorHAnsi"/>
          <w:sz w:val="24"/>
          <w:szCs w:val="24"/>
        </w:rPr>
        <w:t>as adults</w:t>
      </w:r>
      <w:r w:rsidRPr="009513A7">
        <w:rPr>
          <w:rFonts w:cstheme="minorHAnsi"/>
          <w:sz w:val="24"/>
          <w:szCs w:val="24"/>
        </w:rPr>
        <w:t xml:space="preserve">. The first is the </w:t>
      </w:r>
      <w:r w:rsidR="00A717F6">
        <w:rPr>
          <w:rFonts w:cstheme="minorHAnsi"/>
          <w:sz w:val="24"/>
          <w:szCs w:val="24"/>
        </w:rPr>
        <w:t xml:space="preserve">1804 </w:t>
      </w:r>
      <w:r w:rsidRPr="009513A7">
        <w:rPr>
          <w:rFonts w:cstheme="minorHAnsi"/>
          <w:sz w:val="24"/>
          <w:szCs w:val="24"/>
        </w:rPr>
        <w:t>Hamilton</w:t>
      </w:r>
      <w:r w:rsidR="00A717F6">
        <w:rPr>
          <w:rFonts w:cstheme="minorHAnsi"/>
          <w:sz w:val="24"/>
          <w:szCs w:val="24"/>
        </w:rPr>
        <w:t>-</w:t>
      </w:r>
      <w:r w:rsidRPr="009513A7">
        <w:rPr>
          <w:rFonts w:cstheme="minorHAnsi"/>
          <w:sz w:val="24"/>
          <w:szCs w:val="24"/>
        </w:rPr>
        <w:t>Burr duel. The Hamilton</w:t>
      </w:r>
      <w:r w:rsidR="00A717F6">
        <w:rPr>
          <w:rFonts w:cstheme="minorHAnsi"/>
          <w:sz w:val="24"/>
          <w:szCs w:val="24"/>
        </w:rPr>
        <w:t>-</w:t>
      </w:r>
      <w:r w:rsidRPr="009513A7">
        <w:rPr>
          <w:rFonts w:cstheme="minorHAnsi"/>
          <w:sz w:val="24"/>
          <w:szCs w:val="24"/>
        </w:rPr>
        <w:t xml:space="preserve">Burr duel is a milestone in history because it marked the beginning of the end of dueling. Dueling was an accepted practice prior to 1804, but there is </w:t>
      </w:r>
      <w:r w:rsidR="00A717F6">
        <w:rPr>
          <w:rFonts w:cstheme="minorHAnsi"/>
          <w:sz w:val="24"/>
          <w:szCs w:val="24"/>
        </w:rPr>
        <w:t>limited</w:t>
      </w:r>
      <w:r w:rsidRPr="009513A7">
        <w:rPr>
          <w:rFonts w:cstheme="minorHAnsi"/>
          <w:sz w:val="24"/>
          <w:szCs w:val="24"/>
        </w:rPr>
        <w:t xml:space="preserve"> literature about duels on the college campus, or anywhere, after this event</w:t>
      </w:r>
      <w:r w:rsidR="00752CBD" w:rsidRPr="00752CBD">
        <w:rPr>
          <w:rFonts w:cstheme="minorHAnsi"/>
          <w:sz w:val="24"/>
          <w:szCs w:val="24"/>
        </w:rPr>
        <w:t xml:space="preserve"> </w:t>
      </w:r>
      <w:r w:rsidR="00752CBD">
        <w:rPr>
          <w:rFonts w:cstheme="minorHAnsi"/>
          <w:sz w:val="24"/>
          <w:szCs w:val="24"/>
        </w:rPr>
        <w:t>(</w:t>
      </w:r>
      <w:r w:rsidR="00752CBD" w:rsidRPr="009513A7">
        <w:rPr>
          <w:rFonts w:cstheme="minorHAnsi"/>
          <w:sz w:val="24"/>
          <w:szCs w:val="24"/>
        </w:rPr>
        <w:t>Thelin, 2011</w:t>
      </w:r>
      <w:r w:rsidR="00752CBD">
        <w:rPr>
          <w:rFonts w:cstheme="minorHAnsi"/>
          <w:sz w:val="24"/>
          <w:szCs w:val="24"/>
        </w:rPr>
        <w:t>)</w:t>
      </w:r>
      <w:r w:rsidRPr="009513A7">
        <w:rPr>
          <w:rFonts w:cstheme="minorHAnsi"/>
          <w:sz w:val="24"/>
          <w:szCs w:val="24"/>
        </w:rPr>
        <w:t>. This event is significant to the evolution of guns on college campus</w:t>
      </w:r>
      <w:r w:rsidR="00A717F6">
        <w:rPr>
          <w:rFonts w:cstheme="minorHAnsi"/>
          <w:sz w:val="24"/>
          <w:szCs w:val="24"/>
        </w:rPr>
        <w:t>es</w:t>
      </w:r>
      <w:r w:rsidRPr="009513A7">
        <w:rPr>
          <w:rFonts w:cstheme="minorHAnsi"/>
          <w:sz w:val="24"/>
          <w:szCs w:val="24"/>
        </w:rPr>
        <w:t xml:space="preserve"> by igniting the </w:t>
      </w:r>
      <w:r w:rsidRPr="009513A7">
        <w:rPr>
          <w:rFonts w:cstheme="minorHAnsi"/>
          <w:sz w:val="24"/>
          <w:szCs w:val="24"/>
        </w:rPr>
        <w:lastRenderedPageBreak/>
        <w:t xml:space="preserve">downfall of the duel (Particulars of the </w:t>
      </w:r>
      <w:r w:rsidR="00A717F6">
        <w:rPr>
          <w:rFonts w:cstheme="minorHAnsi"/>
          <w:sz w:val="24"/>
          <w:szCs w:val="24"/>
        </w:rPr>
        <w:t>L</w:t>
      </w:r>
      <w:r w:rsidRPr="009513A7">
        <w:rPr>
          <w:rFonts w:cstheme="minorHAnsi"/>
          <w:sz w:val="24"/>
          <w:szCs w:val="24"/>
        </w:rPr>
        <w:t xml:space="preserve">ate </w:t>
      </w:r>
      <w:r w:rsidR="00A717F6">
        <w:rPr>
          <w:rFonts w:cstheme="minorHAnsi"/>
          <w:sz w:val="24"/>
          <w:szCs w:val="24"/>
        </w:rPr>
        <w:t>D</w:t>
      </w:r>
      <w:r w:rsidRPr="009513A7">
        <w:rPr>
          <w:rFonts w:cstheme="minorHAnsi"/>
          <w:sz w:val="24"/>
          <w:szCs w:val="24"/>
        </w:rPr>
        <w:t xml:space="preserve">uel, 1804). Second, the rise and fall of the </w:t>
      </w:r>
      <w:r w:rsidR="00A717F6">
        <w:rPr>
          <w:rFonts w:cstheme="minorHAnsi"/>
          <w:sz w:val="24"/>
          <w:szCs w:val="24"/>
        </w:rPr>
        <w:t>philosophy</w:t>
      </w:r>
      <w:r w:rsidRPr="009513A7">
        <w:rPr>
          <w:rFonts w:cstheme="minorHAnsi"/>
          <w:sz w:val="24"/>
          <w:szCs w:val="24"/>
        </w:rPr>
        <w:t xml:space="preserve"> of “</w:t>
      </w:r>
      <w:r w:rsidR="00A717F6">
        <w:rPr>
          <w:rFonts w:cstheme="minorHAnsi"/>
          <w:sz w:val="24"/>
          <w:szCs w:val="24"/>
        </w:rPr>
        <w:t>i</w:t>
      </w:r>
      <w:r w:rsidRPr="009513A7">
        <w:rPr>
          <w:rFonts w:cstheme="minorHAnsi"/>
          <w:sz w:val="24"/>
          <w:szCs w:val="24"/>
        </w:rPr>
        <w:t>n loco parentis” or “in place of the parent” still impacts IHEs toda</w:t>
      </w:r>
      <w:r w:rsidR="00752CBD">
        <w:rPr>
          <w:rFonts w:cstheme="minorHAnsi"/>
          <w:sz w:val="24"/>
          <w:szCs w:val="24"/>
        </w:rPr>
        <w:t>y (</w:t>
      </w:r>
      <w:r w:rsidR="00752CBD" w:rsidRPr="00361D80">
        <w:rPr>
          <w:rFonts w:cstheme="minorHAnsi"/>
          <w:bCs/>
          <w:sz w:val="24"/>
          <w:szCs w:val="24"/>
        </w:rPr>
        <w:t>Meloy &amp; Hoffmann, 2021</w:t>
      </w:r>
      <w:r w:rsidR="00752CBD">
        <w:rPr>
          <w:rFonts w:cstheme="minorHAnsi"/>
          <w:bCs/>
          <w:sz w:val="24"/>
          <w:szCs w:val="24"/>
        </w:rPr>
        <w:t>)</w:t>
      </w:r>
      <w:r w:rsidRPr="009513A7">
        <w:rPr>
          <w:rFonts w:cstheme="minorHAnsi"/>
          <w:sz w:val="24"/>
          <w:szCs w:val="24"/>
        </w:rPr>
        <w:t>. Colleges must balance the amount of regulation and protection it provides while simultaneously being subject to negligence and other liability (</w:t>
      </w:r>
      <w:r w:rsidR="00DD7D17">
        <w:rPr>
          <w:rFonts w:cstheme="minorHAnsi"/>
          <w:sz w:val="24"/>
          <w:szCs w:val="24"/>
        </w:rPr>
        <w:t>Blumenstyk, 2015; Henning, 2007; Meloy &amp; Hoffman, 2021; Olzak, 2023; Olzak, 2023;</w:t>
      </w:r>
      <w:r w:rsidR="00DD7D17" w:rsidRPr="009513A7">
        <w:rPr>
          <w:rFonts w:cstheme="minorHAnsi"/>
          <w:sz w:val="24"/>
          <w:szCs w:val="24"/>
        </w:rPr>
        <w:t xml:space="preserve"> </w:t>
      </w:r>
      <w:r w:rsidRPr="009513A7">
        <w:rPr>
          <w:rFonts w:cstheme="minorHAnsi"/>
          <w:sz w:val="24"/>
          <w:szCs w:val="24"/>
        </w:rPr>
        <w:t>Thomas, 1991)</w:t>
      </w:r>
      <w:r w:rsidR="0065462A" w:rsidRPr="009513A7">
        <w:rPr>
          <w:rFonts w:cstheme="minorHAnsi"/>
          <w:sz w:val="24"/>
          <w:szCs w:val="24"/>
        </w:rPr>
        <w:t xml:space="preserve">. </w:t>
      </w:r>
      <w:r w:rsidRPr="009513A7">
        <w:rPr>
          <w:rFonts w:cstheme="minorHAnsi"/>
          <w:sz w:val="24"/>
          <w:szCs w:val="24"/>
        </w:rPr>
        <w:t xml:space="preserve">The right to carry a concealed weapon on campus and the interplay with violence prevention efforts, such as threat assessment, should be considered by </w:t>
      </w:r>
      <w:r w:rsidR="00A27A2E" w:rsidRPr="009513A7">
        <w:rPr>
          <w:rFonts w:cstheme="minorHAnsi"/>
          <w:sz w:val="24"/>
          <w:szCs w:val="24"/>
        </w:rPr>
        <w:t>TA</w:t>
      </w:r>
      <w:r w:rsidR="00A27A2E">
        <w:rPr>
          <w:rFonts w:cstheme="minorHAnsi"/>
          <w:sz w:val="24"/>
          <w:szCs w:val="24"/>
        </w:rPr>
        <w:t>Ts</w:t>
      </w:r>
      <w:r w:rsidR="00752CBD">
        <w:rPr>
          <w:rFonts w:cstheme="minorHAnsi"/>
          <w:sz w:val="24"/>
          <w:szCs w:val="24"/>
        </w:rPr>
        <w:t xml:space="preserve"> (</w:t>
      </w:r>
      <w:r w:rsidR="00752CBD" w:rsidRPr="00361D80">
        <w:rPr>
          <w:rFonts w:cstheme="minorHAnsi"/>
          <w:bCs/>
          <w:sz w:val="24"/>
          <w:szCs w:val="24"/>
        </w:rPr>
        <w:t>Meloy &amp; Hoffmann, 2021</w:t>
      </w:r>
      <w:r w:rsidR="00752CBD">
        <w:rPr>
          <w:rFonts w:cstheme="minorHAnsi"/>
          <w:bCs/>
          <w:sz w:val="24"/>
          <w:szCs w:val="24"/>
        </w:rPr>
        <w:t>)</w:t>
      </w:r>
      <w:r w:rsidRPr="009513A7">
        <w:rPr>
          <w:rFonts w:cstheme="minorHAnsi"/>
          <w:sz w:val="24"/>
          <w:szCs w:val="24"/>
        </w:rPr>
        <w:t xml:space="preserve">. </w:t>
      </w:r>
    </w:p>
    <w:p w14:paraId="3C1D2F56" w14:textId="28CE6602" w:rsidR="00501548" w:rsidRPr="009513A7" w:rsidRDefault="00501548" w:rsidP="00501548">
      <w:pPr>
        <w:spacing w:after="0" w:line="480" w:lineRule="auto"/>
        <w:ind w:firstLine="720"/>
        <w:rPr>
          <w:rFonts w:cstheme="minorHAnsi"/>
          <w:sz w:val="24"/>
          <w:szCs w:val="24"/>
        </w:rPr>
      </w:pPr>
      <w:r w:rsidRPr="009513A7">
        <w:rPr>
          <w:rFonts w:cstheme="minorHAnsi"/>
          <w:sz w:val="24"/>
          <w:szCs w:val="24"/>
        </w:rPr>
        <w:t xml:space="preserve">Another turning point for IHEs was the </w:t>
      </w:r>
      <w:r w:rsidR="005F69FB">
        <w:rPr>
          <w:rFonts w:cstheme="minorHAnsi"/>
          <w:sz w:val="24"/>
          <w:szCs w:val="24"/>
        </w:rPr>
        <w:t xml:space="preserve">1944 </w:t>
      </w:r>
      <w:r w:rsidRPr="009513A7">
        <w:rPr>
          <w:rFonts w:cstheme="minorHAnsi"/>
          <w:sz w:val="24"/>
          <w:szCs w:val="24"/>
        </w:rPr>
        <w:t xml:space="preserve">GI Bill which helped returning World War II veterans </w:t>
      </w:r>
      <w:r w:rsidR="005F69FB">
        <w:rPr>
          <w:rFonts w:cstheme="minorHAnsi"/>
          <w:sz w:val="24"/>
          <w:szCs w:val="24"/>
        </w:rPr>
        <w:t xml:space="preserve">access postsecondary education </w:t>
      </w:r>
      <w:r w:rsidRPr="009513A7">
        <w:rPr>
          <w:rFonts w:cstheme="minorHAnsi"/>
          <w:sz w:val="24"/>
          <w:szCs w:val="24"/>
        </w:rPr>
        <w:t xml:space="preserve">(Thomas, 1991). This changed the </w:t>
      </w:r>
      <w:r w:rsidR="005F69FB">
        <w:rPr>
          <w:rFonts w:cstheme="minorHAnsi"/>
          <w:sz w:val="24"/>
          <w:szCs w:val="24"/>
        </w:rPr>
        <w:t>demographics of</w:t>
      </w:r>
      <w:r w:rsidRPr="009513A7">
        <w:rPr>
          <w:rFonts w:cstheme="minorHAnsi"/>
          <w:sz w:val="24"/>
          <w:szCs w:val="24"/>
        </w:rPr>
        <w:t xml:space="preserve"> traditional student</w:t>
      </w:r>
      <w:r w:rsidR="005F69FB">
        <w:rPr>
          <w:rFonts w:cstheme="minorHAnsi"/>
          <w:sz w:val="24"/>
          <w:szCs w:val="24"/>
        </w:rPr>
        <w:t>s</w:t>
      </w:r>
      <w:r w:rsidRPr="009513A7">
        <w:rPr>
          <w:rFonts w:cstheme="minorHAnsi"/>
          <w:sz w:val="24"/>
          <w:szCs w:val="24"/>
        </w:rPr>
        <w:t xml:space="preserve"> as did the constitutional amendment to lower the voting age from 21 to 18 in 1971 (Covington &amp; Burling, 1971). Changes such as college</w:t>
      </w:r>
      <w:r w:rsidR="00CE4E71">
        <w:rPr>
          <w:rFonts w:cstheme="minorHAnsi"/>
          <w:sz w:val="24"/>
          <w:szCs w:val="24"/>
        </w:rPr>
        <w:t>s</w:t>
      </w:r>
      <w:r w:rsidRPr="009513A7">
        <w:rPr>
          <w:rFonts w:cstheme="minorHAnsi"/>
          <w:sz w:val="24"/>
          <w:szCs w:val="24"/>
        </w:rPr>
        <w:t xml:space="preserve"> no longer serving in place of the parent </w:t>
      </w:r>
      <w:r w:rsidR="00DD7D17">
        <w:rPr>
          <w:rFonts w:cstheme="minorHAnsi"/>
          <w:sz w:val="24"/>
          <w:szCs w:val="24"/>
        </w:rPr>
        <w:t xml:space="preserve">as it once </w:t>
      </w:r>
      <w:r w:rsidR="002D5C7E">
        <w:rPr>
          <w:rFonts w:cstheme="minorHAnsi"/>
          <w:sz w:val="24"/>
          <w:szCs w:val="24"/>
        </w:rPr>
        <w:t>did,</w:t>
      </w:r>
      <w:r w:rsidR="00DD7D17">
        <w:rPr>
          <w:rFonts w:cstheme="minorHAnsi"/>
          <w:sz w:val="24"/>
          <w:szCs w:val="24"/>
        </w:rPr>
        <w:t xml:space="preserve"> </w:t>
      </w:r>
      <w:r w:rsidRPr="009513A7">
        <w:rPr>
          <w:rFonts w:cstheme="minorHAnsi"/>
          <w:sz w:val="24"/>
          <w:szCs w:val="24"/>
        </w:rPr>
        <w:t xml:space="preserve">and the student perceived as an adult set the stage for a shift in violence prevention at IHEs and eventual </w:t>
      </w:r>
      <w:r w:rsidR="005F69FB">
        <w:rPr>
          <w:rFonts w:cstheme="minorHAnsi"/>
          <w:sz w:val="24"/>
          <w:szCs w:val="24"/>
        </w:rPr>
        <w:t xml:space="preserve">a </w:t>
      </w:r>
      <w:r w:rsidRPr="009513A7">
        <w:rPr>
          <w:rFonts w:cstheme="minorHAnsi"/>
          <w:sz w:val="24"/>
          <w:szCs w:val="24"/>
        </w:rPr>
        <w:t xml:space="preserve">call for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and behavioral intervention</w:t>
      </w:r>
      <w:r w:rsidR="00752CBD">
        <w:rPr>
          <w:rFonts w:cstheme="minorHAnsi"/>
          <w:bCs/>
          <w:iCs/>
          <w:sz w:val="24"/>
          <w:szCs w:val="24"/>
        </w:rPr>
        <w:t xml:space="preserve"> (</w:t>
      </w:r>
      <w:r w:rsidR="00752CBD" w:rsidRPr="00361D80">
        <w:rPr>
          <w:rFonts w:cstheme="minorHAnsi"/>
          <w:bCs/>
          <w:sz w:val="24"/>
          <w:szCs w:val="24"/>
        </w:rPr>
        <w:t>Meloy &amp; Hoffmann, 2021</w:t>
      </w:r>
      <w:r w:rsidR="00752CBD">
        <w:rPr>
          <w:rFonts w:cstheme="minorHAnsi"/>
          <w:bCs/>
          <w:sz w:val="24"/>
          <w:szCs w:val="24"/>
        </w:rPr>
        <w:t>)</w:t>
      </w:r>
      <w:r w:rsidRPr="009513A7">
        <w:rPr>
          <w:rFonts w:cstheme="minorHAnsi"/>
          <w:sz w:val="24"/>
          <w:szCs w:val="24"/>
        </w:rPr>
        <w:t xml:space="preserve">. </w:t>
      </w:r>
      <w:r w:rsidR="00186BD0">
        <w:rPr>
          <w:rFonts w:cstheme="minorHAnsi"/>
          <w:sz w:val="24"/>
          <w:szCs w:val="24"/>
        </w:rPr>
        <w:t>In the 1960s and 1970s</w:t>
      </w:r>
      <w:r w:rsidR="00C01E3F">
        <w:rPr>
          <w:rFonts w:cstheme="minorHAnsi"/>
          <w:sz w:val="24"/>
          <w:szCs w:val="24"/>
        </w:rPr>
        <w:t>,</w:t>
      </w:r>
      <w:r w:rsidR="00186BD0">
        <w:rPr>
          <w:rFonts w:cstheme="minorHAnsi"/>
          <w:sz w:val="24"/>
          <w:szCs w:val="24"/>
        </w:rPr>
        <w:t xml:space="preserve"> </w:t>
      </w:r>
      <w:r w:rsidRPr="009513A7">
        <w:rPr>
          <w:rFonts w:cstheme="minorHAnsi"/>
          <w:sz w:val="24"/>
          <w:szCs w:val="24"/>
        </w:rPr>
        <w:t>shootings at IHEs including the University of Texas, Kent State University</w:t>
      </w:r>
      <w:r w:rsidR="005F69FB">
        <w:rPr>
          <w:rFonts w:cstheme="minorHAnsi"/>
          <w:sz w:val="24"/>
          <w:szCs w:val="24"/>
        </w:rPr>
        <w:t>,</w:t>
      </w:r>
      <w:r w:rsidRPr="009513A7">
        <w:rPr>
          <w:rFonts w:cstheme="minorHAnsi"/>
          <w:sz w:val="24"/>
          <w:szCs w:val="24"/>
        </w:rPr>
        <w:t xml:space="preserve"> and Jackson State </w:t>
      </w:r>
      <w:bookmarkStart w:id="7" w:name="_Hlk83553564"/>
      <w:r w:rsidRPr="009513A7">
        <w:rPr>
          <w:rFonts w:cstheme="minorHAnsi"/>
          <w:sz w:val="24"/>
          <w:szCs w:val="24"/>
        </w:rPr>
        <w:t xml:space="preserve">ignited fear and highlighted issues related to student rights and safety (Langman, 2015; Lewis &amp; Hensley, 1998; McGee &amp; Platt, 2015). </w:t>
      </w:r>
      <w:bookmarkEnd w:id="7"/>
    </w:p>
    <w:p w14:paraId="46ADCC09" w14:textId="2330E79D" w:rsidR="00501548" w:rsidRPr="009513A7" w:rsidRDefault="00DD7D17" w:rsidP="00501548">
      <w:pPr>
        <w:spacing w:after="0" w:line="480" w:lineRule="auto"/>
        <w:ind w:firstLine="720"/>
        <w:rPr>
          <w:rFonts w:cstheme="minorHAnsi"/>
          <w:sz w:val="24"/>
          <w:szCs w:val="24"/>
        </w:rPr>
      </w:pPr>
      <w:r>
        <w:rPr>
          <w:rFonts w:cstheme="minorHAnsi"/>
          <w:sz w:val="24"/>
          <w:szCs w:val="24"/>
        </w:rPr>
        <w:t>Since the 1980s</w:t>
      </w:r>
      <w:r w:rsidR="00501548" w:rsidRPr="009513A7">
        <w:rPr>
          <w:rFonts w:cstheme="minorHAnsi"/>
          <w:sz w:val="24"/>
          <w:szCs w:val="24"/>
        </w:rPr>
        <w:t xml:space="preserve">, colleges and universities </w:t>
      </w:r>
      <w:r w:rsidR="005F69FB">
        <w:rPr>
          <w:rFonts w:cstheme="minorHAnsi"/>
          <w:sz w:val="24"/>
          <w:szCs w:val="24"/>
        </w:rPr>
        <w:t xml:space="preserve">have witnessed </w:t>
      </w:r>
      <w:r>
        <w:rPr>
          <w:rFonts w:cstheme="minorHAnsi"/>
          <w:sz w:val="24"/>
          <w:szCs w:val="24"/>
        </w:rPr>
        <w:t xml:space="preserve">an increase </w:t>
      </w:r>
      <w:r w:rsidR="00C01E3F">
        <w:rPr>
          <w:rFonts w:cstheme="minorHAnsi"/>
          <w:sz w:val="24"/>
          <w:szCs w:val="24"/>
        </w:rPr>
        <w:t xml:space="preserve">in </w:t>
      </w:r>
      <w:r w:rsidR="00501548" w:rsidRPr="009513A7">
        <w:rPr>
          <w:rFonts w:cstheme="minorHAnsi"/>
          <w:sz w:val="24"/>
          <w:szCs w:val="24"/>
        </w:rPr>
        <w:t>traged</w:t>
      </w:r>
      <w:r w:rsidR="005F69FB">
        <w:rPr>
          <w:rFonts w:cstheme="minorHAnsi"/>
          <w:sz w:val="24"/>
          <w:szCs w:val="24"/>
        </w:rPr>
        <w:t>ies</w:t>
      </w:r>
      <w:r w:rsidR="00501548" w:rsidRPr="009513A7">
        <w:rPr>
          <w:rFonts w:cstheme="minorHAnsi"/>
          <w:sz w:val="24"/>
          <w:szCs w:val="24"/>
        </w:rPr>
        <w:t xml:space="preserve"> </w:t>
      </w:r>
      <w:r>
        <w:rPr>
          <w:rFonts w:cstheme="minorHAnsi"/>
          <w:sz w:val="24"/>
          <w:szCs w:val="24"/>
        </w:rPr>
        <w:t>on campus, reaching an all-time high in 2021</w:t>
      </w:r>
      <w:r w:rsidR="00C01E3F">
        <w:rPr>
          <w:rFonts w:cstheme="minorHAnsi"/>
          <w:sz w:val="24"/>
          <w:szCs w:val="24"/>
        </w:rPr>
        <w:t xml:space="preserve"> (</w:t>
      </w:r>
      <w:r>
        <w:rPr>
          <w:rFonts w:cstheme="minorHAnsi"/>
          <w:bCs/>
          <w:iCs/>
          <w:sz w:val="24"/>
          <w:szCs w:val="24"/>
        </w:rPr>
        <w:t xml:space="preserve">Blair &amp; Schweit, 2014; </w:t>
      </w:r>
      <w:r w:rsidRPr="00A026B0">
        <w:rPr>
          <w:rFonts w:cstheme="minorHAnsi"/>
          <w:sz w:val="24"/>
          <w:szCs w:val="24"/>
        </w:rPr>
        <w:t>Federal Bureau of Investigation</w:t>
      </w:r>
      <w:r>
        <w:rPr>
          <w:rFonts w:cstheme="minorHAnsi"/>
          <w:sz w:val="24"/>
          <w:szCs w:val="24"/>
        </w:rPr>
        <w:t xml:space="preserve"> et al., 2021</w:t>
      </w:r>
      <w:r w:rsidR="00752CBD">
        <w:rPr>
          <w:rFonts w:cstheme="minorHAnsi"/>
          <w:bCs/>
          <w:iCs/>
          <w:sz w:val="24"/>
          <w:szCs w:val="24"/>
        </w:rPr>
        <w:t>)</w:t>
      </w:r>
      <w:r w:rsidR="00501548" w:rsidRPr="009513A7">
        <w:rPr>
          <w:rFonts w:cstheme="minorHAnsi"/>
          <w:sz w:val="24"/>
          <w:szCs w:val="24"/>
        </w:rPr>
        <w:t xml:space="preserve">. The 2007 Virginia Tech </w:t>
      </w:r>
      <w:r w:rsidR="005F69FB">
        <w:rPr>
          <w:rFonts w:cstheme="minorHAnsi"/>
          <w:sz w:val="24"/>
          <w:szCs w:val="24"/>
        </w:rPr>
        <w:t xml:space="preserve">shooting </w:t>
      </w:r>
      <w:r w:rsidR="00501548" w:rsidRPr="009513A7">
        <w:rPr>
          <w:rFonts w:cstheme="minorHAnsi"/>
          <w:sz w:val="24"/>
          <w:szCs w:val="24"/>
        </w:rPr>
        <w:t xml:space="preserve">was a catalyst for IHEs and organized emergency management with a call for </w:t>
      </w:r>
      <w:r w:rsidR="005F69FB">
        <w:rPr>
          <w:rFonts w:cstheme="minorHAnsi"/>
          <w:sz w:val="24"/>
          <w:szCs w:val="24"/>
        </w:rPr>
        <w:t>greater</w:t>
      </w:r>
      <w:r w:rsidR="00501548" w:rsidRPr="009513A7">
        <w:rPr>
          <w:rFonts w:cstheme="minorHAnsi"/>
          <w:sz w:val="24"/>
          <w:szCs w:val="24"/>
        </w:rPr>
        <w:t xml:space="preserve"> prevention strategies (Virginia Tech Review Panel, 2007). That</w:t>
      </w:r>
      <w:r w:rsidR="005F69FB">
        <w:rPr>
          <w:rFonts w:cstheme="minorHAnsi"/>
          <w:sz w:val="24"/>
          <w:szCs w:val="24"/>
        </w:rPr>
        <w:t>,</w:t>
      </w:r>
      <w:r w:rsidR="00501548" w:rsidRPr="009513A7">
        <w:rPr>
          <w:rFonts w:cstheme="minorHAnsi"/>
          <w:sz w:val="24"/>
          <w:szCs w:val="24"/>
        </w:rPr>
        <w:t xml:space="preserve"> paired with shootings at </w:t>
      </w:r>
      <w:r w:rsidR="005F69FB">
        <w:rPr>
          <w:rFonts w:cstheme="minorHAnsi"/>
          <w:sz w:val="24"/>
          <w:szCs w:val="24"/>
        </w:rPr>
        <w:t xml:space="preserve">other </w:t>
      </w:r>
      <w:r w:rsidR="00501548" w:rsidRPr="009513A7">
        <w:rPr>
          <w:rFonts w:cstheme="minorHAnsi"/>
          <w:sz w:val="24"/>
          <w:szCs w:val="24"/>
        </w:rPr>
        <w:t xml:space="preserve">IHEs such as the </w:t>
      </w:r>
      <w:r w:rsidR="005F69FB">
        <w:rPr>
          <w:rFonts w:cstheme="minorHAnsi"/>
          <w:sz w:val="24"/>
          <w:szCs w:val="24"/>
        </w:rPr>
        <w:t>2008</w:t>
      </w:r>
      <w:r w:rsidR="00501548" w:rsidRPr="009513A7">
        <w:rPr>
          <w:rFonts w:cstheme="minorHAnsi"/>
          <w:sz w:val="24"/>
          <w:szCs w:val="24"/>
        </w:rPr>
        <w:t xml:space="preserve"> Northern Illinois University </w:t>
      </w:r>
      <w:r>
        <w:rPr>
          <w:rFonts w:cstheme="minorHAnsi"/>
          <w:sz w:val="24"/>
          <w:szCs w:val="24"/>
        </w:rPr>
        <w:t xml:space="preserve">and </w:t>
      </w:r>
      <w:r w:rsidR="005F69FB">
        <w:rPr>
          <w:rFonts w:cstheme="minorHAnsi"/>
          <w:sz w:val="24"/>
          <w:szCs w:val="24"/>
        </w:rPr>
        <w:t xml:space="preserve">2015 </w:t>
      </w:r>
      <w:r w:rsidR="00501548" w:rsidRPr="009513A7">
        <w:rPr>
          <w:rFonts w:cstheme="minorHAnsi"/>
          <w:sz w:val="24"/>
          <w:szCs w:val="24"/>
        </w:rPr>
        <w:t xml:space="preserve">Umpqua Community College </w:t>
      </w:r>
      <w:r w:rsidR="005F69FB">
        <w:rPr>
          <w:rFonts w:cstheme="minorHAnsi"/>
          <w:sz w:val="24"/>
          <w:szCs w:val="24"/>
        </w:rPr>
        <w:t>shootings</w:t>
      </w:r>
      <w:r w:rsidR="00501548" w:rsidRPr="009513A7">
        <w:rPr>
          <w:rFonts w:cstheme="minorHAnsi"/>
          <w:sz w:val="24"/>
          <w:szCs w:val="24"/>
        </w:rPr>
        <w:t xml:space="preserve">, both marked turning points for </w:t>
      </w:r>
      <w:r w:rsidR="00501548" w:rsidRPr="009513A7">
        <w:rPr>
          <w:rFonts w:cstheme="minorHAnsi"/>
          <w:sz w:val="24"/>
          <w:szCs w:val="24"/>
        </w:rPr>
        <w:lastRenderedPageBreak/>
        <w:t xml:space="preserve">more anti-gun campaigns (Barker &amp; Yoder, 2012; </w:t>
      </w:r>
      <w:r w:rsidR="00501548" w:rsidRPr="009513A7">
        <w:rPr>
          <w:rFonts w:cstheme="minorHAnsi"/>
          <w:sz w:val="24"/>
          <w:szCs w:val="24"/>
          <w:shd w:val="clear" w:color="auto" w:fill="FFFFFF"/>
        </w:rPr>
        <w:t>Keneally, 2019</w:t>
      </w:r>
      <w:r w:rsidR="00501548" w:rsidRPr="009513A7">
        <w:rPr>
          <w:rFonts w:cstheme="minorHAnsi"/>
          <w:sz w:val="24"/>
          <w:szCs w:val="24"/>
        </w:rPr>
        <w:t xml:space="preserve">). </w:t>
      </w:r>
      <w:r>
        <w:rPr>
          <w:rFonts w:cstheme="minorHAnsi"/>
          <w:sz w:val="24"/>
          <w:szCs w:val="24"/>
        </w:rPr>
        <w:t xml:space="preserve">These events </w:t>
      </w:r>
      <w:r w:rsidR="00C01E3F">
        <w:rPr>
          <w:rFonts w:cstheme="minorHAnsi"/>
          <w:sz w:val="24"/>
          <w:szCs w:val="24"/>
        </w:rPr>
        <w:t xml:space="preserve">resulted in </w:t>
      </w:r>
      <w:r>
        <w:rPr>
          <w:rFonts w:cstheme="minorHAnsi"/>
          <w:sz w:val="24"/>
          <w:szCs w:val="24"/>
        </w:rPr>
        <w:t xml:space="preserve">a combined death toll of 15 people and were significant tragedies at IHEs, </w:t>
      </w:r>
      <w:r w:rsidR="00C01E3F">
        <w:rPr>
          <w:rFonts w:cstheme="minorHAnsi"/>
          <w:sz w:val="24"/>
          <w:szCs w:val="24"/>
        </w:rPr>
        <w:t>further</w:t>
      </w:r>
      <w:r>
        <w:rPr>
          <w:rFonts w:cstheme="minorHAnsi"/>
          <w:sz w:val="24"/>
          <w:szCs w:val="24"/>
        </w:rPr>
        <w:t xml:space="preserve"> increasing the call for solutions (</w:t>
      </w:r>
      <w:r w:rsidRPr="00EF4B0B">
        <w:rPr>
          <w:rFonts w:cstheme="minorHAnsi"/>
          <w:sz w:val="24"/>
          <w:szCs w:val="24"/>
        </w:rPr>
        <w:t>Keneally</w:t>
      </w:r>
      <w:r>
        <w:rPr>
          <w:rFonts w:cstheme="minorHAnsi"/>
          <w:sz w:val="24"/>
          <w:szCs w:val="24"/>
        </w:rPr>
        <w:t xml:space="preserve">, 2019). </w:t>
      </w:r>
      <w:r w:rsidR="005F69FB">
        <w:rPr>
          <w:rFonts w:cstheme="minorHAnsi"/>
          <w:sz w:val="24"/>
          <w:szCs w:val="24"/>
        </w:rPr>
        <w:t xml:space="preserve">Data reveals </w:t>
      </w:r>
      <w:r w:rsidR="00501548" w:rsidRPr="009513A7">
        <w:rPr>
          <w:rFonts w:cstheme="minorHAnsi"/>
          <w:sz w:val="24"/>
          <w:szCs w:val="24"/>
        </w:rPr>
        <w:t xml:space="preserve">guns allowed on public campuses has increased since 2011 and the gun culture in the United </w:t>
      </w:r>
      <w:r w:rsidR="004E6F0C">
        <w:rPr>
          <w:rFonts w:cstheme="minorHAnsi"/>
          <w:sz w:val="24"/>
          <w:szCs w:val="24"/>
        </w:rPr>
        <w:t xml:space="preserve">States </w:t>
      </w:r>
      <w:r w:rsidR="005F69FB">
        <w:rPr>
          <w:rFonts w:cstheme="minorHAnsi"/>
          <w:sz w:val="24"/>
          <w:szCs w:val="24"/>
        </w:rPr>
        <w:t xml:space="preserve">typically </w:t>
      </w:r>
      <w:r w:rsidR="00501548" w:rsidRPr="009513A7">
        <w:rPr>
          <w:rFonts w:cstheme="minorHAnsi"/>
          <w:sz w:val="24"/>
          <w:szCs w:val="24"/>
        </w:rPr>
        <w:t xml:space="preserve">has two </w:t>
      </w:r>
      <w:r w:rsidR="005F69FB">
        <w:rPr>
          <w:rFonts w:cstheme="minorHAnsi"/>
          <w:sz w:val="24"/>
          <w:szCs w:val="24"/>
        </w:rPr>
        <w:t>perspectives</w:t>
      </w:r>
      <w:r w:rsidR="00501548" w:rsidRPr="009513A7">
        <w:rPr>
          <w:rFonts w:cstheme="minorHAnsi"/>
          <w:sz w:val="24"/>
          <w:szCs w:val="24"/>
        </w:rPr>
        <w:t>, more guns equal more safety</w:t>
      </w:r>
      <w:r w:rsidR="005F69FB">
        <w:rPr>
          <w:rFonts w:cstheme="minorHAnsi"/>
          <w:sz w:val="24"/>
          <w:szCs w:val="24"/>
        </w:rPr>
        <w:t>,</w:t>
      </w:r>
      <w:r w:rsidR="00501548" w:rsidRPr="009513A7">
        <w:rPr>
          <w:rFonts w:cstheme="minorHAnsi"/>
          <w:sz w:val="24"/>
          <w:szCs w:val="24"/>
        </w:rPr>
        <w:t xml:space="preserve"> and less guns equal more safety (Birnbaum, 2013</w:t>
      </w:r>
      <w:r>
        <w:rPr>
          <w:rFonts w:cstheme="minorHAnsi"/>
          <w:sz w:val="24"/>
          <w:szCs w:val="24"/>
        </w:rPr>
        <w:t xml:space="preserve">; Education Commission for the State, 2022; </w:t>
      </w:r>
      <w:r>
        <w:rPr>
          <w:rFonts w:cstheme="minorHAnsi"/>
          <w:bCs/>
          <w:iCs/>
          <w:sz w:val="24"/>
          <w:szCs w:val="24"/>
        </w:rPr>
        <w:t xml:space="preserve">Federal Bureau of Investigation et al., 2022; </w:t>
      </w:r>
      <w:r w:rsidRPr="009513A7">
        <w:rPr>
          <w:rFonts w:eastAsia="Calibri" w:cstheme="minorHAnsi"/>
          <w:sz w:val="24"/>
          <w:szCs w:val="24"/>
        </w:rPr>
        <w:t>Somers &amp; Valentine, 2020</w:t>
      </w:r>
      <w:r w:rsidR="00501548" w:rsidRPr="009513A7">
        <w:rPr>
          <w:rFonts w:cstheme="minorHAnsi"/>
          <w:sz w:val="24"/>
          <w:szCs w:val="24"/>
        </w:rPr>
        <w:t>). There has been much debate over campus carry law</w:t>
      </w:r>
      <w:r w:rsidR="005F69FB">
        <w:rPr>
          <w:rFonts w:cstheme="minorHAnsi"/>
          <w:sz w:val="24"/>
          <w:szCs w:val="24"/>
        </w:rPr>
        <w:t>s</w:t>
      </w:r>
      <w:r w:rsidR="00501548" w:rsidRPr="009513A7">
        <w:rPr>
          <w:rFonts w:cstheme="minorHAnsi"/>
          <w:sz w:val="24"/>
          <w:szCs w:val="24"/>
        </w:rPr>
        <w:t xml:space="preserve"> with many IHEs concerned about the controversial idea of guns in the classroom and campus </w:t>
      </w:r>
      <w:r w:rsidR="0068421D" w:rsidRPr="009513A7">
        <w:rPr>
          <w:rFonts w:cstheme="minorHAnsi"/>
          <w:sz w:val="24"/>
          <w:szCs w:val="24"/>
        </w:rPr>
        <w:t>safety</w:t>
      </w:r>
      <w:r w:rsidR="00501548" w:rsidRPr="009513A7">
        <w:rPr>
          <w:rFonts w:cstheme="minorHAnsi"/>
          <w:sz w:val="24"/>
          <w:szCs w:val="24"/>
        </w:rPr>
        <w:t xml:space="preserve"> (</w:t>
      </w:r>
      <w:r>
        <w:rPr>
          <w:rFonts w:cstheme="minorHAnsi"/>
          <w:sz w:val="24"/>
          <w:szCs w:val="24"/>
        </w:rPr>
        <w:t>Olzak, 2023</w:t>
      </w:r>
      <w:r>
        <w:rPr>
          <w:rFonts w:eastAsia="Calibri" w:cstheme="minorHAnsi"/>
          <w:sz w:val="24"/>
          <w:szCs w:val="24"/>
        </w:rPr>
        <w:t xml:space="preserve">; </w:t>
      </w:r>
      <w:r w:rsidR="00501548" w:rsidRPr="009513A7">
        <w:rPr>
          <w:rFonts w:eastAsia="Calibri" w:cstheme="minorHAnsi"/>
          <w:sz w:val="24"/>
          <w:szCs w:val="24"/>
        </w:rPr>
        <w:t>Somers &amp; Valentine, 2020).</w:t>
      </w:r>
      <w:r w:rsidR="00501548" w:rsidRPr="009513A7">
        <w:rPr>
          <w:rFonts w:cstheme="minorHAnsi"/>
          <w:sz w:val="24"/>
          <w:szCs w:val="24"/>
        </w:rPr>
        <w:t xml:space="preserve"> Contemporary responses to violent attacks on campus include the Clery Act (reporting of campus crime), the need for concealed weapons permits, and criminal profiling (</w:t>
      </w:r>
      <w:r>
        <w:rPr>
          <w:rFonts w:cstheme="minorHAnsi"/>
          <w:sz w:val="24"/>
          <w:szCs w:val="24"/>
        </w:rPr>
        <w:t xml:space="preserve">Janosik &amp; Plummer, 2005; </w:t>
      </w:r>
      <w:r w:rsidRPr="009513A7">
        <w:rPr>
          <w:rFonts w:eastAsia="Calibri" w:cstheme="minorHAnsi"/>
          <w:sz w:val="24"/>
          <w:szCs w:val="24"/>
        </w:rPr>
        <w:t>Somers &amp; Valentine, 2020</w:t>
      </w:r>
      <w:r>
        <w:rPr>
          <w:rFonts w:eastAsia="Calibri" w:cstheme="minorHAnsi"/>
          <w:sz w:val="24"/>
          <w:szCs w:val="24"/>
        </w:rPr>
        <w:t xml:space="preserve">; </w:t>
      </w:r>
      <w:r w:rsidR="00501548" w:rsidRPr="009513A7">
        <w:rPr>
          <w:rFonts w:cstheme="minorHAnsi"/>
          <w:sz w:val="24"/>
          <w:szCs w:val="24"/>
        </w:rPr>
        <w:t xml:space="preserve">Sulkowski &amp; Lazarus, 2011). </w:t>
      </w:r>
      <w:r>
        <w:rPr>
          <w:rFonts w:cstheme="minorHAnsi"/>
          <w:sz w:val="24"/>
          <w:szCs w:val="24"/>
        </w:rPr>
        <w:t>Sanburn (2015)</w:t>
      </w:r>
      <w:r w:rsidR="00501548" w:rsidRPr="009513A7">
        <w:rPr>
          <w:rFonts w:cstheme="minorHAnsi"/>
          <w:sz w:val="24"/>
          <w:szCs w:val="24"/>
        </w:rPr>
        <w:t xml:space="preserve"> offer</w:t>
      </w:r>
      <w:r w:rsidR="00C01E3F">
        <w:rPr>
          <w:rFonts w:cstheme="minorHAnsi"/>
          <w:sz w:val="24"/>
          <w:szCs w:val="24"/>
        </w:rPr>
        <w:t>ed</w:t>
      </w:r>
      <w:r w:rsidR="00501548" w:rsidRPr="009513A7">
        <w:rPr>
          <w:rFonts w:cstheme="minorHAnsi"/>
          <w:sz w:val="24"/>
          <w:szCs w:val="24"/>
        </w:rPr>
        <w:t xml:space="preserve"> controversial, yet potentially effective ideas to prevent a shooting, such as refrain</w:t>
      </w:r>
      <w:r w:rsidR="005F69FB">
        <w:rPr>
          <w:rFonts w:cstheme="minorHAnsi"/>
          <w:sz w:val="24"/>
          <w:szCs w:val="24"/>
        </w:rPr>
        <w:t>ing</w:t>
      </w:r>
      <w:r w:rsidR="00501548" w:rsidRPr="009513A7">
        <w:rPr>
          <w:rFonts w:cstheme="minorHAnsi"/>
          <w:sz w:val="24"/>
          <w:szCs w:val="24"/>
        </w:rPr>
        <w:t xml:space="preserve"> from using the shooters’ name(s) in media and communications, mandat</w:t>
      </w:r>
      <w:r w:rsidR="005F69FB">
        <w:rPr>
          <w:rFonts w:cstheme="minorHAnsi"/>
          <w:sz w:val="24"/>
          <w:szCs w:val="24"/>
        </w:rPr>
        <w:t>ing</w:t>
      </w:r>
      <w:r w:rsidR="00501548" w:rsidRPr="009513A7">
        <w:rPr>
          <w:rFonts w:cstheme="minorHAnsi"/>
          <w:sz w:val="24"/>
          <w:szCs w:val="24"/>
        </w:rPr>
        <w:t xml:space="preserve"> mental health treatment for those who pose a risk, implement</w:t>
      </w:r>
      <w:r w:rsidR="005F69FB">
        <w:rPr>
          <w:rFonts w:cstheme="minorHAnsi"/>
          <w:sz w:val="24"/>
          <w:szCs w:val="24"/>
        </w:rPr>
        <w:t>ing</w:t>
      </w:r>
      <w:r w:rsidR="00501548" w:rsidRPr="009513A7">
        <w:rPr>
          <w:rFonts w:cstheme="minorHAnsi"/>
          <w:sz w:val="24"/>
          <w:szCs w:val="24"/>
        </w:rPr>
        <w:t xml:space="preserve"> security systems, </w:t>
      </w:r>
      <w:r w:rsidR="005F69FB">
        <w:rPr>
          <w:rFonts w:cstheme="minorHAnsi"/>
          <w:sz w:val="24"/>
          <w:szCs w:val="24"/>
        </w:rPr>
        <w:t>passing</w:t>
      </w:r>
      <w:r w:rsidR="00501548" w:rsidRPr="009513A7">
        <w:rPr>
          <w:rFonts w:cstheme="minorHAnsi"/>
          <w:sz w:val="24"/>
          <w:szCs w:val="24"/>
        </w:rPr>
        <w:t xml:space="preserve"> legislation to prevent individuals from obtaining weapons, and hold</w:t>
      </w:r>
      <w:r w:rsidR="005F69FB">
        <w:rPr>
          <w:rFonts w:cstheme="minorHAnsi"/>
          <w:sz w:val="24"/>
          <w:szCs w:val="24"/>
        </w:rPr>
        <w:t>ing</w:t>
      </w:r>
      <w:r w:rsidR="00501548" w:rsidRPr="009513A7">
        <w:rPr>
          <w:rFonts w:cstheme="minorHAnsi"/>
          <w:sz w:val="24"/>
          <w:szCs w:val="24"/>
        </w:rPr>
        <w:t xml:space="preserve"> gun manufacturers accountable.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00501548" w:rsidRPr="009513A7">
        <w:rPr>
          <w:rFonts w:cstheme="minorHAnsi"/>
          <w:sz w:val="24"/>
          <w:szCs w:val="24"/>
        </w:rPr>
        <w:t xml:space="preserve">should be </w:t>
      </w:r>
      <w:r w:rsidR="005F69FB">
        <w:rPr>
          <w:rFonts w:cstheme="minorHAnsi"/>
          <w:sz w:val="24"/>
          <w:szCs w:val="24"/>
        </w:rPr>
        <w:t>knowledgeable</w:t>
      </w:r>
      <w:r w:rsidR="005F69FB" w:rsidRPr="009513A7">
        <w:rPr>
          <w:rFonts w:cstheme="minorHAnsi"/>
          <w:sz w:val="24"/>
          <w:szCs w:val="24"/>
        </w:rPr>
        <w:t xml:space="preserve"> </w:t>
      </w:r>
      <w:r w:rsidR="00501548" w:rsidRPr="009513A7">
        <w:rPr>
          <w:rFonts w:cstheme="minorHAnsi"/>
          <w:sz w:val="24"/>
          <w:szCs w:val="24"/>
        </w:rPr>
        <w:t>of requirements or strategies related to violence prevention. Crime reporting and allowing weapons on campus as means to increase campus safety are supported by limited data, however, there is more support in the literature for threat prevention and assessment strategies (</w:t>
      </w:r>
      <w:r>
        <w:rPr>
          <w:rFonts w:cstheme="minorHAnsi"/>
          <w:sz w:val="24"/>
          <w:szCs w:val="24"/>
        </w:rPr>
        <w:t xml:space="preserve">Cornell et al., 2021; Deisinger at al., 2008; </w:t>
      </w:r>
      <w:r w:rsidR="00752CBD" w:rsidRPr="00361D80">
        <w:rPr>
          <w:rFonts w:cstheme="minorHAnsi"/>
          <w:bCs/>
          <w:sz w:val="24"/>
          <w:szCs w:val="24"/>
        </w:rPr>
        <w:t>Meloy &amp; Hoffmann, 2021</w:t>
      </w:r>
      <w:r w:rsidR="00752CBD">
        <w:rPr>
          <w:rFonts w:cstheme="minorHAnsi"/>
          <w:bCs/>
          <w:sz w:val="24"/>
          <w:szCs w:val="24"/>
        </w:rPr>
        <w:t xml:space="preserve">; </w:t>
      </w:r>
      <w:r w:rsidR="00501548" w:rsidRPr="009513A7">
        <w:rPr>
          <w:rFonts w:cstheme="minorHAnsi"/>
          <w:sz w:val="24"/>
          <w:szCs w:val="24"/>
        </w:rPr>
        <w:t>Sulkowski &amp; Lazarus, 2011)</w:t>
      </w:r>
      <w:r w:rsidR="0065462A" w:rsidRPr="009513A7">
        <w:rPr>
          <w:rFonts w:cstheme="minorHAnsi"/>
          <w:sz w:val="24"/>
          <w:szCs w:val="24"/>
        </w:rPr>
        <w:t xml:space="preserve">. </w:t>
      </w:r>
    </w:p>
    <w:p w14:paraId="14794E4A" w14:textId="79548E02" w:rsidR="00501548" w:rsidRPr="009513A7" w:rsidRDefault="00501548" w:rsidP="00501548">
      <w:pPr>
        <w:spacing w:after="0" w:line="480" w:lineRule="auto"/>
        <w:ind w:firstLine="720"/>
        <w:rPr>
          <w:rFonts w:cstheme="minorHAnsi"/>
          <w:sz w:val="24"/>
          <w:szCs w:val="24"/>
        </w:rPr>
      </w:pPr>
      <w:r w:rsidRPr="009513A7">
        <w:rPr>
          <w:rFonts w:cstheme="minorHAnsi"/>
          <w:sz w:val="24"/>
          <w:szCs w:val="24"/>
        </w:rPr>
        <w:t xml:space="preserve">The debate on gun control is far from over. However, it does illustrate the widespread desire for enhanced safety protocols at IHEs. In the diverse, complex, and legal environment of </w:t>
      </w:r>
      <w:r w:rsidRPr="009513A7">
        <w:rPr>
          <w:rFonts w:cstheme="minorHAnsi"/>
          <w:sz w:val="24"/>
          <w:szCs w:val="24"/>
        </w:rPr>
        <w:lastRenderedPageBreak/>
        <w:t>higher education, threat prevention and assessment and the policies that guide them are critical to the health, safety, and well-being of campus commun</w:t>
      </w:r>
      <w:r w:rsidR="004E6F0C">
        <w:rPr>
          <w:rFonts w:cstheme="minorHAnsi"/>
          <w:sz w:val="24"/>
          <w:szCs w:val="24"/>
        </w:rPr>
        <w:t xml:space="preserve">ities </w:t>
      </w:r>
      <w:r w:rsidRPr="009513A7">
        <w:rPr>
          <w:rFonts w:cstheme="minorHAnsi"/>
          <w:sz w:val="24"/>
          <w:szCs w:val="24"/>
        </w:rPr>
        <w:t>(</w:t>
      </w:r>
      <w:r w:rsidR="00DD7D17">
        <w:rPr>
          <w:rFonts w:cstheme="minorHAnsi"/>
          <w:sz w:val="24"/>
          <w:szCs w:val="24"/>
        </w:rPr>
        <w:t xml:space="preserve">Cornell et al., 2021; </w:t>
      </w:r>
      <w:r w:rsidRPr="009513A7">
        <w:rPr>
          <w:rFonts w:cstheme="minorHAnsi"/>
          <w:sz w:val="24"/>
          <w:szCs w:val="24"/>
        </w:rPr>
        <w:t>Heilbrun, 2009</w:t>
      </w:r>
      <w:r w:rsidR="00752CBD">
        <w:rPr>
          <w:rFonts w:cstheme="minorHAnsi"/>
          <w:bCs/>
          <w:iCs/>
          <w:sz w:val="24"/>
          <w:szCs w:val="24"/>
        </w:rPr>
        <w:t xml:space="preserve">; </w:t>
      </w:r>
      <w:r w:rsidR="00752CBD" w:rsidRPr="00361D80">
        <w:rPr>
          <w:rFonts w:cstheme="minorHAnsi"/>
          <w:bCs/>
          <w:sz w:val="24"/>
          <w:szCs w:val="24"/>
        </w:rPr>
        <w:t>Meloy &amp; Hoffmann, 2021</w:t>
      </w:r>
      <w:r w:rsidRPr="009513A7">
        <w:rPr>
          <w:rFonts w:cstheme="minorHAnsi"/>
          <w:sz w:val="24"/>
          <w:szCs w:val="24"/>
        </w:rPr>
        <w:t xml:space="preserve">). </w:t>
      </w:r>
      <w:r w:rsidR="00DA4029">
        <w:rPr>
          <w:rFonts w:cstheme="minorHAnsi"/>
          <w:sz w:val="24"/>
          <w:szCs w:val="24"/>
        </w:rPr>
        <w:t>In t</w:t>
      </w:r>
      <w:r w:rsidR="00A26C29">
        <w:rPr>
          <w:rFonts w:cstheme="minorHAnsi"/>
          <w:sz w:val="24"/>
          <w:szCs w:val="24"/>
        </w:rPr>
        <w:t xml:space="preserve">he next section </w:t>
      </w:r>
      <w:r w:rsidR="00DA4029">
        <w:rPr>
          <w:rFonts w:cstheme="minorHAnsi"/>
          <w:sz w:val="24"/>
          <w:szCs w:val="24"/>
        </w:rPr>
        <w:t xml:space="preserve">I </w:t>
      </w:r>
      <w:r w:rsidR="00A26C29" w:rsidRPr="009513A7">
        <w:rPr>
          <w:rFonts w:cstheme="minorHAnsi"/>
          <w:sz w:val="24"/>
          <w:szCs w:val="24"/>
        </w:rPr>
        <w:t xml:space="preserve">review a history of targeted-violence, specifically mass shootings in schools, </w:t>
      </w:r>
      <w:r w:rsidR="002D5C7E" w:rsidRPr="009513A7">
        <w:rPr>
          <w:rFonts w:cstheme="minorHAnsi"/>
          <w:sz w:val="24"/>
          <w:szCs w:val="24"/>
        </w:rPr>
        <w:t>which</w:t>
      </w:r>
      <w:r w:rsidR="00A26C29" w:rsidRPr="009513A7">
        <w:rPr>
          <w:rFonts w:cstheme="minorHAnsi"/>
          <w:sz w:val="24"/>
          <w:szCs w:val="24"/>
        </w:rPr>
        <w:t xml:space="preserve"> paved the way for prevention, intervention, and postvention efforts related to targeted violence in IHEs.</w:t>
      </w:r>
    </w:p>
    <w:p w14:paraId="0CBD1845" w14:textId="77777777" w:rsidR="00501548" w:rsidRPr="009513A7" w:rsidRDefault="00501548" w:rsidP="00501548">
      <w:pPr>
        <w:spacing w:after="0" w:line="480" w:lineRule="auto"/>
        <w:jc w:val="center"/>
        <w:rPr>
          <w:rFonts w:cstheme="minorHAnsi"/>
          <w:b/>
          <w:bCs/>
          <w:sz w:val="24"/>
          <w:szCs w:val="24"/>
        </w:rPr>
      </w:pPr>
      <w:r w:rsidRPr="009513A7">
        <w:rPr>
          <w:rFonts w:cstheme="minorHAnsi"/>
          <w:b/>
          <w:bCs/>
          <w:sz w:val="24"/>
          <w:szCs w:val="24"/>
        </w:rPr>
        <w:t>Mass Shootings in Schools</w:t>
      </w:r>
    </w:p>
    <w:p w14:paraId="622634EA" w14:textId="429E4949" w:rsidR="00501548" w:rsidRPr="009513A7" w:rsidRDefault="00DD7D17" w:rsidP="00501ED9">
      <w:pPr>
        <w:spacing w:after="0" w:line="480" w:lineRule="auto"/>
        <w:ind w:firstLine="720"/>
        <w:rPr>
          <w:rFonts w:cstheme="minorHAnsi"/>
          <w:sz w:val="24"/>
          <w:szCs w:val="24"/>
          <w:shd w:val="clear" w:color="auto" w:fill="FFFFFF"/>
        </w:rPr>
      </w:pPr>
      <w:r>
        <w:rPr>
          <w:rFonts w:cstheme="minorHAnsi"/>
          <w:sz w:val="24"/>
          <w:szCs w:val="24"/>
        </w:rPr>
        <w:t>In this section</w:t>
      </w:r>
      <w:r w:rsidR="00C01E3F">
        <w:rPr>
          <w:rFonts w:cstheme="minorHAnsi"/>
          <w:sz w:val="24"/>
          <w:szCs w:val="24"/>
        </w:rPr>
        <w:t>,</w:t>
      </w:r>
      <w:r>
        <w:rPr>
          <w:rFonts w:cstheme="minorHAnsi"/>
          <w:sz w:val="24"/>
          <w:szCs w:val="24"/>
        </w:rPr>
        <w:t xml:space="preserve"> I </w:t>
      </w:r>
      <w:r w:rsidR="00523617">
        <w:rPr>
          <w:rFonts w:cstheme="minorHAnsi"/>
          <w:sz w:val="24"/>
          <w:szCs w:val="24"/>
        </w:rPr>
        <w:t xml:space="preserve">provide a brief overview </w:t>
      </w:r>
      <w:r>
        <w:rPr>
          <w:rFonts w:cstheme="minorHAnsi"/>
          <w:sz w:val="24"/>
          <w:szCs w:val="24"/>
        </w:rPr>
        <w:t xml:space="preserve">of mass shootings in schools. </w:t>
      </w:r>
      <w:r w:rsidR="00501548" w:rsidRPr="009513A7">
        <w:rPr>
          <w:rFonts w:cstheme="minorHAnsi"/>
          <w:sz w:val="24"/>
          <w:szCs w:val="24"/>
        </w:rPr>
        <w:t xml:space="preserve">A school shooting by a student in 1853 served as an early example of violence in schools (Amada, 2007). However, </w:t>
      </w:r>
      <w:r w:rsidR="005E385F" w:rsidRPr="009513A7">
        <w:rPr>
          <w:rFonts w:cstheme="minorHAnsi"/>
          <w:sz w:val="24"/>
          <w:szCs w:val="24"/>
        </w:rPr>
        <w:t xml:space="preserve">more documented gun violence </w:t>
      </w:r>
      <w:r w:rsidR="005E385F">
        <w:rPr>
          <w:rFonts w:cstheme="minorHAnsi"/>
          <w:sz w:val="24"/>
          <w:szCs w:val="24"/>
        </w:rPr>
        <w:t>began</w:t>
      </w:r>
      <w:r w:rsidR="00C602C8">
        <w:rPr>
          <w:rFonts w:cstheme="minorHAnsi"/>
          <w:sz w:val="24"/>
          <w:szCs w:val="24"/>
        </w:rPr>
        <w:t xml:space="preserve"> in</w:t>
      </w:r>
      <w:r w:rsidR="00501548" w:rsidRPr="009513A7">
        <w:rPr>
          <w:rFonts w:cstheme="minorHAnsi"/>
          <w:sz w:val="24"/>
          <w:szCs w:val="24"/>
        </w:rPr>
        <w:t xml:space="preserve"> the 1900s. In 1955</w:t>
      </w:r>
      <w:r w:rsidR="00C01E3F">
        <w:rPr>
          <w:rFonts w:cstheme="minorHAnsi"/>
          <w:sz w:val="24"/>
          <w:szCs w:val="24"/>
        </w:rPr>
        <w:t>,</w:t>
      </w:r>
      <w:r w:rsidR="00501548" w:rsidRPr="009513A7">
        <w:rPr>
          <w:rFonts w:cstheme="minorHAnsi"/>
          <w:sz w:val="24"/>
          <w:szCs w:val="24"/>
        </w:rPr>
        <w:t xml:space="preserve"> a fraternity member confronted others with a rifle because of hazing at Swarthmore College (Amada, 2007). </w:t>
      </w:r>
      <w:r w:rsidR="000760F4">
        <w:rPr>
          <w:rFonts w:cstheme="minorHAnsi"/>
          <w:sz w:val="24"/>
          <w:szCs w:val="24"/>
        </w:rPr>
        <w:t>A</w:t>
      </w:r>
      <w:r w:rsidR="00501548" w:rsidRPr="009513A7">
        <w:rPr>
          <w:rFonts w:cstheme="minorHAnsi"/>
          <w:sz w:val="24"/>
          <w:szCs w:val="24"/>
        </w:rPr>
        <w:t xml:space="preserve"> decade later, at the University of Texas at Austin, a shooting occurred on campus and was the first</w:t>
      </w:r>
      <w:r w:rsidR="000760F4">
        <w:rPr>
          <w:rFonts w:cstheme="minorHAnsi"/>
          <w:sz w:val="24"/>
          <w:szCs w:val="24"/>
        </w:rPr>
        <w:t xml:space="preserve"> mass shooting</w:t>
      </w:r>
      <w:r w:rsidR="00501548" w:rsidRPr="009513A7">
        <w:rPr>
          <w:rFonts w:cstheme="minorHAnsi"/>
          <w:sz w:val="24"/>
          <w:szCs w:val="24"/>
        </w:rPr>
        <w:t xml:space="preserve"> to receive national media attention. Charles Whitman, a student, random</w:t>
      </w:r>
      <w:r w:rsidR="000760F4">
        <w:rPr>
          <w:rFonts w:cstheme="minorHAnsi"/>
          <w:sz w:val="24"/>
          <w:szCs w:val="24"/>
        </w:rPr>
        <w:t xml:space="preserve">ly shot </w:t>
      </w:r>
      <w:r w:rsidR="00501548" w:rsidRPr="009513A7">
        <w:rPr>
          <w:rFonts w:cstheme="minorHAnsi"/>
          <w:sz w:val="24"/>
          <w:szCs w:val="24"/>
        </w:rPr>
        <w:t xml:space="preserve">people from the </w:t>
      </w:r>
      <w:r w:rsidR="000760F4">
        <w:rPr>
          <w:rFonts w:cstheme="minorHAnsi"/>
          <w:sz w:val="24"/>
          <w:szCs w:val="24"/>
        </w:rPr>
        <w:t xml:space="preserve">campus </w:t>
      </w:r>
      <w:r w:rsidR="00501548" w:rsidRPr="009513A7">
        <w:rPr>
          <w:rFonts w:cstheme="minorHAnsi"/>
          <w:sz w:val="24"/>
          <w:szCs w:val="24"/>
        </w:rPr>
        <w:t xml:space="preserve">clock tower resulting in 16 deaths and 31 </w:t>
      </w:r>
      <w:r w:rsidR="000760F4">
        <w:rPr>
          <w:rFonts w:cstheme="minorHAnsi"/>
          <w:sz w:val="24"/>
          <w:szCs w:val="24"/>
        </w:rPr>
        <w:t xml:space="preserve">people </w:t>
      </w:r>
      <w:r w:rsidR="00501548" w:rsidRPr="009513A7">
        <w:rPr>
          <w:rFonts w:cstheme="minorHAnsi"/>
          <w:sz w:val="24"/>
          <w:szCs w:val="24"/>
        </w:rPr>
        <w:t xml:space="preserve">wounded (Colloff, 2006; Langman, 2015). </w:t>
      </w:r>
      <w:bookmarkStart w:id="8" w:name="_Hlk152164080"/>
      <w:bookmarkStart w:id="9" w:name="_Hlk152165221"/>
      <w:r w:rsidR="00FB2D8A">
        <w:rPr>
          <w:rFonts w:cstheme="minorHAnsi"/>
          <w:sz w:val="24"/>
          <w:szCs w:val="24"/>
        </w:rPr>
        <w:t>Concurrently</w:t>
      </w:r>
      <w:r w:rsidR="00FB2D8A" w:rsidRPr="009513A7">
        <w:rPr>
          <w:rFonts w:cstheme="minorHAnsi"/>
          <w:sz w:val="24"/>
          <w:szCs w:val="24"/>
        </w:rPr>
        <w:t xml:space="preserve">, political unrest </w:t>
      </w:r>
      <w:r w:rsidR="00FB2D8A">
        <w:rPr>
          <w:rFonts w:cstheme="minorHAnsi"/>
          <w:sz w:val="24"/>
          <w:szCs w:val="24"/>
        </w:rPr>
        <w:t>was taking place on</w:t>
      </w:r>
      <w:r w:rsidR="00FB2D8A" w:rsidRPr="009513A7">
        <w:rPr>
          <w:rFonts w:cstheme="minorHAnsi"/>
          <w:sz w:val="24"/>
          <w:szCs w:val="24"/>
        </w:rPr>
        <w:t xml:space="preserve"> campus</w:t>
      </w:r>
      <w:r w:rsidR="00FB2D8A">
        <w:rPr>
          <w:rFonts w:cstheme="minorHAnsi"/>
          <w:sz w:val="24"/>
          <w:szCs w:val="24"/>
        </w:rPr>
        <w:t>es as Vietnam Era protests and</w:t>
      </w:r>
      <w:r w:rsidR="00FB2D8A" w:rsidRPr="009513A7">
        <w:rPr>
          <w:rFonts w:cstheme="minorHAnsi"/>
          <w:sz w:val="24"/>
          <w:szCs w:val="24"/>
        </w:rPr>
        <w:t xml:space="preserve"> </w:t>
      </w:r>
      <w:r w:rsidR="00FB2D8A">
        <w:rPr>
          <w:rFonts w:cstheme="minorHAnsi"/>
          <w:sz w:val="24"/>
          <w:szCs w:val="24"/>
        </w:rPr>
        <w:t xml:space="preserve">Civil Rights-related </w:t>
      </w:r>
      <w:r w:rsidR="00FB2D8A" w:rsidRPr="009513A7">
        <w:rPr>
          <w:rFonts w:cstheme="minorHAnsi"/>
          <w:sz w:val="24"/>
          <w:szCs w:val="24"/>
        </w:rPr>
        <w:t xml:space="preserve">riots </w:t>
      </w:r>
      <w:r w:rsidR="00DD18AA">
        <w:rPr>
          <w:rFonts w:cstheme="minorHAnsi"/>
          <w:sz w:val="24"/>
          <w:szCs w:val="24"/>
        </w:rPr>
        <w:t xml:space="preserve">sparked debate around </w:t>
      </w:r>
      <w:r w:rsidR="00FB2D8A" w:rsidRPr="009513A7">
        <w:rPr>
          <w:rFonts w:cstheme="minorHAnsi"/>
          <w:sz w:val="24"/>
          <w:szCs w:val="24"/>
        </w:rPr>
        <w:t>gun regulations</w:t>
      </w:r>
      <w:r w:rsidR="00FB2D8A">
        <w:rPr>
          <w:rFonts w:cstheme="minorHAnsi"/>
          <w:bCs/>
          <w:iCs/>
          <w:sz w:val="24"/>
          <w:szCs w:val="24"/>
        </w:rPr>
        <w:t xml:space="preserve"> and control (Amada, 2007; </w:t>
      </w:r>
      <w:r w:rsidR="00FB2D8A" w:rsidRPr="009513A7">
        <w:rPr>
          <w:rFonts w:cstheme="minorHAnsi"/>
          <w:sz w:val="24"/>
          <w:szCs w:val="24"/>
        </w:rPr>
        <w:t>Colloff, 2006; Langman, 2015</w:t>
      </w:r>
      <w:r w:rsidR="00FB2D8A">
        <w:rPr>
          <w:rFonts w:cstheme="minorHAnsi"/>
          <w:sz w:val="24"/>
          <w:szCs w:val="24"/>
        </w:rPr>
        <w:t>)</w:t>
      </w:r>
      <w:r w:rsidR="00FB2D8A" w:rsidRPr="009513A7">
        <w:rPr>
          <w:rFonts w:cstheme="minorHAnsi"/>
          <w:sz w:val="24"/>
          <w:szCs w:val="24"/>
        </w:rPr>
        <w:t>.</w:t>
      </w:r>
      <w:bookmarkEnd w:id="8"/>
      <w:r w:rsidR="00FB2D8A" w:rsidRPr="009513A7">
        <w:rPr>
          <w:rFonts w:cstheme="minorHAnsi"/>
          <w:sz w:val="24"/>
          <w:szCs w:val="24"/>
        </w:rPr>
        <w:t xml:space="preserve"> </w:t>
      </w:r>
      <w:bookmarkEnd w:id="9"/>
      <w:r w:rsidR="00523617">
        <w:rPr>
          <w:rFonts w:cstheme="minorHAnsi"/>
          <w:sz w:val="24"/>
          <w:szCs w:val="24"/>
        </w:rPr>
        <w:t xml:space="preserve">The protests, riots, and fallout in 1970 at Kent State (Ohio) University and Jackson State (Mississippi) University </w:t>
      </w:r>
      <w:r>
        <w:rPr>
          <w:rFonts w:cstheme="minorHAnsi"/>
          <w:sz w:val="24"/>
          <w:szCs w:val="24"/>
        </w:rPr>
        <w:t xml:space="preserve">raised concerns about </w:t>
      </w:r>
      <w:r w:rsidR="00523617">
        <w:rPr>
          <w:rFonts w:cstheme="minorHAnsi"/>
          <w:sz w:val="24"/>
          <w:szCs w:val="24"/>
        </w:rPr>
        <w:t xml:space="preserve">student’s rights, </w:t>
      </w:r>
      <w:r>
        <w:rPr>
          <w:rFonts w:cstheme="minorHAnsi"/>
          <w:sz w:val="24"/>
          <w:szCs w:val="24"/>
        </w:rPr>
        <w:t>campus safety</w:t>
      </w:r>
      <w:r w:rsidR="00523617">
        <w:rPr>
          <w:rFonts w:cstheme="minorHAnsi"/>
          <w:sz w:val="24"/>
          <w:szCs w:val="24"/>
        </w:rPr>
        <w:t>,</w:t>
      </w:r>
      <w:r>
        <w:rPr>
          <w:rFonts w:cstheme="minorHAnsi"/>
          <w:sz w:val="24"/>
          <w:szCs w:val="24"/>
        </w:rPr>
        <w:t xml:space="preserve"> and the institution’s duty of care (</w:t>
      </w:r>
      <w:r w:rsidR="00523617">
        <w:rPr>
          <w:rFonts w:cstheme="minorHAnsi"/>
          <w:sz w:val="24"/>
          <w:szCs w:val="24"/>
        </w:rPr>
        <w:t xml:space="preserve">Broadhurst, 2010; Lewis &amp; Hensley, 1998; McGee &amp; Platt, 2015; </w:t>
      </w:r>
      <w:r>
        <w:rPr>
          <w:rFonts w:cstheme="minorHAnsi"/>
          <w:sz w:val="24"/>
          <w:szCs w:val="24"/>
        </w:rPr>
        <w:t xml:space="preserve">Olzak, 2023). </w:t>
      </w:r>
      <w:r w:rsidR="00C01E3F">
        <w:rPr>
          <w:rFonts w:cstheme="minorHAnsi"/>
          <w:sz w:val="24"/>
          <w:szCs w:val="24"/>
        </w:rPr>
        <w:t>Approximate</w:t>
      </w:r>
      <w:r w:rsidR="005E385F">
        <w:rPr>
          <w:rFonts w:cstheme="minorHAnsi"/>
          <w:sz w:val="24"/>
          <w:szCs w:val="24"/>
        </w:rPr>
        <w:t>ly two decades later</w:t>
      </w:r>
      <w:r w:rsidR="00C01E3F">
        <w:rPr>
          <w:rFonts w:cstheme="minorHAnsi"/>
          <w:sz w:val="24"/>
          <w:szCs w:val="24"/>
        </w:rPr>
        <w:t>,</w:t>
      </w:r>
      <w:r w:rsidR="00501548" w:rsidRPr="009513A7">
        <w:rPr>
          <w:rFonts w:cstheme="minorHAnsi"/>
          <w:sz w:val="24"/>
          <w:szCs w:val="24"/>
        </w:rPr>
        <w:t xml:space="preserve"> school shootings </w:t>
      </w:r>
      <w:r w:rsidR="005E385F">
        <w:rPr>
          <w:rFonts w:cstheme="minorHAnsi"/>
          <w:sz w:val="24"/>
          <w:szCs w:val="24"/>
        </w:rPr>
        <w:t xml:space="preserve">not only continued, but </w:t>
      </w:r>
      <w:r w:rsidR="00501548" w:rsidRPr="009513A7">
        <w:rPr>
          <w:rFonts w:cstheme="minorHAnsi"/>
          <w:sz w:val="24"/>
          <w:szCs w:val="24"/>
        </w:rPr>
        <w:t>escalated. The United States experienced a surge of school shootings throughout the 1990s</w:t>
      </w:r>
      <w:r>
        <w:rPr>
          <w:rFonts w:cstheme="minorHAnsi"/>
          <w:sz w:val="24"/>
          <w:szCs w:val="24"/>
        </w:rPr>
        <w:t xml:space="preserve"> in places such as</w:t>
      </w:r>
      <w:r w:rsidR="005A734A">
        <w:rPr>
          <w:rFonts w:cstheme="minorHAnsi"/>
          <w:sz w:val="24"/>
          <w:szCs w:val="24"/>
        </w:rPr>
        <w:t xml:space="preserve"> </w:t>
      </w:r>
      <w:r w:rsidRPr="009513A7">
        <w:rPr>
          <w:rFonts w:cstheme="minorHAnsi"/>
          <w:sz w:val="24"/>
          <w:szCs w:val="24"/>
        </w:rPr>
        <w:t>Moses Lake, WA; Bethel, AK; Pearl, MS; Paducah, KY; Jonesboro, AR; and Springfield, OR</w:t>
      </w:r>
      <w:r>
        <w:rPr>
          <w:rFonts w:cstheme="minorHAnsi"/>
          <w:sz w:val="24"/>
          <w:szCs w:val="24"/>
        </w:rPr>
        <w:t xml:space="preserve"> (Modzeleski &amp; Randazzo, 2018). The 1990s </w:t>
      </w:r>
      <w:r>
        <w:rPr>
          <w:rFonts w:cstheme="minorHAnsi"/>
          <w:sz w:val="24"/>
          <w:szCs w:val="24"/>
        </w:rPr>
        <w:lastRenderedPageBreak/>
        <w:t>culminated in a shooting at Columbine High School in Littleton, Colorado where 13 deaths occurred (Modzeleski &amp; Randazzo, 2018).</w:t>
      </w:r>
      <w:r w:rsidR="00C01E3F">
        <w:rPr>
          <w:rFonts w:cstheme="minorHAnsi"/>
          <w:sz w:val="24"/>
          <w:szCs w:val="24"/>
        </w:rPr>
        <w:t xml:space="preserve"> </w:t>
      </w:r>
      <w:r w:rsidR="00501548" w:rsidRPr="009513A7">
        <w:rPr>
          <w:rFonts w:cstheme="minorHAnsi"/>
          <w:sz w:val="24"/>
          <w:szCs w:val="24"/>
        </w:rPr>
        <w:t xml:space="preserve">The </w:t>
      </w:r>
      <w:r w:rsidR="00103960">
        <w:rPr>
          <w:rFonts w:cstheme="minorHAnsi"/>
          <w:sz w:val="24"/>
          <w:szCs w:val="24"/>
        </w:rPr>
        <w:t>increase</w:t>
      </w:r>
      <w:r w:rsidR="00501548" w:rsidRPr="009513A7">
        <w:rPr>
          <w:rFonts w:cstheme="minorHAnsi"/>
          <w:sz w:val="24"/>
          <w:szCs w:val="24"/>
        </w:rPr>
        <w:t xml:space="preserve"> </w:t>
      </w:r>
      <w:r w:rsidR="00C01E3F">
        <w:rPr>
          <w:rFonts w:cstheme="minorHAnsi"/>
          <w:sz w:val="24"/>
          <w:szCs w:val="24"/>
        </w:rPr>
        <w:t>in</w:t>
      </w:r>
      <w:r w:rsidR="00501548" w:rsidRPr="009513A7">
        <w:rPr>
          <w:rFonts w:cstheme="minorHAnsi"/>
          <w:sz w:val="24"/>
          <w:szCs w:val="24"/>
        </w:rPr>
        <w:t xml:space="preserve"> </w:t>
      </w:r>
      <w:r w:rsidR="00103960">
        <w:rPr>
          <w:rFonts w:cstheme="minorHAnsi"/>
          <w:sz w:val="24"/>
          <w:szCs w:val="24"/>
        </w:rPr>
        <w:t>active shooter incidents</w:t>
      </w:r>
      <w:r w:rsidR="00501548" w:rsidRPr="009513A7">
        <w:rPr>
          <w:rFonts w:cstheme="minorHAnsi"/>
          <w:sz w:val="24"/>
          <w:szCs w:val="24"/>
        </w:rPr>
        <w:t xml:space="preserve"> in the </w:t>
      </w:r>
      <w:r w:rsidR="00103960">
        <w:rPr>
          <w:rFonts w:cstheme="minorHAnsi"/>
          <w:sz w:val="24"/>
          <w:szCs w:val="24"/>
        </w:rPr>
        <w:t>19</w:t>
      </w:r>
      <w:r w:rsidR="00501548" w:rsidRPr="009513A7">
        <w:rPr>
          <w:rFonts w:cstheme="minorHAnsi"/>
          <w:sz w:val="24"/>
          <w:szCs w:val="24"/>
        </w:rPr>
        <w:t xml:space="preserve">90s, punctuated with the </w:t>
      </w:r>
      <w:r w:rsidR="00103960">
        <w:rPr>
          <w:rFonts w:cstheme="minorHAnsi"/>
          <w:sz w:val="24"/>
          <w:szCs w:val="24"/>
        </w:rPr>
        <w:t xml:space="preserve">mass </w:t>
      </w:r>
      <w:r w:rsidR="00501548" w:rsidRPr="009513A7">
        <w:rPr>
          <w:rFonts w:cstheme="minorHAnsi"/>
          <w:sz w:val="24"/>
          <w:szCs w:val="24"/>
        </w:rPr>
        <w:t xml:space="preserve">tragedy at Columbine, ignited security concerns and </w:t>
      </w:r>
      <w:r w:rsidR="00103960">
        <w:rPr>
          <w:rFonts w:cstheme="minorHAnsi"/>
          <w:sz w:val="24"/>
          <w:szCs w:val="24"/>
        </w:rPr>
        <w:t>a call for</w:t>
      </w:r>
      <w:r w:rsidR="00501548" w:rsidRPr="009513A7">
        <w:rPr>
          <w:rFonts w:cstheme="minorHAnsi"/>
          <w:sz w:val="24"/>
          <w:szCs w:val="24"/>
        </w:rPr>
        <w:t xml:space="preserve"> threat assessment in K-12 schools (Curran et al., 2020;</w:t>
      </w:r>
      <w:r w:rsidR="00501548" w:rsidRPr="009513A7">
        <w:rPr>
          <w:rFonts w:cstheme="minorHAnsi"/>
          <w:sz w:val="24"/>
          <w:szCs w:val="24"/>
          <w:shd w:val="clear" w:color="auto" w:fill="FFFFFF"/>
        </w:rPr>
        <w:t xml:space="preserve"> Modzeleski &amp; Randazzo, 2018). IHEs</w:t>
      </w:r>
      <w:r w:rsidR="000760F4">
        <w:rPr>
          <w:rFonts w:cstheme="minorHAnsi"/>
          <w:sz w:val="24"/>
          <w:szCs w:val="24"/>
          <w:shd w:val="clear" w:color="auto" w:fill="FFFFFF"/>
        </w:rPr>
        <w:t xml:space="preserve"> </w:t>
      </w:r>
      <w:r w:rsidR="00501548" w:rsidRPr="009513A7">
        <w:rPr>
          <w:rFonts w:cstheme="minorHAnsi"/>
          <w:sz w:val="24"/>
          <w:szCs w:val="24"/>
          <w:shd w:val="clear" w:color="auto" w:fill="FFFFFF"/>
        </w:rPr>
        <w:t xml:space="preserve">would begin to incorporate threat assessment and </w:t>
      </w:r>
      <w:r w:rsidR="00A27A2E" w:rsidRPr="009513A7">
        <w:rPr>
          <w:rFonts w:cstheme="minorHAnsi"/>
          <w:sz w:val="24"/>
          <w:szCs w:val="24"/>
        </w:rPr>
        <w:t>TA</w:t>
      </w:r>
      <w:r w:rsidR="00A27A2E">
        <w:rPr>
          <w:rFonts w:cstheme="minorHAnsi"/>
          <w:sz w:val="24"/>
          <w:szCs w:val="24"/>
        </w:rPr>
        <w:t>Ts</w:t>
      </w:r>
      <w:r w:rsidR="00501548" w:rsidRPr="009513A7">
        <w:rPr>
          <w:rFonts w:cstheme="minorHAnsi"/>
          <w:sz w:val="24"/>
          <w:szCs w:val="24"/>
          <w:shd w:val="clear" w:color="auto" w:fill="FFFFFF"/>
        </w:rPr>
        <w:t xml:space="preserve"> a few years later. </w:t>
      </w:r>
      <w:r w:rsidR="00501548" w:rsidRPr="009513A7">
        <w:rPr>
          <w:rFonts w:cstheme="minorHAnsi"/>
          <w:sz w:val="24"/>
          <w:szCs w:val="24"/>
          <w:shd w:val="clear" w:color="auto" w:fill="FFFFFF"/>
        </w:rPr>
        <w:tab/>
      </w:r>
    </w:p>
    <w:p w14:paraId="6EC8E77F" w14:textId="117DEE51" w:rsidR="00501548" w:rsidRPr="009513A7" w:rsidRDefault="00501548" w:rsidP="00501548">
      <w:pPr>
        <w:spacing w:after="0" w:line="480" w:lineRule="auto"/>
        <w:rPr>
          <w:rFonts w:cstheme="minorHAnsi"/>
          <w:sz w:val="24"/>
          <w:szCs w:val="24"/>
        </w:rPr>
      </w:pPr>
      <w:r w:rsidRPr="009513A7">
        <w:rPr>
          <w:rFonts w:cstheme="minorHAnsi"/>
          <w:sz w:val="24"/>
          <w:szCs w:val="24"/>
          <w:shd w:val="clear" w:color="auto" w:fill="FFFFFF"/>
        </w:rPr>
        <w:tab/>
      </w:r>
      <w:r w:rsidRPr="009513A7">
        <w:rPr>
          <w:rFonts w:cstheme="minorHAnsi"/>
          <w:sz w:val="24"/>
          <w:szCs w:val="24"/>
        </w:rPr>
        <w:t xml:space="preserve">There are several school shootings that furthered the need for increased violence prevention efforts and </w:t>
      </w:r>
      <w:r w:rsidR="00A27A2E" w:rsidRPr="009513A7">
        <w:rPr>
          <w:rFonts w:cstheme="minorHAnsi"/>
          <w:sz w:val="24"/>
          <w:szCs w:val="24"/>
        </w:rPr>
        <w:t>TA</w:t>
      </w:r>
      <w:r w:rsidR="00A27A2E">
        <w:rPr>
          <w:rFonts w:cstheme="minorHAnsi"/>
          <w:sz w:val="24"/>
          <w:szCs w:val="24"/>
        </w:rPr>
        <w:t>Ts</w:t>
      </w:r>
      <w:r w:rsidRPr="009513A7">
        <w:rPr>
          <w:rFonts w:cstheme="minorHAnsi"/>
          <w:sz w:val="24"/>
          <w:szCs w:val="24"/>
        </w:rPr>
        <w:t xml:space="preserve">. </w:t>
      </w:r>
      <w:r w:rsidR="007B68FE">
        <w:rPr>
          <w:rFonts w:cstheme="minorHAnsi"/>
          <w:sz w:val="24"/>
          <w:szCs w:val="24"/>
        </w:rPr>
        <w:t>The 1999</w:t>
      </w:r>
      <w:r w:rsidRPr="009513A7">
        <w:rPr>
          <w:rFonts w:cstheme="minorHAnsi"/>
          <w:sz w:val="24"/>
          <w:szCs w:val="24"/>
        </w:rPr>
        <w:t xml:space="preserve"> Columbine High School </w:t>
      </w:r>
      <w:r w:rsidR="007B68FE">
        <w:rPr>
          <w:rFonts w:cstheme="minorHAnsi"/>
          <w:sz w:val="24"/>
          <w:szCs w:val="24"/>
        </w:rPr>
        <w:t>(</w:t>
      </w:r>
      <w:r w:rsidRPr="009513A7">
        <w:rPr>
          <w:rFonts w:cstheme="minorHAnsi"/>
          <w:sz w:val="24"/>
          <w:szCs w:val="24"/>
        </w:rPr>
        <w:t>Columbine, Colorado</w:t>
      </w:r>
      <w:r w:rsidR="007B68FE">
        <w:rPr>
          <w:rFonts w:cstheme="minorHAnsi"/>
          <w:sz w:val="24"/>
          <w:szCs w:val="24"/>
        </w:rPr>
        <w:t>)</w:t>
      </w:r>
      <w:r w:rsidRPr="009513A7">
        <w:rPr>
          <w:rFonts w:cstheme="minorHAnsi"/>
          <w:sz w:val="24"/>
          <w:szCs w:val="24"/>
        </w:rPr>
        <w:t xml:space="preserve"> </w:t>
      </w:r>
      <w:r w:rsidR="007B68FE">
        <w:rPr>
          <w:rFonts w:cstheme="minorHAnsi"/>
          <w:sz w:val="24"/>
          <w:szCs w:val="24"/>
        </w:rPr>
        <w:t xml:space="preserve">school shooting and attempted bombing forever </w:t>
      </w:r>
      <w:r w:rsidRPr="009513A7">
        <w:rPr>
          <w:rFonts w:cstheme="minorHAnsi"/>
          <w:sz w:val="24"/>
          <w:szCs w:val="24"/>
        </w:rPr>
        <w:t xml:space="preserve">changed violence prevention in schools. At the time it was the deadliest high school shooting in U.S. history with 15 fatalities and </w:t>
      </w:r>
      <w:r w:rsidR="007B68FE">
        <w:rPr>
          <w:rFonts w:cstheme="minorHAnsi"/>
          <w:sz w:val="24"/>
          <w:szCs w:val="24"/>
        </w:rPr>
        <w:t>more than</w:t>
      </w:r>
      <w:r w:rsidRPr="009513A7">
        <w:rPr>
          <w:rFonts w:cstheme="minorHAnsi"/>
          <w:sz w:val="24"/>
          <w:szCs w:val="24"/>
        </w:rPr>
        <w:t xml:space="preserve"> 20 wounded (</w:t>
      </w:r>
      <w:r w:rsidR="005A734A" w:rsidRPr="005A734A">
        <w:rPr>
          <w:rFonts w:cstheme="minorHAnsi"/>
          <w:sz w:val="24"/>
          <w:szCs w:val="24"/>
        </w:rPr>
        <w:t>Hume &amp; Perreault</w:t>
      </w:r>
      <w:r w:rsidR="005A734A">
        <w:rPr>
          <w:rFonts w:cstheme="minorHAnsi"/>
          <w:sz w:val="24"/>
          <w:szCs w:val="24"/>
        </w:rPr>
        <w:t>, 2022</w:t>
      </w:r>
      <w:r w:rsidRPr="009513A7">
        <w:rPr>
          <w:rFonts w:cstheme="minorHAnsi"/>
          <w:sz w:val="24"/>
          <w:szCs w:val="24"/>
        </w:rPr>
        <w:t xml:space="preserve">). However, it was the 2007 Virginia Polytechnic Institute and State University </w:t>
      </w:r>
      <w:r w:rsidR="007B68FE">
        <w:rPr>
          <w:rFonts w:cstheme="minorHAnsi"/>
          <w:sz w:val="24"/>
          <w:szCs w:val="24"/>
        </w:rPr>
        <w:t>(</w:t>
      </w:r>
      <w:r w:rsidRPr="009513A7">
        <w:rPr>
          <w:rFonts w:cstheme="minorHAnsi"/>
          <w:sz w:val="24"/>
          <w:szCs w:val="24"/>
        </w:rPr>
        <w:t>Blacksburg, Virginia</w:t>
      </w:r>
      <w:r w:rsidR="007B68FE">
        <w:rPr>
          <w:rFonts w:cstheme="minorHAnsi"/>
          <w:sz w:val="24"/>
          <w:szCs w:val="24"/>
        </w:rPr>
        <w:t>) shooting</w:t>
      </w:r>
      <w:r w:rsidRPr="009513A7">
        <w:rPr>
          <w:rFonts w:cstheme="minorHAnsi"/>
          <w:sz w:val="24"/>
          <w:szCs w:val="24"/>
        </w:rPr>
        <w:t xml:space="preserve"> that </w:t>
      </w:r>
      <w:r w:rsidR="0065462A" w:rsidRPr="009513A7">
        <w:rPr>
          <w:rFonts w:cstheme="minorHAnsi"/>
          <w:sz w:val="24"/>
          <w:szCs w:val="24"/>
        </w:rPr>
        <w:t>heightened</w:t>
      </w:r>
      <w:r w:rsidRPr="009513A7">
        <w:rPr>
          <w:rFonts w:cstheme="minorHAnsi"/>
          <w:sz w:val="24"/>
          <w:szCs w:val="24"/>
        </w:rPr>
        <w:t xml:space="preserve"> safety concerns</w:t>
      </w:r>
      <w:r w:rsidR="007B68FE">
        <w:rPr>
          <w:rFonts w:cstheme="minorHAnsi"/>
          <w:sz w:val="24"/>
          <w:szCs w:val="24"/>
        </w:rPr>
        <w:t xml:space="preserve"> in IHEs</w:t>
      </w:r>
      <w:r w:rsidRPr="009513A7">
        <w:rPr>
          <w:rFonts w:cstheme="minorHAnsi"/>
          <w:sz w:val="24"/>
          <w:szCs w:val="24"/>
        </w:rPr>
        <w:t>, serving as a catalyst for</w:t>
      </w:r>
      <w:r w:rsidR="00110BDA">
        <w:rPr>
          <w:rFonts w:cstheme="minorHAnsi"/>
          <w:sz w:val="24"/>
          <w:szCs w:val="24"/>
        </w:rPr>
        <w:t xml:space="preserve"> the establishment of</w:t>
      </w:r>
      <w:r w:rsidRPr="009513A7">
        <w:rPr>
          <w:rFonts w:cstheme="minorHAnsi"/>
          <w:sz w:val="24"/>
          <w:szCs w:val="24"/>
        </w:rPr>
        <w:t xml:space="preserve"> </w:t>
      </w:r>
      <w:r w:rsidR="007B68FE">
        <w:rPr>
          <w:rFonts w:cstheme="minorHAnsi"/>
          <w:sz w:val="24"/>
          <w:szCs w:val="24"/>
        </w:rPr>
        <w:t xml:space="preserve">IHE </w:t>
      </w:r>
      <w:r w:rsidR="00A27A2E" w:rsidRPr="009513A7">
        <w:rPr>
          <w:rFonts w:cstheme="minorHAnsi"/>
          <w:sz w:val="24"/>
          <w:szCs w:val="24"/>
        </w:rPr>
        <w:t>TA</w:t>
      </w:r>
      <w:r w:rsidR="00A27A2E">
        <w:rPr>
          <w:rFonts w:cstheme="minorHAnsi"/>
          <w:sz w:val="24"/>
          <w:szCs w:val="24"/>
        </w:rPr>
        <w:t>Ts</w:t>
      </w:r>
      <w:r w:rsidRPr="009513A7">
        <w:rPr>
          <w:rFonts w:cstheme="minorHAnsi"/>
          <w:sz w:val="24"/>
          <w:szCs w:val="24"/>
        </w:rPr>
        <w:t xml:space="preserve"> (</w:t>
      </w:r>
      <w:r w:rsidRPr="009513A7">
        <w:rPr>
          <w:rFonts w:cstheme="minorHAnsi"/>
          <w:sz w:val="24"/>
          <w:szCs w:val="24"/>
          <w:shd w:val="clear" w:color="auto" w:fill="FFFFFF"/>
        </w:rPr>
        <w:t>Modzeleski &amp; Randazzo</w:t>
      </w:r>
      <w:r w:rsidRPr="009513A7">
        <w:rPr>
          <w:rFonts w:cstheme="minorHAnsi"/>
          <w:sz w:val="24"/>
          <w:szCs w:val="24"/>
        </w:rPr>
        <w:t xml:space="preserve">, 2018). Virginia Tech is the deadliest mass school shooting in U.S. history to date with 32 fatalities and 17 wounded (Blair &amp; Schweit, 2014;). Since the 2007 Virginia Tech tragedy, other incidents have </w:t>
      </w:r>
      <w:r w:rsidR="007B68FE">
        <w:rPr>
          <w:rFonts w:cstheme="minorHAnsi"/>
          <w:sz w:val="24"/>
          <w:szCs w:val="24"/>
        </w:rPr>
        <w:t>further</w:t>
      </w:r>
      <w:r w:rsidRPr="009513A7">
        <w:rPr>
          <w:rFonts w:cstheme="minorHAnsi"/>
          <w:sz w:val="24"/>
          <w:szCs w:val="24"/>
        </w:rPr>
        <w:t xml:space="preserve"> propel</w:t>
      </w:r>
      <w:r w:rsidR="007B68FE">
        <w:rPr>
          <w:rFonts w:cstheme="minorHAnsi"/>
          <w:sz w:val="24"/>
          <w:szCs w:val="24"/>
        </w:rPr>
        <w:t>led</w:t>
      </w:r>
      <w:r w:rsidRPr="009513A7">
        <w:rPr>
          <w:rFonts w:cstheme="minorHAnsi"/>
          <w:sz w:val="24"/>
          <w:szCs w:val="24"/>
        </w:rPr>
        <w:t xml:space="preserve"> the need for </w:t>
      </w:r>
      <w:r w:rsidR="00A27A2E" w:rsidRPr="009513A7">
        <w:rPr>
          <w:rFonts w:cstheme="minorHAnsi"/>
          <w:sz w:val="24"/>
          <w:szCs w:val="24"/>
        </w:rPr>
        <w:t>TA</w:t>
      </w:r>
      <w:r w:rsidR="00A27A2E">
        <w:rPr>
          <w:rFonts w:cstheme="minorHAnsi"/>
          <w:sz w:val="24"/>
          <w:szCs w:val="24"/>
        </w:rPr>
        <w:t>Ts</w:t>
      </w:r>
      <w:r w:rsidRPr="009513A7">
        <w:rPr>
          <w:rFonts w:cstheme="minorHAnsi"/>
          <w:sz w:val="24"/>
          <w:szCs w:val="24"/>
        </w:rPr>
        <w:t>. Sandy Hook Elementary School in Newtown, Connecticut marked another tragedy in 2012 with 26 fatalities (</w:t>
      </w:r>
      <w:r w:rsidR="005A734A" w:rsidRPr="005A734A">
        <w:rPr>
          <w:rFonts w:cstheme="minorHAnsi"/>
          <w:sz w:val="24"/>
          <w:szCs w:val="24"/>
        </w:rPr>
        <w:t>Sukhera</w:t>
      </w:r>
      <w:r w:rsidR="005A734A">
        <w:rPr>
          <w:rFonts w:cstheme="minorHAnsi"/>
          <w:sz w:val="24"/>
          <w:szCs w:val="24"/>
        </w:rPr>
        <w:t xml:space="preserve"> &amp; </w:t>
      </w:r>
      <w:r w:rsidR="005A734A" w:rsidRPr="005A734A">
        <w:rPr>
          <w:rFonts w:cstheme="minorHAnsi"/>
          <w:sz w:val="24"/>
          <w:szCs w:val="24"/>
        </w:rPr>
        <w:t>Schwartz</w:t>
      </w:r>
      <w:r w:rsidR="005A734A">
        <w:rPr>
          <w:rFonts w:cstheme="minorHAnsi"/>
          <w:sz w:val="24"/>
          <w:szCs w:val="24"/>
        </w:rPr>
        <w:t>, 2023</w:t>
      </w:r>
      <w:r w:rsidRPr="009513A7">
        <w:rPr>
          <w:rFonts w:cstheme="minorHAnsi"/>
          <w:sz w:val="24"/>
          <w:szCs w:val="24"/>
        </w:rPr>
        <w:t xml:space="preserve">). In 2018, </w:t>
      </w:r>
      <w:r w:rsidR="002B2B5B">
        <w:rPr>
          <w:rFonts w:cstheme="minorHAnsi"/>
          <w:sz w:val="24"/>
          <w:szCs w:val="24"/>
        </w:rPr>
        <w:t xml:space="preserve">an expelled student at </w:t>
      </w:r>
      <w:r w:rsidRPr="009513A7">
        <w:rPr>
          <w:rFonts w:cstheme="minorHAnsi"/>
          <w:sz w:val="24"/>
          <w:szCs w:val="24"/>
        </w:rPr>
        <w:t xml:space="preserve">Marjory Stoneman Douglas High School in Parkland, Florida </w:t>
      </w:r>
      <w:r w:rsidR="000C40EA">
        <w:rPr>
          <w:rFonts w:cstheme="minorHAnsi"/>
          <w:sz w:val="24"/>
          <w:szCs w:val="24"/>
        </w:rPr>
        <w:t xml:space="preserve">opened fire </w:t>
      </w:r>
      <w:r w:rsidR="00747034">
        <w:rPr>
          <w:rFonts w:cstheme="minorHAnsi"/>
          <w:sz w:val="24"/>
          <w:szCs w:val="24"/>
        </w:rPr>
        <w:t xml:space="preserve">on campus </w:t>
      </w:r>
      <w:r w:rsidR="007B68FE" w:rsidRPr="009513A7">
        <w:rPr>
          <w:rFonts w:cstheme="minorHAnsi"/>
          <w:sz w:val="24"/>
          <w:szCs w:val="24"/>
        </w:rPr>
        <w:t>result</w:t>
      </w:r>
      <w:r w:rsidR="007B68FE">
        <w:rPr>
          <w:rFonts w:cstheme="minorHAnsi"/>
          <w:sz w:val="24"/>
          <w:szCs w:val="24"/>
        </w:rPr>
        <w:t>ing</w:t>
      </w:r>
      <w:r w:rsidR="000C40EA">
        <w:rPr>
          <w:rFonts w:cstheme="minorHAnsi"/>
          <w:sz w:val="24"/>
          <w:szCs w:val="24"/>
        </w:rPr>
        <w:t xml:space="preserve"> </w:t>
      </w:r>
      <w:r w:rsidRPr="009513A7">
        <w:rPr>
          <w:rFonts w:cstheme="minorHAnsi"/>
          <w:sz w:val="24"/>
          <w:szCs w:val="24"/>
        </w:rPr>
        <w:t xml:space="preserve">in 17 fatalities and 17 wounded, surpassing Columbine as the deadliest high school shooting </w:t>
      </w:r>
      <w:r w:rsidRPr="009513A7">
        <w:rPr>
          <w:rFonts w:eastAsia="Times New Roman" w:cstheme="minorHAnsi"/>
          <w:sz w:val="24"/>
          <w:szCs w:val="24"/>
          <w:shd w:val="clear" w:color="auto" w:fill="FFFFFF"/>
        </w:rPr>
        <w:t>(</w:t>
      </w:r>
      <w:r w:rsidR="005A734A" w:rsidRPr="005A734A">
        <w:rPr>
          <w:rFonts w:cstheme="minorHAnsi"/>
          <w:sz w:val="24"/>
          <w:szCs w:val="24"/>
        </w:rPr>
        <w:t>Hume &amp; Perreault</w:t>
      </w:r>
      <w:r w:rsidR="005A734A">
        <w:rPr>
          <w:rFonts w:cstheme="minorHAnsi"/>
          <w:sz w:val="24"/>
          <w:szCs w:val="24"/>
        </w:rPr>
        <w:t>, 2022</w:t>
      </w:r>
      <w:r w:rsidRPr="009513A7">
        <w:rPr>
          <w:rFonts w:cstheme="minorHAnsi"/>
          <w:sz w:val="24"/>
          <w:szCs w:val="24"/>
        </w:rPr>
        <w:t xml:space="preserve">). The incidents in Newtown, Connecticut and Parkland, Florida </w:t>
      </w:r>
      <w:r w:rsidR="007B68FE">
        <w:rPr>
          <w:rFonts w:cstheme="minorHAnsi"/>
          <w:sz w:val="24"/>
          <w:szCs w:val="24"/>
        </w:rPr>
        <w:t xml:space="preserve">further </w:t>
      </w:r>
      <w:r w:rsidRPr="009513A7">
        <w:rPr>
          <w:rFonts w:cstheme="minorHAnsi"/>
          <w:sz w:val="24"/>
          <w:szCs w:val="24"/>
        </w:rPr>
        <w:t>escalated the debate on gun control and safety</w:t>
      </w:r>
      <w:r w:rsidR="00110BDA" w:rsidRPr="00C01E3F">
        <w:rPr>
          <w:rFonts w:cstheme="minorHAnsi"/>
          <w:bCs/>
          <w:iCs/>
          <w:sz w:val="24"/>
          <w:szCs w:val="24"/>
        </w:rPr>
        <w:t xml:space="preserve"> </w:t>
      </w:r>
      <w:r w:rsidR="00752CBD">
        <w:rPr>
          <w:rFonts w:cstheme="minorHAnsi"/>
          <w:bCs/>
          <w:iCs/>
          <w:sz w:val="24"/>
          <w:szCs w:val="24"/>
        </w:rPr>
        <w:t>(</w:t>
      </w:r>
      <w:r w:rsidR="005A734A" w:rsidRPr="005A734A">
        <w:rPr>
          <w:rFonts w:cstheme="minorHAnsi"/>
          <w:sz w:val="24"/>
          <w:szCs w:val="24"/>
        </w:rPr>
        <w:t>Hume &amp; Perreault</w:t>
      </w:r>
      <w:r w:rsidR="005A734A">
        <w:rPr>
          <w:rFonts w:cstheme="minorHAnsi"/>
          <w:sz w:val="24"/>
          <w:szCs w:val="24"/>
        </w:rPr>
        <w:t>, 2022</w:t>
      </w:r>
      <w:r w:rsidR="00752CBD" w:rsidRPr="009513A7">
        <w:rPr>
          <w:rFonts w:cstheme="minorHAnsi"/>
          <w:sz w:val="24"/>
          <w:szCs w:val="24"/>
        </w:rPr>
        <w:t>).</w:t>
      </w:r>
      <w:r w:rsidRPr="009513A7">
        <w:rPr>
          <w:rFonts w:cstheme="minorHAnsi"/>
          <w:sz w:val="24"/>
          <w:szCs w:val="24"/>
        </w:rPr>
        <w:t xml:space="preserve"> Since Columbine, there have been numerous shootings in educational settings with 11 categorized as </w:t>
      </w:r>
      <w:r w:rsidRPr="009513A7">
        <w:rPr>
          <w:rFonts w:cstheme="minorHAnsi"/>
          <w:sz w:val="24"/>
          <w:szCs w:val="24"/>
        </w:rPr>
        <w:lastRenderedPageBreak/>
        <w:t>mass shootings based on four or more fatalities</w:t>
      </w:r>
      <w:r w:rsidR="00C06B62">
        <w:rPr>
          <w:rFonts w:cstheme="minorHAnsi"/>
          <w:sz w:val="24"/>
          <w:szCs w:val="24"/>
        </w:rPr>
        <w:t>. The list below include</w:t>
      </w:r>
      <w:r w:rsidR="007B68FE">
        <w:rPr>
          <w:rFonts w:cstheme="minorHAnsi"/>
          <w:sz w:val="24"/>
          <w:szCs w:val="24"/>
        </w:rPr>
        <w:t>s</w:t>
      </w:r>
      <w:r w:rsidR="00C06B62">
        <w:rPr>
          <w:rFonts w:cstheme="minorHAnsi"/>
          <w:sz w:val="24"/>
          <w:szCs w:val="24"/>
        </w:rPr>
        <w:t xml:space="preserve"> mass shooting in educational settings from 1999 –</w:t>
      </w:r>
      <w:r w:rsidR="005A734A">
        <w:rPr>
          <w:rFonts w:cstheme="minorHAnsi"/>
          <w:sz w:val="24"/>
          <w:szCs w:val="24"/>
        </w:rPr>
        <w:t>2021</w:t>
      </w:r>
      <w:r w:rsidR="00C06B62">
        <w:rPr>
          <w:rFonts w:cstheme="minorHAnsi"/>
          <w:sz w:val="24"/>
          <w:szCs w:val="24"/>
        </w:rPr>
        <w:t>.</w:t>
      </w:r>
      <w:r w:rsidR="00110BDA">
        <w:rPr>
          <w:rFonts w:cstheme="minorHAnsi"/>
          <w:sz w:val="24"/>
          <w:szCs w:val="24"/>
        </w:rPr>
        <w:t xml:space="preserve"> </w:t>
      </w:r>
    </w:p>
    <w:p w14:paraId="2C65E1F5" w14:textId="07E329BC"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Virginia Tech – April 16, 2007 </w:t>
      </w:r>
    </w:p>
    <w:p w14:paraId="5B9A405B" w14:textId="785C675C"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Sandy Hook Elementary School – December 14, 2012 </w:t>
      </w:r>
    </w:p>
    <w:p w14:paraId="47A3C06B" w14:textId="1FC5BD0F"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Marjory Stoneman Douglas High School – February 14, 2018 </w:t>
      </w:r>
    </w:p>
    <w:p w14:paraId="7019AF25" w14:textId="7FF2AFB4"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Santa Fe High School – May 18, 2018 </w:t>
      </w:r>
    </w:p>
    <w:p w14:paraId="24611C53" w14:textId="1C4B82A1"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Umpqua Community College – October 1, 2015 </w:t>
      </w:r>
    </w:p>
    <w:p w14:paraId="3C88559F" w14:textId="66C524C2"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Red Lake Senior High School – March 21, 2005 </w:t>
      </w:r>
    </w:p>
    <w:p w14:paraId="55499AD0" w14:textId="34200F9A"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Oikos University – April 2, 2012 </w:t>
      </w:r>
    </w:p>
    <w:p w14:paraId="03C5068B" w14:textId="4D035AB7"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West Nickel Mines School – October 2, 2006 </w:t>
      </w:r>
    </w:p>
    <w:p w14:paraId="3898A1F7" w14:textId="14BBFB2B"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color w:val="000000"/>
          <w:szCs w:val="24"/>
          <w:shd w:val="clear" w:color="auto" w:fill="FFFFFF"/>
        </w:rPr>
      </w:pPr>
      <w:r w:rsidRPr="00C01E3F">
        <w:rPr>
          <w:rStyle w:val="Strong"/>
          <w:rFonts w:asciiTheme="minorHAnsi" w:hAnsiTheme="minorHAnsi" w:cstheme="minorHAnsi"/>
          <w:b w:val="0"/>
          <w:bCs w:val="0"/>
          <w:color w:val="000000"/>
          <w:szCs w:val="24"/>
          <w:shd w:val="clear" w:color="auto" w:fill="FFFFFF"/>
        </w:rPr>
        <w:t xml:space="preserve">Northern Illinois University – Feb. 14, 2008 </w:t>
      </w:r>
    </w:p>
    <w:p w14:paraId="528A65A8" w14:textId="0A9F6E8D" w:rsidR="00501548" w:rsidRPr="00C01E3F" w:rsidRDefault="00501548" w:rsidP="00501548">
      <w:pPr>
        <w:pStyle w:val="ListParagraph"/>
        <w:numPr>
          <w:ilvl w:val="0"/>
          <w:numId w:val="2"/>
        </w:numPr>
        <w:spacing w:after="0" w:line="240" w:lineRule="auto"/>
        <w:ind w:firstLine="720"/>
        <w:rPr>
          <w:rStyle w:val="Strong"/>
          <w:rFonts w:asciiTheme="minorHAnsi" w:hAnsiTheme="minorHAnsi" w:cstheme="minorHAnsi"/>
          <w:b w:val="0"/>
          <w:bCs w:val="0"/>
          <w:szCs w:val="24"/>
        </w:rPr>
      </w:pPr>
      <w:r w:rsidRPr="00C01E3F">
        <w:rPr>
          <w:rStyle w:val="Strong"/>
          <w:rFonts w:asciiTheme="minorHAnsi" w:hAnsiTheme="minorHAnsi" w:cstheme="minorHAnsi"/>
          <w:b w:val="0"/>
          <w:bCs w:val="0"/>
          <w:color w:val="000000"/>
          <w:szCs w:val="24"/>
          <w:shd w:val="clear" w:color="auto" w:fill="FFFFFF"/>
        </w:rPr>
        <w:t xml:space="preserve">Santa Monica College – June 7, 2013 </w:t>
      </w:r>
    </w:p>
    <w:p w14:paraId="226AD193" w14:textId="42E0E5FB" w:rsidR="00501548" w:rsidRPr="003712EC" w:rsidRDefault="00501548" w:rsidP="00501548">
      <w:pPr>
        <w:pStyle w:val="ListParagraph"/>
        <w:numPr>
          <w:ilvl w:val="0"/>
          <w:numId w:val="2"/>
        </w:numPr>
        <w:spacing w:after="0" w:line="240" w:lineRule="auto"/>
        <w:ind w:firstLine="720"/>
        <w:rPr>
          <w:rFonts w:asciiTheme="minorHAnsi" w:hAnsiTheme="minorHAnsi" w:cstheme="minorHAnsi"/>
          <w:b/>
          <w:bCs/>
          <w:szCs w:val="24"/>
        </w:rPr>
      </w:pPr>
      <w:r w:rsidRPr="00C01E3F">
        <w:rPr>
          <w:rStyle w:val="Strong"/>
          <w:rFonts w:asciiTheme="minorHAnsi" w:hAnsiTheme="minorHAnsi" w:cstheme="minorHAnsi"/>
          <w:b w:val="0"/>
          <w:bCs w:val="0"/>
          <w:color w:val="000000"/>
          <w:szCs w:val="24"/>
          <w:shd w:val="clear" w:color="auto" w:fill="FFFFFF"/>
        </w:rPr>
        <w:t xml:space="preserve">Marysville Pilchuck High School – October 24, 2014 </w:t>
      </w:r>
    </w:p>
    <w:p w14:paraId="522FC57F" w14:textId="06AF1C69" w:rsidR="00C01E3F" w:rsidRPr="00C01E3F" w:rsidRDefault="005A734A" w:rsidP="00C01E3F">
      <w:pPr>
        <w:pStyle w:val="ListParagraph"/>
        <w:numPr>
          <w:ilvl w:val="0"/>
          <w:numId w:val="2"/>
        </w:numPr>
        <w:spacing w:after="0" w:line="240" w:lineRule="auto"/>
        <w:ind w:firstLine="720"/>
        <w:rPr>
          <w:rFonts w:asciiTheme="minorHAnsi" w:hAnsiTheme="minorHAnsi" w:cstheme="minorHAnsi"/>
          <w:b/>
          <w:bCs/>
          <w:szCs w:val="24"/>
        </w:rPr>
      </w:pPr>
      <w:r w:rsidRPr="00C01E3F">
        <w:rPr>
          <w:rFonts w:asciiTheme="minorHAnsi" w:hAnsiTheme="minorHAnsi" w:cstheme="minorHAnsi"/>
          <w:szCs w:val="24"/>
          <w:shd w:val="clear" w:color="auto" w:fill="FFFFFF"/>
        </w:rPr>
        <w:t xml:space="preserve">Rigby Middle School – May 6, 2021 </w:t>
      </w:r>
    </w:p>
    <w:p w14:paraId="079D7F3B" w14:textId="77777777" w:rsidR="00C01E3F" w:rsidRPr="00C01E3F" w:rsidRDefault="005A734A" w:rsidP="00C01E3F">
      <w:pPr>
        <w:pStyle w:val="ListParagraph"/>
        <w:numPr>
          <w:ilvl w:val="0"/>
          <w:numId w:val="2"/>
        </w:numPr>
        <w:spacing w:after="0" w:line="240" w:lineRule="auto"/>
        <w:ind w:firstLine="720"/>
        <w:rPr>
          <w:rFonts w:asciiTheme="minorHAnsi" w:hAnsiTheme="minorHAnsi" w:cstheme="minorHAnsi"/>
          <w:b/>
          <w:bCs/>
          <w:szCs w:val="24"/>
        </w:rPr>
      </w:pPr>
      <w:r w:rsidRPr="003712EC">
        <w:rPr>
          <w:rFonts w:asciiTheme="minorHAnsi" w:hAnsiTheme="minorHAnsi" w:cstheme="minorHAnsi"/>
          <w:szCs w:val="24"/>
          <w:shd w:val="clear" w:color="auto" w:fill="FFFFFF"/>
        </w:rPr>
        <w:t xml:space="preserve">Oxford High School – November 30, 2021 (Federal Bureau of Investigation et al., </w:t>
      </w:r>
    </w:p>
    <w:p w14:paraId="4B7A0B12" w14:textId="69AC0736" w:rsidR="005A734A" w:rsidRPr="00C01E3F" w:rsidRDefault="005A734A" w:rsidP="00C01E3F">
      <w:pPr>
        <w:pStyle w:val="ListParagraph"/>
        <w:spacing w:after="0" w:line="240" w:lineRule="auto"/>
        <w:ind w:left="1080" w:firstLine="360"/>
        <w:rPr>
          <w:rStyle w:val="Strong"/>
          <w:rFonts w:asciiTheme="minorHAnsi" w:hAnsiTheme="minorHAnsi" w:cstheme="minorHAnsi"/>
          <w:szCs w:val="24"/>
        </w:rPr>
      </w:pPr>
      <w:r w:rsidRPr="003712EC">
        <w:rPr>
          <w:rFonts w:asciiTheme="minorHAnsi" w:hAnsiTheme="minorHAnsi" w:cstheme="minorHAnsi"/>
          <w:szCs w:val="24"/>
          <w:shd w:val="clear" w:color="auto" w:fill="FFFFFF"/>
        </w:rPr>
        <w:t>2022; Keneally, 2019)</w:t>
      </w:r>
    </w:p>
    <w:p w14:paraId="76F6AB52" w14:textId="77777777" w:rsidR="00501548" w:rsidRPr="009513A7" w:rsidRDefault="00501548" w:rsidP="00501548">
      <w:pPr>
        <w:pStyle w:val="ListParagraph"/>
        <w:spacing w:after="0" w:line="240" w:lineRule="auto"/>
        <w:ind w:left="1080"/>
        <w:rPr>
          <w:rFonts w:asciiTheme="minorHAnsi" w:hAnsiTheme="minorHAnsi" w:cstheme="minorHAnsi"/>
          <w:b/>
          <w:bCs/>
          <w:szCs w:val="24"/>
        </w:rPr>
      </w:pPr>
    </w:p>
    <w:p w14:paraId="18BC489B" w14:textId="2DC3724A" w:rsidR="00B2797B" w:rsidRPr="009513A7" w:rsidRDefault="00501548" w:rsidP="00065BB6">
      <w:pPr>
        <w:spacing w:after="0" w:line="480" w:lineRule="auto"/>
        <w:contextualSpacing/>
        <w:rPr>
          <w:rFonts w:cstheme="minorHAnsi"/>
          <w:bCs/>
          <w:iCs/>
          <w:sz w:val="24"/>
          <w:szCs w:val="24"/>
        </w:rPr>
      </w:pPr>
      <w:r w:rsidRPr="009513A7">
        <w:rPr>
          <w:rFonts w:cstheme="minorHAnsi"/>
          <w:sz w:val="24"/>
          <w:szCs w:val="24"/>
        </w:rPr>
        <w:tab/>
        <w:t>In 2014 the Federal Bureau of Investigation (FBI) conducted a study of active shooter incidents, a specific type of shooting situation that law enforcement and the public may encounter. The federal definition of an active shooter is “an individual actively</w:t>
      </w:r>
      <w:r w:rsidR="00B2797B" w:rsidRPr="009513A7">
        <w:rPr>
          <w:rFonts w:cstheme="minorHAnsi"/>
          <w:sz w:val="24"/>
          <w:szCs w:val="24"/>
        </w:rPr>
        <w:t xml:space="preserve"> engaged in killing or attempting to kill people in a confined and populated area” (Blair &amp; Schweit, 2014, p. 5). The FBI study expanded the definition to include the possibility of multiple shooters and omits the term confined since not all incidents occur indoors (Blair &amp; Schweit, 2014). </w:t>
      </w:r>
      <w:bookmarkStart w:id="10" w:name="_Hlk84594282"/>
      <w:r w:rsidR="00B2797B" w:rsidRPr="009513A7">
        <w:rPr>
          <w:rFonts w:cstheme="minorHAnsi"/>
          <w:sz w:val="24"/>
          <w:szCs w:val="24"/>
        </w:rPr>
        <w:t>Th</w:t>
      </w:r>
      <w:r w:rsidR="00110BDA">
        <w:rPr>
          <w:rFonts w:cstheme="minorHAnsi"/>
          <w:sz w:val="24"/>
          <w:szCs w:val="24"/>
        </w:rPr>
        <w:t>e</w:t>
      </w:r>
      <w:r w:rsidR="00B2797B" w:rsidRPr="009513A7">
        <w:rPr>
          <w:rFonts w:cstheme="minorHAnsi"/>
          <w:sz w:val="24"/>
          <w:szCs w:val="24"/>
        </w:rPr>
        <w:t xml:space="preserve"> study of active shooter incidents in the United States between 2000–2013 examined 160 incidents. Incidents occurring in commerce and educational environments total 70%, with educational environments at 24.4% and commerce 45.6%. Of the 24.4%, IHEs account for only 7.5% or 12 of the 160 incidents studied at that time (Blair &amp; Schweit, 2014). </w:t>
      </w:r>
      <w:bookmarkStart w:id="11" w:name="_Hlk150249377"/>
      <w:r w:rsidR="00065BB6">
        <w:rPr>
          <w:rFonts w:cstheme="minorHAnsi"/>
          <w:sz w:val="24"/>
          <w:szCs w:val="24"/>
        </w:rPr>
        <w:t xml:space="preserve">The FBI repeated this study in 2021 and examined active shooter incidents </w:t>
      </w:r>
      <w:r w:rsidR="005A734A">
        <w:rPr>
          <w:rFonts w:cstheme="minorHAnsi"/>
          <w:sz w:val="24"/>
          <w:szCs w:val="24"/>
        </w:rPr>
        <w:t xml:space="preserve">through </w:t>
      </w:r>
      <w:r w:rsidR="00065BB6">
        <w:rPr>
          <w:rFonts w:cstheme="minorHAnsi"/>
          <w:sz w:val="24"/>
          <w:szCs w:val="24"/>
        </w:rPr>
        <w:t>2021 (Federal Bureau of Investigation et al., 2022). The most recent FBI study confirmed an upward trend</w:t>
      </w:r>
      <w:r w:rsidR="00CE3F7E">
        <w:rPr>
          <w:rFonts w:cstheme="minorHAnsi"/>
          <w:sz w:val="24"/>
          <w:szCs w:val="24"/>
        </w:rPr>
        <w:t xml:space="preserve"> </w:t>
      </w:r>
      <w:r w:rsidR="00065BB6">
        <w:rPr>
          <w:rFonts w:cstheme="minorHAnsi"/>
          <w:sz w:val="24"/>
          <w:szCs w:val="24"/>
        </w:rPr>
        <w:t xml:space="preserve">for the </w:t>
      </w:r>
      <w:r w:rsidR="00065BB6" w:rsidRPr="00065BB6">
        <w:rPr>
          <w:rFonts w:cstheme="minorHAnsi"/>
          <w:sz w:val="24"/>
          <w:szCs w:val="24"/>
        </w:rPr>
        <w:t>period 2017–2021</w:t>
      </w:r>
      <w:r w:rsidR="005A734A">
        <w:rPr>
          <w:rFonts w:cstheme="minorHAnsi"/>
          <w:sz w:val="24"/>
          <w:szCs w:val="24"/>
        </w:rPr>
        <w:t xml:space="preserve"> with </w:t>
      </w:r>
      <w:r w:rsidR="005A734A">
        <w:rPr>
          <w:rFonts w:cstheme="minorHAnsi"/>
          <w:sz w:val="24"/>
          <w:szCs w:val="24"/>
        </w:rPr>
        <w:lastRenderedPageBreak/>
        <w:t>a 52.5% increase in active shooter incidents from 2020</w:t>
      </w:r>
      <w:r w:rsidR="00C01E3F">
        <w:rPr>
          <w:rFonts w:cstheme="minorHAnsi"/>
          <w:sz w:val="24"/>
          <w:szCs w:val="24"/>
        </w:rPr>
        <w:t>-</w:t>
      </w:r>
      <w:r w:rsidR="005A734A">
        <w:rPr>
          <w:rFonts w:cstheme="minorHAnsi"/>
          <w:sz w:val="24"/>
          <w:szCs w:val="24"/>
        </w:rPr>
        <w:t>2021</w:t>
      </w:r>
      <w:r w:rsidR="00065BB6">
        <w:rPr>
          <w:rFonts w:cstheme="minorHAnsi"/>
          <w:sz w:val="24"/>
          <w:szCs w:val="24"/>
        </w:rPr>
        <w:t xml:space="preserve"> (Federal Bureau of Investigation et al., 2022)</w:t>
      </w:r>
      <w:r w:rsidR="00065BB6" w:rsidRPr="00065BB6">
        <w:rPr>
          <w:rFonts w:cstheme="minorHAnsi"/>
          <w:sz w:val="24"/>
          <w:szCs w:val="24"/>
        </w:rPr>
        <w:t xml:space="preserve">. </w:t>
      </w:r>
      <w:bookmarkEnd w:id="11"/>
      <w:r w:rsidR="005A734A">
        <w:rPr>
          <w:rFonts w:cstheme="minorHAnsi"/>
          <w:sz w:val="24"/>
          <w:szCs w:val="24"/>
        </w:rPr>
        <w:t>The 2021 study shows that two of the 61 active shooter incidents occurred in an education environment (</w:t>
      </w:r>
      <w:r w:rsidR="005A734A">
        <w:rPr>
          <w:rFonts w:cstheme="minorHAnsi"/>
          <w:bCs/>
          <w:iCs/>
          <w:sz w:val="24"/>
          <w:szCs w:val="24"/>
        </w:rPr>
        <w:t>Federal Bureau of Investigation et al., 2022)</w:t>
      </w:r>
      <w:r w:rsidR="005A734A">
        <w:rPr>
          <w:rFonts w:cstheme="minorHAnsi"/>
          <w:sz w:val="24"/>
          <w:szCs w:val="24"/>
        </w:rPr>
        <w:t xml:space="preserve">. </w:t>
      </w:r>
      <w:r w:rsidR="00B2797B" w:rsidRPr="009513A7">
        <w:rPr>
          <w:rFonts w:cstheme="minorHAnsi"/>
          <w:sz w:val="24"/>
          <w:szCs w:val="24"/>
        </w:rPr>
        <w:t xml:space="preserve">The influx of </w:t>
      </w:r>
      <w:r w:rsidR="005A734A">
        <w:rPr>
          <w:rFonts w:cstheme="minorHAnsi"/>
          <w:sz w:val="24"/>
          <w:szCs w:val="24"/>
        </w:rPr>
        <w:t>active shooter incidents, despite only having two in an educational setting,</w:t>
      </w:r>
      <w:r w:rsidR="00B2797B" w:rsidRPr="009513A7">
        <w:rPr>
          <w:rFonts w:cstheme="minorHAnsi"/>
          <w:sz w:val="24"/>
          <w:szCs w:val="24"/>
        </w:rPr>
        <w:t xml:space="preserve"> has resulted in perceptions that schools have become an unsafe place</w:t>
      </w:r>
      <w:r w:rsidR="00702C94">
        <w:rPr>
          <w:rFonts w:cstheme="minorHAnsi"/>
          <w:sz w:val="24"/>
          <w:szCs w:val="24"/>
        </w:rPr>
        <w:t>,</w:t>
      </w:r>
      <w:r w:rsidR="00B2797B" w:rsidRPr="009513A7">
        <w:rPr>
          <w:rFonts w:cstheme="minorHAnsi"/>
          <w:sz w:val="24"/>
          <w:szCs w:val="24"/>
        </w:rPr>
        <w:t xml:space="preserve"> ripe for violence</w:t>
      </w:r>
      <w:r w:rsidR="00B2797B" w:rsidRPr="009513A7">
        <w:rPr>
          <w:rFonts w:cstheme="minorHAnsi"/>
          <w:bCs/>
          <w:iCs/>
          <w:sz w:val="24"/>
          <w:szCs w:val="24"/>
        </w:rPr>
        <w:t xml:space="preserve"> (</w:t>
      </w:r>
      <w:r w:rsidR="005A734A">
        <w:rPr>
          <w:rFonts w:cstheme="minorHAnsi"/>
          <w:bCs/>
          <w:iCs/>
          <w:sz w:val="24"/>
          <w:szCs w:val="24"/>
        </w:rPr>
        <w:t xml:space="preserve">Federal Bureau of Investigation et al., 2022; </w:t>
      </w:r>
      <w:r w:rsidR="00B2797B" w:rsidRPr="009513A7">
        <w:rPr>
          <w:rFonts w:cstheme="minorHAnsi"/>
          <w:bCs/>
          <w:iCs/>
          <w:sz w:val="24"/>
          <w:szCs w:val="24"/>
        </w:rPr>
        <w:t>Kohut, 2000; Midlarsky &amp; Klain, 2005). However, empirical data shows, compared to home, commerce, and other environments, schools are among the safest places (</w:t>
      </w:r>
      <w:r w:rsidR="00B2797B" w:rsidRPr="009513A7">
        <w:rPr>
          <w:rFonts w:cstheme="minorHAnsi"/>
          <w:sz w:val="24"/>
          <w:szCs w:val="24"/>
        </w:rPr>
        <w:t xml:space="preserve">Blair &amp; Schweit, 2014; </w:t>
      </w:r>
      <w:r w:rsidR="005A734A">
        <w:rPr>
          <w:rFonts w:cstheme="minorHAnsi"/>
          <w:bCs/>
          <w:iCs/>
          <w:sz w:val="24"/>
          <w:szCs w:val="24"/>
        </w:rPr>
        <w:t xml:space="preserve">Federal Bureau of Investigation et al., 2022; </w:t>
      </w:r>
      <w:r w:rsidR="00B2797B" w:rsidRPr="009513A7">
        <w:rPr>
          <w:rFonts w:cstheme="minorHAnsi"/>
          <w:bCs/>
          <w:iCs/>
          <w:sz w:val="24"/>
          <w:szCs w:val="24"/>
        </w:rPr>
        <w:t>Muschert, 2007</w:t>
      </w:r>
      <w:r w:rsidR="005A734A">
        <w:rPr>
          <w:rFonts w:cstheme="minorHAnsi"/>
          <w:bCs/>
          <w:iCs/>
          <w:sz w:val="24"/>
          <w:szCs w:val="24"/>
        </w:rPr>
        <w:t>; Reed</w:t>
      </w:r>
      <w:r w:rsidR="00C01E3F">
        <w:rPr>
          <w:rFonts w:cstheme="minorHAnsi"/>
          <w:bCs/>
          <w:iCs/>
          <w:sz w:val="24"/>
          <w:szCs w:val="24"/>
        </w:rPr>
        <w:t>,</w:t>
      </w:r>
      <w:r w:rsidR="005A734A">
        <w:rPr>
          <w:rFonts w:cstheme="minorHAnsi"/>
          <w:bCs/>
          <w:iCs/>
          <w:sz w:val="24"/>
          <w:szCs w:val="24"/>
        </w:rPr>
        <w:t xml:space="preserve"> 2023</w:t>
      </w:r>
      <w:r w:rsidR="00B2797B" w:rsidRPr="009513A7">
        <w:rPr>
          <w:rFonts w:cstheme="minorHAnsi"/>
          <w:bCs/>
          <w:iCs/>
          <w:sz w:val="24"/>
          <w:szCs w:val="24"/>
        </w:rPr>
        <w:t>).</w:t>
      </w:r>
      <w:bookmarkEnd w:id="10"/>
      <w:r w:rsidR="00C06B62">
        <w:rPr>
          <w:rFonts w:cstheme="minorHAnsi"/>
          <w:bCs/>
          <w:iCs/>
          <w:sz w:val="24"/>
          <w:szCs w:val="24"/>
        </w:rPr>
        <w:t xml:space="preserve"> While that may provide some comfort, it </w:t>
      </w:r>
      <w:r w:rsidR="00747034">
        <w:rPr>
          <w:rFonts w:cstheme="minorHAnsi"/>
          <w:bCs/>
          <w:iCs/>
          <w:sz w:val="24"/>
          <w:szCs w:val="24"/>
        </w:rPr>
        <w:t xml:space="preserve">does not </w:t>
      </w:r>
      <w:r w:rsidR="00C06B62">
        <w:rPr>
          <w:rFonts w:cstheme="minorHAnsi"/>
          <w:bCs/>
          <w:iCs/>
          <w:sz w:val="24"/>
          <w:szCs w:val="24"/>
        </w:rPr>
        <w:t>eliminate challenges and criticism</w:t>
      </w:r>
      <w:r w:rsidR="00C01E3F">
        <w:rPr>
          <w:rFonts w:cstheme="minorHAnsi"/>
          <w:bCs/>
          <w:iCs/>
          <w:sz w:val="24"/>
          <w:szCs w:val="24"/>
        </w:rPr>
        <w:t>s</w:t>
      </w:r>
      <w:r w:rsidR="00CF546D">
        <w:rPr>
          <w:rFonts w:cstheme="minorHAnsi"/>
          <w:bCs/>
          <w:iCs/>
          <w:sz w:val="24"/>
          <w:szCs w:val="24"/>
        </w:rPr>
        <w:t xml:space="preserve"> for IHEs </w:t>
      </w:r>
      <w:r w:rsidR="003C070C">
        <w:rPr>
          <w:rFonts w:cstheme="minorHAnsi"/>
          <w:bCs/>
          <w:iCs/>
          <w:sz w:val="24"/>
          <w:szCs w:val="24"/>
        </w:rPr>
        <w:t xml:space="preserve">and </w:t>
      </w:r>
      <w:r w:rsidR="00CF546D">
        <w:rPr>
          <w:rFonts w:cstheme="minorHAnsi"/>
          <w:bCs/>
          <w:iCs/>
          <w:sz w:val="24"/>
          <w:szCs w:val="24"/>
        </w:rPr>
        <w:t>TATs</w:t>
      </w:r>
      <w:r w:rsidR="005A734A">
        <w:rPr>
          <w:rFonts w:cstheme="minorHAnsi"/>
          <w:bCs/>
          <w:iCs/>
          <w:sz w:val="24"/>
          <w:szCs w:val="24"/>
        </w:rPr>
        <w:t xml:space="preserve"> (Reed, 2023)</w:t>
      </w:r>
      <w:r w:rsidR="00C06B62">
        <w:rPr>
          <w:rFonts w:cstheme="minorHAnsi"/>
          <w:bCs/>
          <w:iCs/>
          <w:sz w:val="24"/>
          <w:szCs w:val="24"/>
        </w:rPr>
        <w:t xml:space="preserve">. </w:t>
      </w:r>
    </w:p>
    <w:p w14:paraId="0A3A25D3" w14:textId="73016190" w:rsidR="00B2797B" w:rsidRPr="009513A7" w:rsidRDefault="00B2797B" w:rsidP="00B2797B">
      <w:pPr>
        <w:spacing w:after="0" w:line="480" w:lineRule="auto"/>
        <w:ind w:firstLine="720"/>
        <w:rPr>
          <w:rFonts w:cstheme="minorHAnsi"/>
          <w:sz w:val="24"/>
          <w:szCs w:val="24"/>
        </w:rPr>
      </w:pPr>
      <w:r w:rsidRPr="009513A7">
        <w:rPr>
          <w:rFonts w:cstheme="minorHAnsi"/>
          <w:sz w:val="24"/>
          <w:szCs w:val="24"/>
        </w:rPr>
        <w:t xml:space="preserve">The rise of violent incidents on campus, in addition to other natural </w:t>
      </w:r>
      <w:r w:rsidR="005A734A">
        <w:rPr>
          <w:rFonts w:cstheme="minorHAnsi"/>
          <w:sz w:val="24"/>
          <w:szCs w:val="24"/>
        </w:rPr>
        <w:t>(</w:t>
      </w:r>
      <w:r w:rsidR="002D5C7E">
        <w:rPr>
          <w:rFonts w:cstheme="minorHAnsi"/>
          <w:sz w:val="24"/>
          <w:szCs w:val="24"/>
        </w:rPr>
        <w:t>e.g.,</w:t>
      </w:r>
      <w:r w:rsidR="005A734A">
        <w:rPr>
          <w:rFonts w:cstheme="minorHAnsi"/>
          <w:sz w:val="24"/>
          <w:szCs w:val="24"/>
        </w:rPr>
        <w:t xml:space="preserve"> hurricanes) </w:t>
      </w:r>
      <w:r w:rsidRPr="009513A7">
        <w:rPr>
          <w:rFonts w:cstheme="minorHAnsi"/>
          <w:sz w:val="24"/>
          <w:szCs w:val="24"/>
        </w:rPr>
        <w:t>and man-made</w:t>
      </w:r>
      <w:r w:rsidR="005A734A">
        <w:rPr>
          <w:rFonts w:cstheme="minorHAnsi"/>
          <w:sz w:val="24"/>
          <w:szCs w:val="24"/>
        </w:rPr>
        <w:t xml:space="preserve"> (</w:t>
      </w:r>
      <w:r w:rsidR="002D5C7E">
        <w:rPr>
          <w:rFonts w:cstheme="minorHAnsi"/>
          <w:sz w:val="24"/>
          <w:szCs w:val="24"/>
        </w:rPr>
        <w:t>e.g.,</w:t>
      </w:r>
      <w:r w:rsidR="005A734A">
        <w:rPr>
          <w:rFonts w:cstheme="minorHAnsi"/>
          <w:sz w:val="24"/>
          <w:szCs w:val="24"/>
        </w:rPr>
        <w:t xml:space="preserve"> cyber-attacks)</w:t>
      </w:r>
      <w:r w:rsidRPr="009513A7">
        <w:rPr>
          <w:rFonts w:cstheme="minorHAnsi"/>
          <w:sz w:val="24"/>
          <w:szCs w:val="24"/>
        </w:rPr>
        <w:t xml:space="preserve"> disasters, reinforces the need for emergency management systems</w:t>
      </w:r>
      <w:r w:rsidR="005A734A">
        <w:rPr>
          <w:rFonts w:cstheme="minorHAnsi"/>
          <w:sz w:val="24"/>
          <w:szCs w:val="24"/>
        </w:rPr>
        <w:t xml:space="preserve"> (Kim, 2012)</w:t>
      </w:r>
      <w:r w:rsidR="00702C94">
        <w:rPr>
          <w:rFonts w:cstheme="minorHAnsi"/>
          <w:sz w:val="24"/>
          <w:szCs w:val="24"/>
        </w:rPr>
        <w:t>.</w:t>
      </w:r>
      <w:r w:rsidRPr="009513A7">
        <w:rPr>
          <w:rFonts w:cstheme="minorHAnsi"/>
          <w:sz w:val="24"/>
          <w:szCs w:val="24"/>
        </w:rPr>
        <w:t xml:space="preserve"> Kim et al. (2012) outlined a framework for effective emergency management and boasts th</w:t>
      </w:r>
      <w:r w:rsidR="00702C94">
        <w:rPr>
          <w:rFonts w:cstheme="minorHAnsi"/>
          <w:sz w:val="24"/>
          <w:szCs w:val="24"/>
        </w:rPr>
        <w:t>at</w:t>
      </w:r>
      <w:r w:rsidRPr="009513A7">
        <w:rPr>
          <w:rFonts w:cstheme="minorHAnsi"/>
          <w:sz w:val="24"/>
          <w:szCs w:val="24"/>
        </w:rPr>
        <w:t xml:space="preserve"> human element and technology factors aid in successful emergency management. In addition, the nationwide increase in active shooter cases in the U.S. highlights the need to increase </w:t>
      </w:r>
      <w:r w:rsidR="00702C94">
        <w:rPr>
          <w:rFonts w:cstheme="minorHAnsi"/>
          <w:sz w:val="24"/>
          <w:szCs w:val="24"/>
        </w:rPr>
        <w:t xml:space="preserve">education, </w:t>
      </w:r>
      <w:r w:rsidRPr="009513A7">
        <w:rPr>
          <w:rFonts w:cstheme="minorHAnsi"/>
          <w:sz w:val="24"/>
          <w:szCs w:val="24"/>
        </w:rPr>
        <w:t>training</w:t>
      </w:r>
      <w:r w:rsidR="00702C94">
        <w:rPr>
          <w:rFonts w:cstheme="minorHAnsi"/>
          <w:sz w:val="24"/>
          <w:szCs w:val="24"/>
        </w:rPr>
        <w:t>,</w:t>
      </w:r>
      <w:r w:rsidRPr="009513A7">
        <w:rPr>
          <w:rFonts w:cstheme="minorHAnsi"/>
          <w:sz w:val="24"/>
          <w:szCs w:val="24"/>
        </w:rPr>
        <w:t xml:space="preserve"> and prevention efforts (Blair &amp; Schweit, 2014</w:t>
      </w:r>
      <w:r w:rsidR="005A734A">
        <w:rPr>
          <w:rFonts w:cstheme="minorHAnsi"/>
          <w:sz w:val="24"/>
          <w:szCs w:val="24"/>
        </w:rPr>
        <w:t xml:space="preserve">; </w:t>
      </w:r>
      <w:r w:rsidR="005A734A">
        <w:rPr>
          <w:rFonts w:cstheme="minorHAnsi"/>
          <w:bCs/>
          <w:iCs/>
          <w:sz w:val="24"/>
          <w:szCs w:val="24"/>
        </w:rPr>
        <w:t>Federal Bureau of Investigation et al., 2022</w:t>
      </w:r>
      <w:r w:rsidRPr="009513A7">
        <w:rPr>
          <w:rFonts w:cstheme="minorHAnsi"/>
          <w:sz w:val="24"/>
          <w:szCs w:val="24"/>
        </w:rPr>
        <w:t xml:space="preserve">). A study of the Virginia Tech communications during and after the crisis revealed areas for improvement in terms of crisis management and communication with </w:t>
      </w:r>
      <w:r w:rsidR="00702C94">
        <w:rPr>
          <w:rFonts w:cstheme="minorHAnsi"/>
          <w:sz w:val="24"/>
          <w:szCs w:val="24"/>
        </w:rPr>
        <w:t>victim</w:t>
      </w:r>
      <w:r w:rsidRPr="009513A7">
        <w:rPr>
          <w:rFonts w:cstheme="minorHAnsi"/>
          <w:sz w:val="24"/>
          <w:szCs w:val="24"/>
        </w:rPr>
        <w:t xml:space="preserve"> families (Barker &amp; Yoder, 2012). </w:t>
      </w:r>
      <w:r w:rsidR="003C070C">
        <w:rPr>
          <w:rFonts w:cstheme="minorHAnsi"/>
          <w:sz w:val="24"/>
          <w:szCs w:val="24"/>
        </w:rPr>
        <w:t xml:space="preserve">While TATs may have been implemented due to active shooter incidents, </w:t>
      </w:r>
      <w:r w:rsidR="00A27A2E" w:rsidRPr="009513A7">
        <w:rPr>
          <w:rFonts w:cstheme="minorHAnsi"/>
          <w:sz w:val="24"/>
          <w:szCs w:val="24"/>
        </w:rPr>
        <w:t>TA</w:t>
      </w:r>
      <w:r w:rsidR="00A27A2E">
        <w:rPr>
          <w:rFonts w:cstheme="minorHAnsi"/>
          <w:sz w:val="24"/>
          <w:szCs w:val="24"/>
        </w:rPr>
        <w:t>Ts</w:t>
      </w:r>
      <w:r w:rsidRPr="009513A7">
        <w:rPr>
          <w:rFonts w:cstheme="minorHAnsi"/>
          <w:sz w:val="24"/>
          <w:szCs w:val="24"/>
        </w:rPr>
        <w:t xml:space="preserve"> </w:t>
      </w:r>
      <w:r w:rsidR="003C070C">
        <w:rPr>
          <w:rFonts w:cstheme="minorHAnsi"/>
          <w:sz w:val="24"/>
          <w:szCs w:val="24"/>
        </w:rPr>
        <w:t xml:space="preserve">today </w:t>
      </w:r>
      <w:r w:rsidR="00CF546D">
        <w:rPr>
          <w:rFonts w:cstheme="minorHAnsi"/>
          <w:sz w:val="24"/>
          <w:szCs w:val="24"/>
        </w:rPr>
        <w:t xml:space="preserve">provide </w:t>
      </w:r>
      <w:r w:rsidRPr="009513A7">
        <w:rPr>
          <w:rFonts w:cstheme="minorHAnsi"/>
          <w:sz w:val="24"/>
          <w:szCs w:val="24"/>
        </w:rPr>
        <w:t>vital support and intervention through case management and threat assessment</w:t>
      </w:r>
      <w:r w:rsidR="00752CBD" w:rsidRPr="00752CBD">
        <w:rPr>
          <w:rFonts w:eastAsia="Times New Roman" w:cstheme="minorHAnsi"/>
          <w:sz w:val="24"/>
          <w:szCs w:val="24"/>
          <w:shd w:val="clear" w:color="auto" w:fill="FFFFFF"/>
        </w:rPr>
        <w:t xml:space="preserve"> </w:t>
      </w:r>
      <w:r w:rsidR="003C070C">
        <w:rPr>
          <w:rFonts w:eastAsia="Times New Roman" w:cstheme="minorHAnsi"/>
          <w:sz w:val="24"/>
          <w:szCs w:val="24"/>
          <w:shd w:val="clear" w:color="auto" w:fill="FFFFFF"/>
        </w:rPr>
        <w:t xml:space="preserve">for a wide-variety of needs </w:t>
      </w:r>
      <w:r w:rsidR="00752CBD">
        <w:rPr>
          <w:rFonts w:eastAsia="Times New Roman" w:cstheme="minorHAnsi"/>
          <w:sz w:val="24"/>
          <w:szCs w:val="24"/>
          <w:shd w:val="clear" w:color="auto" w:fill="FFFFFF"/>
        </w:rPr>
        <w:t>(</w:t>
      </w:r>
      <w:r w:rsidR="00752CBD" w:rsidRPr="009513A7">
        <w:rPr>
          <w:rFonts w:cstheme="minorHAnsi"/>
          <w:sz w:val="24"/>
          <w:szCs w:val="24"/>
        </w:rPr>
        <w:t xml:space="preserve">Deisinger et al., 2008; </w:t>
      </w:r>
      <w:r w:rsidR="00752CBD" w:rsidRPr="00361D80">
        <w:rPr>
          <w:rFonts w:cstheme="minorHAnsi"/>
          <w:bCs/>
          <w:sz w:val="24"/>
          <w:szCs w:val="24"/>
        </w:rPr>
        <w:t>Meloy &amp; Hoffmann, 2021</w:t>
      </w:r>
      <w:r w:rsidR="00752CBD">
        <w:rPr>
          <w:rFonts w:cstheme="minorHAnsi"/>
          <w:bCs/>
          <w:sz w:val="24"/>
          <w:szCs w:val="24"/>
        </w:rPr>
        <w:t xml:space="preserve">; </w:t>
      </w:r>
      <w:r w:rsidR="00752CBD" w:rsidRPr="009513A7">
        <w:rPr>
          <w:rFonts w:eastAsia="Calibri" w:cstheme="minorHAnsi"/>
          <w:sz w:val="24"/>
          <w:szCs w:val="24"/>
        </w:rPr>
        <w:t>Randazzo &amp; Cameron, 2012</w:t>
      </w:r>
      <w:r w:rsidR="00752CBD">
        <w:rPr>
          <w:rFonts w:eastAsia="Calibri" w:cstheme="minorHAnsi"/>
          <w:sz w:val="24"/>
          <w:szCs w:val="24"/>
        </w:rPr>
        <w:t>).</w:t>
      </w:r>
    </w:p>
    <w:p w14:paraId="73C9B603" w14:textId="77777777" w:rsidR="00B2797B" w:rsidRPr="009513A7" w:rsidRDefault="00B2797B" w:rsidP="00B2797B">
      <w:pPr>
        <w:spacing w:after="0" w:line="480" w:lineRule="auto"/>
        <w:contextualSpacing/>
        <w:jc w:val="center"/>
        <w:rPr>
          <w:rFonts w:cstheme="minorHAnsi"/>
          <w:b/>
          <w:sz w:val="24"/>
          <w:szCs w:val="24"/>
        </w:rPr>
      </w:pPr>
      <w:r w:rsidRPr="009513A7">
        <w:rPr>
          <w:rFonts w:cstheme="minorHAnsi"/>
          <w:b/>
          <w:sz w:val="24"/>
          <w:szCs w:val="24"/>
        </w:rPr>
        <w:lastRenderedPageBreak/>
        <w:t>Other Types of Violence</w:t>
      </w:r>
    </w:p>
    <w:p w14:paraId="1C58914B" w14:textId="3BB8CE91" w:rsidR="00B2797B" w:rsidRPr="009513A7" w:rsidRDefault="00B2797B" w:rsidP="00B2797B">
      <w:pPr>
        <w:spacing w:after="0" w:line="480" w:lineRule="auto"/>
        <w:contextualSpacing/>
        <w:rPr>
          <w:rFonts w:cstheme="minorHAnsi"/>
          <w:sz w:val="24"/>
          <w:szCs w:val="24"/>
        </w:rPr>
      </w:pPr>
      <w:r w:rsidRPr="009513A7">
        <w:rPr>
          <w:rFonts w:cstheme="minorHAnsi"/>
          <w:bCs/>
          <w:sz w:val="24"/>
          <w:szCs w:val="24"/>
        </w:rPr>
        <w:tab/>
        <w:t xml:space="preserve">The introduction of threat assessment at </w:t>
      </w:r>
      <w:r w:rsidR="00110BDA">
        <w:rPr>
          <w:rFonts w:cstheme="minorHAnsi"/>
          <w:bCs/>
          <w:sz w:val="24"/>
          <w:szCs w:val="24"/>
        </w:rPr>
        <w:t>IHEs</w:t>
      </w:r>
      <w:r w:rsidRPr="009513A7">
        <w:rPr>
          <w:rFonts w:cstheme="minorHAnsi"/>
          <w:bCs/>
          <w:sz w:val="24"/>
          <w:szCs w:val="24"/>
        </w:rPr>
        <w:t xml:space="preserve"> </w:t>
      </w:r>
      <w:r w:rsidR="00CF546D">
        <w:rPr>
          <w:rFonts w:cstheme="minorHAnsi"/>
          <w:bCs/>
          <w:sz w:val="24"/>
          <w:szCs w:val="24"/>
        </w:rPr>
        <w:t>helps to mitiga</w:t>
      </w:r>
      <w:r w:rsidR="000E7B27">
        <w:rPr>
          <w:rFonts w:cstheme="minorHAnsi"/>
          <w:bCs/>
          <w:sz w:val="24"/>
          <w:szCs w:val="24"/>
        </w:rPr>
        <w:t>t</w:t>
      </w:r>
      <w:r w:rsidR="00CF546D">
        <w:rPr>
          <w:rFonts w:cstheme="minorHAnsi"/>
          <w:bCs/>
          <w:sz w:val="24"/>
          <w:szCs w:val="24"/>
        </w:rPr>
        <w:t>e</w:t>
      </w:r>
      <w:r w:rsidRPr="009513A7">
        <w:rPr>
          <w:rFonts w:cstheme="minorHAnsi"/>
          <w:bCs/>
          <w:sz w:val="24"/>
          <w:szCs w:val="24"/>
        </w:rPr>
        <w:t xml:space="preserve"> workplace and community violence (Van Hasselt &amp; Bourke, 2018). While school shootings have received the most attention, there are various types of violence </w:t>
      </w:r>
      <w:r w:rsidR="005A734A" w:rsidRPr="009513A7">
        <w:rPr>
          <w:rFonts w:cstheme="minorHAnsi"/>
          <w:bCs/>
          <w:sz w:val="24"/>
          <w:szCs w:val="24"/>
        </w:rPr>
        <w:t xml:space="preserve">often </w:t>
      </w:r>
      <w:r w:rsidR="005A734A">
        <w:rPr>
          <w:rFonts w:cstheme="minorHAnsi"/>
          <w:bCs/>
          <w:sz w:val="24"/>
          <w:szCs w:val="24"/>
        </w:rPr>
        <w:t>creating</w:t>
      </w:r>
      <w:r w:rsidR="005A734A" w:rsidRPr="009513A7">
        <w:rPr>
          <w:rFonts w:cstheme="minorHAnsi"/>
          <w:bCs/>
          <w:sz w:val="24"/>
          <w:szCs w:val="24"/>
        </w:rPr>
        <w:t xml:space="preserve"> fear and concern f</w:t>
      </w:r>
      <w:r w:rsidR="005A734A">
        <w:rPr>
          <w:rFonts w:cstheme="minorHAnsi"/>
          <w:bCs/>
          <w:sz w:val="24"/>
          <w:szCs w:val="24"/>
        </w:rPr>
        <w:t>or</w:t>
      </w:r>
      <w:r w:rsidR="005A734A" w:rsidRPr="009513A7">
        <w:rPr>
          <w:rFonts w:cstheme="minorHAnsi"/>
          <w:bCs/>
          <w:sz w:val="24"/>
          <w:szCs w:val="24"/>
        </w:rPr>
        <w:t xml:space="preserve"> students</w:t>
      </w:r>
      <w:r w:rsidR="005A734A">
        <w:rPr>
          <w:rFonts w:cstheme="minorHAnsi"/>
          <w:bCs/>
          <w:sz w:val="24"/>
          <w:szCs w:val="24"/>
        </w:rPr>
        <w:t xml:space="preserve">, </w:t>
      </w:r>
      <w:r w:rsidR="005A734A" w:rsidRPr="009513A7">
        <w:rPr>
          <w:rFonts w:cstheme="minorHAnsi"/>
          <w:bCs/>
          <w:sz w:val="24"/>
          <w:szCs w:val="24"/>
        </w:rPr>
        <w:t>parents</w:t>
      </w:r>
      <w:r w:rsidR="005A734A">
        <w:rPr>
          <w:rFonts w:cstheme="minorHAnsi"/>
          <w:bCs/>
          <w:sz w:val="24"/>
          <w:szCs w:val="24"/>
        </w:rPr>
        <w:t>, and employees</w:t>
      </w:r>
      <w:r w:rsidR="005A734A" w:rsidRPr="009513A7">
        <w:rPr>
          <w:rFonts w:cstheme="minorHAnsi"/>
          <w:bCs/>
          <w:sz w:val="24"/>
          <w:szCs w:val="24"/>
        </w:rPr>
        <w:t xml:space="preserve"> </w:t>
      </w:r>
      <w:r w:rsidRPr="009513A7">
        <w:rPr>
          <w:rFonts w:cstheme="minorHAnsi"/>
          <w:bCs/>
          <w:sz w:val="24"/>
          <w:szCs w:val="24"/>
        </w:rPr>
        <w:t>(Bockler et al., 2013</w:t>
      </w:r>
      <w:r w:rsidR="005A734A">
        <w:rPr>
          <w:rFonts w:cstheme="minorHAnsi"/>
          <w:bCs/>
          <w:sz w:val="24"/>
          <w:szCs w:val="24"/>
        </w:rPr>
        <w:t xml:space="preserve">; Pollard et al., 2012; </w:t>
      </w:r>
      <w:r w:rsidR="005A734A" w:rsidRPr="005A734A">
        <w:rPr>
          <w:rFonts w:cstheme="minorHAnsi"/>
          <w:sz w:val="24"/>
          <w:szCs w:val="24"/>
        </w:rPr>
        <w:t>Turanovic</w:t>
      </w:r>
      <w:r w:rsidR="005A734A">
        <w:rPr>
          <w:rFonts w:cstheme="minorHAnsi"/>
          <w:sz w:val="24"/>
          <w:szCs w:val="24"/>
        </w:rPr>
        <w:t xml:space="preserve"> &amp; </w:t>
      </w:r>
      <w:r w:rsidR="005A734A" w:rsidRPr="005A734A">
        <w:rPr>
          <w:rFonts w:cstheme="minorHAnsi"/>
          <w:sz w:val="24"/>
          <w:szCs w:val="24"/>
        </w:rPr>
        <w:t>Siennick,</w:t>
      </w:r>
      <w:r w:rsidR="005A734A">
        <w:rPr>
          <w:rFonts w:cstheme="minorHAnsi"/>
          <w:sz w:val="24"/>
          <w:szCs w:val="24"/>
        </w:rPr>
        <w:t xml:space="preserve"> (2022</w:t>
      </w:r>
      <w:r w:rsidRPr="009513A7">
        <w:rPr>
          <w:rFonts w:cstheme="minorHAnsi"/>
          <w:bCs/>
          <w:sz w:val="24"/>
          <w:szCs w:val="24"/>
        </w:rPr>
        <w:t xml:space="preserve">). </w:t>
      </w:r>
      <w:r w:rsidRPr="009513A7">
        <w:rPr>
          <w:rFonts w:cstheme="minorHAnsi"/>
          <w:bCs/>
          <w:iCs/>
          <w:sz w:val="24"/>
          <w:szCs w:val="24"/>
        </w:rPr>
        <w:t xml:space="preserve">Stalking, domestic </w:t>
      </w:r>
      <w:r w:rsidR="00702C94">
        <w:rPr>
          <w:rFonts w:cstheme="minorHAnsi"/>
          <w:bCs/>
          <w:iCs/>
          <w:sz w:val="24"/>
          <w:szCs w:val="24"/>
        </w:rPr>
        <w:t>and dating</w:t>
      </w:r>
      <w:r w:rsidRPr="009513A7">
        <w:rPr>
          <w:rFonts w:cstheme="minorHAnsi"/>
          <w:bCs/>
          <w:iCs/>
          <w:sz w:val="24"/>
          <w:szCs w:val="24"/>
        </w:rPr>
        <w:t xml:space="preserve"> violence, sexual assault, hazing, as well as drug and alcohol induced violence are examples of other types of violence on </w:t>
      </w:r>
      <w:r w:rsidR="00702C94">
        <w:rPr>
          <w:rFonts w:cstheme="minorHAnsi"/>
          <w:bCs/>
          <w:iCs/>
          <w:sz w:val="24"/>
          <w:szCs w:val="24"/>
        </w:rPr>
        <w:t>contemporary</w:t>
      </w:r>
      <w:r w:rsidRPr="009513A7">
        <w:rPr>
          <w:rFonts w:cstheme="minorHAnsi"/>
          <w:bCs/>
          <w:iCs/>
          <w:sz w:val="24"/>
          <w:szCs w:val="24"/>
        </w:rPr>
        <w:t xml:space="preserve"> college campus</w:t>
      </w:r>
      <w:r w:rsidR="00702C94">
        <w:rPr>
          <w:rFonts w:cstheme="minorHAnsi"/>
          <w:bCs/>
          <w:iCs/>
          <w:sz w:val="24"/>
          <w:szCs w:val="24"/>
        </w:rPr>
        <w:t>es</w:t>
      </w:r>
      <w:r w:rsidRPr="009513A7">
        <w:rPr>
          <w:rFonts w:cstheme="minorHAnsi"/>
          <w:bCs/>
          <w:iCs/>
          <w:sz w:val="24"/>
          <w:szCs w:val="24"/>
        </w:rPr>
        <w:t xml:space="preserve"> (Drysdale et al., 2010; Paterson, 2020). </w:t>
      </w:r>
      <w:r w:rsidRPr="009513A7">
        <w:rPr>
          <w:rFonts w:cstheme="minorHAnsi"/>
          <w:bCs/>
          <w:sz w:val="24"/>
          <w:szCs w:val="24"/>
        </w:rPr>
        <w:t>IHEs, while often thought of as a place to learn</w:t>
      </w:r>
      <w:r w:rsidR="00AD682D">
        <w:rPr>
          <w:rFonts w:cstheme="minorHAnsi"/>
          <w:bCs/>
          <w:sz w:val="24"/>
          <w:szCs w:val="24"/>
        </w:rPr>
        <w:t>,</w:t>
      </w:r>
      <w:r w:rsidRPr="009513A7">
        <w:rPr>
          <w:rFonts w:cstheme="minorHAnsi"/>
          <w:bCs/>
          <w:sz w:val="24"/>
          <w:szCs w:val="24"/>
        </w:rPr>
        <w:t xml:space="preserve"> are also a place </w:t>
      </w:r>
      <w:r w:rsidR="00702C94">
        <w:rPr>
          <w:rFonts w:cstheme="minorHAnsi"/>
          <w:bCs/>
          <w:sz w:val="24"/>
          <w:szCs w:val="24"/>
        </w:rPr>
        <w:t>of employment</w:t>
      </w:r>
      <w:r w:rsidRPr="009513A7">
        <w:rPr>
          <w:rFonts w:cstheme="minorHAnsi"/>
          <w:bCs/>
          <w:sz w:val="24"/>
          <w:szCs w:val="24"/>
        </w:rPr>
        <w:t xml:space="preserve">. </w:t>
      </w:r>
    </w:p>
    <w:p w14:paraId="0CCABBFF" w14:textId="15301299" w:rsidR="00B2797B" w:rsidRPr="009513A7" w:rsidRDefault="00B2797B" w:rsidP="00B2797B">
      <w:pPr>
        <w:spacing w:after="0" w:line="480" w:lineRule="auto"/>
        <w:contextualSpacing/>
        <w:rPr>
          <w:rFonts w:eastAsia="Calibri" w:cstheme="minorHAnsi"/>
          <w:sz w:val="24"/>
          <w:szCs w:val="24"/>
        </w:rPr>
      </w:pPr>
      <w:r w:rsidRPr="009513A7">
        <w:rPr>
          <w:rFonts w:cstheme="minorHAnsi"/>
          <w:sz w:val="24"/>
          <w:szCs w:val="24"/>
        </w:rPr>
        <w:tab/>
        <w:t xml:space="preserve">A multitude of factors can impact the well-being of students, faculty, and staff. Moreover, campuses by design are open environments with educational and social gathering spaces that increase the opportunity for violence in general (Heilbrun et al., 2009). Stress and violence in the workplace as well as the classroom can be mitigated through policy, procedure, threat assessment teams and other </w:t>
      </w:r>
      <w:r w:rsidR="00702C94">
        <w:rPr>
          <w:rFonts w:cstheme="minorHAnsi"/>
          <w:sz w:val="24"/>
          <w:szCs w:val="24"/>
        </w:rPr>
        <w:t xml:space="preserve">support </w:t>
      </w:r>
      <w:r w:rsidRPr="009513A7">
        <w:rPr>
          <w:rFonts w:cstheme="minorHAnsi"/>
          <w:sz w:val="24"/>
          <w:szCs w:val="24"/>
        </w:rPr>
        <w:t>programs such as an employee assistance program</w:t>
      </w:r>
      <w:r w:rsidR="00702C94">
        <w:rPr>
          <w:rFonts w:cstheme="minorHAnsi"/>
          <w:sz w:val="24"/>
          <w:szCs w:val="24"/>
        </w:rPr>
        <w:t>s</w:t>
      </w:r>
      <w:r w:rsidRPr="009513A7">
        <w:rPr>
          <w:rFonts w:cstheme="minorHAnsi"/>
          <w:sz w:val="24"/>
          <w:szCs w:val="24"/>
        </w:rPr>
        <w:t xml:space="preserve"> or student support services (Hunt et al., 2012; Flannery et al., 2021). </w:t>
      </w:r>
      <w:r w:rsidRPr="009513A7">
        <w:rPr>
          <w:rFonts w:cstheme="minorHAnsi"/>
          <w:bCs/>
          <w:sz w:val="24"/>
          <w:szCs w:val="24"/>
        </w:rPr>
        <w:t>Behavioral intervention is more common on college campus</w:t>
      </w:r>
      <w:r w:rsidR="00702C94">
        <w:rPr>
          <w:rFonts w:cstheme="minorHAnsi"/>
          <w:bCs/>
          <w:sz w:val="24"/>
          <w:szCs w:val="24"/>
        </w:rPr>
        <w:t>es</w:t>
      </w:r>
      <w:r w:rsidRPr="009513A7">
        <w:rPr>
          <w:rFonts w:cstheme="minorHAnsi"/>
          <w:bCs/>
          <w:sz w:val="24"/>
          <w:szCs w:val="24"/>
        </w:rPr>
        <w:t xml:space="preserve"> with employees hired to specifically</w:t>
      </w:r>
      <w:r w:rsidR="00E96E86">
        <w:rPr>
          <w:rFonts w:cstheme="minorHAnsi"/>
          <w:bCs/>
          <w:sz w:val="24"/>
          <w:szCs w:val="24"/>
        </w:rPr>
        <w:t xml:space="preserve"> provide services ranging from mental health care and support </w:t>
      </w:r>
      <w:r w:rsidR="00C01E3F">
        <w:rPr>
          <w:rFonts w:cstheme="minorHAnsi"/>
          <w:bCs/>
          <w:sz w:val="24"/>
          <w:szCs w:val="24"/>
        </w:rPr>
        <w:t>for</w:t>
      </w:r>
      <w:r w:rsidR="00E96E86">
        <w:rPr>
          <w:rFonts w:cstheme="minorHAnsi"/>
          <w:bCs/>
          <w:sz w:val="24"/>
          <w:szCs w:val="24"/>
        </w:rPr>
        <w:t xml:space="preserve"> threat assessment </w:t>
      </w:r>
      <w:r w:rsidRPr="009513A7">
        <w:rPr>
          <w:rFonts w:cstheme="minorHAnsi"/>
          <w:bCs/>
          <w:sz w:val="24"/>
          <w:szCs w:val="24"/>
        </w:rPr>
        <w:t>(</w:t>
      </w:r>
      <w:r w:rsidR="00E96E86">
        <w:rPr>
          <w:rFonts w:cstheme="minorHAnsi"/>
          <w:bCs/>
          <w:sz w:val="24"/>
          <w:szCs w:val="24"/>
        </w:rPr>
        <w:t xml:space="preserve">Meloy &amp; Hoffmann, 2021; </w:t>
      </w:r>
      <w:r w:rsidRPr="009513A7">
        <w:rPr>
          <w:rFonts w:cstheme="minorHAnsi"/>
          <w:bCs/>
          <w:sz w:val="24"/>
          <w:szCs w:val="24"/>
        </w:rPr>
        <w:t xml:space="preserve">Schiemann &amp; Van Brunt, 2018; Sokolow et al., 2014). However, </w:t>
      </w:r>
      <w:r w:rsidR="00A27A2E" w:rsidRPr="009513A7">
        <w:rPr>
          <w:rFonts w:cstheme="minorHAnsi"/>
          <w:sz w:val="24"/>
          <w:szCs w:val="24"/>
        </w:rPr>
        <w:t>TA</w:t>
      </w:r>
      <w:r w:rsidR="00A27A2E">
        <w:rPr>
          <w:rFonts w:cstheme="minorHAnsi"/>
          <w:sz w:val="24"/>
          <w:szCs w:val="24"/>
        </w:rPr>
        <w:t>Ts</w:t>
      </w:r>
      <w:r w:rsidR="00A27A2E" w:rsidRPr="009513A7">
        <w:rPr>
          <w:rFonts w:cstheme="minorHAnsi"/>
          <w:bCs/>
          <w:sz w:val="24"/>
          <w:szCs w:val="24"/>
        </w:rPr>
        <w:t xml:space="preserve"> </w:t>
      </w:r>
      <w:r w:rsidRPr="009513A7">
        <w:rPr>
          <w:rFonts w:cstheme="minorHAnsi"/>
          <w:bCs/>
          <w:sz w:val="24"/>
          <w:szCs w:val="24"/>
        </w:rPr>
        <w:t>have members who serve</w:t>
      </w:r>
      <w:r w:rsidR="00702C94">
        <w:rPr>
          <w:rFonts w:cstheme="minorHAnsi"/>
          <w:bCs/>
          <w:sz w:val="24"/>
          <w:szCs w:val="24"/>
        </w:rPr>
        <w:t xml:space="preserve"> in these roles</w:t>
      </w:r>
      <w:r w:rsidRPr="009513A7">
        <w:rPr>
          <w:rFonts w:cstheme="minorHAnsi"/>
          <w:bCs/>
          <w:sz w:val="24"/>
          <w:szCs w:val="24"/>
        </w:rPr>
        <w:t xml:space="preserve"> in addition to their </w:t>
      </w:r>
      <w:r w:rsidR="00702C94">
        <w:rPr>
          <w:rFonts w:cstheme="minorHAnsi"/>
          <w:bCs/>
          <w:sz w:val="24"/>
          <w:szCs w:val="24"/>
        </w:rPr>
        <w:t xml:space="preserve">regular </w:t>
      </w:r>
      <w:r w:rsidRPr="009513A7">
        <w:rPr>
          <w:rFonts w:cstheme="minorHAnsi"/>
          <w:bCs/>
          <w:sz w:val="24"/>
          <w:szCs w:val="24"/>
        </w:rPr>
        <w:t xml:space="preserve">duties (Bolante &amp; Dykeman, 2017). Decades of research on school violence </w:t>
      </w:r>
      <w:r w:rsidR="00702C94">
        <w:rPr>
          <w:rFonts w:cstheme="minorHAnsi"/>
          <w:bCs/>
          <w:sz w:val="24"/>
          <w:szCs w:val="24"/>
        </w:rPr>
        <w:t xml:space="preserve">incidents </w:t>
      </w:r>
      <w:r w:rsidRPr="009513A7">
        <w:rPr>
          <w:rFonts w:cstheme="minorHAnsi"/>
          <w:bCs/>
          <w:sz w:val="24"/>
          <w:szCs w:val="24"/>
        </w:rPr>
        <w:t xml:space="preserve">support threat assessment and behavioral intervention as </w:t>
      </w:r>
      <w:r w:rsidR="00702C94">
        <w:rPr>
          <w:rFonts w:cstheme="minorHAnsi"/>
          <w:bCs/>
          <w:sz w:val="24"/>
          <w:szCs w:val="24"/>
        </w:rPr>
        <w:t xml:space="preserve">a </w:t>
      </w:r>
      <w:r w:rsidRPr="009513A7">
        <w:rPr>
          <w:rFonts w:cstheme="minorHAnsi"/>
          <w:bCs/>
          <w:sz w:val="24"/>
          <w:szCs w:val="24"/>
        </w:rPr>
        <w:t>best practice model to mitigate risk in IHEs (</w:t>
      </w:r>
      <w:r w:rsidR="006A27B5" w:rsidRPr="00361D80">
        <w:rPr>
          <w:rFonts w:cstheme="minorHAnsi"/>
          <w:bCs/>
          <w:sz w:val="24"/>
          <w:szCs w:val="24"/>
        </w:rPr>
        <w:t>Meloy &amp; Hoffmann, 2021</w:t>
      </w:r>
      <w:r w:rsidR="006A27B5">
        <w:rPr>
          <w:rFonts w:cstheme="minorHAnsi"/>
          <w:bCs/>
          <w:sz w:val="24"/>
          <w:szCs w:val="24"/>
        </w:rPr>
        <w:t xml:space="preserve">; </w:t>
      </w:r>
      <w:r w:rsidRPr="009513A7">
        <w:rPr>
          <w:rFonts w:cstheme="minorHAnsi"/>
          <w:bCs/>
          <w:sz w:val="24"/>
          <w:szCs w:val="24"/>
        </w:rPr>
        <w:t>Pollack et al., 2008; Sokolow et al., 2014).</w:t>
      </w:r>
      <w:r w:rsidR="00B33FA9" w:rsidRPr="006926E4">
        <w:rPr>
          <w:rFonts w:cstheme="minorHAnsi"/>
          <w:sz w:val="24"/>
          <w:szCs w:val="24"/>
        </w:rPr>
        <w:t xml:space="preserve"> </w:t>
      </w:r>
      <w:r w:rsidR="006926E4" w:rsidRPr="006926E4">
        <w:rPr>
          <w:rFonts w:cstheme="minorHAnsi"/>
          <w:sz w:val="24"/>
          <w:szCs w:val="24"/>
        </w:rPr>
        <w:t>Further</w:t>
      </w:r>
      <w:r w:rsidR="00702C94">
        <w:rPr>
          <w:rFonts w:cstheme="minorHAnsi"/>
          <w:sz w:val="24"/>
          <w:szCs w:val="24"/>
        </w:rPr>
        <w:t>more</w:t>
      </w:r>
      <w:r w:rsidR="006926E4" w:rsidRPr="006926E4">
        <w:rPr>
          <w:rFonts w:cstheme="minorHAnsi"/>
          <w:sz w:val="24"/>
          <w:szCs w:val="24"/>
        </w:rPr>
        <w:t>, TATs</w:t>
      </w:r>
      <w:r w:rsidR="00B33FA9" w:rsidRPr="006926E4">
        <w:rPr>
          <w:rFonts w:cstheme="minorHAnsi"/>
          <w:sz w:val="24"/>
          <w:szCs w:val="24"/>
        </w:rPr>
        <w:t xml:space="preserve"> should</w:t>
      </w:r>
      <w:r w:rsidR="00B33FA9" w:rsidRPr="009513A7">
        <w:rPr>
          <w:rFonts w:cstheme="minorHAnsi"/>
          <w:sz w:val="24"/>
          <w:szCs w:val="24"/>
        </w:rPr>
        <w:t xml:space="preserve"> operate with an </w:t>
      </w:r>
      <w:r w:rsidR="00B33FA9" w:rsidRPr="009513A7">
        <w:rPr>
          <w:rFonts w:cstheme="minorHAnsi"/>
          <w:sz w:val="24"/>
          <w:szCs w:val="24"/>
        </w:rPr>
        <w:lastRenderedPageBreak/>
        <w:t>understanding of</w:t>
      </w:r>
      <w:r w:rsidR="006926E4">
        <w:rPr>
          <w:rFonts w:cstheme="minorHAnsi"/>
          <w:sz w:val="24"/>
          <w:szCs w:val="24"/>
        </w:rPr>
        <w:t xml:space="preserve"> the</w:t>
      </w:r>
      <w:r w:rsidR="00B33FA9" w:rsidRPr="009513A7">
        <w:rPr>
          <w:rFonts w:cstheme="minorHAnsi"/>
          <w:sz w:val="24"/>
          <w:szCs w:val="24"/>
        </w:rPr>
        <w:t xml:space="preserve"> </w:t>
      </w:r>
      <w:r w:rsidR="006926E4">
        <w:rPr>
          <w:rFonts w:cstheme="minorHAnsi"/>
          <w:sz w:val="24"/>
          <w:szCs w:val="24"/>
        </w:rPr>
        <w:t>laws and policies</w:t>
      </w:r>
      <w:r w:rsidR="00B33FA9" w:rsidRPr="009513A7">
        <w:rPr>
          <w:rFonts w:cstheme="minorHAnsi"/>
          <w:sz w:val="24"/>
          <w:szCs w:val="24"/>
        </w:rPr>
        <w:t xml:space="preserve"> that may impact the work of threat assessment and case management</w:t>
      </w:r>
      <w:r w:rsidR="006926E4">
        <w:rPr>
          <w:rFonts w:cstheme="minorHAnsi"/>
          <w:sz w:val="24"/>
          <w:szCs w:val="24"/>
        </w:rPr>
        <w:t xml:space="preserve"> to mitigate risk</w:t>
      </w:r>
      <w:r w:rsidR="00B33FA9" w:rsidRPr="009513A7">
        <w:rPr>
          <w:rFonts w:cstheme="minorHAnsi"/>
          <w:sz w:val="24"/>
          <w:szCs w:val="24"/>
        </w:rPr>
        <w:t xml:space="preserve">. </w:t>
      </w:r>
      <w:r w:rsidR="00702C94">
        <w:rPr>
          <w:rFonts w:cstheme="minorHAnsi"/>
          <w:sz w:val="24"/>
          <w:szCs w:val="24"/>
        </w:rPr>
        <w:t xml:space="preserve">In the next section, I provide an </w:t>
      </w:r>
      <w:r w:rsidR="00B33FA9" w:rsidRPr="009513A7">
        <w:rPr>
          <w:rFonts w:cstheme="minorHAnsi"/>
          <w:sz w:val="24"/>
          <w:szCs w:val="24"/>
        </w:rPr>
        <w:t xml:space="preserve">overview of legislation </w:t>
      </w:r>
      <w:r w:rsidR="00702C94">
        <w:rPr>
          <w:rFonts w:cstheme="minorHAnsi"/>
          <w:sz w:val="24"/>
          <w:szCs w:val="24"/>
        </w:rPr>
        <w:t xml:space="preserve">and </w:t>
      </w:r>
      <w:r w:rsidR="006926E4">
        <w:rPr>
          <w:rFonts w:cstheme="minorHAnsi"/>
          <w:sz w:val="24"/>
          <w:szCs w:val="24"/>
        </w:rPr>
        <w:t xml:space="preserve">relevant </w:t>
      </w:r>
      <w:r w:rsidR="00B33FA9" w:rsidRPr="009513A7">
        <w:rPr>
          <w:rFonts w:cstheme="minorHAnsi"/>
          <w:sz w:val="24"/>
          <w:szCs w:val="24"/>
        </w:rPr>
        <w:t>laws</w:t>
      </w:r>
      <w:r w:rsidR="006926E4">
        <w:rPr>
          <w:rFonts w:cstheme="minorHAnsi"/>
          <w:sz w:val="24"/>
          <w:szCs w:val="24"/>
        </w:rPr>
        <w:t>.</w:t>
      </w:r>
    </w:p>
    <w:p w14:paraId="589ADFA1" w14:textId="118EFABE" w:rsidR="00B2797B" w:rsidRPr="009513A7" w:rsidRDefault="00B2797B" w:rsidP="00B2797B">
      <w:pPr>
        <w:spacing w:after="0" w:line="240" w:lineRule="auto"/>
        <w:contextualSpacing/>
        <w:jc w:val="center"/>
        <w:rPr>
          <w:rFonts w:cstheme="minorHAnsi"/>
          <w:b/>
          <w:iCs/>
          <w:sz w:val="24"/>
          <w:szCs w:val="24"/>
        </w:rPr>
      </w:pPr>
      <w:r w:rsidRPr="009513A7">
        <w:rPr>
          <w:rFonts w:cstheme="minorHAnsi"/>
          <w:b/>
          <w:iCs/>
          <w:sz w:val="24"/>
          <w:szCs w:val="24"/>
        </w:rPr>
        <w:t xml:space="preserve">Legislative Implications for </w:t>
      </w:r>
      <w:r w:rsidRPr="00A27A2E">
        <w:rPr>
          <w:rFonts w:cstheme="minorHAnsi"/>
          <w:b/>
          <w:iCs/>
          <w:sz w:val="24"/>
          <w:szCs w:val="24"/>
        </w:rPr>
        <w:t>Threat Assessment Teams</w:t>
      </w:r>
    </w:p>
    <w:p w14:paraId="488213F5" w14:textId="77777777" w:rsidR="00B2797B" w:rsidRPr="009513A7" w:rsidRDefault="00B2797B" w:rsidP="00B2797B">
      <w:pPr>
        <w:spacing w:after="0" w:line="240" w:lineRule="auto"/>
        <w:contextualSpacing/>
        <w:jc w:val="center"/>
        <w:rPr>
          <w:rFonts w:cstheme="minorHAnsi"/>
          <w:b/>
          <w:iCs/>
          <w:sz w:val="24"/>
          <w:szCs w:val="24"/>
        </w:rPr>
      </w:pPr>
    </w:p>
    <w:p w14:paraId="6EE36B79" w14:textId="7D55B043" w:rsidR="00B2797B" w:rsidRPr="009513A7" w:rsidRDefault="00B2797B" w:rsidP="00B2797B">
      <w:pPr>
        <w:spacing w:after="0" w:line="480" w:lineRule="auto"/>
        <w:contextualSpacing/>
        <w:rPr>
          <w:rFonts w:cstheme="minorHAnsi"/>
          <w:sz w:val="24"/>
          <w:szCs w:val="24"/>
        </w:rPr>
      </w:pPr>
      <w:r w:rsidRPr="009513A7">
        <w:rPr>
          <w:rFonts w:cstheme="minorHAnsi"/>
          <w:bCs/>
          <w:sz w:val="24"/>
          <w:szCs w:val="24"/>
        </w:rPr>
        <w:tab/>
      </w:r>
      <w:bookmarkStart w:id="12" w:name="_Hlk84881786"/>
      <w:r w:rsidRPr="009513A7">
        <w:rPr>
          <w:rFonts w:cstheme="minorHAnsi"/>
          <w:bCs/>
          <w:sz w:val="24"/>
          <w:szCs w:val="24"/>
        </w:rPr>
        <w:t>Allen</w:t>
      </w:r>
      <w:r w:rsidR="00702C94">
        <w:rPr>
          <w:rFonts w:cstheme="minorHAnsi"/>
          <w:bCs/>
          <w:sz w:val="24"/>
          <w:szCs w:val="24"/>
        </w:rPr>
        <w:t xml:space="preserve"> et al. </w:t>
      </w:r>
      <w:r w:rsidRPr="009513A7">
        <w:rPr>
          <w:rFonts w:cstheme="minorHAnsi"/>
          <w:bCs/>
          <w:sz w:val="24"/>
          <w:szCs w:val="24"/>
        </w:rPr>
        <w:t>(2008) described threat assessment as</w:t>
      </w:r>
      <w:r w:rsidR="005A734A">
        <w:rPr>
          <w:rFonts w:cstheme="minorHAnsi"/>
          <w:bCs/>
          <w:sz w:val="24"/>
          <w:szCs w:val="24"/>
        </w:rPr>
        <w:t xml:space="preserve"> a </w:t>
      </w:r>
      <w:r w:rsidRPr="009513A7">
        <w:rPr>
          <w:rFonts w:cstheme="minorHAnsi"/>
          <w:bCs/>
          <w:sz w:val="24"/>
          <w:szCs w:val="24"/>
        </w:rPr>
        <w:t>problem-solving approach rather than methods such as zero tolerance (i.e., suspension or expulsion)</w:t>
      </w:r>
      <w:r w:rsidR="005A734A">
        <w:rPr>
          <w:rFonts w:cstheme="minorHAnsi"/>
          <w:bCs/>
          <w:sz w:val="24"/>
          <w:szCs w:val="24"/>
        </w:rPr>
        <w:t>.</w:t>
      </w:r>
      <w:r w:rsidR="00C01E3F">
        <w:rPr>
          <w:rFonts w:cstheme="minorHAnsi"/>
          <w:bCs/>
          <w:sz w:val="24"/>
          <w:szCs w:val="24"/>
        </w:rPr>
        <w:t xml:space="preserve"> </w:t>
      </w:r>
      <w:r w:rsidRPr="009513A7">
        <w:rPr>
          <w:rFonts w:cstheme="minorHAnsi"/>
          <w:bCs/>
          <w:sz w:val="24"/>
          <w:szCs w:val="24"/>
        </w:rPr>
        <w:t>Regardless of approach, t</w:t>
      </w:r>
      <w:r w:rsidRPr="009513A7">
        <w:rPr>
          <w:rFonts w:cstheme="minorHAnsi"/>
          <w:sz w:val="24"/>
          <w:szCs w:val="24"/>
        </w:rPr>
        <w:t>he institutional response to early warning signs of violence for students can be viewed as a professional obligation and a legal duty (De Haven, 2009</w:t>
      </w:r>
      <w:r w:rsidR="005A734A">
        <w:rPr>
          <w:rFonts w:cstheme="minorHAnsi"/>
          <w:sz w:val="24"/>
          <w:szCs w:val="24"/>
        </w:rPr>
        <w:t xml:space="preserve">; Meloy &amp; Hoffman, </w:t>
      </w:r>
      <w:r w:rsidR="002D5C7E">
        <w:rPr>
          <w:rFonts w:cstheme="minorHAnsi"/>
          <w:sz w:val="24"/>
          <w:szCs w:val="24"/>
        </w:rPr>
        <w:t>2021)</w:t>
      </w:r>
      <w:r w:rsidRPr="009513A7">
        <w:rPr>
          <w:rFonts w:cstheme="minorHAnsi"/>
          <w:sz w:val="24"/>
          <w:szCs w:val="24"/>
        </w:rPr>
        <w:t xml:space="preserve">. Threat assessment in the workplace can also help identify employees </w:t>
      </w:r>
      <w:r w:rsidR="00702C94">
        <w:rPr>
          <w:rFonts w:cstheme="minorHAnsi"/>
          <w:sz w:val="24"/>
          <w:szCs w:val="24"/>
        </w:rPr>
        <w:t xml:space="preserve">who </w:t>
      </w:r>
      <w:r w:rsidR="00A307CA">
        <w:rPr>
          <w:rFonts w:cstheme="minorHAnsi"/>
          <w:sz w:val="24"/>
          <w:szCs w:val="24"/>
        </w:rPr>
        <w:t xml:space="preserve">may </w:t>
      </w:r>
      <w:r w:rsidRPr="009513A7">
        <w:rPr>
          <w:rFonts w:cstheme="minorHAnsi"/>
          <w:sz w:val="24"/>
          <w:szCs w:val="24"/>
        </w:rPr>
        <w:t xml:space="preserve">be on a pathway to violence (Deisinger et al., 2008; </w:t>
      </w:r>
      <w:r w:rsidR="006A27B5" w:rsidRPr="00361D80">
        <w:rPr>
          <w:rFonts w:cstheme="minorHAnsi"/>
          <w:bCs/>
          <w:sz w:val="24"/>
          <w:szCs w:val="24"/>
        </w:rPr>
        <w:t>Meloy &amp; Hoffmann, 2021</w:t>
      </w:r>
      <w:r w:rsidR="006A27B5">
        <w:rPr>
          <w:rFonts w:cstheme="minorHAnsi"/>
          <w:bCs/>
          <w:sz w:val="24"/>
          <w:szCs w:val="24"/>
        </w:rPr>
        <w:t xml:space="preserve">; </w:t>
      </w:r>
      <w:r w:rsidRPr="009513A7">
        <w:rPr>
          <w:rFonts w:eastAsia="Calibri" w:cstheme="minorHAnsi"/>
          <w:sz w:val="24"/>
          <w:szCs w:val="24"/>
        </w:rPr>
        <w:t xml:space="preserve">Randazzo &amp; Cameron, 2012). </w:t>
      </w:r>
      <w:r w:rsidRPr="009513A7">
        <w:rPr>
          <w:rFonts w:cstheme="minorHAnsi"/>
          <w:sz w:val="24"/>
          <w:szCs w:val="24"/>
        </w:rPr>
        <w:t>Whether the person of concern is a student or employee</w:t>
      </w:r>
      <w:r w:rsidR="00AD682D">
        <w:rPr>
          <w:rFonts w:cstheme="minorHAnsi"/>
          <w:sz w:val="24"/>
          <w:szCs w:val="24"/>
        </w:rPr>
        <w:t>,</w:t>
      </w:r>
      <w:r w:rsidRPr="009513A7">
        <w:rPr>
          <w:rFonts w:cstheme="minorHAnsi"/>
          <w:sz w:val="24"/>
          <w:szCs w:val="24"/>
        </w:rPr>
        <w:t xml:space="preserve"> IHEs are challenged to find a fair and objective balance between individual</w:t>
      </w:r>
      <w:r w:rsidR="00702C94">
        <w:rPr>
          <w:rFonts w:cstheme="minorHAnsi"/>
          <w:sz w:val="24"/>
          <w:szCs w:val="24"/>
        </w:rPr>
        <w:t xml:space="preserve"> rights</w:t>
      </w:r>
      <w:r w:rsidRPr="009513A7">
        <w:rPr>
          <w:rFonts w:cstheme="minorHAnsi"/>
          <w:sz w:val="24"/>
          <w:szCs w:val="24"/>
        </w:rPr>
        <w:t xml:space="preserve"> and campus </w:t>
      </w:r>
      <w:r w:rsidR="00702C94">
        <w:rPr>
          <w:rFonts w:cstheme="minorHAnsi"/>
          <w:sz w:val="24"/>
          <w:szCs w:val="24"/>
        </w:rPr>
        <w:t>safety</w:t>
      </w:r>
      <w:r w:rsidR="00702C94" w:rsidRPr="009513A7">
        <w:rPr>
          <w:rFonts w:cstheme="minorHAnsi"/>
          <w:sz w:val="24"/>
          <w:szCs w:val="24"/>
        </w:rPr>
        <w:t xml:space="preserve"> </w:t>
      </w:r>
      <w:r w:rsidRPr="009513A7">
        <w:rPr>
          <w:rFonts w:cstheme="minorHAnsi"/>
          <w:sz w:val="24"/>
          <w:szCs w:val="24"/>
        </w:rPr>
        <w:t>(Eells &amp; Ro</w:t>
      </w:r>
      <w:r w:rsidRPr="00A27A2E">
        <w:rPr>
          <w:rFonts w:cstheme="minorHAnsi"/>
          <w:sz w:val="24"/>
          <w:szCs w:val="24"/>
        </w:rPr>
        <w:t>ckland-Miller, 2011</w:t>
      </w:r>
      <w:r w:rsidR="005A734A">
        <w:rPr>
          <w:rFonts w:cstheme="minorHAnsi"/>
          <w:sz w:val="24"/>
          <w:szCs w:val="24"/>
        </w:rPr>
        <w:t>; Marshall &amp; Clark, 2023; Paterson, 2020</w:t>
      </w:r>
      <w:r w:rsidRPr="00A27A2E">
        <w:rPr>
          <w:rFonts w:cstheme="minorHAnsi"/>
          <w:sz w:val="24"/>
          <w:szCs w:val="24"/>
        </w:rPr>
        <w:t xml:space="preserve">). </w:t>
      </w:r>
      <w:bookmarkStart w:id="13" w:name="_Hlk152164408"/>
      <w:r w:rsidR="00FB2D8A">
        <w:rPr>
          <w:rFonts w:cstheme="minorHAnsi"/>
          <w:sz w:val="24"/>
          <w:szCs w:val="24"/>
        </w:rPr>
        <w:t>TATs</w:t>
      </w:r>
      <w:r w:rsidR="00FB2D8A" w:rsidRPr="00A27A2E">
        <w:rPr>
          <w:rFonts w:cstheme="minorHAnsi"/>
          <w:sz w:val="24"/>
          <w:szCs w:val="24"/>
        </w:rPr>
        <w:t xml:space="preserve"> strive</w:t>
      </w:r>
      <w:r w:rsidR="00FB2D8A" w:rsidRPr="009513A7">
        <w:rPr>
          <w:rFonts w:cstheme="minorHAnsi"/>
          <w:sz w:val="24"/>
          <w:szCs w:val="24"/>
        </w:rPr>
        <w:t xml:space="preserve"> to mitigate risk </w:t>
      </w:r>
      <w:r w:rsidR="00D47B80">
        <w:rPr>
          <w:rFonts w:cstheme="minorHAnsi"/>
          <w:sz w:val="24"/>
          <w:szCs w:val="24"/>
        </w:rPr>
        <w:t xml:space="preserve">early by </w:t>
      </w:r>
      <w:r w:rsidR="00FB2D8A" w:rsidRPr="009513A7">
        <w:rPr>
          <w:rFonts w:cstheme="minorHAnsi"/>
          <w:sz w:val="24"/>
          <w:szCs w:val="24"/>
        </w:rPr>
        <w:t xml:space="preserve">identifying troubled students and employees </w:t>
      </w:r>
      <w:r w:rsidR="00FB2D8A">
        <w:rPr>
          <w:rFonts w:cstheme="minorHAnsi"/>
          <w:sz w:val="24"/>
          <w:szCs w:val="24"/>
        </w:rPr>
        <w:t>(Meloy &amp; Hoffmann, 2021). TATs should consider legal risk and nondiscriminatory best practices when developing a plan (Meloy &amp; Hoffmann, 2021). Teams can evaluate a threat by collecting information to better understand the risk and ultimately implement</w:t>
      </w:r>
      <w:r w:rsidR="00FB2D8A" w:rsidRPr="009513A7">
        <w:rPr>
          <w:rFonts w:cstheme="minorHAnsi"/>
          <w:sz w:val="24"/>
          <w:szCs w:val="24"/>
        </w:rPr>
        <w:t xml:space="preserve"> </w:t>
      </w:r>
      <w:r w:rsidR="00FB2D8A">
        <w:rPr>
          <w:rFonts w:cstheme="minorHAnsi"/>
          <w:sz w:val="24"/>
          <w:szCs w:val="24"/>
        </w:rPr>
        <w:t>actions</w:t>
      </w:r>
      <w:r w:rsidR="00FB2D8A" w:rsidRPr="009513A7">
        <w:rPr>
          <w:rFonts w:cstheme="minorHAnsi"/>
          <w:sz w:val="24"/>
          <w:szCs w:val="24"/>
        </w:rPr>
        <w:t xml:space="preserve"> for intervention and prevention </w:t>
      </w:r>
      <w:bookmarkEnd w:id="13"/>
      <w:r w:rsidR="00FB2D8A" w:rsidRPr="009513A7">
        <w:rPr>
          <w:rFonts w:cstheme="minorHAnsi"/>
          <w:sz w:val="24"/>
          <w:szCs w:val="24"/>
        </w:rPr>
        <w:t>(Harwood, 2011</w:t>
      </w:r>
      <w:r w:rsidR="00FB2D8A">
        <w:rPr>
          <w:rFonts w:cstheme="minorHAnsi"/>
          <w:bCs/>
          <w:iCs/>
          <w:sz w:val="24"/>
          <w:szCs w:val="24"/>
        </w:rPr>
        <w:t xml:space="preserve">; Meloy &amp; Hoffmann, 2021). </w:t>
      </w:r>
      <w:r w:rsidR="005A734A">
        <w:rPr>
          <w:rFonts w:cstheme="minorHAnsi"/>
          <w:sz w:val="24"/>
          <w:szCs w:val="24"/>
        </w:rPr>
        <w:t xml:space="preserve">TATs at IHEs may be confronted with difficult cases where community members may have a mental illness, personal stress, active disciplinary action, or are experiencing suicidal ideation (Eells &amp; Rockland-Miller, 2011; Meloy &amp; Hoffmann, 2021). </w:t>
      </w:r>
      <w:r w:rsidRPr="00A27A2E">
        <w:rPr>
          <w:rFonts w:cstheme="minorHAnsi"/>
          <w:sz w:val="24"/>
          <w:szCs w:val="24"/>
        </w:rPr>
        <w:t>Threat assessment teams</w:t>
      </w:r>
      <w:r w:rsidRPr="009513A7">
        <w:rPr>
          <w:rFonts w:cstheme="minorHAnsi"/>
          <w:sz w:val="24"/>
          <w:szCs w:val="24"/>
        </w:rPr>
        <w:t xml:space="preserve"> must operate within the bounds of reason and limited resources for students, faculty, and staff</w:t>
      </w:r>
      <w:r w:rsidR="006A27B5">
        <w:rPr>
          <w:rFonts w:cstheme="minorHAnsi"/>
          <w:bCs/>
          <w:iCs/>
          <w:sz w:val="24"/>
          <w:szCs w:val="24"/>
        </w:rPr>
        <w:t xml:space="preserve"> (</w:t>
      </w:r>
      <w:r w:rsidR="006A27B5" w:rsidRPr="00361D80">
        <w:rPr>
          <w:rFonts w:cstheme="minorHAnsi"/>
          <w:bCs/>
          <w:sz w:val="24"/>
          <w:szCs w:val="24"/>
        </w:rPr>
        <w:t>Meloy &amp; Hoffmann, 2021</w:t>
      </w:r>
      <w:r w:rsidR="006A27B5">
        <w:rPr>
          <w:rFonts w:cstheme="minorHAnsi"/>
          <w:bCs/>
          <w:sz w:val="24"/>
          <w:szCs w:val="24"/>
        </w:rPr>
        <w:t>)</w:t>
      </w:r>
      <w:r w:rsidRPr="009513A7">
        <w:rPr>
          <w:rFonts w:cstheme="minorHAnsi"/>
          <w:sz w:val="24"/>
          <w:szCs w:val="24"/>
        </w:rPr>
        <w:t xml:space="preserve">. </w:t>
      </w:r>
    </w:p>
    <w:p w14:paraId="1CB1D87C" w14:textId="77777777" w:rsidR="005A734A" w:rsidRDefault="00B2797B" w:rsidP="00B2797B">
      <w:pPr>
        <w:spacing w:after="0" w:line="480" w:lineRule="auto"/>
        <w:contextualSpacing/>
        <w:rPr>
          <w:rFonts w:cstheme="minorHAnsi"/>
          <w:sz w:val="24"/>
          <w:szCs w:val="24"/>
        </w:rPr>
      </w:pPr>
      <w:r w:rsidRPr="009513A7">
        <w:rPr>
          <w:rFonts w:cstheme="minorHAnsi"/>
          <w:sz w:val="24"/>
          <w:szCs w:val="24"/>
        </w:rPr>
        <w:lastRenderedPageBreak/>
        <w:tab/>
        <w:t xml:space="preserve">In the early 1900s colleges often served </w:t>
      </w:r>
      <w:r w:rsidRPr="007C3F96">
        <w:rPr>
          <w:rFonts w:cstheme="minorHAnsi"/>
          <w:i/>
          <w:iCs/>
          <w:sz w:val="24"/>
          <w:szCs w:val="24"/>
        </w:rPr>
        <w:t>in loco parentis</w:t>
      </w:r>
      <w:r w:rsidRPr="009513A7">
        <w:rPr>
          <w:rFonts w:cstheme="minorHAnsi"/>
          <w:sz w:val="24"/>
          <w:szCs w:val="24"/>
        </w:rPr>
        <w:t xml:space="preserve"> or in the place of the parent when caring for students</w:t>
      </w:r>
      <w:r w:rsidR="005A734A">
        <w:rPr>
          <w:rFonts w:cstheme="minorHAnsi"/>
          <w:sz w:val="24"/>
          <w:szCs w:val="24"/>
        </w:rPr>
        <w:t xml:space="preserve"> (Henning, 2007; Lake, 2013)</w:t>
      </w:r>
      <w:r w:rsidRPr="009513A7">
        <w:rPr>
          <w:rFonts w:cstheme="minorHAnsi"/>
          <w:sz w:val="24"/>
          <w:szCs w:val="24"/>
        </w:rPr>
        <w:t xml:space="preserve">. </w:t>
      </w:r>
      <w:r w:rsidR="000E7B27">
        <w:rPr>
          <w:rFonts w:cstheme="minorHAnsi"/>
          <w:sz w:val="24"/>
          <w:szCs w:val="24"/>
        </w:rPr>
        <w:t>Lake (2013) discusse</w:t>
      </w:r>
      <w:r w:rsidR="00702C94">
        <w:rPr>
          <w:rFonts w:cstheme="minorHAnsi"/>
          <w:sz w:val="24"/>
          <w:szCs w:val="24"/>
        </w:rPr>
        <w:t>d</w:t>
      </w:r>
      <w:r w:rsidR="000E7B27">
        <w:rPr>
          <w:rFonts w:cstheme="minorHAnsi"/>
          <w:sz w:val="24"/>
          <w:szCs w:val="24"/>
        </w:rPr>
        <w:t xml:space="preserve"> the balance of standing in place of the parent and the law,</w:t>
      </w:r>
    </w:p>
    <w:p w14:paraId="0B0EAA02" w14:textId="7DE36DAC" w:rsidR="005A734A" w:rsidRDefault="00B2797B" w:rsidP="005A734A">
      <w:pPr>
        <w:spacing w:after="0" w:line="480" w:lineRule="auto"/>
        <w:ind w:left="720" w:firstLine="60"/>
        <w:contextualSpacing/>
        <w:rPr>
          <w:rFonts w:cstheme="minorHAnsi"/>
          <w:sz w:val="24"/>
          <w:szCs w:val="24"/>
        </w:rPr>
      </w:pPr>
      <w:r w:rsidRPr="009513A7">
        <w:rPr>
          <w:rFonts w:cstheme="minorHAnsi"/>
          <w:sz w:val="24"/>
          <w:szCs w:val="24"/>
        </w:rPr>
        <w:t xml:space="preserve">[Colleges] . . . stand </w:t>
      </w:r>
      <w:r w:rsidRPr="007C3F96">
        <w:rPr>
          <w:rFonts w:cstheme="minorHAnsi"/>
          <w:i/>
          <w:iCs/>
          <w:sz w:val="24"/>
          <w:szCs w:val="24"/>
        </w:rPr>
        <w:t>in loco parentis</w:t>
      </w:r>
      <w:r w:rsidRPr="009513A7">
        <w:rPr>
          <w:rFonts w:cstheme="minorHAnsi"/>
          <w:sz w:val="24"/>
          <w:szCs w:val="24"/>
        </w:rPr>
        <w:t xml:space="preserve"> concerning the physical and moral welfare and mental training of the pupils, and . . . to that end [may make] any rule or regulation for the government or betterment of their pupils that a parent could for the same purpose unless unlawful or contrary to public policy</w:t>
      </w:r>
      <w:r w:rsidR="00C01E3F">
        <w:rPr>
          <w:rFonts w:cstheme="minorHAnsi"/>
          <w:sz w:val="24"/>
          <w:szCs w:val="24"/>
        </w:rPr>
        <w:t>.</w:t>
      </w:r>
      <w:r w:rsidRPr="009513A7">
        <w:rPr>
          <w:rFonts w:cstheme="minorHAnsi"/>
          <w:sz w:val="24"/>
          <w:szCs w:val="24"/>
        </w:rPr>
        <w:t xml:space="preserve"> (p. 23) </w:t>
      </w:r>
    </w:p>
    <w:p w14:paraId="259EFDDD" w14:textId="1718BF92" w:rsidR="00B2797B" w:rsidRPr="009513A7" w:rsidRDefault="00B2797B" w:rsidP="005A734A">
      <w:pPr>
        <w:spacing w:after="0" w:line="480" w:lineRule="auto"/>
        <w:contextualSpacing/>
        <w:rPr>
          <w:rFonts w:cstheme="minorHAnsi"/>
          <w:sz w:val="24"/>
          <w:szCs w:val="24"/>
        </w:rPr>
      </w:pPr>
      <w:r w:rsidRPr="009513A7">
        <w:rPr>
          <w:rFonts w:cstheme="minorHAnsi"/>
          <w:sz w:val="24"/>
          <w:szCs w:val="24"/>
        </w:rPr>
        <w:t xml:space="preserve">However, the legal climate in IHEs began to change with the </w:t>
      </w:r>
      <w:r w:rsidR="00702C94">
        <w:rPr>
          <w:rFonts w:cstheme="minorHAnsi"/>
          <w:sz w:val="24"/>
          <w:szCs w:val="24"/>
        </w:rPr>
        <w:t xml:space="preserve">1960s </w:t>
      </w:r>
      <w:r w:rsidR="007C3F96">
        <w:rPr>
          <w:rFonts w:cstheme="minorHAnsi"/>
          <w:sz w:val="24"/>
          <w:szCs w:val="24"/>
        </w:rPr>
        <w:t>C</w:t>
      </w:r>
      <w:r w:rsidRPr="009513A7">
        <w:rPr>
          <w:rFonts w:cstheme="minorHAnsi"/>
          <w:sz w:val="24"/>
          <w:szCs w:val="24"/>
        </w:rPr>
        <w:t xml:space="preserve">ivil </w:t>
      </w:r>
      <w:r w:rsidR="007C3F96">
        <w:rPr>
          <w:rFonts w:cstheme="minorHAnsi"/>
          <w:sz w:val="24"/>
          <w:szCs w:val="24"/>
        </w:rPr>
        <w:t>R</w:t>
      </w:r>
      <w:r w:rsidRPr="009513A7">
        <w:rPr>
          <w:rFonts w:cstheme="minorHAnsi"/>
          <w:sz w:val="24"/>
          <w:szCs w:val="24"/>
        </w:rPr>
        <w:t xml:space="preserve">ights </w:t>
      </w:r>
      <w:r w:rsidR="007C3F96">
        <w:rPr>
          <w:rFonts w:cstheme="minorHAnsi"/>
          <w:sz w:val="24"/>
          <w:szCs w:val="24"/>
        </w:rPr>
        <w:t>M</w:t>
      </w:r>
      <w:r w:rsidRPr="009513A7">
        <w:rPr>
          <w:rFonts w:cstheme="minorHAnsi"/>
          <w:sz w:val="24"/>
          <w:szCs w:val="24"/>
        </w:rPr>
        <w:t xml:space="preserve">ovement. It was during this time that IHEs could no longer act </w:t>
      </w:r>
      <w:r w:rsidRPr="00C01E3F">
        <w:rPr>
          <w:rFonts w:cstheme="minorHAnsi"/>
          <w:i/>
          <w:iCs/>
          <w:sz w:val="24"/>
          <w:szCs w:val="24"/>
        </w:rPr>
        <w:t>in loco parentis</w:t>
      </w:r>
      <w:r w:rsidRPr="009513A7">
        <w:rPr>
          <w:rFonts w:cstheme="minorHAnsi"/>
          <w:sz w:val="24"/>
          <w:szCs w:val="24"/>
        </w:rPr>
        <w:t xml:space="preserve"> to students in terms of discipline and other matters</w:t>
      </w:r>
      <w:r w:rsidR="006A27B5">
        <w:rPr>
          <w:rFonts w:cstheme="minorHAnsi"/>
          <w:bCs/>
          <w:iCs/>
          <w:sz w:val="24"/>
          <w:szCs w:val="24"/>
        </w:rPr>
        <w:t xml:space="preserve"> (Lake, 2013)</w:t>
      </w:r>
      <w:r w:rsidRPr="009513A7">
        <w:rPr>
          <w:rFonts w:cstheme="minorHAnsi"/>
          <w:sz w:val="24"/>
          <w:szCs w:val="24"/>
        </w:rPr>
        <w:t>. The</w:t>
      </w:r>
      <w:r w:rsidR="00702C94">
        <w:rPr>
          <w:rFonts w:cstheme="minorHAnsi"/>
          <w:sz w:val="24"/>
          <w:szCs w:val="24"/>
        </w:rPr>
        <w:t xml:space="preserve"> </w:t>
      </w:r>
      <w:r w:rsidR="005A734A">
        <w:rPr>
          <w:rFonts w:cstheme="minorHAnsi"/>
          <w:sz w:val="24"/>
          <w:szCs w:val="24"/>
        </w:rPr>
        <w:t xml:space="preserve">U.S. Federal Court decision in the </w:t>
      </w:r>
      <w:r w:rsidR="00702C94">
        <w:rPr>
          <w:rFonts w:cstheme="minorHAnsi"/>
          <w:sz w:val="24"/>
          <w:szCs w:val="24"/>
        </w:rPr>
        <w:t xml:space="preserve">1961 </w:t>
      </w:r>
      <w:r w:rsidRPr="00C01E3F">
        <w:rPr>
          <w:rFonts w:cstheme="minorHAnsi"/>
          <w:i/>
          <w:iCs/>
          <w:sz w:val="24"/>
          <w:szCs w:val="24"/>
        </w:rPr>
        <w:t>Dixon v. Alabama State Board of Education</w:t>
      </w:r>
      <w:r w:rsidRPr="009513A7">
        <w:rPr>
          <w:rFonts w:cstheme="minorHAnsi"/>
          <w:sz w:val="24"/>
          <w:szCs w:val="24"/>
        </w:rPr>
        <w:t xml:space="preserve"> case </w:t>
      </w:r>
      <w:r w:rsidR="005A734A">
        <w:rPr>
          <w:rFonts w:cstheme="minorHAnsi"/>
          <w:sz w:val="24"/>
          <w:szCs w:val="24"/>
        </w:rPr>
        <w:t xml:space="preserve">obligated IHEs to </w:t>
      </w:r>
      <w:r w:rsidR="00C01E3F">
        <w:rPr>
          <w:rFonts w:cstheme="minorHAnsi"/>
          <w:sz w:val="24"/>
          <w:szCs w:val="24"/>
        </w:rPr>
        <w:t xml:space="preserve">provide </w:t>
      </w:r>
      <w:r w:rsidRPr="009513A7">
        <w:rPr>
          <w:rFonts w:cstheme="minorHAnsi"/>
          <w:sz w:val="24"/>
          <w:szCs w:val="24"/>
        </w:rPr>
        <w:t xml:space="preserve">due process for students and </w:t>
      </w:r>
      <w:r w:rsidR="005A734A">
        <w:rPr>
          <w:rFonts w:cstheme="minorHAnsi"/>
          <w:sz w:val="24"/>
          <w:szCs w:val="24"/>
        </w:rPr>
        <w:t>increased</w:t>
      </w:r>
      <w:r w:rsidRPr="009513A7">
        <w:rPr>
          <w:rFonts w:cstheme="minorHAnsi"/>
          <w:sz w:val="24"/>
          <w:szCs w:val="24"/>
        </w:rPr>
        <w:t xml:space="preserve"> legal accountability (Lake, 2009). </w:t>
      </w:r>
      <w:r w:rsidR="000E7B27">
        <w:rPr>
          <w:rFonts w:cstheme="minorHAnsi"/>
          <w:sz w:val="24"/>
          <w:szCs w:val="24"/>
        </w:rPr>
        <w:t xml:space="preserve">The end of </w:t>
      </w:r>
      <w:r w:rsidR="000E7B27" w:rsidRPr="00C01E3F">
        <w:rPr>
          <w:rFonts w:cstheme="minorHAnsi"/>
          <w:i/>
          <w:iCs/>
          <w:sz w:val="24"/>
          <w:szCs w:val="24"/>
        </w:rPr>
        <w:t>in loco parentis</w:t>
      </w:r>
      <w:r w:rsidR="000E7B27">
        <w:rPr>
          <w:rFonts w:cstheme="minorHAnsi"/>
          <w:sz w:val="24"/>
          <w:szCs w:val="24"/>
        </w:rPr>
        <w:t xml:space="preserve"> </w:t>
      </w:r>
      <w:r w:rsidR="005808DC">
        <w:rPr>
          <w:rFonts w:cstheme="minorHAnsi"/>
          <w:sz w:val="24"/>
          <w:szCs w:val="24"/>
        </w:rPr>
        <w:t xml:space="preserve">caused courts to impose a duty of reasonable care upon college administrators, resulting in </w:t>
      </w:r>
      <w:r w:rsidRPr="009513A7">
        <w:rPr>
          <w:rFonts w:cstheme="minorHAnsi"/>
          <w:sz w:val="24"/>
          <w:szCs w:val="24"/>
        </w:rPr>
        <w:t xml:space="preserve">questions of foreseeability and duty to care </w:t>
      </w:r>
      <w:r w:rsidR="005808DC">
        <w:rPr>
          <w:rFonts w:cstheme="minorHAnsi"/>
          <w:sz w:val="24"/>
          <w:szCs w:val="24"/>
        </w:rPr>
        <w:t>being</w:t>
      </w:r>
      <w:r w:rsidR="005808DC" w:rsidRPr="009513A7">
        <w:rPr>
          <w:rFonts w:cstheme="minorHAnsi"/>
          <w:sz w:val="24"/>
          <w:szCs w:val="24"/>
        </w:rPr>
        <w:t xml:space="preserve"> </w:t>
      </w:r>
      <w:r w:rsidRPr="009513A7">
        <w:rPr>
          <w:rFonts w:cstheme="minorHAnsi"/>
          <w:sz w:val="24"/>
          <w:szCs w:val="24"/>
        </w:rPr>
        <w:t xml:space="preserve">scrutinized to a greater degree (Blanchard, 2007). </w:t>
      </w:r>
      <w:r w:rsidR="00347B3F">
        <w:rPr>
          <w:rFonts w:cstheme="minorHAnsi"/>
          <w:sz w:val="24"/>
          <w:szCs w:val="24"/>
        </w:rPr>
        <w:t>C</w:t>
      </w:r>
      <w:r w:rsidRPr="009513A7">
        <w:rPr>
          <w:rFonts w:cstheme="minorHAnsi"/>
          <w:sz w:val="24"/>
          <w:szCs w:val="24"/>
        </w:rPr>
        <w:t xml:space="preserve">ourts began to hold IHEs more responsible for </w:t>
      </w:r>
      <w:r w:rsidR="00347B3F">
        <w:rPr>
          <w:rFonts w:cstheme="minorHAnsi"/>
          <w:sz w:val="24"/>
          <w:szCs w:val="24"/>
        </w:rPr>
        <w:t>campus</w:t>
      </w:r>
      <w:r w:rsidR="00347B3F" w:rsidRPr="009513A7">
        <w:rPr>
          <w:rFonts w:cstheme="minorHAnsi"/>
          <w:sz w:val="24"/>
          <w:szCs w:val="24"/>
        </w:rPr>
        <w:t xml:space="preserve"> </w:t>
      </w:r>
      <w:r w:rsidRPr="009513A7">
        <w:rPr>
          <w:rFonts w:cstheme="minorHAnsi"/>
          <w:sz w:val="24"/>
          <w:szCs w:val="24"/>
        </w:rPr>
        <w:t>safety, this included statements of self-harm and harm to others (Pavela, 2009). Legal coun</w:t>
      </w:r>
      <w:r w:rsidR="005808DC">
        <w:rPr>
          <w:rFonts w:cstheme="minorHAnsi"/>
          <w:sz w:val="24"/>
          <w:szCs w:val="24"/>
        </w:rPr>
        <w:t>sel</w:t>
      </w:r>
      <w:r w:rsidRPr="009513A7">
        <w:rPr>
          <w:rFonts w:cstheme="minorHAnsi"/>
          <w:sz w:val="24"/>
          <w:szCs w:val="24"/>
        </w:rPr>
        <w:t xml:space="preserve"> </w:t>
      </w:r>
      <w:r w:rsidR="00347B3F">
        <w:rPr>
          <w:rFonts w:cstheme="minorHAnsi"/>
          <w:sz w:val="24"/>
          <w:szCs w:val="24"/>
        </w:rPr>
        <w:t xml:space="preserve">typically </w:t>
      </w:r>
      <w:r w:rsidRPr="009513A7">
        <w:rPr>
          <w:rFonts w:cstheme="minorHAnsi"/>
          <w:sz w:val="24"/>
          <w:szCs w:val="24"/>
        </w:rPr>
        <w:t>serve</w:t>
      </w:r>
      <w:r w:rsidR="005808DC">
        <w:rPr>
          <w:rFonts w:cstheme="minorHAnsi"/>
          <w:sz w:val="24"/>
          <w:szCs w:val="24"/>
        </w:rPr>
        <w:t>s</w:t>
      </w:r>
      <w:r w:rsidRPr="009513A7">
        <w:rPr>
          <w:rFonts w:cstheme="minorHAnsi"/>
          <w:sz w:val="24"/>
          <w:szCs w:val="24"/>
        </w:rPr>
        <w:t xml:space="preserve"> in an advisory capacity to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 xml:space="preserve">to </w:t>
      </w:r>
      <w:r w:rsidR="005808DC">
        <w:rPr>
          <w:rFonts w:cstheme="minorHAnsi"/>
          <w:sz w:val="24"/>
          <w:szCs w:val="24"/>
        </w:rPr>
        <w:t xml:space="preserve">enhance </w:t>
      </w:r>
      <w:r w:rsidRPr="009513A7">
        <w:rPr>
          <w:rFonts w:cstheme="minorHAnsi"/>
          <w:sz w:val="24"/>
          <w:szCs w:val="24"/>
        </w:rPr>
        <w:t>understand</w:t>
      </w:r>
      <w:r w:rsidR="005808DC">
        <w:rPr>
          <w:rFonts w:cstheme="minorHAnsi"/>
          <w:sz w:val="24"/>
          <w:szCs w:val="24"/>
        </w:rPr>
        <w:t>ing of</w:t>
      </w:r>
      <w:r w:rsidRPr="009513A7">
        <w:rPr>
          <w:rFonts w:cstheme="minorHAnsi"/>
          <w:sz w:val="24"/>
          <w:szCs w:val="24"/>
        </w:rPr>
        <w:t xml:space="preserve"> legal implications when sharing sensitive information amongst the team and with </w:t>
      </w:r>
      <w:r w:rsidR="00347B3F">
        <w:rPr>
          <w:rFonts w:cstheme="minorHAnsi"/>
          <w:sz w:val="24"/>
          <w:szCs w:val="24"/>
        </w:rPr>
        <w:t>campus partners</w:t>
      </w:r>
      <w:r w:rsidR="00347B3F" w:rsidRPr="009513A7">
        <w:rPr>
          <w:rFonts w:cstheme="minorHAnsi"/>
          <w:sz w:val="24"/>
          <w:szCs w:val="24"/>
        </w:rPr>
        <w:t xml:space="preserve"> </w:t>
      </w:r>
      <w:r w:rsidRPr="009513A7">
        <w:rPr>
          <w:rFonts w:cstheme="minorHAnsi"/>
          <w:sz w:val="24"/>
          <w:szCs w:val="24"/>
        </w:rPr>
        <w:t>(Deisinger et al., 2008).</w:t>
      </w:r>
    </w:p>
    <w:p w14:paraId="5F7DD954" w14:textId="2888DEBB"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 xml:space="preserve">Information sharing is critical to the mission and success of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 xml:space="preserve">but must be done </w:t>
      </w:r>
      <w:r w:rsidR="006D703C">
        <w:rPr>
          <w:rFonts w:cstheme="minorHAnsi"/>
          <w:sz w:val="24"/>
          <w:szCs w:val="24"/>
        </w:rPr>
        <w:t xml:space="preserve">with </w:t>
      </w:r>
      <w:r w:rsidRPr="009513A7">
        <w:rPr>
          <w:rFonts w:cstheme="minorHAnsi"/>
          <w:sz w:val="24"/>
          <w:szCs w:val="24"/>
        </w:rPr>
        <w:t>a spirit of care and compliance. The Executive Summary (2008</w:t>
      </w:r>
      <w:r w:rsidR="00347B3F">
        <w:rPr>
          <w:rFonts w:cstheme="minorHAnsi"/>
          <w:sz w:val="24"/>
          <w:szCs w:val="24"/>
        </w:rPr>
        <w:t xml:space="preserve">) </w:t>
      </w:r>
      <w:r w:rsidR="00C01E3F">
        <w:rPr>
          <w:rFonts w:cstheme="minorHAnsi"/>
          <w:sz w:val="24"/>
          <w:szCs w:val="24"/>
        </w:rPr>
        <w:t>describes</w:t>
      </w:r>
      <w:r w:rsidR="00C01E3F" w:rsidRPr="009513A7">
        <w:rPr>
          <w:rFonts w:cstheme="minorHAnsi"/>
          <w:sz w:val="24"/>
          <w:szCs w:val="24"/>
        </w:rPr>
        <w:t xml:space="preserve"> </w:t>
      </w:r>
      <w:r w:rsidRPr="009513A7">
        <w:rPr>
          <w:rFonts w:cstheme="minorHAnsi"/>
          <w:sz w:val="24"/>
          <w:szCs w:val="24"/>
        </w:rPr>
        <w:t xml:space="preserve">the duty of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 xml:space="preserve">as an act of caring </w:t>
      </w:r>
      <w:r w:rsidR="005A734A">
        <w:rPr>
          <w:rFonts w:cstheme="minorHAnsi"/>
          <w:sz w:val="24"/>
          <w:szCs w:val="24"/>
        </w:rPr>
        <w:t xml:space="preserve">examples </w:t>
      </w:r>
      <w:r w:rsidR="00C01E3F">
        <w:rPr>
          <w:rFonts w:cstheme="minorHAnsi"/>
          <w:sz w:val="24"/>
          <w:szCs w:val="24"/>
        </w:rPr>
        <w:t xml:space="preserve">that </w:t>
      </w:r>
      <w:r w:rsidR="005A734A">
        <w:rPr>
          <w:rFonts w:cstheme="minorHAnsi"/>
          <w:sz w:val="24"/>
          <w:szCs w:val="24"/>
        </w:rPr>
        <w:t xml:space="preserve">include sharing </w:t>
      </w:r>
      <w:r w:rsidRPr="009513A7">
        <w:rPr>
          <w:rFonts w:cstheme="minorHAnsi"/>
          <w:sz w:val="24"/>
          <w:szCs w:val="24"/>
        </w:rPr>
        <w:t>information with appropriate members of the campus community on a need-to-know basis or with a student’s family</w:t>
      </w:r>
      <w:r w:rsidR="005A734A">
        <w:rPr>
          <w:rFonts w:cstheme="minorHAnsi"/>
          <w:sz w:val="24"/>
          <w:szCs w:val="24"/>
        </w:rPr>
        <w:t>.</w:t>
      </w:r>
      <w:r w:rsidRPr="009513A7">
        <w:rPr>
          <w:rFonts w:cstheme="minorHAnsi"/>
          <w:sz w:val="24"/>
          <w:szCs w:val="24"/>
        </w:rPr>
        <w:t xml:space="preserve"> </w:t>
      </w:r>
      <w:r w:rsidR="005A734A">
        <w:rPr>
          <w:rFonts w:cstheme="minorHAnsi"/>
          <w:sz w:val="24"/>
          <w:szCs w:val="24"/>
        </w:rPr>
        <w:t>F</w:t>
      </w:r>
      <w:r w:rsidRPr="009513A7">
        <w:rPr>
          <w:rFonts w:cstheme="minorHAnsi"/>
          <w:sz w:val="24"/>
          <w:szCs w:val="24"/>
        </w:rPr>
        <w:t xml:space="preserve">aculty and staff acting </w:t>
      </w:r>
      <w:r w:rsidRPr="009513A7">
        <w:rPr>
          <w:rFonts w:cstheme="minorHAnsi"/>
          <w:sz w:val="24"/>
          <w:szCs w:val="24"/>
        </w:rPr>
        <w:lastRenderedPageBreak/>
        <w:t>in good faith</w:t>
      </w:r>
      <w:r w:rsidR="005A734A">
        <w:rPr>
          <w:rFonts w:cstheme="minorHAnsi"/>
          <w:sz w:val="24"/>
          <w:szCs w:val="24"/>
        </w:rPr>
        <w:t xml:space="preserve"> and in compliance with law and policy, should tend to share more when it comes to campus safety</w:t>
      </w:r>
      <w:r w:rsidRPr="009513A7">
        <w:rPr>
          <w:rFonts w:cstheme="minorHAnsi"/>
          <w:sz w:val="24"/>
          <w:szCs w:val="24"/>
        </w:rPr>
        <w:t xml:space="preserve"> (</w:t>
      </w:r>
      <w:r w:rsidR="005A734A">
        <w:rPr>
          <w:rFonts w:cstheme="minorHAnsi"/>
          <w:sz w:val="24"/>
          <w:szCs w:val="24"/>
        </w:rPr>
        <w:t>The Executive Summary, 2008)</w:t>
      </w:r>
      <w:r w:rsidRPr="009513A7">
        <w:rPr>
          <w:rFonts w:cstheme="minorHAnsi"/>
          <w:sz w:val="24"/>
          <w:szCs w:val="24"/>
        </w:rPr>
        <w:t xml:space="preserve">. </w:t>
      </w:r>
      <w:r w:rsidR="005A734A">
        <w:rPr>
          <w:rFonts w:cstheme="minorHAnsi"/>
          <w:sz w:val="24"/>
          <w:szCs w:val="24"/>
        </w:rPr>
        <w:t>To further assist, c</w:t>
      </w:r>
      <w:r w:rsidRPr="009513A7">
        <w:rPr>
          <w:rFonts w:cstheme="minorHAnsi"/>
          <w:sz w:val="24"/>
          <w:szCs w:val="24"/>
        </w:rPr>
        <w:t xml:space="preserve">onfidentiality issues related to the </w:t>
      </w:r>
      <w:r w:rsidR="00757D3B">
        <w:rPr>
          <w:rFonts w:cstheme="minorHAnsi"/>
          <w:sz w:val="24"/>
          <w:szCs w:val="24"/>
        </w:rPr>
        <w:t>F</w:t>
      </w:r>
      <w:r w:rsidRPr="009513A7">
        <w:rPr>
          <w:rFonts w:cstheme="minorHAnsi"/>
          <w:sz w:val="24"/>
          <w:szCs w:val="24"/>
        </w:rPr>
        <w:t xml:space="preserve">amily </w:t>
      </w:r>
      <w:r w:rsidR="00757D3B">
        <w:rPr>
          <w:rFonts w:cstheme="minorHAnsi"/>
          <w:sz w:val="24"/>
          <w:szCs w:val="24"/>
        </w:rPr>
        <w:t>E</w:t>
      </w:r>
      <w:r w:rsidRPr="009513A7">
        <w:rPr>
          <w:rFonts w:cstheme="minorHAnsi"/>
          <w:sz w:val="24"/>
          <w:szCs w:val="24"/>
        </w:rPr>
        <w:t xml:space="preserve">ducational </w:t>
      </w:r>
      <w:r w:rsidR="00757D3B">
        <w:rPr>
          <w:rFonts w:cstheme="minorHAnsi"/>
          <w:sz w:val="24"/>
          <w:szCs w:val="24"/>
        </w:rPr>
        <w:t>R</w:t>
      </w:r>
      <w:r w:rsidRPr="009513A7">
        <w:rPr>
          <w:rFonts w:cstheme="minorHAnsi"/>
          <w:sz w:val="24"/>
          <w:szCs w:val="24"/>
        </w:rPr>
        <w:t xml:space="preserve">ights and </w:t>
      </w:r>
      <w:r w:rsidR="00757D3B">
        <w:rPr>
          <w:rFonts w:cstheme="minorHAnsi"/>
          <w:sz w:val="24"/>
          <w:szCs w:val="24"/>
        </w:rPr>
        <w:t>P</w:t>
      </w:r>
      <w:r w:rsidRPr="009513A7">
        <w:rPr>
          <w:rFonts w:cstheme="minorHAnsi"/>
          <w:sz w:val="24"/>
          <w:szCs w:val="24"/>
        </w:rPr>
        <w:t xml:space="preserve">rivacy </w:t>
      </w:r>
      <w:r w:rsidR="00757D3B">
        <w:rPr>
          <w:rFonts w:cstheme="minorHAnsi"/>
          <w:sz w:val="24"/>
          <w:szCs w:val="24"/>
        </w:rPr>
        <w:t>A</w:t>
      </w:r>
      <w:r w:rsidRPr="009513A7">
        <w:rPr>
          <w:rFonts w:cstheme="minorHAnsi"/>
          <w:sz w:val="24"/>
          <w:szCs w:val="24"/>
        </w:rPr>
        <w:t xml:space="preserve">ct (FERPA) and </w:t>
      </w:r>
      <w:r w:rsidR="00757D3B">
        <w:rPr>
          <w:rFonts w:cstheme="minorHAnsi"/>
          <w:sz w:val="24"/>
          <w:szCs w:val="24"/>
        </w:rPr>
        <w:t>H</w:t>
      </w:r>
      <w:r w:rsidRPr="009513A7">
        <w:rPr>
          <w:rFonts w:cstheme="minorHAnsi"/>
          <w:sz w:val="24"/>
          <w:szCs w:val="24"/>
        </w:rPr>
        <w:t xml:space="preserve">ealth </w:t>
      </w:r>
      <w:r w:rsidR="00757D3B">
        <w:rPr>
          <w:rFonts w:cstheme="minorHAnsi"/>
          <w:sz w:val="24"/>
          <w:szCs w:val="24"/>
        </w:rPr>
        <w:t>I</w:t>
      </w:r>
      <w:r w:rsidRPr="009513A7">
        <w:rPr>
          <w:rFonts w:cstheme="minorHAnsi"/>
          <w:sz w:val="24"/>
          <w:szCs w:val="24"/>
        </w:rPr>
        <w:t xml:space="preserve">nsurance </w:t>
      </w:r>
      <w:r w:rsidR="00757D3B">
        <w:rPr>
          <w:rFonts w:cstheme="minorHAnsi"/>
          <w:sz w:val="24"/>
          <w:szCs w:val="24"/>
        </w:rPr>
        <w:t>P</w:t>
      </w:r>
      <w:r w:rsidRPr="009513A7">
        <w:rPr>
          <w:rFonts w:cstheme="minorHAnsi"/>
          <w:sz w:val="24"/>
          <w:szCs w:val="24"/>
        </w:rPr>
        <w:t xml:space="preserve">ortability and </w:t>
      </w:r>
      <w:r w:rsidR="00757D3B">
        <w:rPr>
          <w:rFonts w:cstheme="minorHAnsi"/>
          <w:sz w:val="24"/>
          <w:szCs w:val="24"/>
        </w:rPr>
        <w:t>A</w:t>
      </w:r>
      <w:r w:rsidRPr="009513A7">
        <w:rPr>
          <w:rFonts w:cstheme="minorHAnsi"/>
          <w:sz w:val="24"/>
          <w:szCs w:val="24"/>
        </w:rPr>
        <w:t xml:space="preserve">ccountability </w:t>
      </w:r>
      <w:r w:rsidR="00757D3B">
        <w:rPr>
          <w:rFonts w:cstheme="minorHAnsi"/>
          <w:sz w:val="24"/>
          <w:szCs w:val="24"/>
        </w:rPr>
        <w:t>A</w:t>
      </w:r>
      <w:r w:rsidRPr="009513A7">
        <w:rPr>
          <w:rFonts w:cstheme="minorHAnsi"/>
          <w:sz w:val="24"/>
          <w:szCs w:val="24"/>
        </w:rPr>
        <w:t>ct (HIPAA) must be considered during case management and/or threat assessment (</w:t>
      </w:r>
      <w:r w:rsidR="006A27B5" w:rsidRPr="00361D80">
        <w:rPr>
          <w:rFonts w:cstheme="minorHAnsi"/>
          <w:bCs/>
          <w:sz w:val="24"/>
          <w:szCs w:val="24"/>
        </w:rPr>
        <w:t>Meloy &amp; Hoffmann, 2021</w:t>
      </w:r>
      <w:r w:rsidR="006A27B5">
        <w:rPr>
          <w:rFonts w:cstheme="minorHAnsi"/>
          <w:bCs/>
          <w:sz w:val="24"/>
          <w:szCs w:val="24"/>
        </w:rPr>
        <w:t xml:space="preserve">; </w:t>
      </w:r>
      <w:r w:rsidRPr="009513A7">
        <w:rPr>
          <w:rFonts w:cstheme="minorHAnsi"/>
          <w:sz w:val="24"/>
          <w:szCs w:val="24"/>
        </w:rPr>
        <w:t>Nolan &amp; Moncure, 2012). Other legislation such as the Jeanne Cleary Act and disability laws are also a consideration.</w:t>
      </w:r>
    </w:p>
    <w:p w14:paraId="7A0767BE" w14:textId="77777777" w:rsidR="00B2797B" w:rsidRPr="009513A7" w:rsidRDefault="00B2797B" w:rsidP="00B2797B">
      <w:pPr>
        <w:spacing w:after="0" w:line="480" w:lineRule="auto"/>
        <w:contextualSpacing/>
        <w:rPr>
          <w:rFonts w:cstheme="minorHAnsi"/>
          <w:b/>
          <w:bCs/>
          <w:sz w:val="24"/>
          <w:szCs w:val="24"/>
        </w:rPr>
      </w:pPr>
      <w:r w:rsidRPr="009513A7">
        <w:rPr>
          <w:rFonts w:cstheme="minorHAnsi"/>
          <w:b/>
          <w:bCs/>
          <w:sz w:val="24"/>
          <w:szCs w:val="24"/>
        </w:rPr>
        <w:t>Federal Education Rights to Privacy Act of 1974</w:t>
      </w:r>
    </w:p>
    <w:p w14:paraId="0923EA60" w14:textId="400F8773" w:rsidR="00B2797B" w:rsidRPr="009513A7" w:rsidRDefault="00B2797B" w:rsidP="00B2797B">
      <w:pPr>
        <w:spacing w:after="0" w:line="480" w:lineRule="auto"/>
        <w:contextualSpacing/>
        <w:rPr>
          <w:rFonts w:cstheme="minorHAnsi"/>
          <w:b/>
          <w:bCs/>
          <w:sz w:val="24"/>
          <w:szCs w:val="24"/>
        </w:rPr>
      </w:pPr>
      <w:r w:rsidRPr="009513A7">
        <w:rPr>
          <w:rFonts w:cstheme="minorHAnsi"/>
          <w:sz w:val="24"/>
          <w:szCs w:val="24"/>
        </w:rPr>
        <w:tab/>
        <w:t xml:space="preserve">The Federal Education Rights to Privacy Act (FERPA) “protects the privacy of a student’s educational records” and prohibits disclosure with an exception for those who have a “legitimate need to know” (Deisinger et al., 2008, p. 90). In 2008, the U.S. Supreme Court approved FERPA amendments that included school safety (Rinehart-Thompson, 2009). An expansion of the term </w:t>
      </w:r>
      <w:r w:rsidRPr="009513A7">
        <w:rPr>
          <w:rFonts w:cstheme="minorHAnsi"/>
          <w:i/>
          <w:iCs/>
          <w:sz w:val="24"/>
          <w:szCs w:val="24"/>
        </w:rPr>
        <w:t>education records</w:t>
      </w:r>
      <w:r w:rsidRPr="009513A7">
        <w:rPr>
          <w:rFonts w:cstheme="minorHAnsi"/>
          <w:sz w:val="24"/>
          <w:szCs w:val="24"/>
        </w:rPr>
        <w:t xml:space="preserve"> under FERPA eventually included </w:t>
      </w:r>
      <w:r w:rsidR="005A734A">
        <w:rPr>
          <w:rFonts w:cstheme="minorHAnsi"/>
          <w:sz w:val="24"/>
          <w:szCs w:val="24"/>
        </w:rPr>
        <w:t xml:space="preserve">records of </w:t>
      </w:r>
      <w:r w:rsidRPr="009513A7">
        <w:rPr>
          <w:rFonts w:cstheme="minorHAnsi"/>
          <w:sz w:val="24"/>
          <w:szCs w:val="24"/>
        </w:rPr>
        <w:t>special education students and those impacted by the Individuals with Disabilities Education Act (USDHHS &amp; USED, 2019). Th</w:t>
      </w:r>
      <w:r w:rsidR="00347B3F">
        <w:rPr>
          <w:rFonts w:cstheme="minorHAnsi"/>
          <w:sz w:val="24"/>
          <w:szCs w:val="24"/>
        </w:rPr>
        <w:t xml:space="preserve">is expanded definition </w:t>
      </w:r>
      <w:r w:rsidRPr="009513A7">
        <w:rPr>
          <w:rFonts w:cstheme="minorHAnsi"/>
          <w:sz w:val="24"/>
          <w:szCs w:val="24"/>
        </w:rPr>
        <w:t>relieved some scrutiny as to how IHEs assessed the need to share information and empowered them to use their best judgement related to health and safety concerns (USDHHS &amp; USED, 2019). Therefore, to balance safety and privacy, information sharing with those that have a legitimate need to know include emergency situations as well as urgent concerns related to campus safety (Deisinger et al., 2008).</w:t>
      </w:r>
      <w:r w:rsidR="009740BD">
        <w:rPr>
          <w:rFonts w:cstheme="minorHAnsi"/>
          <w:sz w:val="24"/>
          <w:szCs w:val="24"/>
        </w:rPr>
        <w:t xml:space="preserve"> TAT m</w:t>
      </w:r>
      <w:r w:rsidR="009740BD" w:rsidRPr="009513A7">
        <w:rPr>
          <w:rFonts w:cstheme="minorHAnsi"/>
          <w:sz w:val="24"/>
          <w:szCs w:val="24"/>
        </w:rPr>
        <w:t>embers such as legal counsel and mental health professional</w:t>
      </w:r>
      <w:r w:rsidR="009740BD">
        <w:rPr>
          <w:rFonts w:cstheme="minorHAnsi"/>
          <w:sz w:val="24"/>
          <w:szCs w:val="24"/>
        </w:rPr>
        <w:t>s</w:t>
      </w:r>
      <w:r w:rsidR="009740BD" w:rsidRPr="009513A7">
        <w:rPr>
          <w:rFonts w:cstheme="minorHAnsi"/>
          <w:sz w:val="24"/>
          <w:szCs w:val="24"/>
        </w:rPr>
        <w:t xml:space="preserve"> may have a legitimate need to know </w:t>
      </w:r>
      <w:r w:rsidR="009740BD">
        <w:rPr>
          <w:rFonts w:cstheme="minorHAnsi"/>
          <w:sz w:val="24"/>
          <w:szCs w:val="24"/>
        </w:rPr>
        <w:t xml:space="preserve">information </w:t>
      </w:r>
      <w:r w:rsidR="009740BD" w:rsidRPr="009513A7">
        <w:rPr>
          <w:rFonts w:cstheme="minorHAnsi"/>
          <w:sz w:val="24"/>
          <w:szCs w:val="24"/>
        </w:rPr>
        <w:t>t</w:t>
      </w:r>
      <w:r w:rsidR="00D47B80">
        <w:rPr>
          <w:rFonts w:cstheme="minorHAnsi"/>
          <w:sz w:val="24"/>
          <w:szCs w:val="24"/>
        </w:rPr>
        <w:t>hat</w:t>
      </w:r>
      <w:r w:rsidR="009740BD" w:rsidRPr="009513A7">
        <w:rPr>
          <w:rFonts w:cstheme="minorHAnsi"/>
          <w:sz w:val="24"/>
          <w:szCs w:val="24"/>
        </w:rPr>
        <w:t xml:space="preserve"> best inform</w:t>
      </w:r>
      <w:r w:rsidR="00D47B80">
        <w:rPr>
          <w:rFonts w:cstheme="minorHAnsi"/>
          <w:sz w:val="24"/>
          <w:szCs w:val="24"/>
        </w:rPr>
        <w:t>s</w:t>
      </w:r>
      <w:r w:rsidR="009740BD" w:rsidRPr="009513A7">
        <w:rPr>
          <w:rFonts w:cstheme="minorHAnsi"/>
          <w:sz w:val="24"/>
          <w:szCs w:val="24"/>
        </w:rPr>
        <w:t xml:space="preserve"> the development of prevention, intervention, or postvention plans. </w:t>
      </w:r>
      <w:r w:rsidRPr="009513A7">
        <w:rPr>
          <w:rFonts w:cstheme="minorHAnsi"/>
          <w:sz w:val="24"/>
          <w:szCs w:val="24"/>
        </w:rPr>
        <w:t xml:space="preserve"> Therefore, there may be rare, but necessary instances where IHEs release information without the student’s consent (Harwood, 2011; McDonald, 2008). FERPA protects </w:t>
      </w:r>
      <w:r w:rsidRPr="009513A7">
        <w:rPr>
          <w:rFonts w:cstheme="minorHAnsi"/>
          <w:sz w:val="24"/>
          <w:szCs w:val="24"/>
        </w:rPr>
        <w:lastRenderedPageBreak/>
        <w:t>student records</w:t>
      </w:r>
      <w:r w:rsidR="005A734A">
        <w:rPr>
          <w:rFonts w:cstheme="minorHAnsi"/>
          <w:sz w:val="24"/>
          <w:szCs w:val="24"/>
        </w:rPr>
        <w:t xml:space="preserve"> but </w:t>
      </w:r>
      <w:r w:rsidRPr="009513A7">
        <w:rPr>
          <w:rFonts w:cstheme="minorHAnsi"/>
          <w:sz w:val="24"/>
          <w:szCs w:val="24"/>
        </w:rPr>
        <w:t>does not extend to communications</w:t>
      </w:r>
      <w:r w:rsidR="005A734A">
        <w:rPr>
          <w:rFonts w:cstheme="minorHAnsi"/>
          <w:sz w:val="24"/>
          <w:szCs w:val="24"/>
        </w:rPr>
        <w:t xml:space="preserve"> and</w:t>
      </w:r>
      <w:r w:rsidRPr="009513A7">
        <w:rPr>
          <w:rFonts w:cstheme="minorHAnsi"/>
          <w:sz w:val="24"/>
          <w:szCs w:val="24"/>
        </w:rPr>
        <w:t xml:space="preserve"> observations that team members may need to share (Deisinger et al., 2008). Lastly, FERPA does not pertain to law enforcement and IHEs may defer to their police/security member or respective law enforcement agency for guidance (Deisinger et al., 2008).</w:t>
      </w:r>
    </w:p>
    <w:p w14:paraId="41E30C36" w14:textId="77777777" w:rsidR="00B2797B" w:rsidRPr="009513A7" w:rsidRDefault="00B2797B" w:rsidP="00B2797B">
      <w:pPr>
        <w:spacing w:after="0" w:line="480" w:lineRule="auto"/>
        <w:contextualSpacing/>
        <w:rPr>
          <w:rFonts w:cstheme="minorHAnsi"/>
          <w:b/>
          <w:bCs/>
          <w:sz w:val="24"/>
          <w:szCs w:val="24"/>
        </w:rPr>
      </w:pPr>
      <w:r w:rsidRPr="009513A7">
        <w:rPr>
          <w:rFonts w:cstheme="minorHAnsi"/>
          <w:b/>
          <w:bCs/>
          <w:sz w:val="24"/>
          <w:szCs w:val="24"/>
        </w:rPr>
        <w:t>Health Insurance Portability and Accountability Act of 1966</w:t>
      </w:r>
    </w:p>
    <w:p w14:paraId="3E585B52" w14:textId="2901749F"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The Health Insurance Portability and Accountability Act (HIPAA) was established in 1996 and addressed several healthcare issues; relevant to this study is the security and privacy of healthcare records also defined as protected health information (USDHHS, 2013). HIPAA protections cover health and mental health records (Deisinger et al., 2008; Lake, 2013). Counseling centers at IHEs may have health and mental health records protected by FERPA instead of HIPAA; legal counsel may advise each IHE accordingly (Deisinger et al., 2008</w:t>
      </w:r>
      <w:r w:rsidR="005A734A">
        <w:rPr>
          <w:rFonts w:cstheme="minorHAnsi"/>
          <w:sz w:val="24"/>
          <w:szCs w:val="24"/>
        </w:rPr>
        <w:t>; Meloy &amp; Hoffmann, 2021</w:t>
      </w:r>
      <w:r w:rsidRPr="009513A7">
        <w:rPr>
          <w:rFonts w:cstheme="minorHAnsi"/>
          <w:sz w:val="24"/>
          <w:szCs w:val="24"/>
        </w:rPr>
        <w:t xml:space="preserve">). </w:t>
      </w:r>
      <w:r w:rsidR="003A3497">
        <w:rPr>
          <w:rFonts w:cstheme="minorHAnsi"/>
          <w:sz w:val="24"/>
          <w:szCs w:val="24"/>
        </w:rPr>
        <w:t>H</w:t>
      </w:r>
      <w:r w:rsidRPr="009513A7">
        <w:rPr>
          <w:rFonts w:cstheme="minorHAnsi"/>
          <w:sz w:val="24"/>
          <w:szCs w:val="24"/>
        </w:rPr>
        <w:t>ealth professionals adhere to high confidentiality standards, appropriately so, to create a safe space for service and resources (</w:t>
      </w:r>
      <w:r w:rsidR="005A734A">
        <w:rPr>
          <w:rFonts w:cstheme="minorHAnsi"/>
          <w:sz w:val="24"/>
          <w:szCs w:val="24"/>
        </w:rPr>
        <w:t>Meloy &amp; Hoffmann, 2021</w:t>
      </w:r>
      <w:r w:rsidR="00AD4332">
        <w:rPr>
          <w:rFonts w:cstheme="minorHAnsi"/>
          <w:sz w:val="24"/>
          <w:szCs w:val="24"/>
        </w:rPr>
        <w:t xml:space="preserve">; </w:t>
      </w:r>
      <w:r w:rsidR="00AD4332" w:rsidRPr="009513A7">
        <w:rPr>
          <w:rFonts w:cstheme="minorHAnsi"/>
          <w:sz w:val="24"/>
          <w:szCs w:val="24"/>
        </w:rPr>
        <w:t>Schuchman, 2007</w:t>
      </w:r>
      <w:r w:rsidRPr="009513A7">
        <w:rPr>
          <w:rFonts w:cstheme="minorHAnsi"/>
          <w:sz w:val="24"/>
          <w:szCs w:val="24"/>
        </w:rPr>
        <w:t xml:space="preserve">). However, that does not </w:t>
      </w:r>
      <w:r w:rsidR="005808DC">
        <w:rPr>
          <w:rFonts w:cstheme="minorHAnsi"/>
          <w:sz w:val="24"/>
          <w:szCs w:val="24"/>
        </w:rPr>
        <w:t>prevent</w:t>
      </w:r>
      <w:r w:rsidRPr="009513A7">
        <w:rPr>
          <w:rFonts w:cstheme="minorHAnsi"/>
          <w:sz w:val="24"/>
          <w:szCs w:val="24"/>
        </w:rPr>
        <w:t xml:space="preserve">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from sharing information with healthcare professionals</w:t>
      </w:r>
      <w:r w:rsidR="005A734A">
        <w:rPr>
          <w:rFonts w:cstheme="minorHAnsi"/>
          <w:sz w:val="24"/>
          <w:szCs w:val="24"/>
        </w:rPr>
        <w:t>,</w:t>
      </w:r>
      <w:r w:rsidRPr="009513A7">
        <w:rPr>
          <w:rFonts w:cstheme="minorHAnsi"/>
          <w:sz w:val="24"/>
          <w:szCs w:val="24"/>
        </w:rPr>
        <w:t xml:space="preserve"> at minimum, receipt of this information could enable the healthcare professional to acknowledge whether the information raises concern enough for a duty to warn others (Deisinger et al., 2008</w:t>
      </w:r>
      <w:r w:rsidR="005A734A">
        <w:rPr>
          <w:rFonts w:cstheme="minorHAnsi"/>
          <w:sz w:val="24"/>
          <w:szCs w:val="24"/>
        </w:rPr>
        <w:t>; Meloy &amp; Hoffman, 2021</w:t>
      </w:r>
      <w:r w:rsidRPr="009513A7">
        <w:rPr>
          <w:rFonts w:cstheme="minorHAnsi"/>
          <w:sz w:val="24"/>
          <w:szCs w:val="24"/>
        </w:rPr>
        <w:t xml:space="preserve">). </w:t>
      </w:r>
    </w:p>
    <w:p w14:paraId="5EB41B40" w14:textId="77777777" w:rsidR="00B2797B" w:rsidRPr="009513A7" w:rsidRDefault="00B2797B" w:rsidP="00B2797B">
      <w:pPr>
        <w:spacing w:after="0" w:line="480" w:lineRule="auto"/>
        <w:contextualSpacing/>
        <w:rPr>
          <w:rFonts w:cstheme="minorHAnsi"/>
          <w:b/>
          <w:bCs/>
          <w:sz w:val="24"/>
          <w:szCs w:val="24"/>
        </w:rPr>
      </w:pPr>
      <w:r w:rsidRPr="009513A7">
        <w:rPr>
          <w:rFonts w:cstheme="minorHAnsi"/>
          <w:b/>
          <w:bCs/>
          <w:sz w:val="24"/>
          <w:szCs w:val="24"/>
        </w:rPr>
        <w:t>Other Legislation to Consider</w:t>
      </w:r>
    </w:p>
    <w:p w14:paraId="0B30C59D" w14:textId="7FE82160" w:rsidR="00AD4332" w:rsidRDefault="00B2797B" w:rsidP="00B2797B">
      <w:pPr>
        <w:spacing w:after="0" w:line="480" w:lineRule="auto"/>
        <w:contextualSpacing/>
        <w:rPr>
          <w:rFonts w:cstheme="minorHAnsi"/>
          <w:sz w:val="24"/>
          <w:szCs w:val="24"/>
        </w:rPr>
      </w:pPr>
      <w:r w:rsidRPr="009513A7">
        <w:rPr>
          <w:rFonts w:cstheme="minorHAnsi"/>
          <w:b/>
          <w:bCs/>
          <w:sz w:val="24"/>
          <w:szCs w:val="24"/>
        </w:rPr>
        <w:tab/>
      </w:r>
      <w:r w:rsidRPr="009513A7">
        <w:rPr>
          <w:rFonts w:cstheme="minorHAnsi"/>
          <w:sz w:val="24"/>
          <w:szCs w:val="24"/>
        </w:rPr>
        <w:t>Behaviors, including but not limited to, s</w:t>
      </w:r>
      <w:r w:rsidRPr="009513A7">
        <w:rPr>
          <w:rFonts w:cstheme="minorHAnsi"/>
          <w:bCs/>
          <w:iCs/>
          <w:sz w:val="24"/>
          <w:szCs w:val="24"/>
        </w:rPr>
        <w:t>talking, domestic violence, dating violence, and sexual assault</w:t>
      </w:r>
      <w:r w:rsidRPr="009513A7">
        <w:rPr>
          <w:rFonts w:cstheme="minorHAnsi"/>
          <w:sz w:val="24"/>
          <w:szCs w:val="24"/>
        </w:rPr>
        <w:t xml:space="preserve"> </w:t>
      </w:r>
      <w:r w:rsidR="00AD4332">
        <w:rPr>
          <w:rFonts w:cstheme="minorHAnsi"/>
          <w:sz w:val="24"/>
          <w:szCs w:val="24"/>
        </w:rPr>
        <w:t>exist</w:t>
      </w:r>
      <w:r w:rsidR="005808DC" w:rsidRPr="006A27B5">
        <w:rPr>
          <w:rFonts w:cstheme="minorHAnsi"/>
          <w:sz w:val="24"/>
          <w:szCs w:val="24"/>
        </w:rPr>
        <w:t xml:space="preserve"> </w:t>
      </w:r>
      <w:r w:rsidRPr="006A27B5">
        <w:rPr>
          <w:rFonts w:cstheme="minorHAnsi"/>
          <w:sz w:val="24"/>
          <w:szCs w:val="24"/>
        </w:rPr>
        <w:t>at</w:t>
      </w:r>
      <w:r w:rsidRPr="009513A7">
        <w:rPr>
          <w:rFonts w:cstheme="minorHAnsi"/>
          <w:sz w:val="24"/>
          <w:szCs w:val="24"/>
        </w:rPr>
        <w:t xml:space="preserve"> IHEs</w:t>
      </w:r>
      <w:r w:rsidR="008A06B5" w:rsidRPr="008A06B5">
        <w:rPr>
          <w:rFonts w:cstheme="minorHAnsi"/>
          <w:sz w:val="24"/>
          <w:szCs w:val="24"/>
        </w:rPr>
        <w:t xml:space="preserve"> </w:t>
      </w:r>
      <w:r w:rsidR="008A06B5">
        <w:rPr>
          <w:rFonts w:cstheme="minorHAnsi"/>
          <w:sz w:val="24"/>
          <w:szCs w:val="24"/>
        </w:rPr>
        <w:t>(</w:t>
      </w:r>
      <w:r w:rsidR="008A06B5" w:rsidRPr="003A148B">
        <w:rPr>
          <w:rFonts w:cstheme="minorHAnsi"/>
          <w:sz w:val="24"/>
          <w:szCs w:val="24"/>
        </w:rPr>
        <w:t>Hunt</w:t>
      </w:r>
      <w:r w:rsidR="005A734A">
        <w:rPr>
          <w:rFonts w:cstheme="minorHAnsi"/>
          <w:sz w:val="24"/>
          <w:szCs w:val="24"/>
        </w:rPr>
        <w:t xml:space="preserve"> et al.,</w:t>
      </w:r>
      <w:r w:rsidR="008A06B5" w:rsidRPr="003A148B">
        <w:rPr>
          <w:rFonts w:cstheme="minorHAnsi"/>
          <w:sz w:val="24"/>
          <w:szCs w:val="24"/>
        </w:rPr>
        <w:t>2012</w:t>
      </w:r>
      <w:r w:rsidR="008A06B5">
        <w:rPr>
          <w:rFonts w:cstheme="minorHAnsi"/>
          <w:sz w:val="24"/>
          <w:szCs w:val="24"/>
        </w:rPr>
        <w:t>; Janosik &amp; Plummer, 2005</w:t>
      </w:r>
      <w:r w:rsidR="005A734A">
        <w:rPr>
          <w:rFonts w:cstheme="minorHAnsi"/>
          <w:sz w:val="24"/>
          <w:szCs w:val="24"/>
        </w:rPr>
        <w:t>; Paterson, 2020</w:t>
      </w:r>
      <w:r w:rsidR="008A06B5">
        <w:rPr>
          <w:rFonts w:cstheme="minorHAnsi"/>
          <w:sz w:val="24"/>
          <w:szCs w:val="24"/>
        </w:rPr>
        <w:t>)</w:t>
      </w:r>
      <w:r w:rsidRPr="009513A7">
        <w:rPr>
          <w:rFonts w:cstheme="minorHAnsi"/>
          <w:sz w:val="24"/>
          <w:szCs w:val="24"/>
        </w:rPr>
        <w:t xml:space="preserve">. Safety </w:t>
      </w:r>
      <w:r w:rsidR="006A27B5">
        <w:rPr>
          <w:rFonts w:cstheme="minorHAnsi"/>
          <w:sz w:val="24"/>
          <w:szCs w:val="24"/>
        </w:rPr>
        <w:t>can be</w:t>
      </w:r>
      <w:r w:rsidRPr="009513A7">
        <w:rPr>
          <w:rFonts w:cstheme="minorHAnsi"/>
          <w:sz w:val="24"/>
          <w:szCs w:val="24"/>
        </w:rPr>
        <w:t xml:space="preserve"> a factor when evaluating which college or university to attend</w:t>
      </w:r>
      <w:r w:rsidR="005A734A">
        <w:rPr>
          <w:rFonts w:cstheme="minorHAnsi"/>
          <w:sz w:val="24"/>
          <w:szCs w:val="24"/>
        </w:rPr>
        <w:t xml:space="preserve"> (Paterson, 2020)</w:t>
      </w:r>
      <w:r w:rsidRPr="009513A7">
        <w:rPr>
          <w:rFonts w:cstheme="minorHAnsi"/>
          <w:sz w:val="24"/>
          <w:szCs w:val="24"/>
        </w:rPr>
        <w:t>. Reporting requirements provide an avenue to learn more</w:t>
      </w:r>
      <w:r w:rsidR="00AD4332">
        <w:rPr>
          <w:rFonts w:cstheme="minorHAnsi"/>
          <w:sz w:val="24"/>
          <w:szCs w:val="24"/>
        </w:rPr>
        <w:t>,</w:t>
      </w:r>
      <w:r w:rsidRPr="009513A7">
        <w:rPr>
          <w:rFonts w:cstheme="minorHAnsi"/>
          <w:sz w:val="24"/>
          <w:szCs w:val="24"/>
        </w:rPr>
        <w:t xml:space="preserve"> and legislation such as the Clery Act </w:t>
      </w:r>
      <w:r w:rsidRPr="009513A7">
        <w:rPr>
          <w:rFonts w:cstheme="minorHAnsi"/>
          <w:sz w:val="24"/>
          <w:szCs w:val="24"/>
        </w:rPr>
        <w:lastRenderedPageBreak/>
        <w:t>reveal campus crime statistics and security information that may prove helpful</w:t>
      </w:r>
      <w:r w:rsidR="005A734A">
        <w:rPr>
          <w:rFonts w:cstheme="minorHAnsi"/>
          <w:sz w:val="24"/>
          <w:szCs w:val="24"/>
        </w:rPr>
        <w:t xml:space="preserve"> (</w:t>
      </w:r>
      <w:r w:rsidR="005A734A" w:rsidRPr="009513A7">
        <w:rPr>
          <w:rFonts w:cstheme="minorHAnsi"/>
          <w:sz w:val="24"/>
          <w:szCs w:val="24"/>
        </w:rPr>
        <w:t>U.S. Department of Education, 2016</w:t>
      </w:r>
      <w:r w:rsidR="005A734A">
        <w:rPr>
          <w:rFonts w:cstheme="minorHAnsi"/>
          <w:sz w:val="24"/>
          <w:szCs w:val="24"/>
        </w:rPr>
        <w:t>)</w:t>
      </w:r>
      <w:r w:rsidRPr="009513A7">
        <w:rPr>
          <w:rFonts w:cstheme="minorHAnsi"/>
          <w:sz w:val="24"/>
          <w:szCs w:val="24"/>
        </w:rPr>
        <w:t>.</w:t>
      </w:r>
      <w:r w:rsidR="005A734A">
        <w:rPr>
          <w:rFonts w:cstheme="minorHAnsi"/>
          <w:sz w:val="24"/>
          <w:szCs w:val="24"/>
        </w:rPr>
        <w:t xml:space="preserve"> </w:t>
      </w:r>
      <w:r w:rsidR="005A734A" w:rsidRPr="009513A7">
        <w:rPr>
          <w:rFonts w:cstheme="minorHAnsi"/>
          <w:sz w:val="24"/>
          <w:szCs w:val="24"/>
        </w:rPr>
        <w:t>Congress enacted the Crime Awareness and Campus Security Act of</w:t>
      </w:r>
      <w:r w:rsidR="005A734A">
        <w:rPr>
          <w:rFonts w:cstheme="minorHAnsi"/>
          <w:sz w:val="24"/>
          <w:szCs w:val="24"/>
        </w:rPr>
        <w:t xml:space="preserve"> </w:t>
      </w:r>
      <w:r w:rsidR="005A734A" w:rsidRPr="009513A7">
        <w:rPr>
          <w:rFonts w:cstheme="minorHAnsi"/>
          <w:sz w:val="24"/>
          <w:szCs w:val="24"/>
        </w:rPr>
        <w:t>1990 (Title II of Public Law 101-542), which amended the Higher Education Act of</w:t>
      </w:r>
      <w:r w:rsidR="005A734A">
        <w:rPr>
          <w:rFonts w:cstheme="minorHAnsi"/>
          <w:sz w:val="24"/>
          <w:szCs w:val="24"/>
        </w:rPr>
        <w:t xml:space="preserve"> </w:t>
      </w:r>
      <w:r w:rsidR="005A734A" w:rsidRPr="009513A7">
        <w:rPr>
          <w:rFonts w:cstheme="minorHAnsi"/>
          <w:sz w:val="24"/>
          <w:szCs w:val="24"/>
        </w:rPr>
        <w:t>1965 (HEA)</w:t>
      </w:r>
      <w:r w:rsidR="005A734A">
        <w:rPr>
          <w:rFonts w:cstheme="minorHAnsi"/>
          <w:sz w:val="24"/>
          <w:szCs w:val="24"/>
        </w:rPr>
        <w:t xml:space="preserve"> and required IHEs receiving financial assistance under </w:t>
      </w:r>
      <w:r w:rsidR="00AD4332">
        <w:rPr>
          <w:rFonts w:cstheme="minorHAnsi"/>
          <w:sz w:val="24"/>
          <w:szCs w:val="24"/>
        </w:rPr>
        <w:t xml:space="preserve">the 1965 </w:t>
      </w:r>
      <w:r w:rsidR="005A734A">
        <w:rPr>
          <w:rFonts w:cstheme="minorHAnsi"/>
          <w:sz w:val="24"/>
          <w:szCs w:val="24"/>
        </w:rPr>
        <w:t>HEA to disclose crime statistics (</w:t>
      </w:r>
      <w:r w:rsidR="005A734A" w:rsidRPr="009513A7">
        <w:rPr>
          <w:rFonts w:cstheme="minorHAnsi"/>
          <w:sz w:val="24"/>
          <w:szCs w:val="24"/>
        </w:rPr>
        <w:t>U.S. Department of Education, 2016</w:t>
      </w:r>
      <w:r w:rsidR="005A734A">
        <w:rPr>
          <w:rFonts w:cstheme="minorHAnsi"/>
          <w:sz w:val="24"/>
          <w:szCs w:val="24"/>
        </w:rPr>
        <w:t xml:space="preserve">). There </w:t>
      </w:r>
      <w:r w:rsidR="00AD4332">
        <w:rPr>
          <w:rFonts w:cstheme="minorHAnsi"/>
          <w:sz w:val="24"/>
          <w:szCs w:val="24"/>
        </w:rPr>
        <w:t xml:space="preserve">have been </w:t>
      </w:r>
      <w:r w:rsidR="005A734A">
        <w:rPr>
          <w:rFonts w:cstheme="minorHAnsi"/>
          <w:sz w:val="24"/>
          <w:szCs w:val="24"/>
        </w:rPr>
        <w:t xml:space="preserve">several amendments (1992, 1998, 2000, 2008) </w:t>
      </w:r>
      <w:r w:rsidR="00AD4332">
        <w:rPr>
          <w:rFonts w:cstheme="minorHAnsi"/>
          <w:sz w:val="24"/>
          <w:szCs w:val="24"/>
        </w:rPr>
        <w:t>with</w:t>
      </w:r>
      <w:r w:rsidR="005A734A">
        <w:rPr>
          <w:rFonts w:cstheme="minorHAnsi"/>
          <w:sz w:val="24"/>
          <w:szCs w:val="24"/>
        </w:rPr>
        <w:t xml:space="preserve"> the 1998 amendment </w:t>
      </w:r>
      <w:r w:rsidR="005A734A" w:rsidRPr="009513A7">
        <w:rPr>
          <w:rFonts w:cstheme="minorHAnsi"/>
          <w:sz w:val="24"/>
          <w:szCs w:val="24"/>
        </w:rPr>
        <w:t xml:space="preserve">renamed the Jeanne Clery Disclosure of Campus Security Policy and Campus Crime Statistics Act in memory of a student who was slain in her </w:t>
      </w:r>
      <w:r w:rsidR="00AD4332">
        <w:rPr>
          <w:rFonts w:cstheme="minorHAnsi"/>
          <w:sz w:val="24"/>
          <w:szCs w:val="24"/>
        </w:rPr>
        <w:t>residence hall room</w:t>
      </w:r>
      <w:r w:rsidR="005A734A" w:rsidRPr="009513A7">
        <w:rPr>
          <w:rFonts w:cstheme="minorHAnsi"/>
          <w:sz w:val="24"/>
          <w:szCs w:val="24"/>
        </w:rPr>
        <w:t xml:space="preserve"> in 1986. It is generally referred to as the Clery Act and is in section 485(f) of the HEA (U.S. Department of Education, 2016</w:t>
      </w:r>
      <w:r w:rsidR="005A734A">
        <w:rPr>
          <w:rFonts w:cstheme="minorHAnsi"/>
          <w:sz w:val="24"/>
          <w:szCs w:val="24"/>
        </w:rPr>
        <w:t>).</w:t>
      </w:r>
    </w:p>
    <w:p w14:paraId="38F1417B" w14:textId="3B7BA26A" w:rsidR="00B2797B" w:rsidRPr="009513A7" w:rsidRDefault="00B2797B" w:rsidP="009740BD">
      <w:pPr>
        <w:spacing w:after="0" w:line="480" w:lineRule="auto"/>
        <w:ind w:firstLine="720"/>
        <w:contextualSpacing/>
        <w:rPr>
          <w:rFonts w:cstheme="minorHAnsi"/>
          <w:sz w:val="24"/>
          <w:szCs w:val="24"/>
        </w:rPr>
      </w:pPr>
      <w:r w:rsidRPr="009513A7">
        <w:rPr>
          <w:rFonts w:cstheme="minorHAnsi"/>
          <w:sz w:val="24"/>
          <w:szCs w:val="24"/>
        </w:rPr>
        <w:t xml:space="preserve">In addition to the Clery Act, there </w:t>
      </w:r>
      <w:r w:rsidR="00AD4332">
        <w:rPr>
          <w:rFonts w:cstheme="minorHAnsi"/>
          <w:sz w:val="24"/>
          <w:szCs w:val="24"/>
        </w:rPr>
        <w:t>is</w:t>
      </w:r>
      <w:r w:rsidRPr="009513A7">
        <w:rPr>
          <w:rFonts w:cstheme="minorHAnsi"/>
          <w:sz w:val="24"/>
          <w:szCs w:val="24"/>
        </w:rPr>
        <w:t xml:space="preserve"> other legislation that may impact the work of </w:t>
      </w:r>
      <w:r w:rsidR="00A27A2E" w:rsidRPr="009513A7">
        <w:rPr>
          <w:rFonts w:cstheme="minorHAnsi"/>
          <w:sz w:val="24"/>
          <w:szCs w:val="24"/>
        </w:rPr>
        <w:t>TA</w:t>
      </w:r>
      <w:r w:rsidR="00A27A2E">
        <w:rPr>
          <w:rFonts w:cstheme="minorHAnsi"/>
          <w:sz w:val="24"/>
          <w:szCs w:val="24"/>
        </w:rPr>
        <w:t>Ts</w:t>
      </w:r>
      <w:r w:rsidRPr="009513A7">
        <w:rPr>
          <w:rFonts w:cstheme="minorHAnsi"/>
          <w:sz w:val="24"/>
          <w:szCs w:val="24"/>
        </w:rPr>
        <w:t>. The</w:t>
      </w:r>
      <w:r w:rsidR="009740BD">
        <w:rPr>
          <w:rFonts w:cstheme="minorHAnsi"/>
          <w:sz w:val="24"/>
          <w:szCs w:val="24"/>
        </w:rPr>
        <w:t xml:space="preserve"> U.S.</w:t>
      </w:r>
      <w:r w:rsidRPr="009513A7">
        <w:rPr>
          <w:rFonts w:cstheme="minorHAnsi"/>
          <w:sz w:val="24"/>
          <w:szCs w:val="24"/>
        </w:rPr>
        <w:t xml:space="preserve"> Office of Civil Rights continues to provide guidance under Title IX with a prevalent theme of reasonable care. Established in 1972, Title IX was an amendment to the 1965 Higher Education Act and continues to guide IHEs </w:t>
      </w:r>
      <w:r w:rsidR="00AD4332">
        <w:rPr>
          <w:rFonts w:cstheme="minorHAnsi"/>
          <w:sz w:val="24"/>
          <w:szCs w:val="24"/>
        </w:rPr>
        <w:t>in creating</w:t>
      </w:r>
      <w:r w:rsidRPr="009513A7">
        <w:rPr>
          <w:rFonts w:cstheme="minorHAnsi"/>
          <w:sz w:val="24"/>
          <w:szCs w:val="24"/>
        </w:rPr>
        <w:t xml:space="preserve"> a safe learning and working environment free from gender violence (Bryant, 2021). Mandatory reporting and proactive outreach and support efforts are just a few provisions under Title IX.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 xml:space="preserve">may include, or partner with, the campus Title IX coordinator as needed to strategize </w:t>
      </w:r>
      <w:r w:rsidR="00AD4332">
        <w:rPr>
          <w:rFonts w:cstheme="minorHAnsi"/>
          <w:sz w:val="24"/>
          <w:szCs w:val="24"/>
        </w:rPr>
        <w:t>about</w:t>
      </w:r>
      <w:r w:rsidR="00AD4332" w:rsidRPr="009513A7">
        <w:rPr>
          <w:rFonts w:cstheme="minorHAnsi"/>
          <w:sz w:val="24"/>
          <w:szCs w:val="24"/>
        </w:rPr>
        <w:t xml:space="preserve"> </w:t>
      </w:r>
      <w:r w:rsidRPr="009513A7">
        <w:rPr>
          <w:rFonts w:cstheme="minorHAnsi"/>
          <w:sz w:val="24"/>
          <w:szCs w:val="24"/>
        </w:rPr>
        <w:t>case management (Deisinger et al., 2008</w:t>
      </w:r>
      <w:r w:rsidR="008C59C9">
        <w:rPr>
          <w:rFonts w:cstheme="minorHAnsi"/>
          <w:sz w:val="24"/>
          <w:szCs w:val="24"/>
        </w:rPr>
        <w:t>; Meloy &amp; Hoffman, 2021</w:t>
      </w:r>
      <w:r w:rsidRPr="009513A7">
        <w:rPr>
          <w:rFonts w:cstheme="minorHAnsi"/>
          <w:sz w:val="24"/>
          <w:szCs w:val="24"/>
        </w:rPr>
        <w:t xml:space="preserve">). </w:t>
      </w:r>
    </w:p>
    <w:p w14:paraId="1A69F004" w14:textId="2938B2B3"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 xml:space="preserve">Other relevant legislation includes the </w:t>
      </w:r>
      <w:r w:rsidR="000E2278">
        <w:rPr>
          <w:rFonts w:cstheme="minorHAnsi"/>
          <w:sz w:val="24"/>
          <w:szCs w:val="24"/>
        </w:rPr>
        <w:t xml:space="preserve">1994 </w:t>
      </w:r>
      <w:r w:rsidRPr="009513A7">
        <w:rPr>
          <w:rFonts w:cstheme="minorHAnsi"/>
          <w:sz w:val="24"/>
          <w:szCs w:val="24"/>
        </w:rPr>
        <w:t xml:space="preserve">Violence Against Women Act (VAWA), </w:t>
      </w:r>
      <w:r w:rsidR="000E2278">
        <w:rPr>
          <w:rFonts w:cstheme="minorHAnsi"/>
          <w:sz w:val="24"/>
          <w:szCs w:val="24"/>
        </w:rPr>
        <w:t>2013</w:t>
      </w:r>
      <w:r w:rsidR="00C01E3F">
        <w:rPr>
          <w:rFonts w:cstheme="minorHAnsi"/>
          <w:sz w:val="24"/>
          <w:szCs w:val="24"/>
        </w:rPr>
        <w:t xml:space="preserve"> </w:t>
      </w:r>
      <w:r w:rsidRPr="009513A7">
        <w:rPr>
          <w:rFonts w:cstheme="minorHAnsi"/>
          <w:sz w:val="24"/>
          <w:szCs w:val="24"/>
        </w:rPr>
        <w:t xml:space="preserve">Campus Sexual Violence Elimination Act, Dear Colleague Letters, and disability laws (Bryant, 2021). IHEs that receive federal funds may be subject to laws such as section 504 of the Rehabilitation Act, Title II of the Americans with Disabilities Act, parts of Title III of the Americans with Disabilities Act, and the Fair Housing Act (Nolan &amp; Moncure, 2012). Disability </w:t>
      </w:r>
      <w:r w:rsidRPr="009513A7">
        <w:rPr>
          <w:rFonts w:cstheme="minorHAnsi"/>
          <w:sz w:val="24"/>
          <w:szCs w:val="24"/>
        </w:rPr>
        <w:lastRenderedPageBreak/>
        <w:t>laws prohibit discrimination on the basis of ability</w:t>
      </w:r>
      <w:r w:rsidR="000E2278">
        <w:rPr>
          <w:rFonts w:cstheme="minorHAnsi"/>
          <w:sz w:val="24"/>
          <w:szCs w:val="24"/>
        </w:rPr>
        <w:t xml:space="preserve"> (</w:t>
      </w:r>
      <w:r w:rsidR="000E2278" w:rsidRPr="009513A7">
        <w:rPr>
          <w:rFonts w:cstheme="minorHAnsi"/>
          <w:sz w:val="24"/>
          <w:szCs w:val="24"/>
        </w:rPr>
        <w:t>Department of Justice, 2010</w:t>
      </w:r>
      <w:r w:rsidR="000E2278">
        <w:rPr>
          <w:rFonts w:cstheme="minorHAnsi"/>
          <w:sz w:val="24"/>
          <w:szCs w:val="24"/>
        </w:rPr>
        <w:t xml:space="preserve">). Disability laws </w:t>
      </w:r>
      <w:r w:rsidRPr="009513A7">
        <w:rPr>
          <w:rFonts w:cstheme="minorHAnsi"/>
          <w:sz w:val="24"/>
          <w:szCs w:val="24"/>
        </w:rPr>
        <w:t xml:space="preserve">include mental health impairments </w:t>
      </w:r>
      <w:r w:rsidR="000E2278">
        <w:rPr>
          <w:rFonts w:cstheme="minorHAnsi"/>
          <w:sz w:val="24"/>
          <w:szCs w:val="24"/>
        </w:rPr>
        <w:t xml:space="preserve">and </w:t>
      </w:r>
      <w:r w:rsidRPr="009513A7">
        <w:rPr>
          <w:rFonts w:cstheme="minorHAnsi"/>
          <w:sz w:val="24"/>
          <w:szCs w:val="24"/>
        </w:rPr>
        <w:t xml:space="preserve">may require an institution to provide reasonable accommodations to a student (Department of Justice, 2010; Dunkle et al., 2008). </w:t>
      </w:r>
      <w:r w:rsidR="000E2278">
        <w:rPr>
          <w:rFonts w:cstheme="minorHAnsi"/>
          <w:sz w:val="24"/>
          <w:szCs w:val="24"/>
        </w:rPr>
        <w:t>The</w:t>
      </w:r>
      <w:r w:rsidRPr="009513A7">
        <w:rPr>
          <w:rFonts w:cstheme="minorHAnsi"/>
          <w:sz w:val="24"/>
          <w:szCs w:val="24"/>
        </w:rPr>
        <w:t xml:space="preserve"> laws are separate</w:t>
      </w:r>
      <w:r w:rsidR="000E2278">
        <w:rPr>
          <w:rFonts w:cstheme="minorHAnsi"/>
          <w:sz w:val="24"/>
          <w:szCs w:val="24"/>
        </w:rPr>
        <w:t>,</w:t>
      </w:r>
      <w:r w:rsidRPr="009513A7">
        <w:rPr>
          <w:rFonts w:cstheme="minorHAnsi"/>
          <w:sz w:val="24"/>
          <w:szCs w:val="24"/>
        </w:rPr>
        <w:t xml:space="preserve"> but related</w:t>
      </w:r>
      <w:r w:rsidR="000E2278">
        <w:rPr>
          <w:rFonts w:cstheme="minorHAnsi"/>
          <w:sz w:val="24"/>
          <w:szCs w:val="24"/>
        </w:rPr>
        <w:t>,</w:t>
      </w:r>
      <w:r w:rsidRPr="009513A7">
        <w:rPr>
          <w:rFonts w:cstheme="minorHAnsi"/>
          <w:sz w:val="24"/>
          <w:szCs w:val="24"/>
        </w:rPr>
        <w:t xml:space="preserve"> in their effort to clarify and enhance campus safety, supports, compliance, and reporting. Threat assessment </w:t>
      </w:r>
      <w:r w:rsidR="00737164">
        <w:rPr>
          <w:rFonts w:cstheme="minorHAnsi"/>
          <w:sz w:val="24"/>
          <w:szCs w:val="24"/>
        </w:rPr>
        <w:t xml:space="preserve">can </w:t>
      </w:r>
      <w:r w:rsidRPr="009513A7">
        <w:rPr>
          <w:rFonts w:cstheme="minorHAnsi"/>
          <w:sz w:val="24"/>
          <w:szCs w:val="24"/>
        </w:rPr>
        <w:t>reduce the likelihood that situations will escalate through prevention, intervention, and support</w:t>
      </w:r>
      <w:r w:rsidR="008A06B5">
        <w:rPr>
          <w:rFonts w:cstheme="minorHAnsi"/>
          <w:bCs/>
          <w:iCs/>
          <w:sz w:val="24"/>
          <w:szCs w:val="24"/>
        </w:rPr>
        <w:t xml:space="preserve"> (</w:t>
      </w:r>
      <w:r w:rsidR="008A06B5" w:rsidRPr="00361D80">
        <w:rPr>
          <w:rFonts w:cstheme="minorHAnsi"/>
          <w:bCs/>
          <w:sz w:val="24"/>
          <w:szCs w:val="24"/>
        </w:rPr>
        <w:t>Meloy &amp; Hoffmann, 2021</w:t>
      </w:r>
      <w:r w:rsidR="008A06B5">
        <w:rPr>
          <w:rFonts w:cstheme="minorHAnsi"/>
          <w:bCs/>
          <w:sz w:val="24"/>
          <w:szCs w:val="24"/>
        </w:rPr>
        <w:t>)</w:t>
      </w:r>
      <w:r w:rsidRPr="009513A7">
        <w:rPr>
          <w:rFonts w:cstheme="minorHAnsi"/>
          <w:sz w:val="24"/>
          <w:szCs w:val="24"/>
        </w:rPr>
        <w:t xml:space="preserve">. </w:t>
      </w:r>
      <w:r w:rsidR="00A27A2E" w:rsidRPr="009513A7">
        <w:rPr>
          <w:rFonts w:cstheme="minorHAnsi"/>
          <w:sz w:val="24"/>
          <w:szCs w:val="24"/>
        </w:rPr>
        <w:t>TA</w:t>
      </w:r>
      <w:r w:rsidR="00A27A2E">
        <w:rPr>
          <w:rFonts w:cstheme="minorHAnsi"/>
          <w:sz w:val="24"/>
          <w:szCs w:val="24"/>
        </w:rPr>
        <w:t>Ts</w:t>
      </w:r>
      <w:r w:rsidR="00A27A2E" w:rsidRPr="009513A7">
        <w:rPr>
          <w:rFonts w:cstheme="minorHAnsi"/>
          <w:sz w:val="24"/>
          <w:szCs w:val="24"/>
        </w:rPr>
        <w:t xml:space="preserve"> </w:t>
      </w:r>
      <w:r w:rsidRPr="009513A7">
        <w:rPr>
          <w:rFonts w:cstheme="minorHAnsi"/>
          <w:sz w:val="24"/>
          <w:szCs w:val="24"/>
        </w:rPr>
        <w:t>are responsible for knowing the laws and exemptions</w:t>
      </w:r>
      <w:r w:rsidR="00AD4332">
        <w:rPr>
          <w:rFonts w:cstheme="minorHAnsi"/>
          <w:sz w:val="24"/>
          <w:szCs w:val="24"/>
        </w:rPr>
        <w:t>,</w:t>
      </w:r>
      <w:r w:rsidRPr="009513A7">
        <w:rPr>
          <w:rFonts w:cstheme="minorHAnsi"/>
          <w:sz w:val="24"/>
          <w:szCs w:val="24"/>
        </w:rPr>
        <w:t xml:space="preserve"> </w:t>
      </w:r>
      <w:r w:rsidR="00AD4332">
        <w:rPr>
          <w:rFonts w:cstheme="minorHAnsi"/>
          <w:sz w:val="24"/>
          <w:szCs w:val="24"/>
        </w:rPr>
        <w:t xml:space="preserve">whereas </w:t>
      </w:r>
      <w:r w:rsidRPr="009513A7">
        <w:rPr>
          <w:rFonts w:cstheme="minorHAnsi"/>
          <w:sz w:val="24"/>
          <w:szCs w:val="24"/>
        </w:rPr>
        <w:t>the legal counsel role on teams can provide guidance on these matters</w:t>
      </w:r>
      <w:r w:rsidR="005808DC">
        <w:rPr>
          <w:rFonts w:cstheme="minorHAnsi"/>
          <w:sz w:val="24"/>
          <w:szCs w:val="24"/>
        </w:rPr>
        <w:t xml:space="preserve"> (</w:t>
      </w:r>
      <w:r w:rsidR="00737164">
        <w:rPr>
          <w:rFonts w:cstheme="minorHAnsi"/>
          <w:sz w:val="24"/>
          <w:szCs w:val="24"/>
        </w:rPr>
        <w:t>Deisinger et al., 2008; Meloy</w:t>
      </w:r>
      <w:r w:rsidR="005808DC">
        <w:rPr>
          <w:rFonts w:cstheme="minorHAnsi"/>
          <w:sz w:val="24"/>
          <w:szCs w:val="24"/>
        </w:rPr>
        <w:t xml:space="preserve"> &amp; Hoffmann, 2021)</w:t>
      </w:r>
      <w:r w:rsidRPr="009513A7">
        <w:rPr>
          <w:rFonts w:cstheme="minorHAnsi"/>
          <w:sz w:val="24"/>
          <w:szCs w:val="24"/>
        </w:rPr>
        <w:t>. Protocol</w:t>
      </w:r>
      <w:r w:rsidR="00AD4332">
        <w:rPr>
          <w:rFonts w:cstheme="minorHAnsi"/>
          <w:sz w:val="24"/>
          <w:szCs w:val="24"/>
        </w:rPr>
        <w:t>s</w:t>
      </w:r>
      <w:r w:rsidRPr="009513A7">
        <w:rPr>
          <w:rFonts w:cstheme="minorHAnsi"/>
          <w:sz w:val="24"/>
          <w:szCs w:val="24"/>
        </w:rPr>
        <w:t xml:space="preserve"> and practices should include a spirit of care as well as compliance to achieve best practices for a safer campus community</w:t>
      </w:r>
      <w:r w:rsidR="008A06B5" w:rsidRPr="008A06B5">
        <w:rPr>
          <w:rFonts w:cstheme="minorHAnsi"/>
          <w:bCs/>
          <w:sz w:val="24"/>
          <w:szCs w:val="24"/>
        </w:rPr>
        <w:t xml:space="preserve"> </w:t>
      </w:r>
      <w:r w:rsidR="008A06B5">
        <w:rPr>
          <w:rFonts w:cstheme="minorHAnsi"/>
          <w:bCs/>
          <w:sz w:val="24"/>
          <w:szCs w:val="24"/>
        </w:rPr>
        <w:t>(</w:t>
      </w:r>
      <w:r w:rsidR="008A06B5" w:rsidRPr="00361D80">
        <w:rPr>
          <w:rFonts w:cstheme="minorHAnsi"/>
          <w:bCs/>
          <w:sz w:val="24"/>
          <w:szCs w:val="24"/>
        </w:rPr>
        <w:t>Meloy &amp; Hoffmann, 2021</w:t>
      </w:r>
      <w:r w:rsidR="008A06B5">
        <w:rPr>
          <w:rFonts w:cstheme="minorHAnsi"/>
          <w:bCs/>
          <w:sz w:val="24"/>
          <w:szCs w:val="24"/>
        </w:rPr>
        <w:t>)</w:t>
      </w:r>
      <w:r w:rsidRPr="009513A7">
        <w:rPr>
          <w:rFonts w:cstheme="minorHAnsi"/>
          <w:sz w:val="24"/>
          <w:szCs w:val="24"/>
        </w:rPr>
        <w:t xml:space="preserve">. </w:t>
      </w:r>
    </w:p>
    <w:p w14:paraId="6D29853E" w14:textId="5B2EE074" w:rsidR="00B2797B" w:rsidRPr="009513A7" w:rsidRDefault="00B2797B" w:rsidP="00B2797B">
      <w:pPr>
        <w:spacing w:after="0" w:line="240" w:lineRule="auto"/>
        <w:contextualSpacing/>
        <w:jc w:val="center"/>
        <w:rPr>
          <w:rFonts w:cstheme="minorHAnsi"/>
          <w:b/>
          <w:iCs/>
          <w:sz w:val="24"/>
          <w:szCs w:val="24"/>
        </w:rPr>
      </w:pPr>
      <w:r w:rsidRPr="009513A7">
        <w:rPr>
          <w:rFonts w:cstheme="minorHAnsi"/>
          <w:b/>
          <w:iCs/>
          <w:sz w:val="24"/>
          <w:szCs w:val="24"/>
        </w:rPr>
        <w:t xml:space="preserve">Policies for Violence Prevention </w:t>
      </w:r>
      <w:r w:rsidR="006926E4">
        <w:rPr>
          <w:rFonts w:cstheme="minorHAnsi"/>
          <w:b/>
          <w:iCs/>
          <w:sz w:val="24"/>
          <w:szCs w:val="24"/>
        </w:rPr>
        <w:t xml:space="preserve">and Threat Assessment </w:t>
      </w:r>
      <w:r w:rsidRPr="009513A7">
        <w:rPr>
          <w:rFonts w:cstheme="minorHAnsi"/>
          <w:b/>
          <w:iCs/>
          <w:sz w:val="24"/>
          <w:szCs w:val="24"/>
        </w:rPr>
        <w:t>at IHEs</w:t>
      </w:r>
    </w:p>
    <w:p w14:paraId="6CE999C6" w14:textId="77777777" w:rsidR="00B2797B" w:rsidRPr="009513A7" w:rsidRDefault="00B2797B" w:rsidP="00B2797B">
      <w:pPr>
        <w:spacing w:after="0" w:line="240" w:lineRule="auto"/>
        <w:contextualSpacing/>
        <w:jc w:val="center"/>
        <w:rPr>
          <w:rFonts w:cstheme="minorHAnsi"/>
          <w:b/>
          <w:iCs/>
          <w:sz w:val="24"/>
          <w:szCs w:val="24"/>
        </w:rPr>
      </w:pPr>
    </w:p>
    <w:p w14:paraId="58BD43AE" w14:textId="48017917"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 xml:space="preserve">Bennett and Bates (2015) identified six areas of emphasis for campus policy and procedures for violence prevention. These include: 1) legislative authority; 2) use of multidisciplinary teams; 3) procedures and a rubric; 4) reporting culture (threats and low-level concerns); 5) team training and resources; and 6) developing partnerships through policies and procedures. Legislation, teams, models, culture, and training </w:t>
      </w:r>
      <w:r w:rsidR="00AD4332">
        <w:rPr>
          <w:rFonts w:cstheme="minorHAnsi"/>
          <w:sz w:val="24"/>
          <w:szCs w:val="24"/>
        </w:rPr>
        <w:t>are</w:t>
      </w:r>
      <w:r w:rsidRPr="009513A7">
        <w:rPr>
          <w:rFonts w:cstheme="minorHAnsi"/>
          <w:sz w:val="24"/>
          <w:szCs w:val="24"/>
        </w:rPr>
        <w:t xml:space="preserve"> discussed in detail in other sections of this </w:t>
      </w:r>
      <w:r w:rsidR="00BD13FF">
        <w:rPr>
          <w:rFonts w:cstheme="minorHAnsi"/>
          <w:sz w:val="24"/>
          <w:szCs w:val="24"/>
        </w:rPr>
        <w:t>proposal</w:t>
      </w:r>
      <w:r w:rsidRPr="009513A7">
        <w:rPr>
          <w:rFonts w:cstheme="minorHAnsi"/>
          <w:sz w:val="24"/>
          <w:szCs w:val="24"/>
        </w:rPr>
        <w:t xml:space="preserve">. </w:t>
      </w:r>
      <w:r w:rsidR="00B52DF7">
        <w:rPr>
          <w:rFonts w:cstheme="minorHAnsi"/>
          <w:sz w:val="24"/>
          <w:szCs w:val="24"/>
        </w:rPr>
        <w:t>I</w:t>
      </w:r>
      <w:r w:rsidR="00B52DF7" w:rsidRPr="009513A7">
        <w:rPr>
          <w:rFonts w:cstheme="minorHAnsi"/>
          <w:sz w:val="24"/>
          <w:szCs w:val="24"/>
        </w:rPr>
        <w:t xml:space="preserve"> </w:t>
      </w:r>
      <w:r w:rsidR="005A734A">
        <w:rPr>
          <w:rFonts w:cstheme="minorHAnsi"/>
          <w:sz w:val="24"/>
          <w:szCs w:val="24"/>
        </w:rPr>
        <w:t xml:space="preserve">now </w:t>
      </w:r>
      <w:r w:rsidR="00B52DF7" w:rsidRPr="009513A7">
        <w:rPr>
          <w:rFonts w:cstheme="minorHAnsi"/>
          <w:sz w:val="24"/>
          <w:szCs w:val="24"/>
        </w:rPr>
        <w:t>explore support for policies and procedures related to violence prevention</w:t>
      </w:r>
      <w:r w:rsidR="00B52DF7">
        <w:rPr>
          <w:rFonts w:cstheme="minorHAnsi"/>
          <w:sz w:val="24"/>
          <w:szCs w:val="24"/>
        </w:rPr>
        <w:t>.</w:t>
      </w:r>
    </w:p>
    <w:p w14:paraId="512C026F" w14:textId="7BBDEB9C" w:rsidR="006926E4" w:rsidRPr="009513A7" w:rsidRDefault="00B2797B" w:rsidP="00C01E3F">
      <w:pPr>
        <w:spacing w:after="0" w:line="480" w:lineRule="auto"/>
        <w:contextualSpacing/>
        <w:rPr>
          <w:rFonts w:cstheme="minorHAnsi"/>
          <w:sz w:val="24"/>
          <w:szCs w:val="24"/>
        </w:rPr>
      </w:pPr>
      <w:r w:rsidRPr="009513A7">
        <w:rPr>
          <w:rFonts w:cstheme="minorHAnsi"/>
          <w:sz w:val="24"/>
          <w:szCs w:val="24"/>
        </w:rPr>
        <w:tab/>
        <w:t xml:space="preserve">Measures to ensure safety </w:t>
      </w:r>
      <w:r w:rsidR="002D5C7E">
        <w:rPr>
          <w:rFonts w:cstheme="minorHAnsi"/>
          <w:sz w:val="24"/>
          <w:szCs w:val="24"/>
        </w:rPr>
        <w:t>include</w:t>
      </w:r>
      <w:r w:rsidRPr="009513A7">
        <w:rPr>
          <w:rFonts w:cstheme="minorHAnsi"/>
          <w:sz w:val="24"/>
          <w:szCs w:val="24"/>
        </w:rPr>
        <w:t xml:space="preserve"> emergency management practices, organizational culture, and the policies that drive the</w:t>
      </w:r>
      <w:r w:rsidR="00EC6FAC">
        <w:rPr>
          <w:rFonts w:cstheme="minorHAnsi"/>
          <w:sz w:val="24"/>
          <w:szCs w:val="24"/>
        </w:rPr>
        <w:t>m</w:t>
      </w:r>
      <w:r w:rsidR="005A734A">
        <w:rPr>
          <w:rFonts w:cstheme="minorHAnsi"/>
          <w:sz w:val="24"/>
          <w:szCs w:val="24"/>
        </w:rPr>
        <w:t xml:space="preserve"> (</w:t>
      </w:r>
      <w:r w:rsidR="005A734A" w:rsidRPr="009513A7">
        <w:rPr>
          <w:rFonts w:cstheme="minorHAnsi"/>
          <w:sz w:val="24"/>
          <w:szCs w:val="24"/>
        </w:rPr>
        <w:t>Blair &amp; Schweit, 2014</w:t>
      </w:r>
      <w:r w:rsidR="005A734A">
        <w:rPr>
          <w:rFonts w:cstheme="minorHAnsi"/>
          <w:sz w:val="24"/>
          <w:szCs w:val="24"/>
        </w:rPr>
        <w:t>)</w:t>
      </w:r>
      <w:r w:rsidRPr="009513A7">
        <w:rPr>
          <w:rFonts w:cstheme="minorHAnsi"/>
          <w:sz w:val="24"/>
          <w:szCs w:val="24"/>
        </w:rPr>
        <w:t xml:space="preserve">. The problem many institutions </w:t>
      </w:r>
      <w:r w:rsidR="00AD4332">
        <w:rPr>
          <w:rFonts w:cstheme="minorHAnsi"/>
          <w:sz w:val="24"/>
          <w:szCs w:val="24"/>
        </w:rPr>
        <w:t>encoura</w:t>
      </w:r>
      <w:r w:rsidR="009740BD">
        <w:rPr>
          <w:rFonts w:cstheme="minorHAnsi"/>
          <w:sz w:val="24"/>
          <w:szCs w:val="24"/>
        </w:rPr>
        <w:t>g</w:t>
      </w:r>
      <w:r w:rsidR="00AD4332">
        <w:rPr>
          <w:rFonts w:cstheme="minorHAnsi"/>
          <w:sz w:val="24"/>
          <w:szCs w:val="24"/>
        </w:rPr>
        <w:t>e are</w:t>
      </w:r>
      <w:r w:rsidRPr="009513A7">
        <w:rPr>
          <w:rFonts w:cstheme="minorHAnsi"/>
          <w:sz w:val="24"/>
          <w:szCs w:val="24"/>
        </w:rPr>
        <w:t xml:space="preserve"> balancing </w:t>
      </w:r>
      <w:r w:rsidR="00AD4332">
        <w:rPr>
          <w:rFonts w:cstheme="minorHAnsi"/>
          <w:sz w:val="24"/>
          <w:szCs w:val="24"/>
        </w:rPr>
        <w:t xml:space="preserve">the </w:t>
      </w:r>
      <w:r w:rsidRPr="009513A7">
        <w:rPr>
          <w:rFonts w:cstheme="minorHAnsi"/>
          <w:sz w:val="24"/>
          <w:szCs w:val="24"/>
        </w:rPr>
        <w:t>safety, rights, and responsibilities of all parties</w:t>
      </w:r>
      <w:r w:rsidR="00B52DF7">
        <w:rPr>
          <w:rFonts w:cstheme="minorHAnsi"/>
          <w:sz w:val="24"/>
          <w:szCs w:val="24"/>
        </w:rPr>
        <w:t xml:space="preserve"> (</w:t>
      </w:r>
      <w:r w:rsidR="00B52DF7" w:rsidRPr="009513A7">
        <w:rPr>
          <w:rFonts w:cstheme="minorHAnsi"/>
          <w:sz w:val="24"/>
          <w:szCs w:val="24"/>
        </w:rPr>
        <w:t>Eells &amp; Ro</w:t>
      </w:r>
      <w:r w:rsidR="00B52DF7" w:rsidRPr="00A27A2E">
        <w:rPr>
          <w:rFonts w:cstheme="minorHAnsi"/>
          <w:sz w:val="24"/>
          <w:szCs w:val="24"/>
        </w:rPr>
        <w:t>ckland-Miller, 2011</w:t>
      </w:r>
      <w:r w:rsidR="005A734A">
        <w:rPr>
          <w:rFonts w:cstheme="minorHAnsi"/>
          <w:sz w:val="24"/>
          <w:szCs w:val="24"/>
        </w:rPr>
        <w:t>; Marshall &amp; Clark, 2023</w:t>
      </w:r>
      <w:r w:rsidR="00B52DF7">
        <w:rPr>
          <w:rFonts w:cstheme="minorHAnsi"/>
          <w:sz w:val="24"/>
          <w:szCs w:val="24"/>
        </w:rPr>
        <w:t>)</w:t>
      </w:r>
      <w:r w:rsidRPr="009513A7">
        <w:rPr>
          <w:rFonts w:cstheme="minorHAnsi"/>
          <w:sz w:val="24"/>
          <w:szCs w:val="24"/>
        </w:rPr>
        <w:t xml:space="preserve">. </w:t>
      </w:r>
      <w:r w:rsidR="006926E4" w:rsidRPr="009513A7">
        <w:rPr>
          <w:rFonts w:cstheme="minorHAnsi"/>
          <w:sz w:val="24"/>
          <w:szCs w:val="24"/>
        </w:rPr>
        <w:t>As a direct result of active shooter tragedies</w:t>
      </w:r>
      <w:r w:rsidR="00AD4332">
        <w:rPr>
          <w:rFonts w:cstheme="minorHAnsi"/>
          <w:sz w:val="24"/>
          <w:szCs w:val="24"/>
        </w:rPr>
        <w:t>,</w:t>
      </w:r>
      <w:r w:rsidR="006926E4" w:rsidRPr="009513A7">
        <w:rPr>
          <w:rFonts w:cstheme="minorHAnsi"/>
          <w:sz w:val="24"/>
          <w:szCs w:val="24"/>
        </w:rPr>
        <w:t xml:space="preserve"> only a few </w:t>
      </w:r>
      <w:r w:rsidR="006926E4" w:rsidRPr="009513A7">
        <w:rPr>
          <w:rFonts w:cstheme="minorHAnsi"/>
          <w:sz w:val="24"/>
          <w:szCs w:val="24"/>
        </w:rPr>
        <w:lastRenderedPageBreak/>
        <w:t xml:space="preserve">states have implemented laws to mandate threat assessment teams in </w:t>
      </w:r>
      <w:r w:rsidR="009740BD">
        <w:rPr>
          <w:rFonts w:cstheme="minorHAnsi"/>
          <w:sz w:val="24"/>
          <w:szCs w:val="24"/>
        </w:rPr>
        <w:t>K-12 and postsecondary</w:t>
      </w:r>
      <w:r w:rsidR="006926E4" w:rsidRPr="009513A7">
        <w:rPr>
          <w:rFonts w:cstheme="minorHAnsi"/>
          <w:sz w:val="24"/>
          <w:szCs w:val="24"/>
        </w:rPr>
        <w:t xml:space="preserve"> school systems. </w:t>
      </w:r>
      <w:r w:rsidR="006926E4" w:rsidRPr="00DD7E87">
        <w:rPr>
          <w:rFonts w:cstheme="minorHAnsi"/>
          <w:sz w:val="24"/>
          <w:szCs w:val="24"/>
        </w:rPr>
        <w:t>These</w:t>
      </w:r>
      <w:r w:rsidR="006926E4" w:rsidRPr="009513A7">
        <w:rPr>
          <w:rFonts w:cstheme="minorHAnsi"/>
          <w:sz w:val="24"/>
          <w:szCs w:val="24"/>
        </w:rPr>
        <w:t xml:space="preserve"> states include Virginia, Illinois, Connecticut, and Florida (Bennett &amp; Bates, 2015; Office of Safe Schools, 2020). Unfortunately, each state experienced a tragedy before enacting requirements. However, even without a tragedy or subsequent laws, most IHEs have followed suit with policies and/or implementation of some form of a </w:t>
      </w:r>
      <w:r w:rsidR="00A27A2E" w:rsidRPr="009513A7">
        <w:rPr>
          <w:rFonts w:cstheme="minorHAnsi"/>
          <w:sz w:val="24"/>
          <w:szCs w:val="24"/>
        </w:rPr>
        <w:t>TA</w:t>
      </w:r>
      <w:r w:rsidR="00A27A2E">
        <w:rPr>
          <w:rFonts w:cstheme="minorHAnsi"/>
          <w:sz w:val="24"/>
          <w:szCs w:val="24"/>
        </w:rPr>
        <w:t>T</w:t>
      </w:r>
      <w:r w:rsidR="00A27A2E" w:rsidRPr="009513A7">
        <w:rPr>
          <w:rFonts w:cstheme="minorHAnsi"/>
          <w:sz w:val="24"/>
          <w:szCs w:val="24"/>
        </w:rPr>
        <w:t xml:space="preserve"> </w:t>
      </w:r>
      <w:r w:rsidR="006926E4" w:rsidRPr="009513A7">
        <w:rPr>
          <w:rFonts w:cstheme="minorHAnsi"/>
          <w:sz w:val="24"/>
          <w:szCs w:val="24"/>
        </w:rPr>
        <w:t>to mitigate risk and enhance safety (Bolante</w:t>
      </w:r>
      <w:r w:rsidR="006926E4">
        <w:rPr>
          <w:rFonts w:cstheme="minorHAnsi"/>
          <w:sz w:val="24"/>
          <w:szCs w:val="24"/>
        </w:rPr>
        <w:t xml:space="preserve"> &amp; Dykeman</w:t>
      </w:r>
      <w:r w:rsidR="006926E4" w:rsidRPr="009513A7">
        <w:rPr>
          <w:rFonts w:cstheme="minorHAnsi"/>
          <w:sz w:val="24"/>
          <w:szCs w:val="24"/>
        </w:rPr>
        <w:t>, 2015</w:t>
      </w:r>
      <w:r w:rsidR="005A734A">
        <w:rPr>
          <w:rFonts w:cstheme="minorHAnsi"/>
          <w:sz w:val="24"/>
          <w:szCs w:val="24"/>
        </w:rPr>
        <w:t>; Meloy &amp; Hoffmann, 2021</w:t>
      </w:r>
      <w:r w:rsidR="006926E4" w:rsidRPr="009513A7">
        <w:rPr>
          <w:rFonts w:cstheme="minorHAnsi"/>
          <w:sz w:val="24"/>
          <w:szCs w:val="24"/>
        </w:rPr>
        <w:t xml:space="preserve">). </w:t>
      </w:r>
    </w:p>
    <w:p w14:paraId="1231220D" w14:textId="77777777" w:rsidR="00B2797B" w:rsidRPr="009513A7" w:rsidRDefault="00B2797B" w:rsidP="00B2797B">
      <w:pPr>
        <w:spacing w:after="0" w:line="240" w:lineRule="auto"/>
        <w:contextualSpacing/>
        <w:jc w:val="center"/>
        <w:rPr>
          <w:rFonts w:cstheme="minorHAnsi"/>
          <w:b/>
          <w:iCs/>
          <w:sz w:val="24"/>
          <w:szCs w:val="24"/>
        </w:rPr>
      </w:pPr>
      <w:r w:rsidRPr="009513A7">
        <w:rPr>
          <w:rFonts w:cstheme="minorHAnsi"/>
          <w:b/>
          <w:iCs/>
          <w:sz w:val="24"/>
          <w:szCs w:val="24"/>
        </w:rPr>
        <w:t>History of Threat Assessment and Threat Assessment Teams</w:t>
      </w:r>
    </w:p>
    <w:p w14:paraId="01F41435" w14:textId="77777777" w:rsidR="00B2797B" w:rsidRPr="009513A7" w:rsidRDefault="00B2797B" w:rsidP="00B2797B">
      <w:pPr>
        <w:spacing w:after="0" w:line="240" w:lineRule="auto"/>
        <w:contextualSpacing/>
        <w:rPr>
          <w:rFonts w:cstheme="minorHAnsi"/>
          <w:bCs/>
          <w:iCs/>
          <w:sz w:val="24"/>
          <w:szCs w:val="24"/>
        </w:rPr>
      </w:pPr>
    </w:p>
    <w:p w14:paraId="0BB7F3AC" w14:textId="1E7CB9D6" w:rsidR="00B2797B" w:rsidRPr="009513A7" w:rsidRDefault="00B2797B" w:rsidP="00B2797B">
      <w:pPr>
        <w:spacing w:after="0" w:line="480" w:lineRule="auto"/>
        <w:ind w:firstLine="720"/>
        <w:rPr>
          <w:rFonts w:cstheme="minorHAnsi"/>
          <w:sz w:val="24"/>
          <w:szCs w:val="24"/>
        </w:rPr>
      </w:pPr>
      <w:r w:rsidRPr="009513A7">
        <w:rPr>
          <w:rFonts w:cstheme="minorHAnsi"/>
          <w:sz w:val="24"/>
          <w:szCs w:val="24"/>
        </w:rPr>
        <w:t>Emergency management is necessary for when and if a disaster occurs</w:t>
      </w:r>
      <w:r w:rsidR="00EC6FAC" w:rsidRPr="00EC6FAC">
        <w:rPr>
          <w:rFonts w:cstheme="minorHAnsi"/>
          <w:sz w:val="24"/>
          <w:szCs w:val="24"/>
        </w:rPr>
        <w:t xml:space="preserve"> </w:t>
      </w:r>
      <w:r w:rsidR="00EC6FAC">
        <w:rPr>
          <w:rFonts w:cstheme="minorHAnsi"/>
          <w:sz w:val="24"/>
          <w:szCs w:val="24"/>
        </w:rPr>
        <w:t>(</w:t>
      </w:r>
      <w:r w:rsidR="00EC6FAC" w:rsidRPr="008D6938">
        <w:rPr>
          <w:rFonts w:cstheme="minorHAnsi"/>
          <w:sz w:val="24"/>
          <w:szCs w:val="24"/>
        </w:rPr>
        <w:t>Cornell</w:t>
      </w:r>
      <w:r w:rsidR="00EC6FAC">
        <w:rPr>
          <w:rFonts w:cstheme="minorHAnsi"/>
          <w:sz w:val="24"/>
          <w:szCs w:val="24"/>
        </w:rPr>
        <w:t xml:space="preserve"> et al., 2021)</w:t>
      </w:r>
      <w:r w:rsidRPr="009513A7">
        <w:rPr>
          <w:rFonts w:cstheme="minorHAnsi"/>
          <w:sz w:val="24"/>
          <w:szCs w:val="24"/>
        </w:rPr>
        <w:t>. The preparedness of colleges and universities is critical to campus safety and success</w:t>
      </w:r>
      <w:r w:rsidR="00EC6FAC">
        <w:rPr>
          <w:rFonts w:cstheme="minorHAnsi"/>
          <w:bCs/>
          <w:iCs/>
          <w:sz w:val="24"/>
          <w:szCs w:val="24"/>
        </w:rPr>
        <w:t xml:space="preserve"> (Cornell, 2010)</w:t>
      </w:r>
      <w:r w:rsidRPr="009513A7">
        <w:rPr>
          <w:rFonts w:cstheme="minorHAnsi"/>
          <w:sz w:val="24"/>
          <w:szCs w:val="24"/>
        </w:rPr>
        <w:t>. The costs associated with being unprepared during and after a disaster could cripple an institution, marking the beginning of a long, daunting recovery</w:t>
      </w:r>
      <w:r w:rsidR="00EC6FAC">
        <w:rPr>
          <w:rFonts w:cstheme="minorHAnsi"/>
          <w:bCs/>
          <w:iCs/>
          <w:sz w:val="24"/>
          <w:szCs w:val="24"/>
        </w:rPr>
        <w:t xml:space="preserve"> (</w:t>
      </w:r>
      <w:r w:rsidR="00EC6FAC" w:rsidRPr="009513A7">
        <w:rPr>
          <w:rFonts w:cstheme="minorHAnsi"/>
          <w:sz w:val="24"/>
          <w:szCs w:val="24"/>
        </w:rPr>
        <w:t>Deisinger et al., 2008</w:t>
      </w:r>
      <w:r w:rsidR="00EC6FAC">
        <w:rPr>
          <w:rFonts w:cstheme="minorHAnsi"/>
          <w:sz w:val="24"/>
          <w:szCs w:val="24"/>
        </w:rPr>
        <w:t>; Meloy &amp; Hoffmann, 2021)</w:t>
      </w:r>
      <w:r w:rsidR="00EC6FAC" w:rsidRPr="009513A7">
        <w:rPr>
          <w:rFonts w:cstheme="minorHAnsi"/>
          <w:sz w:val="24"/>
          <w:szCs w:val="24"/>
        </w:rPr>
        <w:t xml:space="preserve">. </w:t>
      </w:r>
      <w:r w:rsidRPr="009513A7">
        <w:rPr>
          <w:rFonts w:cstheme="minorHAnsi"/>
          <w:sz w:val="24"/>
          <w:szCs w:val="24"/>
        </w:rPr>
        <w:t xml:space="preserve">Threat assessment may help avoid </w:t>
      </w:r>
      <w:r w:rsidR="00AD4332">
        <w:rPr>
          <w:rFonts w:cstheme="minorHAnsi"/>
          <w:sz w:val="24"/>
          <w:szCs w:val="24"/>
        </w:rPr>
        <w:t xml:space="preserve">a </w:t>
      </w:r>
      <w:r w:rsidRPr="009513A7">
        <w:rPr>
          <w:rFonts w:cstheme="minorHAnsi"/>
          <w:sz w:val="24"/>
          <w:szCs w:val="24"/>
        </w:rPr>
        <w:t>disaster with early detection and intervention efforts</w:t>
      </w:r>
      <w:r w:rsidR="005A734A">
        <w:rPr>
          <w:rFonts w:cstheme="minorHAnsi"/>
          <w:sz w:val="24"/>
          <w:szCs w:val="24"/>
        </w:rPr>
        <w:t xml:space="preserve"> (Cornell at al., 2021)</w:t>
      </w:r>
      <w:r w:rsidRPr="009513A7">
        <w:rPr>
          <w:rFonts w:cstheme="minorHAnsi"/>
          <w:sz w:val="24"/>
          <w:szCs w:val="24"/>
        </w:rPr>
        <w:t xml:space="preserve">. </w:t>
      </w:r>
      <w:r w:rsidR="00AD4332">
        <w:rPr>
          <w:rFonts w:cstheme="minorHAnsi"/>
          <w:sz w:val="24"/>
          <w:szCs w:val="24"/>
        </w:rPr>
        <w:t>Campus</w:t>
      </w:r>
      <w:r w:rsidRPr="009513A7">
        <w:rPr>
          <w:rFonts w:cstheme="minorHAnsi"/>
          <w:sz w:val="24"/>
          <w:szCs w:val="24"/>
        </w:rPr>
        <w:t xml:space="preserve"> safety is a </w:t>
      </w:r>
      <w:r w:rsidR="00F511A5">
        <w:rPr>
          <w:rFonts w:cstheme="minorHAnsi"/>
          <w:sz w:val="24"/>
          <w:szCs w:val="24"/>
        </w:rPr>
        <w:t xml:space="preserve">consistent </w:t>
      </w:r>
      <w:r w:rsidRPr="009513A7">
        <w:rPr>
          <w:rFonts w:cstheme="minorHAnsi"/>
          <w:sz w:val="24"/>
          <w:szCs w:val="24"/>
        </w:rPr>
        <w:t xml:space="preserve">issue facing IHEs (Allen &amp; Lengfellner, 2016; Drysdale et al., 2010; </w:t>
      </w:r>
      <w:r w:rsidRPr="009513A7">
        <w:rPr>
          <w:rFonts w:cstheme="minorHAnsi"/>
          <w:sz w:val="24"/>
          <w:szCs w:val="24"/>
          <w:shd w:val="clear" w:color="auto" w:fill="FFFFFF"/>
        </w:rPr>
        <w:t>Hoisington, 2017</w:t>
      </w:r>
      <w:r w:rsidRPr="009513A7">
        <w:rPr>
          <w:rFonts w:cstheme="minorHAnsi"/>
          <w:sz w:val="24"/>
          <w:szCs w:val="24"/>
        </w:rPr>
        <w:t xml:space="preserve">). The physical and mental safety of faculty, staff and students can affect how they work and learn (Bolante </w:t>
      </w:r>
      <w:r w:rsidR="009740BD">
        <w:rPr>
          <w:rFonts w:cstheme="minorHAnsi"/>
          <w:sz w:val="24"/>
          <w:szCs w:val="24"/>
        </w:rPr>
        <w:t>&amp;</w:t>
      </w:r>
      <w:r w:rsidR="00D47B80">
        <w:rPr>
          <w:rFonts w:cstheme="minorHAnsi"/>
          <w:sz w:val="24"/>
          <w:szCs w:val="24"/>
        </w:rPr>
        <w:t xml:space="preserve"> </w:t>
      </w:r>
      <w:r w:rsidRPr="009513A7">
        <w:rPr>
          <w:rFonts w:cstheme="minorHAnsi"/>
          <w:sz w:val="24"/>
          <w:szCs w:val="24"/>
        </w:rPr>
        <w:t xml:space="preserve">Dykeman, 2017). </w:t>
      </w:r>
      <w:r w:rsidR="009740BD">
        <w:rPr>
          <w:rFonts w:cstheme="minorHAnsi"/>
          <w:sz w:val="24"/>
          <w:szCs w:val="24"/>
        </w:rPr>
        <w:t xml:space="preserve">Threat assessment teams are a way to address safety concerns early and often </w:t>
      </w:r>
      <w:r w:rsidRPr="009513A7">
        <w:rPr>
          <w:rFonts w:cstheme="minorHAnsi"/>
          <w:sz w:val="24"/>
          <w:szCs w:val="24"/>
        </w:rPr>
        <w:t xml:space="preserve">(Cornell, 2010; </w:t>
      </w:r>
      <w:r w:rsidRPr="009513A7">
        <w:rPr>
          <w:rFonts w:eastAsia="Times New Roman" w:cstheme="minorHAnsi"/>
          <w:sz w:val="24"/>
          <w:szCs w:val="24"/>
        </w:rPr>
        <w:t>Deisinger et al., 2008</w:t>
      </w:r>
      <w:r w:rsidRPr="009513A7">
        <w:rPr>
          <w:rFonts w:cstheme="minorHAnsi"/>
          <w:sz w:val="24"/>
          <w:szCs w:val="24"/>
        </w:rPr>
        <w:t xml:space="preserve">). </w:t>
      </w:r>
    </w:p>
    <w:p w14:paraId="2B0BCCBA" w14:textId="76EFD136" w:rsidR="00B2797B" w:rsidRPr="009513A7" w:rsidRDefault="00B2797B" w:rsidP="00B2797B">
      <w:pPr>
        <w:spacing w:after="0" w:line="480" w:lineRule="auto"/>
        <w:rPr>
          <w:rFonts w:cstheme="minorHAnsi"/>
          <w:sz w:val="24"/>
          <w:szCs w:val="24"/>
        </w:rPr>
      </w:pPr>
      <w:r w:rsidRPr="009513A7">
        <w:rPr>
          <w:rFonts w:cstheme="minorHAnsi"/>
          <w:sz w:val="24"/>
          <w:szCs w:val="24"/>
        </w:rPr>
        <w:tab/>
      </w:r>
      <w:r w:rsidR="00373721">
        <w:rPr>
          <w:rFonts w:cstheme="minorHAnsi"/>
          <w:sz w:val="24"/>
          <w:szCs w:val="24"/>
        </w:rPr>
        <w:t>Randazzo and Cameron (2012) consider threat assessment a time-tested tool</w:t>
      </w:r>
      <w:r w:rsidR="005A734A">
        <w:rPr>
          <w:rFonts w:cstheme="minorHAnsi"/>
          <w:sz w:val="24"/>
          <w:szCs w:val="24"/>
        </w:rPr>
        <w:t xml:space="preserve">, as well as a </w:t>
      </w:r>
      <w:r w:rsidRPr="009513A7">
        <w:rPr>
          <w:rFonts w:cstheme="minorHAnsi"/>
          <w:sz w:val="24"/>
          <w:szCs w:val="24"/>
        </w:rPr>
        <w:t>behavior-based and prevention-focused model</w:t>
      </w:r>
      <w:r w:rsidR="005A734A">
        <w:rPr>
          <w:rFonts w:cstheme="minorHAnsi"/>
          <w:sz w:val="24"/>
          <w:szCs w:val="24"/>
        </w:rPr>
        <w:t>.</w:t>
      </w:r>
      <w:r w:rsidR="00F511A5">
        <w:rPr>
          <w:rFonts w:cstheme="minorHAnsi"/>
          <w:sz w:val="24"/>
          <w:szCs w:val="24"/>
        </w:rPr>
        <w:t xml:space="preserve"> </w:t>
      </w:r>
      <w:r w:rsidRPr="009513A7">
        <w:rPr>
          <w:rFonts w:cstheme="minorHAnsi"/>
          <w:sz w:val="24"/>
          <w:szCs w:val="24"/>
        </w:rPr>
        <w:t>Threat assessment is a scientific discipline (Meloy &amp; Genzman, 2016) that has historically been used for violence prevention in a variety of settings (Reddy et al., 2001). However, its presence has been growing within K</w:t>
      </w:r>
      <w:r w:rsidR="00AD4332">
        <w:rPr>
          <w:rFonts w:cstheme="minorHAnsi"/>
          <w:sz w:val="24"/>
          <w:szCs w:val="24"/>
        </w:rPr>
        <w:t>-</w:t>
      </w:r>
      <w:r w:rsidRPr="009513A7">
        <w:rPr>
          <w:rFonts w:cstheme="minorHAnsi"/>
          <w:sz w:val="24"/>
          <w:szCs w:val="24"/>
        </w:rPr>
        <w:t xml:space="preserve">12 schools and IHEs for the last two decades with the 1999 shooting at Columbine </w:t>
      </w:r>
      <w:r w:rsidR="00AD4332">
        <w:rPr>
          <w:rFonts w:cstheme="minorHAnsi"/>
          <w:sz w:val="24"/>
          <w:szCs w:val="24"/>
        </w:rPr>
        <w:t xml:space="preserve">(Colorado) </w:t>
      </w:r>
      <w:r w:rsidRPr="009513A7">
        <w:rPr>
          <w:rFonts w:cstheme="minorHAnsi"/>
          <w:sz w:val="24"/>
          <w:szCs w:val="24"/>
        </w:rPr>
        <w:t xml:space="preserve">High </w:t>
      </w:r>
      <w:r w:rsidR="00AD4332">
        <w:rPr>
          <w:rFonts w:cstheme="minorHAnsi"/>
          <w:sz w:val="24"/>
          <w:szCs w:val="24"/>
        </w:rPr>
        <w:t>S</w:t>
      </w:r>
      <w:r w:rsidRPr="009513A7">
        <w:rPr>
          <w:rFonts w:cstheme="minorHAnsi"/>
          <w:sz w:val="24"/>
          <w:szCs w:val="24"/>
        </w:rPr>
        <w:t xml:space="preserve">chool </w:t>
      </w:r>
      <w:r w:rsidRPr="009513A7">
        <w:rPr>
          <w:rFonts w:cstheme="minorHAnsi"/>
          <w:sz w:val="24"/>
          <w:szCs w:val="24"/>
        </w:rPr>
        <w:lastRenderedPageBreak/>
        <w:t>serving as a catalyst (Curran et al., 2020;</w:t>
      </w:r>
      <w:r w:rsidRPr="009513A7">
        <w:rPr>
          <w:rFonts w:cstheme="minorHAnsi"/>
          <w:sz w:val="24"/>
          <w:szCs w:val="24"/>
          <w:shd w:val="clear" w:color="auto" w:fill="FFFFFF"/>
        </w:rPr>
        <w:t xml:space="preserve"> Modzeleski &amp; Randazzo, 2018</w:t>
      </w:r>
      <w:r w:rsidRPr="009513A7">
        <w:rPr>
          <w:rFonts w:cstheme="minorHAnsi"/>
          <w:sz w:val="24"/>
          <w:szCs w:val="24"/>
        </w:rPr>
        <w:t>). Threat assessment is needed to enhance campus safety, minimize threats early, and ultimately mitigate the consequences of a tragedy (</w:t>
      </w:r>
      <w:r w:rsidRPr="009513A7">
        <w:rPr>
          <w:rFonts w:eastAsia="Times New Roman" w:cstheme="minorHAnsi"/>
          <w:sz w:val="24"/>
          <w:szCs w:val="24"/>
        </w:rPr>
        <w:t>Deisinger et al., 2008</w:t>
      </w:r>
      <w:r w:rsidR="00EC6FAC">
        <w:rPr>
          <w:rFonts w:cstheme="minorHAnsi"/>
          <w:bCs/>
          <w:iCs/>
          <w:sz w:val="24"/>
          <w:szCs w:val="24"/>
        </w:rPr>
        <w:t>; Meloy &amp; Hoffmann, 2021</w:t>
      </w:r>
      <w:r w:rsidRPr="009513A7">
        <w:rPr>
          <w:rFonts w:eastAsia="Times New Roman" w:cstheme="minorHAnsi"/>
          <w:sz w:val="24"/>
          <w:szCs w:val="24"/>
        </w:rPr>
        <w:t>)</w:t>
      </w:r>
      <w:r w:rsidRPr="009513A7">
        <w:rPr>
          <w:rFonts w:cstheme="minorHAnsi"/>
          <w:sz w:val="24"/>
          <w:szCs w:val="24"/>
        </w:rPr>
        <w:t xml:space="preserve">. The rise of active shooter incidents across the United States, specifically those at postsecondary institutions, in conjunction with the ongoing debate on gun control, pushes threat prevention and assessment higher on the priority list for IHEs (Blair &amp; </w:t>
      </w:r>
      <w:r w:rsidRPr="009513A7">
        <w:rPr>
          <w:rFonts w:eastAsia="Times New Roman" w:cstheme="minorHAnsi"/>
          <w:sz w:val="24"/>
          <w:szCs w:val="24"/>
        </w:rPr>
        <w:t>Schweit</w:t>
      </w:r>
      <w:r w:rsidRPr="009513A7">
        <w:rPr>
          <w:rFonts w:cstheme="minorHAnsi"/>
          <w:sz w:val="24"/>
          <w:szCs w:val="24"/>
        </w:rPr>
        <w:t>, 2014</w:t>
      </w:r>
      <w:r w:rsidR="005A734A">
        <w:rPr>
          <w:rFonts w:cstheme="minorHAnsi"/>
          <w:sz w:val="24"/>
          <w:szCs w:val="24"/>
        </w:rPr>
        <w:t xml:space="preserve">; </w:t>
      </w:r>
      <w:r w:rsidR="005A734A" w:rsidRPr="009513A7">
        <w:rPr>
          <w:rFonts w:cstheme="minorHAnsi"/>
          <w:sz w:val="24"/>
          <w:szCs w:val="24"/>
        </w:rPr>
        <w:t>Curran et al., 2020</w:t>
      </w:r>
      <w:r w:rsidR="005A734A">
        <w:rPr>
          <w:rFonts w:cstheme="minorHAnsi"/>
          <w:sz w:val="24"/>
          <w:szCs w:val="24"/>
        </w:rPr>
        <w:t xml:space="preserve">; Education Commission for the State, 2022; </w:t>
      </w:r>
      <w:r w:rsidR="005A734A" w:rsidRPr="009513A7">
        <w:rPr>
          <w:rFonts w:cstheme="minorHAnsi"/>
          <w:sz w:val="24"/>
          <w:szCs w:val="24"/>
          <w:shd w:val="clear" w:color="auto" w:fill="FFFFFF"/>
        </w:rPr>
        <w:t>Stuart-Cassel et al., 2011</w:t>
      </w:r>
      <w:r w:rsidRPr="009513A7">
        <w:rPr>
          <w:rFonts w:cstheme="minorHAnsi"/>
          <w:sz w:val="24"/>
          <w:szCs w:val="24"/>
        </w:rPr>
        <w:t xml:space="preserve">). Other crimes and </w:t>
      </w:r>
      <w:r w:rsidR="00AD4332">
        <w:rPr>
          <w:rFonts w:cstheme="minorHAnsi"/>
          <w:sz w:val="24"/>
          <w:szCs w:val="24"/>
        </w:rPr>
        <w:t xml:space="preserve">violent </w:t>
      </w:r>
      <w:r w:rsidRPr="009513A7">
        <w:rPr>
          <w:rFonts w:cstheme="minorHAnsi"/>
          <w:sz w:val="24"/>
          <w:szCs w:val="24"/>
        </w:rPr>
        <w:t xml:space="preserve">incidents are more common within a campus community than an active shooter or homicide case (Deisinger et al., 2008; Paterson, 2020). According to Randazzo </w:t>
      </w:r>
      <w:r w:rsidR="009740BD">
        <w:rPr>
          <w:rFonts w:cstheme="minorHAnsi"/>
          <w:sz w:val="24"/>
          <w:szCs w:val="24"/>
        </w:rPr>
        <w:t xml:space="preserve">and </w:t>
      </w:r>
      <w:r w:rsidRPr="009513A7">
        <w:rPr>
          <w:rFonts w:cstheme="minorHAnsi"/>
          <w:sz w:val="24"/>
          <w:szCs w:val="24"/>
        </w:rPr>
        <w:t xml:space="preserve">Cameron (2012) threat prevention and assessment strategies for students, faculty, and staff may mitigate risk and allow IHEs to intervene as necessary. </w:t>
      </w:r>
    </w:p>
    <w:p w14:paraId="7EB9D1BA" w14:textId="7EA5B12F" w:rsidR="00B2797B" w:rsidRPr="009513A7" w:rsidRDefault="00B2797B" w:rsidP="00F511A5">
      <w:pPr>
        <w:tabs>
          <w:tab w:val="left" w:pos="7650"/>
        </w:tabs>
        <w:spacing w:after="0" w:line="480" w:lineRule="auto"/>
        <w:ind w:firstLine="720"/>
        <w:rPr>
          <w:rFonts w:cstheme="minorHAnsi"/>
          <w:bCs/>
          <w:iCs/>
          <w:sz w:val="24"/>
          <w:szCs w:val="24"/>
        </w:rPr>
      </w:pPr>
      <w:r w:rsidRPr="009513A7">
        <w:rPr>
          <w:rFonts w:cstheme="minorHAnsi"/>
          <w:sz w:val="24"/>
          <w:szCs w:val="24"/>
        </w:rPr>
        <w:t>While IHEs have seen a</w:t>
      </w:r>
      <w:r w:rsidR="00AD4332">
        <w:rPr>
          <w:rFonts w:cstheme="minorHAnsi"/>
          <w:sz w:val="24"/>
          <w:szCs w:val="24"/>
        </w:rPr>
        <w:t>n increase</w:t>
      </w:r>
      <w:r w:rsidRPr="009513A7">
        <w:rPr>
          <w:rFonts w:cstheme="minorHAnsi"/>
          <w:sz w:val="24"/>
          <w:szCs w:val="24"/>
        </w:rPr>
        <w:t xml:space="preserve"> in campus </w:t>
      </w:r>
      <w:r w:rsidR="00244EEC" w:rsidRPr="009513A7">
        <w:rPr>
          <w:rFonts w:cstheme="minorHAnsi"/>
          <w:sz w:val="24"/>
          <w:szCs w:val="24"/>
        </w:rPr>
        <w:t>TA</w:t>
      </w:r>
      <w:r w:rsidR="00244EEC">
        <w:rPr>
          <w:rFonts w:cstheme="minorHAnsi"/>
          <w:sz w:val="24"/>
          <w:szCs w:val="24"/>
        </w:rPr>
        <w:t>T</w:t>
      </w:r>
      <w:r w:rsidR="00AD4332">
        <w:rPr>
          <w:rFonts w:cstheme="minorHAnsi"/>
          <w:sz w:val="24"/>
          <w:szCs w:val="24"/>
        </w:rPr>
        <w:t xml:space="preserve"> </w:t>
      </w:r>
      <w:r w:rsidRPr="009513A7">
        <w:rPr>
          <w:rFonts w:cstheme="minorHAnsi"/>
          <w:sz w:val="24"/>
          <w:szCs w:val="24"/>
        </w:rPr>
        <w:t xml:space="preserve">the last 15 years, the issue of school violence has </w:t>
      </w:r>
      <w:r w:rsidR="00AD4332">
        <w:rPr>
          <w:rFonts w:cstheme="minorHAnsi"/>
          <w:sz w:val="24"/>
          <w:szCs w:val="24"/>
        </w:rPr>
        <w:t>existed</w:t>
      </w:r>
      <w:r w:rsidRPr="009513A7">
        <w:rPr>
          <w:rFonts w:cstheme="minorHAnsi"/>
          <w:sz w:val="24"/>
          <w:szCs w:val="24"/>
        </w:rPr>
        <w:t xml:space="preserve"> much longer (</w:t>
      </w:r>
      <w:r w:rsidRPr="009513A7">
        <w:rPr>
          <w:rFonts w:cstheme="minorHAnsi"/>
          <w:sz w:val="24"/>
          <w:szCs w:val="24"/>
          <w:shd w:val="clear" w:color="auto" w:fill="FFFFFF"/>
        </w:rPr>
        <w:t>Modzeleski &amp; Randazzo, 2018</w:t>
      </w:r>
      <w:r w:rsidRPr="009513A7">
        <w:rPr>
          <w:rFonts w:cstheme="minorHAnsi"/>
          <w:sz w:val="24"/>
          <w:szCs w:val="24"/>
        </w:rPr>
        <w:t xml:space="preserve">). </w:t>
      </w:r>
      <w:r w:rsidR="00A26C29">
        <w:rPr>
          <w:rFonts w:cstheme="minorHAnsi"/>
          <w:sz w:val="24"/>
          <w:szCs w:val="24"/>
        </w:rPr>
        <w:t>T</w:t>
      </w:r>
      <w:r w:rsidRPr="009513A7">
        <w:rPr>
          <w:rFonts w:cstheme="minorHAnsi"/>
          <w:bCs/>
          <w:iCs/>
          <w:sz w:val="24"/>
          <w:szCs w:val="24"/>
        </w:rPr>
        <w:t xml:space="preserve">here are historical milestones that laid a foundation for the establishment of </w:t>
      </w:r>
      <w:r w:rsidR="00244EEC" w:rsidRPr="009513A7">
        <w:rPr>
          <w:rFonts w:cstheme="minorHAnsi"/>
          <w:sz w:val="24"/>
          <w:szCs w:val="24"/>
        </w:rPr>
        <w:t>TA</w:t>
      </w:r>
      <w:r w:rsidR="00244EEC">
        <w:rPr>
          <w:rFonts w:cstheme="minorHAnsi"/>
          <w:sz w:val="24"/>
          <w:szCs w:val="24"/>
        </w:rPr>
        <w:t>Ts</w:t>
      </w:r>
      <w:r w:rsidR="00244EEC" w:rsidRPr="009513A7">
        <w:rPr>
          <w:rFonts w:cstheme="minorHAnsi"/>
          <w:bCs/>
          <w:iCs/>
          <w:sz w:val="24"/>
          <w:szCs w:val="24"/>
        </w:rPr>
        <w:t xml:space="preserve"> </w:t>
      </w:r>
      <w:r w:rsidRPr="009513A7">
        <w:rPr>
          <w:rFonts w:cstheme="minorHAnsi"/>
          <w:bCs/>
          <w:iCs/>
          <w:sz w:val="24"/>
          <w:szCs w:val="24"/>
        </w:rPr>
        <w:t xml:space="preserve">in IHEs. The United States </w:t>
      </w:r>
      <w:r w:rsidR="00AD4332">
        <w:rPr>
          <w:rFonts w:cstheme="minorHAnsi"/>
          <w:bCs/>
          <w:iCs/>
          <w:sz w:val="24"/>
          <w:szCs w:val="24"/>
        </w:rPr>
        <w:t>g</w:t>
      </w:r>
      <w:r w:rsidRPr="009513A7">
        <w:rPr>
          <w:rFonts w:cstheme="minorHAnsi"/>
          <w:bCs/>
          <w:iCs/>
          <w:sz w:val="24"/>
          <w:szCs w:val="24"/>
        </w:rPr>
        <w:t>overnment recognized the need to address school violence</w:t>
      </w:r>
      <w:r w:rsidR="00AD4332">
        <w:rPr>
          <w:rFonts w:cstheme="minorHAnsi"/>
          <w:bCs/>
          <w:iCs/>
          <w:sz w:val="24"/>
          <w:szCs w:val="24"/>
        </w:rPr>
        <w:t>.</w:t>
      </w:r>
      <w:r w:rsidRPr="009513A7">
        <w:rPr>
          <w:rFonts w:cstheme="minorHAnsi"/>
          <w:bCs/>
          <w:iCs/>
          <w:sz w:val="24"/>
          <w:szCs w:val="24"/>
        </w:rPr>
        <w:t xml:space="preserve"> In 1998</w:t>
      </w:r>
      <w:r w:rsidR="00AD4332">
        <w:rPr>
          <w:rFonts w:cstheme="minorHAnsi"/>
          <w:bCs/>
          <w:iCs/>
          <w:sz w:val="24"/>
          <w:szCs w:val="24"/>
        </w:rPr>
        <w:t>,</w:t>
      </w:r>
      <w:r w:rsidRPr="009513A7">
        <w:rPr>
          <w:rFonts w:cstheme="minorHAnsi"/>
          <w:bCs/>
          <w:iCs/>
          <w:sz w:val="24"/>
          <w:szCs w:val="24"/>
        </w:rPr>
        <w:t xml:space="preserve"> Attorney General Janet Reno and Secretary of Education Richard W. Riley issued a letter to U.S. schools for a “comprehensive violence prevention plan” (O’Toole, 1999, p. 5). Moreover, the Safe School Initiative (SSI) was created by the U.S. Secret Service and the U.S. Department of Education in 1999 and incorporated methods used by the secret service to manage threats and violence toward the president of the United States and others (</w:t>
      </w:r>
      <w:r w:rsidRPr="009513A7">
        <w:rPr>
          <w:rFonts w:cstheme="minorHAnsi"/>
          <w:sz w:val="24"/>
          <w:szCs w:val="24"/>
          <w:shd w:val="clear" w:color="auto" w:fill="FFFFFF"/>
        </w:rPr>
        <w:t xml:space="preserve">Modzeleski &amp; Randazzo, 2018; </w:t>
      </w:r>
      <w:r w:rsidRPr="009513A7">
        <w:rPr>
          <w:rFonts w:cstheme="minorHAnsi"/>
          <w:sz w:val="24"/>
          <w:szCs w:val="24"/>
        </w:rPr>
        <w:t>Vossekuil et al., 2004</w:t>
      </w:r>
      <w:r w:rsidRPr="009513A7">
        <w:rPr>
          <w:rFonts w:cstheme="minorHAnsi"/>
          <w:sz w:val="24"/>
          <w:szCs w:val="24"/>
          <w:shd w:val="clear" w:color="auto" w:fill="FFFFFF"/>
        </w:rPr>
        <w:t xml:space="preserve">). The SSI studied planning and other pre-attack behaviors and </w:t>
      </w:r>
      <w:r w:rsidR="005A734A">
        <w:rPr>
          <w:rFonts w:cstheme="minorHAnsi"/>
          <w:sz w:val="24"/>
          <w:szCs w:val="24"/>
          <w:shd w:val="clear" w:color="auto" w:fill="FFFFFF"/>
        </w:rPr>
        <w:t xml:space="preserve">evaluated </w:t>
      </w:r>
      <w:r w:rsidR="00CE3F7E">
        <w:rPr>
          <w:rFonts w:cstheme="minorHAnsi"/>
          <w:sz w:val="24"/>
          <w:szCs w:val="24"/>
          <w:shd w:val="clear" w:color="auto" w:fill="FFFFFF"/>
        </w:rPr>
        <w:t xml:space="preserve">whether </w:t>
      </w:r>
      <w:r w:rsidR="005A734A">
        <w:rPr>
          <w:rFonts w:cstheme="minorHAnsi"/>
          <w:sz w:val="24"/>
          <w:szCs w:val="24"/>
          <w:shd w:val="clear" w:color="auto" w:fill="FFFFFF"/>
        </w:rPr>
        <w:t xml:space="preserve">pre-attack behaviors could be </w:t>
      </w:r>
      <w:r w:rsidRPr="009513A7">
        <w:rPr>
          <w:rFonts w:cstheme="minorHAnsi"/>
          <w:bCs/>
          <w:iCs/>
          <w:sz w:val="24"/>
          <w:szCs w:val="24"/>
        </w:rPr>
        <w:t xml:space="preserve">identified to prevent future attacks (Pollack et al., 2008). As a </w:t>
      </w:r>
      <w:r w:rsidRPr="009513A7">
        <w:rPr>
          <w:rFonts w:cstheme="minorHAnsi"/>
          <w:bCs/>
          <w:iCs/>
          <w:sz w:val="24"/>
          <w:szCs w:val="24"/>
        </w:rPr>
        <w:lastRenderedPageBreak/>
        <w:t>result of the SSI, it was learned that many perpetrators had displayed warning signs or in some way informed others. This elevated education efforts for students and employees to report concerns. In addition, the federal model of threat assessment was developed based upon empirical findings of the SSI (Alathari, 2018). Threat assessment and prevention efforts focused on a person of concern’s pathway to violence, in other words, a trajectory to engage in violent acts, such as a mass shooting (</w:t>
      </w:r>
      <w:r w:rsidRPr="009513A7">
        <w:rPr>
          <w:rFonts w:cstheme="minorHAnsi"/>
          <w:sz w:val="24"/>
          <w:szCs w:val="24"/>
        </w:rPr>
        <w:t>Deisinger et al., 2008). It is important to note that threat assessment is not violence risk assessment</w:t>
      </w:r>
      <w:r w:rsidR="005A734A">
        <w:rPr>
          <w:rFonts w:cstheme="minorHAnsi"/>
          <w:sz w:val="24"/>
          <w:szCs w:val="24"/>
        </w:rPr>
        <w:t xml:space="preserve"> which is</w:t>
      </w:r>
      <w:r w:rsidR="00F511A5">
        <w:rPr>
          <w:rFonts w:cstheme="minorHAnsi"/>
          <w:sz w:val="24"/>
          <w:szCs w:val="24"/>
        </w:rPr>
        <w:t xml:space="preserve"> </w:t>
      </w:r>
      <w:r w:rsidRPr="009513A7">
        <w:rPr>
          <w:rFonts w:cstheme="minorHAnsi"/>
          <w:sz w:val="24"/>
          <w:szCs w:val="24"/>
        </w:rPr>
        <w:t>a process used by trained mental health professionals to evaluate the likelihood that a particular person may engage in general violence (</w:t>
      </w:r>
      <w:r w:rsidRPr="009513A7">
        <w:rPr>
          <w:rFonts w:cstheme="minorHAnsi"/>
          <w:sz w:val="24"/>
          <w:szCs w:val="24"/>
          <w:shd w:val="clear" w:color="auto" w:fill="FFFFFF"/>
        </w:rPr>
        <w:t xml:space="preserve">Modzeleski &amp; Randazzo, 2018; </w:t>
      </w:r>
      <w:r w:rsidRPr="009513A7">
        <w:rPr>
          <w:rFonts w:cstheme="minorHAnsi"/>
          <w:sz w:val="24"/>
          <w:szCs w:val="24"/>
        </w:rPr>
        <w:t xml:space="preserve">Reddy et al., 2001). </w:t>
      </w:r>
      <w:r w:rsidR="005A734A">
        <w:rPr>
          <w:rFonts w:cstheme="minorHAnsi"/>
          <w:sz w:val="24"/>
          <w:szCs w:val="24"/>
        </w:rPr>
        <w:t xml:space="preserve">Threat assessment should also not be confused with profiling, or </w:t>
      </w:r>
      <w:r w:rsidRPr="009513A7">
        <w:rPr>
          <w:rFonts w:cstheme="minorHAnsi"/>
          <w:sz w:val="24"/>
          <w:szCs w:val="24"/>
        </w:rPr>
        <w:t>comparing an individual to a profile or composite, to predict violence (</w:t>
      </w:r>
      <w:r w:rsidRPr="009513A7">
        <w:rPr>
          <w:rFonts w:cstheme="minorHAnsi"/>
          <w:sz w:val="24"/>
          <w:szCs w:val="24"/>
          <w:shd w:val="clear" w:color="auto" w:fill="FFFFFF"/>
        </w:rPr>
        <w:t xml:space="preserve">Modzeleski &amp; Randazzo, 2018; </w:t>
      </w:r>
      <w:r w:rsidRPr="009513A7">
        <w:rPr>
          <w:rFonts w:cstheme="minorHAnsi"/>
          <w:sz w:val="24"/>
          <w:szCs w:val="24"/>
        </w:rPr>
        <w:t xml:space="preserve">Reddy et al., 2001). Threat assessment is based on behavior and facts to bolster </w:t>
      </w:r>
      <w:r w:rsidR="00410DEA">
        <w:rPr>
          <w:rFonts w:cstheme="minorHAnsi"/>
          <w:sz w:val="24"/>
          <w:szCs w:val="24"/>
        </w:rPr>
        <w:t xml:space="preserve">violence </w:t>
      </w:r>
      <w:r w:rsidRPr="009513A7">
        <w:rPr>
          <w:rFonts w:cstheme="minorHAnsi"/>
          <w:sz w:val="24"/>
          <w:szCs w:val="24"/>
        </w:rPr>
        <w:t xml:space="preserve">prevention (Fein et al., 2004; </w:t>
      </w:r>
      <w:r w:rsidR="00E4624F">
        <w:rPr>
          <w:rFonts w:cstheme="minorHAnsi"/>
          <w:sz w:val="24"/>
          <w:szCs w:val="24"/>
        </w:rPr>
        <w:t xml:space="preserve">Meloy &amp; Hoffmann, 2021; </w:t>
      </w:r>
      <w:r w:rsidRPr="009513A7">
        <w:rPr>
          <w:rFonts w:cstheme="minorHAnsi"/>
          <w:sz w:val="24"/>
          <w:szCs w:val="24"/>
        </w:rPr>
        <w:t xml:space="preserve">Meloy et al., 2011; Vossekuil et al., 2004). </w:t>
      </w:r>
      <w:r w:rsidRPr="009513A7">
        <w:rPr>
          <w:rFonts w:cstheme="minorHAnsi"/>
          <w:sz w:val="24"/>
          <w:szCs w:val="24"/>
          <w:shd w:val="clear" w:color="auto" w:fill="FFFFFF"/>
        </w:rPr>
        <w:t xml:space="preserve">The U.S. Secret Service and U.S. Department of Education partnered with K-12 schools to develop threat assessment programs and provide training based on the </w:t>
      </w:r>
      <w:r w:rsidR="00410DEA">
        <w:rPr>
          <w:rFonts w:cstheme="minorHAnsi"/>
          <w:sz w:val="24"/>
          <w:szCs w:val="24"/>
          <w:shd w:val="clear" w:color="auto" w:fill="FFFFFF"/>
        </w:rPr>
        <w:t xml:space="preserve">federal </w:t>
      </w:r>
      <w:r w:rsidRPr="009513A7">
        <w:rPr>
          <w:rFonts w:cstheme="minorHAnsi"/>
          <w:sz w:val="24"/>
          <w:szCs w:val="24"/>
          <w:shd w:val="clear" w:color="auto" w:fill="FFFFFF"/>
        </w:rPr>
        <w:t>guide</w:t>
      </w:r>
      <w:r w:rsidR="00410DEA">
        <w:rPr>
          <w:rFonts w:cstheme="minorHAnsi"/>
          <w:sz w:val="24"/>
          <w:szCs w:val="24"/>
          <w:shd w:val="clear" w:color="auto" w:fill="FFFFFF"/>
        </w:rPr>
        <w:t xml:space="preserve"> to threat assessment</w:t>
      </w:r>
      <w:r w:rsidRPr="009513A7">
        <w:rPr>
          <w:rFonts w:cstheme="minorHAnsi"/>
          <w:sz w:val="24"/>
          <w:szCs w:val="24"/>
          <w:shd w:val="clear" w:color="auto" w:fill="FFFFFF"/>
        </w:rPr>
        <w:t xml:space="preserve"> (</w:t>
      </w:r>
      <w:r w:rsidR="00410DEA">
        <w:rPr>
          <w:rFonts w:cstheme="minorHAnsi"/>
          <w:sz w:val="24"/>
          <w:szCs w:val="24"/>
          <w:shd w:val="clear" w:color="auto" w:fill="FFFFFF"/>
        </w:rPr>
        <w:t xml:space="preserve">Fein et al., 2004; </w:t>
      </w:r>
      <w:r w:rsidRPr="009513A7">
        <w:rPr>
          <w:rFonts w:cstheme="minorHAnsi"/>
          <w:sz w:val="24"/>
          <w:szCs w:val="24"/>
          <w:shd w:val="clear" w:color="auto" w:fill="FFFFFF"/>
        </w:rPr>
        <w:t xml:space="preserve">Modzeleski &amp; Randazzo, 2018). According to a s </w:t>
      </w:r>
      <w:r w:rsidRPr="009513A7">
        <w:rPr>
          <w:rFonts w:cstheme="minorHAnsi"/>
          <w:i/>
          <w:iCs/>
          <w:sz w:val="24"/>
          <w:szCs w:val="24"/>
          <w:shd w:val="clear" w:color="auto" w:fill="FFFFFF"/>
        </w:rPr>
        <w:t>Campus Safety Magazine</w:t>
      </w:r>
      <w:r w:rsidRPr="009513A7">
        <w:rPr>
          <w:rFonts w:cstheme="minorHAnsi"/>
          <w:sz w:val="24"/>
          <w:szCs w:val="24"/>
          <w:shd w:val="clear" w:color="auto" w:fill="FFFFFF"/>
        </w:rPr>
        <w:t xml:space="preserve"> </w:t>
      </w:r>
      <w:r w:rsidR="00410DEA">
        <w:rPr>
          <w:rFonts w:cstheme="minorHAnsi"/>
          <w:sz w:val="24"/>
          <w:szCs w:val="24"/>
          <w:shd w:val="clear" w:color="auto" w:fill="FFFFFF"/>
        </w:rPr>
        <w:t xml:space="preserve">survey </w:t>
      </w:r>
      <w:r w:rsidRPr="009513A7">
        <w:rPr>
          <w:rFonts w:cstheme="minorHAnsi"/>
          <w:sz w:val="24"/>
          <w:szCs w:val="24"/>
          <w:shd w:val="clear" w:color="auto" w:fill="FFFFFF"/>
        </w:rPr>
        <w:t xml:space="preserve">on the 10th anniversary of the Columbine shooting, nearly half of all surveyed school personnel indicated their schools had implemented a threat assessment team or program to </w:t>
      </w:r>
      <w:r w:rsidR="009F72B8">
        <w:rPr>
          <w:rFonts w:cstheme="minorHAnsi"/>
          <w:sz w:val="24"/>
          <w:szCs w:val="24"/>
          <w:shd w:val="clear" w:color="auto" w:fill="FFFFFF"/>
        </w:rPr>
        <w:t xml:space="preserve">enhance </w:t>
      </w:r>
      <w:r w:rsidRPr="009513A7">
        <w:rPr>
          <w:rFonts w:cstheme="minorHAnsi"/>
          <w:sz w:val="24"/>
          <w:szCs w:val="24"/>
          <w:shd w:val="clear" w:color="auto" w:fill="FFFFFF"/>
        </w:rPr>
        <w:t xml:space="preserve">safety” (Modzeleski &amp; Randazzo, 2018). An increase in shootings at IHEs spurred the implementation of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shd w:val="clear" w:color="auto" w:fill="FFFFFF"/>
        </w:rPr>
        <w:t xml:space="preserve"> </w:t>
      </w:r>
      <w:r w:rsidRPr="009513A7">
        <w:rPr>
          <w:rFonts w:cstheme="minorHAnsi"/>
          <w:sz w:val="24"/>
          <w:szCs w:val="24"/>
          <w:shd w:val="clear" w:color="auto" w:fill="FFFFFF"/>
        </w:rPr>
        <w:t>at IHEs</w:t>
      </w:r>
      <w:r w:rsidR="00410DEA">
        <w:rPr>
          <w:rFonts w:cstheme="minorHAnsi"/>
          <w:sz w:val="24"/>
          <w:szCs w:val="24"/>
          <w:shd w:val="clear" w:color="auto" w:fill="FFFFFF"/>
        </w:rPr>
        <w:t>, with</w:t>
      </w:r>
      <w:r w:rsidRPr="009513A7">
        <w:rPr>
          <w:rFonts w:cstheme="minorHAnsi"/>
          <w:sz w:val="24"/>
          <w:szCs w:val="24"/>
          <w:shd w:val="clear" w:color="auto" w:fill="FFFFFF"/>
        </w:rPr>
        <w:t xml:space="preserve"> the </w:t>
      </w:r>
      <w:r w:rsidRPr="009513A7">
        <w:rPr>
          <w:rFonts w:cstheme="minorHAnsi"/>
          <w:sz w:val="24"/>
          <w:szCs w:val="24"/>
        </w:rPr>
        <w:t xml:space="preserve">2007 Virginia Polytechnic Institute and State University </w:t>
      </w:r>
      <w:r w:rsidR="00410DEA">
        <w:rPr>
          <w:rFonts w:cstheme="minorHAnsi"/>
          <w:sz w:val="24"/>
          <w:szCs w:val="24"/>
        </w:rPr>
        <w:t xml:space="preserve">shooting </w:t>
      </w:r>
      <w:r w:rsidRPr="009513A7">
        <w:rPr>
          <w:rFonts w:cstheme="minorHAnsi"/>
          <w:sz w:val="24"/>
          <w:szCs w:val="24"/>
        </w:rPr>
        <w:t>in Blacksburg, Virginia serv</w:t>
      </w:r>
      <w:r w:rsidR="00410DEA">
        <w:rPr>
          <w:rFonts w:cstheme="minorHAnsi"/>
          <w:sz w:val="24"/>
          <w:szCs w:val="24"/>
        </w:rPr>
        <w:t>ing</w:t>
      </w:r>
      <w:r w:rsidRPr="009513A7">
        <w:rPr>
          <w:rFonts w:cstheme="minorHAnsi"/>
          <w:sz w:val="24"/>
          <w:szCs w:val="24"/>
        </w:rPr>
        <w:t xml:space="preserve"> as a turning point (Barker &amp; Yoder, 2012; Binder, 2015). Other incidents such as the 2015 Umpqua Community College </w:t>
      </w:r>
      <w:r w:rsidR="00410DEA">
        <w:rPr>
          <w:rFonts w:cstheme="minorHAnsi"/>
          <w:sz w:val="24"/>
          <w:szCs w:val="24"/>
        </w:rPr>
        <w:t xml:space="preserve">shooting </w:t>
      </w:r>
      <w:r w:rsidRPr="009513A7">
        <w:rPr>
          <w:rFonts w:cstheme="minorHAnsi"/>
          <w:sz w:val="24"/>
          <w:szCs w:val="24"/>
        </w:rPr>
        <w:t xml:space="preserve">near Roseburg, Oregon, further established the </w:t>
      </w:r>
      <w:r w:rsidRPr="009513A7">
        <w:rPr>
          <w:rFonts w:cstheme="minorHAnsi"/>
          <w:sz w:val="24"/>
          <w:szCs w:val="24"/>
        </w:rPr>
        <w:lastRenderedPageBreak/>
        <w:t xml:space="preserve">need for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(Binder, 2015). The next section </w:t>
      </w:r>
      <w:r w:rsidR="00A26C29">
        <w:rPr>
          <w:rFonts w:cstheme="minorHAnsi"/>
          <w:sz w:val="24"/>
          <w:szCs w:val="24"/>
        </w:rPr>
        <w:t>explore</w:t>
      </w:r>
      <w:r w:rsidR="00410DEA">
        <w:rPr>
          <w:rFonts w:cstheme="minorHAnsi"/>
          <w:sz w:val="24"/>
          <w:szCs w:val="24"/>
        </w:rPr>
        <w:t>s</w:t>
      </w:r>
      <w:r w:rsidR="00A26C29">
        <w:rPr>
          <w:rFonts w:cstheme="minorHAnsi"/>
          <w:sz w:val="24"/>
          <w:szCs w:val="24"/>
        </w:rPr>
        <w:t xml:space="preserve"> the importance of multidisciplinary teams. </w:t>
      </w:r>
    </w:p>
    <w:bookmarkEnd w:id="12"/>
    <w:p w14:paraId="39AFB92E" w14:textId="77777777" w:rsidR="00B2797B" w:rsidRPr="009513A7" w:rsidRDefault="00B2797B" w:rsidP="00B2797B">
      <w:pPr>
        <w:spacing w:after="0" w:line="480" w:lineRule="auto"/>
        <w:contextualSpacing/>
        <w:jc w:val="center"/>
        <w:rPr>
          <w:rFonts w:cstheme="minorHAnsi"/>
          <w:sz w:val="24"/>
          <w:szCs w:val="24"/>
        </w:rPr>
      </w:pPr>
      <w:r w:rsidRPr="009513A7">
        <w:rPr>
          <w:rFonts w:cstheme="minorHAnsi"/>
          <w:b/>
          <w:sz w:val="24"/>
          <w:szCs w:val="24"/>
        </w:rPr>
        <w:t>Importance of Multidisciplinary Teams</w:t>
      </w:r>
      <w:r w:rsidRPr="009513A7">
        <w:rPr>
          <w:rFonts w:cstheme="minorHAnsi"/>
          <w:sz w:val="24"/>
          <w:szCs w:val="24"/>
        </w:rPr>
        <w:t xml:space="preserve"> </w:t>
      </w:r>
    </w:p>
    <w:p w14:paraId="255FEB76" w14:textId="6B1215FE"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 xml:space="preserve">Many subject-matter experts, researchers, and professional organizations have endorsed the use of multidisciplinary teams to manage threat assessment and prevention efforts (Cornell &amp; Allen, 2011; Deisinger et al., 2008; Dunkle et al. 2008; Eells &amp; Rockland-Miller, 2011; Hemphill &amp; LaBanc, 2010; </w:t>
      </w:r>
      <w:r w:rsidR="00E4624F">
        <w:rPr>
          <w:rFonts w:cstheme="minorHAnsi"/>
          <w:sz w:val="24"/>
          <w:szCs w:val="24"/>
        </w:rPr>
        <w:t xml:space="preserve">Meloy &amp; Hoffmann, 2021; </w:t>
      </w:r>
      <w:r w:rsidRPr="009513A7">
        <w:rPr>
          <w:rFonts w:cstheme="minorHAnsi"/>
          <w:sz w:val="24"/>
          <w:szCs w:val="24"/>
        </w:rPr>
        <w:t>Sokolow et al., 2009). Often</w:t>
      </w:r>
      <w:r w:rsidR="00E4624F">
        <w:rPr>
          <w:rFonts w:cstheme="minorHAnsi"/>
          <w:sz w:val="24"/>
          <w:szCs w:val="24"/>
        </w:rPr>
        <w:t>,</w:t>
      </w:r>
      <w:r w:rsidRPr="009513A7">
        <w:rPr>
          <w:rFonts w:cstheme="minorHAnsi"/>
          <w:sz w:val="24"/>
          <w:szCs w:val="24"/>
        </w:rPr>
        <w:t xml:space="preserve"> reports o</w:t>
      </w:r>
      <w:r w:rsidR="00E4624F">
        <w:rPr>
          <w:rFonts w:cstheme="minorHAnsi"/>
          <w:sz w:val="24"/>
          <w:szCs w:val="24"/>
        </w:rPr>
        <w:t>f</w:t>
      </w:r>
      <w:r w:rsidRPr="009513A7">
        <w:rPr>
          <w:rFonts w:cstheme="minorHAnsi"/>
          <w:sz w:val="24"/>
          <w:szCs w:val="24"/>
        </w:rPr>
        <w:t xml:space="preserve"> violence at IHEs support the implementation </w:t>
      </w:r>
      <w:r w:rsidR="00E4624F">
        <w:rPr>
          <w:rFonts w:cstheme="minorHAnsi"/>
          <w:sz w:val="24"/>
          <w:szCs w:val="24"/>
        </w:rPr>
        <w:t xml:space="preserve">of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in one form or another (</w:t>
      </w:r>
      <w:r w:rsidR="00E4624F">
        <w:rPr>
          <w:rFonts w:cstheme="minorHAnsi"/>
          <w:sz w:val="24"/>
          <w:szCs w:val="24"/>
        </w:rPr>
        <w:t xml:space="preserve">Meloy &amp; Hoffmann, 2021; </w:t>
      </w:r>
      <w:r w:rsidRPr="009513A7">
        <w:rPr>
          <w:rFonts w:cstheme="minorHAnsi"/>
          <w:sz w:val="24"/>
          <w:szCs w:val="24"/>
        </w:rPr>
        <w:t xml:space="preserve">O’Neil et al., 2008). </w:t>
      </w:r>
    </w:p>
    <w:p w14:paraId="6BD8C7DC" w14:textId="07B64500" w:rsidR="00B2797B" w:rsidRPr="009513A7" w:rsidRDefault="00B2797B" w:rsidP="00B2797B">
      <w:pPr>
        <w:spacing w:after="0" w:line="480" w:lineRule="auto"/>
        <w:contextualSpacing/>
        <w:rPr>
          <w:rFonts w:cstheme="minorHAnsi"/>
          <w:sz w:val="24"/>
          <w:szCs w:val="24"/>
        </w:rPr>
      </w:pPr>
      <w:r w:rsidRPr="009513A7">
        <w:rPr>
          <w:rFonts w:cstheme="minorHAnsi"/>
          <w:sz w:val="24"/>
          <w:szCs w:val="24"/>
        </w:rPr>
        <w:tab/>
        <w:t>Multidisciplinary teams bring diversity of perspective and subject-matter experts together for collaborative and creative problem-solving (Deisinger et al., 2008</w:t>
      </w:r>
      <w:r w:rsidR="00E4624F">
        <w:rPr>
          <w:rFonts w:cstheme="minorHAnsi"/>
          <w:bCs/>
          <w:iCs/>
          <w:sz w:val="24"/>
          <w:szCs w:val="24"/>
        </w:rPr>
        <w:t>; Meloy &amp; Hoffmann, 2021</w:t>
      </w:r>
      <w:r w:rsidRPr="009513A7">
        <w:rPr>
          <w:rFonts w:cstheme="minorHAnsi"/>
          <w:sz w:val="24"/>
          <w:szCs w:val="24"/>
        </w:rPr>
        <w:t xml:space="preserve">). General roles for </w:t>
      </w:r>
      <w:r w:rsidR="00244EEC" w:rsidRPr="009513A7">
        <w:rPr>
          <w:rFonts w:cstheme="minorHAnsi"/>
          <w:sz w:val="24"/>
          <w:szCs w:val="24"/>
        </w:rPr>
        <w:t>TA</w:t>
      </w:r>
      <w:r w:rsidR="00244EEC">
        <w:rPr>
          <w:rFonts w:cstheme="minorHAnsi"/>
          <w:sz w:val="24"/>
          <w:szCs w:val="24"/>
        </w:rPr>
        <w:t xml:space="preserve">Ts </w:t>
      </w:r>
      <w:r w:rsidR="000D2640">
        <w:rPr>
          <w:rFonts w:cstheme="minorHAnsi"/>
          <w:sz w:val="24"/>
          <w:szCs w:val="24"/>
        </w:rPr>
        <w:t>are</w:t>
      </w:r>
      <w:r w:rsidRPr="009513A7">
        <w:rPr>
          <w:rFonts w:cstheme="minorHAnsi"/>
          <w:sz w:val="24"/>
          <w:szCs w:val="24"/>
        </w:rPr>
        <w:t xml:space="preserve"> defined in </w:t>
      </w:r>
      <w:r w:rsidR="00410DEA">
        <w:rPr>
          <w:rFonts w:cstheme="minorHAnsi"/>
          <w:sz w:val="24"/>
          <w:szCs w:val="24"/>
        </w:rPr>
        <w:t>C</w:t>
      </w:r>
      <w:r w:rsidR="000D2640">
        <w:rPr>
          <w:rFonts w:cstheme="minorHAnsi"/>
          <w:sz w:val="24"/>
          <w:szCs w:val="24"/>
        </w:rPr>
        <w:t>hapter 1</w:t>
      </w:r>
      <w:r w:rsidRPr="009513A7">
        <w:rPr>
          <w:rFonts w:cstheme="minorHAnsi"/>
          <w:sz w:val="24"/>
          <w:szCs w:val="24"/>
        </w:rPr>
        <w:t xml:space="preserve">. The size of the team often depends on the size and resources of the institution.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members should demonstrate a commitment to safety and well-being, confidentiality, fairness, policy and law, and follow-through; recognize the complexity and diversity of each case; and possess the knowledge, skills, and abilities necessary for crisis management (Deisinger et al., 2008</w:t>
      </w:r>
      <w:r w:rsidR="00E4624F">
        <w:rPr>
          <w:rFonts w:cstheme="minorHAnsi"/>
          <w:sz w:val="24"/>
          <w:szCs w:val="24"/>
        </w:rPr>
        <w:t xml:space="preserve">; </w:t>
      </w:r>
      <w:r w:rsidR="00E4624F">
        <w:rPr>
          <w:rFonts w:cstheme="minorHAnsi"/>
          <w:bCs/>
          <w:iCs/>
          <w:sz w:val="24"/>
          <w:szCs w:val="24"/>
        </w:rPr>
        <w:t>Meloy &amp; Hoffmann, 2021</w:t>
      </w:r>
      <w:r w:rsidRPr="009513A7">
        <w:rPr>
          <w:rFonts w:cstheme="minorHAnsi"/>
          <w:sz w:val="24"/>
          <w:szCs w:val="24"/>
        </w:rPr>
        <w:t xml:space="preserve">). Best practices </w:t>
      </w:r>
      <w:r w:rsidR="000D2640">
        <w:rPr>
          <w:rFonts w:cstheme="minorHAnsi"/>
          <w:sz w:val="24"/>
          <w:szCs w:val="24"/>
        </w:rPr>
        <w:t>implore the use of l</w:t>
      </w:r>
      <w:r w:rsidRPr="009513A7">
        <w:rPr>
          <w:rFonts w:cstheme="minorHAnsi"/>
          <w:sz w:val="24"/>
          <w:szCs w:val="24"/>
        </w:rPr>
        <w:t>egal counsel throughout case management and threat assessment (</w:t>
      </w:r>
      <w:r w:rsidR="00410DEA" w:rsidRPr="009513A7">
        <w:rPr>
          <w:rFonts w:cstheme="minorHAnsi"/>
          <w:sz w:val="24"/>
          <w:szCs w:val="24"/>
        </w:rPr>
        <w:t>Deisinger et al., 2008</w:t>
      </w:r>
      <w:r w:rsidR="00410DEA">
        <w:rPr>
          <w:rFonts w:cstheme="minorHAnsi"/>
          <w:sz w:val="24"/>
          <w:szCs w:val="24"/>
        </w:rPr>
        <w:t xml:space="preserve">; </w:t>
      </w:r>
      <w:r w:rsidRPr="009513A7">
        <w:rPr>
          <w:rFonts w:cstheme="minorHAnsi"/>
          <w:sz w:val="24"/>
          <w:szCs w:val="24"/>
        </w:rPr>
        <w:t>Nolan &amp; Moncure, 2012). While all members of a threat assessment team fulfill a critical role, the mental health professional is valuable for behavioral assessment (Deisinger et al., 2008</w:t>
      </w:r>
      <w:r w:rsidR="00A8480C">
        <w:rPr>
          <w:rFonts w:cstheme="minorHAnsi"/>
          <w:sz w:val="24"/>
          <w:szCs w:val="24"/>
        </w:rPr>
        <w:t>;</w:t>
      </w:r>
      <w:r w:rsidR="00A8480C" w:rsidRPr="00A8480C">
        <w:rPr>
          <w:rFonts w:cstheme="minorHAnsi"/>
          <w:bCs/>
          <w:iCs/>
          <w:sz w:val="24"/>
          <w:szCs w:val="24"/>
        </w:rPr>
        <w:t xml:space="preserve"> </w:t>
      </w:r>
      <w:r w:rsidR="00A8480C">
        <w:rPr>
          <w:rFonts w:cstheme="minorHAnsi"/>
          <w:bCs/>
          <w:iCs/>
          <w:sz w:val="24"/>
          <w:szCs w:val="24"/>
        </w:rPr>
        <w:t>Meloy &amp; Hoffmann, 2021</w:t>
      </w:r>
      <w:r w:rsidRPr="009513A7">
        <w:rPr>
          <w:rFonts w:cstheme="minorHAnsi"/>
          <w:sz w:val="24"/>
          <w:szCs w:val="24"/>
        </w:rPr>
        <w:t xml:space="preserve">). Legal risk is reduced if a trained and qualified mental health professional such as a psychologist or social worker serves on the team (Finkel, 2016). The literature emphasizes the expertise that each member brings to the </w:t>
      </w:r>
      <w:r w:rsidRPr="009513A7">
        <w:rPr>
          <w:rFonts w:cstheme="minorHAnsi"/>
          <w:sz w:val="24"/>
          <w:szCs w:val="24"/>
        </w:rPr>
        <w:lastRenderedPageBreak/>
        <w:t xml:space="preserve">team, but often highlights the behavioral assessment contributions of mental health professionals (Randazzo &amp; Cameron, 2012; Pollard et al., 2015). A </w:t>
      </w:r>
      <w:r w:rsidR="00244EEC" w:rsidRPr="009513A7">
        <w:rPr>
          <w:rFonts w:cstheme="minorHAnsi"/>
          <w:sz w:val="24"/>
          <w:szCs w:val="24"/>
        </w:rPr>
        <w:t>TA</w:t>
      </w:r>
      <w:r w:rsidR="00244EEC">
        <w:rPr>
          <w:rFonts w:cstheme="minorHAnsi"/>
          <w:sz w:val="24"/>
          <w:szCs w:val="24"/>
        </w:rPr>
        <w:t>T</w:t>
      </w:r>
      <w:r w:rsidR="00244EEC" w:rsidRPr="009513A7">
        <w:rPr>
          <w:rFonts w:cstheme="minorHAnsi"/>
          <w:sz w:val="24"/>
          <w:szCs w:val="24"/>
        </w:rPr>
        <w:t xml:space="preserve"> </w:t>
      </w:r>
      <w:r w:rsidRPr="009513A7">
        <w:rPr>
          <w:rFonts w:cstheme="minorHAnsi"/>
          <w:sz w:val="24"/>
          <w:szCs w:val="24"/>
        </w:rPr>
        <w:t xml:space="preserve">can provide a familiar resource to distressed faculty, staff, and students. The following section </w:t>
      </w:r>
      <w:r w:rsidR="000D2640">
        <w:rPr>
          <w:rFonts w:cstheme="minorHAnsi"/>
          <w:sz w:val="24"/>
          <w:szCs w:val="24"/>
        </w:rPr>
        <w:t>explores threat assessment models.</w:t>
      </w:r>
    </w:p>
    <w:p w14:paraId="62EFE3E7" w14:textId="77777777" w:rsidR="00B2797B" w:rsidRPr="009513A7" w:rsidRDefault="00B2797B" w:rsidP="00B2797B">
      <w:pPr>
        <w:spacing w:after="0" w:line="480" w:lineRule="auto"/>
        <w:jc w:val="center"/>
        <w:rPr>
          <w:rFonts w:cstheme="minorHAnsi"/>
          <w:b/>
          <w:bCs/>
          <w:sz w:val="24"/>
          <w:szCs w:val="24"/>
        </w:rPr>
      </w:pPr>
      <w:r w:rsidRPr="009513A7">
        <w:rPr>
          <w:rFonts w:cstheme="minorHAnsi"/>
          <w:b/>
          <w:bCs/>
          <w:sz w:val="24"/>
          <w:szCs w:val="24"/>
        </w:rPr>
        <w:t>Threat Assessment Models</w:t>
      </w:r>
    </w:p>
    <w:p w14:paraId="28070A7B" w14:textId="2A224414" w:rsidR="00B2797B" w:rsidRPr="009513A7" w:rsidRDefault="000760F4" w:rsidP="00B2797B">
      <w:pPr>
        <w:spacing w:after="0" w:line="480" w:lineRule="auto"/>
        <w:ind w:firstLine="720"/>
        <w:rPr>
          <w:rFonts w:cstheme="minorHAnsi"/>
          <w:sz w:val="24"/>
          <w:szCs w:val="24"/>
        </w:rPr>
      </w:pPr>
      <w:r>
        <w:rPr>
          <w:rFonts w:cstheme="minorHAnsi"/>
          <w:sz w:val="24"/>
          <w:szCs w:val="24"/>
        </w:rPr>
        <w:t>V</w:t>
      </w:r>
      <w:r w:rsidR="000D2640">
        <w:rPr>
          <w:rFonts w:cstheme="minorHAnsi"/>
          <w:sz w:val="24"/>
          <w:szCs w:val="24"/>
        </w:rPr>
        <w:t>arious</w:t>
      </w:r>
      <w:r w:rsidR="00B2797B" w:rsidRPr="009513A7">
        <w:rPr>
          <w:rFonts w:cstheme="minorHAnsi"/>
          <w:sz w:val="24"/>
          <w:szCs w:val="24"/>
        </w:rPr>
        <w:t xml:space="preserve"> threat assessment models</w:t>
      </w:r>
      <w:r>
        <w:rPr>
          <w:rFonts w:cstheme="minorHAnsi"/>
          <w:sz w:val="24"/>
          <w:szCs w:val="24"/>
        </w:rPr>
        <w:t xml:space="preserve"> have been</w:t>
      </w:r>
      <w:r w:rsidR="00B2797B" w:rsidRPr="009513A7">
        <w:rPr>
          <w:rFonts w:cstheme="minorHAnsi"/>
          <w:sz w:val="24"/>
          <w:szCs w:val="24"/>
        </w:rPr>
        <w:t xml:space="preserve"> created to </w:t>
      </w:r>
      <w:r>
        <w:rPr>
          <w:rFonts w:cstheme="minorHAnsi"/>
          <w:sz w:val="24"/>
          <w:szCs w:val="24"/>
        </w:rPr>
        <w:t>mitigate risk and potential</w:t>
      </w:r>
      <w:r w:rsidR="00737164">
        <w:rPr>
          <w:rFonts w:cstheme="minorHAnsi"/>
          <w:sz w:val="24"/>
          <w:szCs w:val="24"/>
        </w:rPr>
        <w:t>ly</w:t>
      </w:r>
      <w:r>
        <w:rPr>
          <w:rFonts w:cstheme="minorHAnsi"/>
          <w:sz w:val="24"/>
          <w:szCs w:val="24"/>
        </w:rPr>
        <w:t xml:space="preserve"> id</w:t>
      </w:r>
      <w:r w:rsidRPr="009513A7">
        <w:rPr>
          <w:rFonts w:cstheme="minorHAnsi"/>
          <w:sz w:val="24"/>
          <w:szCs w:val="24"/>
        </w:rPr>
        <w:t>entify</w:t>
      </w:r>
      <w:r w:rsidR="00B2797B" w:rsidRPr="009513A7">
        <w:rPr>
          <w:rFonts w:cstheme="minorHAnsi"/>
          <w:sz w:val="24"/>
          <w:szCs w:val="24"/>
        </w:rPr>
        <w:t xml:space="preserve"> persons of concern (</w:t>
      </w:r>
      <w:r w:rsidR="005A734A">
        <w:rPr>
          <w:rFonts w:cstheme="minorHAnsi"/>
          <w:sz w:val="24"/>
          <w:szCs w:val="24"/>
        </w:rPr>
        <w:t xml:space="preserve">Binder, 2015; </w:t>
      </w:r>
      <w:r w:rsidR="00B2797B" w:rsidRPr="009513A7">
        <w:rPr>
          <w:rFonts w:cstheme="minorHAnsi"/>
          <w:sz w:val="24"/>
          <w:szCs w:val="24"/>
        </w:rPr>
        <w:t>Cornell, 2010; Deisinger et al., 2008; Dunkle et al., 2008; Keller et al., 2011; Sokolow et al., 2014)</w:t>
      </w:r>
      <w:r w:rsidR="005A734A">
        <w:rPr>
          <w:rFonts w:cstheme="minorHAnsi"/>
          <w:sz w:val="24"/>
          <w:szCs w:val="24"/>
        </w:rPr>
        <w:t>.</w:t>
      </w:r>
      <w:r w:rsidR="00410DEA">
        <w:rPr>
          <w:rFonts w:cstheme="minorHAnsi"/>
          <w:sz w:val="24"/>
          <w:szCs w:val="24"/>
        </w:rPr>
        <w:t xml:space="preserve"> </w:t>
      </w:r>
      <w:r w:rsidR="00B2797B" w:rsidRPr="009513A7">
        <w:rPr>
          <w:rFonts w:cstheme="minorHAnsi"/>
          <w:sz w:val="24"/>
          <w:szCs w:val="24"/>
        </w:rPr>
        <w:t xml:space="preserve">Many student-focused teams </w:t>
      </w:r>
      <w:r>
        <w:rPr>
          <w:rFonts w:cstheme="minorHAnsi"/>
          <w:sz w:val="24"/>
          <w:szCs w:val="24"/>
        </w:rPr>
        <w:t>have</w:t>
      </w:r>
      <w:r w:rsidRPr="009513A7">
        <w:rPr>
          <w:rFonts w:cstheme="minorHAnsi"/>
          <w:sz w:val="24"/>
          <w:szCs w:val="24"/>
        </w:rPr>
        <w:t xml:space="preserve"> </w:t>
      </w:r>
      <w:r w:rsidR="00B2797B" w:rsidRPr="009513A7">
        <w:rPr>
          <w:rFonts w:cstheme="minorHAnsi"/>
          <w:sz w:val="24"/>
          <w:szCs w:val="24"/>
        </w:rPr>
        <w:t xml:space="preserve">a representative from </w:t>
      </w:r>
      <w:r w:rsidR="006746DA">
        <w:rPr>
          <w:rFonts w:cstheme="minorHAnsi"/>
          <w:sz w:val="24"/>
          <w:szCs w:val="24"/>
        </w:rPr>
        <w:t>h</w:t>
      </w:r>
      <w:r w:rsidR="00B2797B" w:rsidRPr="009513A7">
        <w:rPr>
          <w:rFonts w:cstheme="minorHAnsi"/>
          <w:sz w:val="24"/>
          <w:szCs w:val="24"/>
        </w:rPr>
        <w:t xml:space="preserve">uman </w:t>
      </w:r>
      <w:r w:rsidR="006746DA">
        <w:rPr>
          <w:rFonts w:cstheme="minorHAnsi"/>
          <w:sz w:val="24"/>
          <w:szCs w:val="24"/>
        </w:rPr>
        <w:t>r</w:t>
      </w:r>
      <w:r w:rsidR="00B2797B" w:rsidRPr="009513A7">
        <w:rPr>
          <w:rFonts w:cstheme="minorHAnsi"/>
          <w:sz w:val="24"/>
          <w:szCs w:val="24"/>
        </w:rPr>
        <w:t xml:space="preserve">esources </w:t>
      </w:r>
      <w:r w:rsidR="00410DEA">
        <w:rPr>
          <w:rFonts w:cstheme="minorHAnsi"/>
          <w:sz w:val="24"/>
          <w:szCs w:val="24"/>
        </w:rPr>
        <w:t>who</w:t>
      </w:r>
      <w:r w:rsidR="00B2797B" w:rsidRPr="009513A7">
        <w:rPr>
          <w:rFonts w:cstheme="minorHAnsi"/>
          <w:sz w:val="24"/>
          <w:szCs w:val="24"/>
        </w:rPr>
        <w:t xml:space="preserve"> can access employee records and advise on policy and employer responsibility in the event a faculty or staff member is involved in a case (Deisinger et al., 2008</w:t>
      </w:r>
      <w:r w:rsidR="005A734A">
        <w:rPr>
          <w:rFonts w:cstheme="minorHAnsi"/>
          <w:sz w:val="24"/>
          <w:szCs w:val="24"/>
        </w:rPr>
        <w:t>;</w:t>
      </w:r>
      <w:r w:rsidR="000D2640" w:rsidRPr="00F511A5">
        <w:rPr>
          <w:rFonts w:cstheme="minorHAnsi"/>
          <w:bCs/>
          <w:iCs/>
          <w:sz w:val="24"/>
          <w:szCs w:val="24"/>
        </w:rPr>
        <w:t xml:space="preserve"> </w:t>
      </w:r>
      <w:r w:rsidR="00FF0682">
        <w:rPr>
          <w:rFonts w:cstheme="minorHAnsi"/>
          <w:bCs/>
          <w:iCs/>
          <w:sz w:val="24"/>
          <w:szCs w:val="24"/>
        </w:rPr>
        <w:t>Meloy &amp; Hoffmann, 2021</w:t>
      </w:r>
      <w:r w:rsidR="00B2797B" w:rsidRPr="009513A7">
        <w:rPr>
          <w:rFonts w:cstheme="minorHAnsi"/>
          <w:sz w:val="24"/>
          <w:szCs w:val="24"/>
        </w:rPr>
        <w:t xml:space="preserve">). </w:t>
      </w:r>
    </w:p>
    <w:p w14:paraId="3129EA4D" w14:textId="67E78E81" w:rsidR="00B2797B" w:rsidRPr="009513A7" w:rsidRDefault="00B2797B" w:rsidP="00B2797B">
      <w:pPr>
        <w:spacing w:after="0" w:line="480" w:lineRule="auto"/>
        <w:ind w:firstLine="720"/>
        <w:rPr>
          <w:rFonts w:cstheme="minorHAnsi"/>
          <w:sz w:val="24"/>
          <w:szCs w:val="24"/>
        </w:rPr>
      </w:pPr>
      <w:r w:rsidRPr="009513A7">
        <w:rPr>
          <w:rFonts w:cstheme="minorHAnsi"/>
          <w:sz w:val="24"/>
          <w:szCs w:val="24"/>
        </w:rPr>
        <w:t>Entities such as the U.S. Secret Service and other governmental agencies utilize behavioral intervention teams and strategies</w:t>
      </w:r>
      <w:r w:rsidR="000760F4">
        <w:rPr>
          <w:rFonts w:cstheme="minorHAnsi"/>
          <w:sz w:val="24"/>
          <w:szCs w:val="24"/>
        </w:rPr>
        <w:t>, as do many</w:t>
      </w:r>
      <w:r w:rsidRPr="009513A7">
        <w:rPr>
          <w:rFonts w:cstheme="minorHAnsi"/>
          <w:sz w:val="24"/>
          <w:szCs w:val="24"/>
        </w:rPr>
        <w:t xml:space="preserve"> IHEs “to ensure that the campus community has a lower threshold of understanding for what kinds of things should be reported” (Bennett &amp; Bates, 2015, p. 7). Dewey Cornell, a professor of education at the University of Virginia, developed early threat assessment strategies for K-12 institutions such as </w:t>
      </w:r>
      <w:r w:rsidRPr="009513A7">
        <w:rPr>
          <w:rFonts w:cstheme="minorHAnsi"/>
          <w:i/>
          <w:iCs/>
          <w:sz w:val="24"/>
          <w:szCs w:val="24"/>
        </w:rPr>
        <w:t>Guidelines for Responding to Student Threats of Violence</w:t>
      </w:r>
      <w:r w:rsidR="005A734A" w:rsidRPr="00D47B80">
        <w:rPr>
          <w:rFonts w:cstheme="minorHAnsi"/>
          <w:sz w:val="24"/>
          <w:szCs w:val="24"/>
        </w:rPr>
        <w:t xml:space="preserve"> </w:t>
      </w:r>
      <w:r w:rsidR="009F72B8" w:rsidRPr="00D47B80">
        <w:rPr>
          <w:rFonts w:cstheme="minorHAnsi"/>
          <w:sz w:val="24"/>
          <w:szCs w:val="24"/>
        </w:rPr>
        <w:t>(</w:t>
      </w:r>
      <w:r w:rsidR="005A734A" w:rsidRPr="009F72B8">
        <w:rPr>
          <w:rFonts w:cstheme="minorHAnsi"/>
          <w:sz w:val="24"/>
          <w:szCs w:val="24"/>
        </w:rPr>
        <w:t>Cornell</w:t>
      </w:r>
      <w:r w:rsidR="005A734A">
        <w:rPr>
          <w:rFonts w:cstheme="minorHAnsi"/>
          <w:sz w:val="24"/>
          <w:szCs w:val="24"/>
        </w:rPr>
        <w:t>, 2010)</w:t>
      </w:r>
      <w:r w:rsidR="0065462A">
        <w:rPr>
          <w:rFonts w:cstheme="minorHAnsi"/>
          <w:sz w:val="24"/>
          <w:szCs w:val="24"/>
        </w:rPr>
        <w:t xml:space="preserve">. </w:t>
      </w:r>
      <w:r w:rsidRPr="009513A7">
        <w:rPr>
          <w:rFonts w:cstheme="minorHAnsi"/>
          <w:sz w:val="24"/>
          <w:szCs w:val="24"/>
        </w:rPr>
        <w:t xml:space="preserve">Cornell later developed, in partnership with other researchers, a simple threat assessment model intended to reflect the landscape of the college campus and allow for more creative problem-solving and case management for IHEs (Cornell, 2010). Most models recommend some form of a case management system and multidisciplinary team for best practices in effective prevention, </w:t>
      </w:r>
      <w:r w:rsidRPr="009513A7">
        <w:rPr>
          <w:rFonts w:cstheme="minorHAnsi"/>
          <w:sz w:val="24"/>
          <w:szCs w:val="24"/>
        </w:rPr>
        <w:lastRenderedPageBreak/>
        <w:t>intervention, and postvention (</w:t>
      </w:r>
      <w:r w:rsidRPr="009513A7">
        <w:rPr>
          <w:rFonts w:cstheme="minorHAnsi"/>
          <w:bCs/>
          <w:sz w:val="24"/>
          <w:szCs w:val="24"/>
        </w:rPr>
        <w:t xml:space="preserve">Keller et al., 2011; </w:t>
      </w:r>
      <w:r w:rsidR="009F72B8">
        <w:rPr>
          <w:rFonts w:cstheme="minorHAnsi"/>
          <w:bCs/>
          <w:sz w:val="24"/>
          <w:szCs w:val="24"/>
        </w:rPr>
        <w:t xml:space="preserve">Meloy &amp; Hoffmann, 2021; </w:t>
      </w:r>
      <w:r w:rsidRPr="009513A7">
        <w:rPr>
          <w:rFonts w:cstheme="minorHAnsi"/>
          <w:bCs/>
          <w:sz w:val="24"/>
          <w:szCs w:val="24"/>
        </w:rPr>
        <w:t>Sokolow et al., 2014).</w:t>
      </w:r>
    </w:p>
    <w:p w14:paraId="300E48BE" w14:textId="55DA69C5" w:rsidR="00B2797B" w:rsidRPr="009513A7" w:rsidRDefault="00B2797B" w:rsidP="00B2797B">
      <w:pPr>
        <w:spacing w:after="0" w:line="480" w:lineRule="auto"/>
        <w:contextualSpacing/>
        <w:rPr>
          <w:rFonts w:cstheme="minorHAnsi"/>
          <w:bCs/>
          <w:sz w:val="24"/>
          <w:szCs w:val="24"/>
        </w:rPr>
      </w:pPr>
      <w:r w:rsidRPr="009513A7">
        <w:rPr>
          <w:rFonts w:cstheme="minorHAnsi"/>
          <w:bCs/>
          <w:sz w:val="24"/>
          <w:szCs w:val="24"/>
        </w:rPr>
        <w:tab/>
        <w:t xml:space="preserve">In 2009 the National Behavioral Intervention Team Association (NaBITA) was formed. NaBITA is a behavioral intervention association that provides guidance to teams in </w:t>
      </w:r>
      <w:r w:rsidR="0034776C">
        <w:rPr>
          <w:rFonts w:cstheme="minorHAnsi"/>
          <w:bCs/>
          <w:sz w:val="24"/>
          <w:szCs w:val="24"/>
        </w:rPr>
        <w:t xml:space="preserve">postsecondary </w:t>
      </w:r>
      <w:r w:rsidRPr="009513A7">
        <w:rPr>
          <w:rFonts w:cstheme="minorHAnsi"/>
          <w:bCs/>
          <w:sz w:val="24"/>
          <w:szCs w:val="24"/>
        </w:rPr>
        <w:t>settings (Sokolow et al., 2014; Van Brunt et al., 2018). The NaBITA model</w:t>
      </w:r>
      <w:r w:rsidR="005A734A">
        <w:rPr>
          <w:rFonts w:cstheme="minorHAnsi"/>
          <w:bCs/>
          <w:sz w:val="24"/>
          <w:szCs w:val="24"/>
        </w:rPr>
        <w:t xml:space="preserve"> is a risk rubric used to triage initial mental health concerns and potential threats</w:t>
      </w:r>
      <w:r w:rsidR="00C01E3F">
        <w:rPr>
          <w:rFonts w:cstheme="minorHAnsi"/>
          <w:bCs/>
          <w:sz w:val="24"/>
          <w:szCs w:val="24"/>
        </w:rPr>
        <w:t xml:space="preserve"> that</w:t>
      </w:r>
      <w:r w:rsidRPr="009513A7">
        <w:rPr>
          <w:rFonts w:cstheme="minorHAnsi"/>
          <w:bCs/>
          <w:sz w:val="24"/>
          <w:szCs w:val="24"/>
        </w:rPr>
        <w:t xml:space="preserve"> can be applied broadly to IHEs </w:t>
      </w:r>
      <w:r w:rsidR="00C01E3F">
        <w:rPr>
          <w:rFonts w:cstheme="minorHAnsi"/>
          <w:bCs/>
          <w:sz w:val="24"/>
          <w:szCs w:val="24"/>
        </w:rPr>
        <w:t>(</w:t>
      </w:r>
      <w:r w:rsidRPr="009513A7">
        <w:rPr>
          <w:rFonts w:cstheme="minorHAnsi"/>
          <w:bCs/>
          <w:sz w:val="24"/>
          <w:szCs w:val="24"/>
        </w:rPr>
        <w:t xml:space="preserve">Sokolow et al., 2019; Van Brunt et al., 2018). </w:t>
      </w:r>
      <w:r w:rsidR="0034776C">
        <w:rPr>
          <w:rFonts w:cstheme="minorHAnsi"/>
          <w:bCs/>
          <w:sz w:val="24"/>
          <w:szCs w:val="24"/>
        </w:rPr>
        <w:t>A</w:t>
      </w:r>
      <w:r w:rsidRPr="009513A7">
        <w:rPr>
          <w:rFonts w:cstheme="minorHAnsi"/>
          <w:bCs/>
          <w:sz w:val="24"/>
          <w:szCs w:val="24"/>
        </w:rPr>
        <w:t xml:space="preserve"> 2018 NaBITA survey yielded 416 responses from community colleges, </w:t>
      </w:r>
      <w:r w:rsidR="006746DA">
        <w:rPr>
          <w:rFonts w:cstheme="minorHAnsi"/>
          <w:bCs/>
          <w:sz w:val="24"/>
          <w:szCs w:val="24"/>
        </w:rPr>
        <w:t>four-year institutions</w:t>
      </w:r>
      <w:r w:rsidRPr="009513A7">
        <w:rPr>
          <w:rFonts w:cstheme="minorHAnsi"/>
          <w:bCs/>
          <w:sz w:val="24"/>
          <w:szCs w:val="24"/>
        </w:rPr>
        <w:t xml:space="preserve">, and for-profit institutions. </w:t>
      </w:r>
      <w:r w:rsidR="0034776C">
        <w:rPr>
          <w:rFonts w:cstheme="minorHAnsi"/>
          <w:bCs/>
          <w:sz w:val="24"/>
          <w:szCs w:val="24"/>
        </w:rPr>
        <w:t>R</w:t>
      </w:r>
      <w:r w:rsidRPr="009513A7">
        <w:rPr>
          <w:rFonts w:cstheme="minorHAnsi"/>
          <w:bCs/>
          <w:sz w:val="24"/>
          <w:szCs w:val="24"/>
        </w:rPr>
        <w:t xml:space="preserve">esults </w:t>
      </w:r>
      <w:r w:rsidR="0034776C">
        <w:rPr>
          <w:rFonts w:cstheme="minorHAnsi"/>
          <w:bCs/>
          <w:sz w:val="24"/>
          <w:szCs w:val="24"/>
        </w:rPr>
        <w:t>indicat</w:t>
      </w:r>
      <w:r w:rsidRPr="009513A7">
        <w:rPr>
          <w:rFonts w:cstheme="minorHAnsi"/>
          <w:bCs/>
          <w:sz w:val="24"/>
          <w:szCs w:val="24"/>
        </w:rPr>
        <w:t xml:space="preserve">ed 97% of respondents had some form of a student-focused team with multidisciplinary members from </w:t>
      </w:r>
      <w:r w:rsidR="0034776C">
        <w:rPr>
          <w:rFonts w:cstheme="minorHAnsi"/>
          <w:bCs/>
          <w:sz w:val="24"/>
          <w:szCs w:val="24"/>
        </w:rPr>
        <w:t xml:space="preserve">various campus </w:t>
      </w:r>
      <w:r w:rsidRPr="009513A7">
        <w:rPr>
          <w:rFonts w:cstheme="minorHAnsi"/>
          <w:bCs/>
          <w:sz w:val="24"/>
          <w:szCs w:val="24"/>
        </w:rPr>
        <w:t xml:space="preserve">offices (Schiemann &amp; Van Brunt, 2018). </w:t>
      </w:r>
      <w:r w:rsidR="0034776C">
        <w:rPr>
          <w:rFonts w:cstheme="minorHAnsi"/>
          <w:bCs/>
          <w:sz w:val="24"/>
          <w:szCs w:val="24"/>
        </w:rPr>
        <w:t>Seventy-two percent</w:t>
      </w:r>
      <w:r w:rsidRPr="009513A7">
        <w:rPr>
          <w:rFonts w:cstheme="minorHAnsi"/>
          <w:bCs/>
          <w:sz w:val="24"/>
          <w:szCs w:val="24"/>
        </w:rPr>
        <w:t xml:space="preserve"> of respondents confirmed using a rubric or protocol to consistently assess risk across cases and determine next steps (Schiemann &amp; Van Brunt, 2018). </w:t>
      </w:r>
    </w:p>
    <w:p w14:paraId="2F09606A" w14:textId="1A67E776" w:rsidR="00B2797B" w:rsidRPr="009513A7" w:rsidRDefault="00B2797B" w:rsidP="00B2797B">
      <w:pPr>
        <w:spacing w:after="0" w:line="480" w:lineRule="auto"/>
        <w:contextualSpacing/>
        <w:rPr>
          <w:rFonts w:cstheme="minorHAnsi"/>
          <w:bCs/>
          <w:sz w:val="24"/>
          <w:szCs w:val="24"/>
        </w:rPr>
      </w:pPr>
      <w:r w:rsidRPr="009513A7">
        <w:rPr>
          <w:rFonts w:cstheme="minorHAnsi"/>
          <w:bCs/>
          <w:sz w:val="24"/>
          <w:szCs w:val="24"/>
        </w:rPr>
        <w:tab/>
      </w:r>
      <w:r w:rsidR="00EC3387">
        <w:rPr>
          <w:rFonts w:cstheme="minorHAnsi"/>
          <w:bCs/>
          <w:sz w:val="24"/>
          <w:szCs w:val="24"/>
        </w:rPr>
        <w:t>M</w:t>
      </w:r>
      <w:r w:rsidRPr="009513A7">
        <w:rPr>
          <w:rFonts w:cstheme="minorHAnsi"/>
          <w:bCs/>
          <w:sz w:val="24"/>
          <w:szCs w:val="24"/>
        </w:rPr>
        <w:t xml:space="preserve">odels </w:t>
      </w:r>
      <w:r w:rsidR="0034776C">
        <w:rPr>
          <w:rFonts w:cstheme="minorHAnsi"/>
          <w:bCs/>
          <w:sz w:val="24"/>
          <w:szCs w:val="24"/>
        </w:rPr>
        <w:t>exist</w:t>
      </w:r>
      <w:r w:rsidRPr="009513A7">
        <w:rPr>
          <w:rFonts w:cstheme="minorHAnsi"/>
          <w:bCs/>
          <w:sz w:val="24"/>
          <w:szCs w:val="24"/>
        </w:rPr>
        <w:t xml:space="preserve"> for behavioral intervention and threat assessment teams. IHEs </w:t>
      </w:r>
      <w:r w:rsidR="0034776C">
        <w:rPr>
          <w:rFonts w:cstheme="minorHAnsi"/>
          <w:bCs/>
          <w:sz w:val="24"/>
          <w:szCs w:val="24"/>
        </w:rPr>
        <w:t xml:space="preserve">typically </w:t>
      </w:r>
      <w:r w:rsidRPr="009513A7">
        <w:rPr>
          <w:rFonts w:cstheme="minorHAnsi"/>
          <w:bCs/>
          <w:sz w:val="24"/>
          <w:szCs w:val="24"/>
        </w:rPr>
        <w:t>adopt the model that best suits their college or university</w:t>
      </w:r>
      <w:r w:rsidR="0034776C">
        <w:rPr>
          <w:rFonts w:cstheme="minorHAnsi"/>
          <w:bCs/>
          <w:sz w:val="24"/>
          <w:szCs w:val="24"/>
        </w:rPr>
        <w:t xml:space="preserve"> needs</w:t>
      </w:r>
      <w:r w:rsidRPr="009513A7">
        <w:rPr>
          <w:rFonts w:cstheme="minorHAnsi"/>
          <w:bCs/>
          <w:sz w:val="24"/>
          <w:szCs w:val="24"/>
        </w:rPr>
        <w:t>. Regardless of model, consistent attributes include a team of subject-matter experts, record keeping, communication, partnership, and creative problem-solving. Most models adhere to a formula of identifying a person of concern, gathering information, making an assessment/plan, and executing the plan</w:t>
      </w:r>
      <w:r w:rsidR="00FF0682" w:rsidRPr="00FF0682">
        <w:rPr>
          <w:rFonts w:cstheme="minorHAnsi"/>
          <w:sz w:val="24"/>
          <w:szCs w:val="24"/>
        </w:rPr>
        <w:t xml:space="preserve"> </w:t>
      </w:r>
      <w:r w:rsidR="00FF0682">
        <w:rPr>
          <w:rFonts w:cstheme="minorHAnsi"/>
          <w:sz w:val="24"/>
          <w:szCs w:val="24"/>
        </w:rPr>
        <w:t>(</w:t>
      </w:r>
      <w:r w:rsidR="00FF0682" w:rsidRPr="009513A7">
        <w:rPr>
          <w:rFonts w:cstheme="minorHAnsi"/>
          <w:sz w:val="24"/>
          <w:szCs w:val="24"/>
        </w:rPr>
        <w:t>Deisinger et al., 2008</w:t>
      </w:r>
      <w:r w:rsidR="00FF0682">
        <w:rPr>
          <w:rFonts w:cstheme="minorHAnsi"/>
          <w:bCs/>
          <w:iCs/>
          <w:sz w:val="24"/>
          <w:szCs w:val="24"/>
        </w:rPr>
        <w:t>; Meloy &amp; Hoffmann, 2021)</w:t>
      </w:r>
      <w:r w:rsidRPr="009513A7">
        <w:rPr>
          <w:rFonts w:cstheme="minorHAnsi"/>
          <w:bCs/>
          <w:sz w:val="24"/>
          <w:szCs w:val="24"/>
        </w:rPr>
        <w:t>. The role of the mental health</w:t>
      </w:r>
      <w:r w:rsidR="000D2640">
        <w:rPr>
          <w:rFonts w:cstheme="minorHAnsi"/>
          <w:bCs/>
          <w:sz w:val="24"/>
          <w:szCs w:val="24"/>
        </w:rPr>
        <w:t xml:space="preserve"> expert</w:t>
      </w:r>
      <w:r w:rsidRPr="009513A7">
        <w:rPr>
          <w:rFonts w:cstheme="minorHAnsi"/>
          <w:bCs/>
          <w:sz w:val="24"/>
          <w:szCs w:val="24"/>
        </w:rPr>
        <w:t xml:space="preserve"> may yield the greatest insight for a troubled student or employee (</w:t>
      </w:r>
      <w:r w:rsidRPr="009513A7">
        <w:rPr>
          <w:rFonts w:cstheme="minorHAnsi"/>
          <w:sz w:val="24"/>
          <w:szCs w:val="24"/>
        </w:rPr>
        <w:t xml:space="preserve">Cacialli, 2019). </w:t>
      </w:r>
      <w:r w:rsidR="003C070C">
        <w:rPr>
          <w:rFonts w:cstheme="minorHAnsi"/>
          <w:sz w:val="24"/>
          <w:szCs w:val="24"/>
        </w:rPr>
        <w:t xml:space="preserve">Next, </w:t>
      </w:r>
      <w:r w:rsidR="00ED3DBE">
        <w:rPr>
          <w:rFonts w:cstheme="minorHAnsi"/>
          <w:sz w:val="24"/>
          <w:szCs w:val="24"/>
        </w:rPr>
        <w:t xml:space="preserve">I </w:t>
      </w:r>
      <w:r w:rsidR="002D5C7E">
        <w:rPr>
          <w:rFonts w:cstheme="minorHAnsi"/>
          <w:sz w:val="24"/>
          <w:szCs w:val="24"/>
        </w:rPr>
        <w:t>provide</w:t>
      </w:r>
      <w:r w:rsidR="00ED3DBE">
        <w:rPr>
          <w:rFonts w:cstheme="minorHAnsi"/>
          <w:sz w:val="24"/>
          <w:szCs w:val="24"/>
        </w:rPr>
        <w:t xml:space="preserve"> a</w:t>
      </w:r>
      <w:r w:rsidR="0034776C">
        <w:rPr>
          <w:rFonts w:cstheme="minorHAnsi"/>
          <w:sz w:val="24"/>
          <w:szCs w:val="24"/>
        </w:rPr>
        <w:t xml:space="preserve"> </w:t>
      </w:r>
      <w:r w:rsidR="007761D2">
        <w:rPr>
          <w:rFonts w:cstheme="minorHAnsi"/>
          <w:sz w:val="24"/>
          <w:szCs w:val="24"/>
        </w:rPr>
        <w:t>review of p</w:t>
      </w:r>
      <w:r w:rsidRPr="009513A7">
        <w:rPr>
          <w:rFonts w:cstheme="minorHAnsi"/>
          <w:bCs/>
          <w:sz w:val="24"/>
          <w:szCs w:val="24"/>
        </w:rPr>
        <w:t xml:space="preserve">revention, intervention, and postvention strategies </w:t>
      </w:r>
      <w:r w:rsidR="00ED3DBE">
        <w:rPr>
          <w:rFonts w:cstheme="minorHAnsi"/>
          <w:bCs/>
          <w:sz w:val="24"/>
          <w:szCs w:val="24"/>
        </w:rPr>
        <w:t>in the next section</w:t>
      </w:r>
      <w:r w:rsidR="0065462A">
        <w:rPr>
          <w:rFonts w:cstheme="minorHAnsi"/>
          <w:bCs/>
          <w:sz w:val="24"/>
          <w:szCs w:val="24"/>
        </w:rPr>
        <w:t xml:space="preserve">. </w:t>
      </w:r>
    </w:p>
    <w:p w14:paraId="15C48F9D" w14:textId="77777777" w:rsidR="00B2797B" w:rsidRPr="009513A7" w:rsidRDefault="00B2797B" w:rsidP="00B2797B">
      <w:pPr>
        <w:spacing w:after="0" w:line="480" w:lineRule="auto"/>
        <w:rPr>
          <w:rFonts w:cstheme="minorHAnsi"/>
          <w:b/>
          <w:bCs/>
          <w:sz w:val="24"/>
          <w:szCs w:val="24"/>
        </w:rPr>
      </w:pPr>
      <w:r w:rsidRPr="009513A7">
        <w:rPr>
          <w:rFonts w:cstheme="minorHAnsi"/>
          <w:b/>
          <w:bCs/>
          <w:sz w:val="24"/>
          <w:szCs w:val="24"/>
        </w:rPr>
        <w:t xml:space="preserve">Prevention </w:t>
      </w:r>
    </w:p>
    <w:p w14:paraId="30C629FE" w14:textId="254EC660" w:rsidR="00B2797B" w:rsidRPr="009513A7" w:rsidRDefault="00B2797B" w:rsidP="00B2797B">
      <w:pPr>
        <w:spacing w:after="0" w:line="480" w:lineRule="auto"/>
        <w:ind w:firstLine="720"/>
        <w:rPr>
          <w:rFonts w:cstheme="minorHAnsi"/>
          <w:sz w:val="24"/>
          <w:szCs w:val="24"/>
        </w:rPr>
      </w:pPr>
      <w:r w:rsidRPr="009513A7">
        <w:rPr>
          <w:rFonts w:cstheme="minorHAnsi"/>
          <w:sz w:val="24"/>
          <w:szCs w:val="24"/>
        </w:rPr>
        <w:lastRenderedPageBreak/>
        <w:t>Tragedies may be unavoidable, but prevention is important to promote knowledge about campus safety and what to do during a</w:t>
      </w:r>
      <w:r w:rsidR="0034776C">
        <w:rPr>
          <w:rFonts w:cstheme="minorHAnsi"/>
          <w:sz w:val="24"/>
          <w:szCs w:val="24"/>
        </w:rPr>
        <w:t xml:space="preserve">n </w:t>
      </w:r>
      <w:r w:rsidRPr="009513A7">
        <w:rPr>
          <w:rFonts w:cstheme="minorHAnsi"/>
          <w:sz w:val="24"/>
          <w:szCs w:val="24"/>
        </w:rPr>
        <w:t>emergenc</w:t>
      </w:r>
      <w:r w:rsidR="00FF0682">
        <w:rPr>
          <w:rFonts w:cstheme="minorHAnsi"/>
          <w:sz w:val="24"/>
          <w:szCs w:val="24"/>
        </w:rPr>
        <w:t>y</w:t>
      </w:r>
      <w:r w:rsidRPr="009513A7">
        <w:rPr>
          <w:rFonts w:cstheme="minorHAnsi"/>
          <w:sz w:val="24"/>
          <w:szCs w:val="24"/>
        </w:rPr>
        <w:t>. Prevention efforts strive to enhance education and outreach</w:t>
      </w:r>
      <w:r w:rsidR="00FF0682">
        <w:rPr>
          <w:rFonts w:cstheme="minorHAnsi"/>
          <w:bCs/>
          <w:iCs/>
          <w:sz w:val="24"/>
          <w:szCs w:val="24"/>
        </w:rPr>
        <w:t xml:space="preserve"> (</w:t>
      </w:r>
      <w:r w:rsidR="00FF0682" w:rsidRPr="009513A7">
        <w:rPr>
          <w:rFonts w:cstheme="minorHAnsi"/>
          <w:sz w:val="24"/>
          <w:szCs w:val="24"/>
        </w:rPr>
        <w:t>Deisinger et al., 2008</w:t>
      </w:r>
      <w:r w:rsidR="00FF0682">
        <w:rPr>
          <w:rFonts w:cstheme="minorHAnsi"/>
          <w:bCs/>
          <w:iCs/>
          <w:sz w:val="24"/>
          <w:szCs w:val="24"/>
        </w:rPr>
        <w:t>; Meloy &amp; Hoffmann, 2021)</w:t>
      </w:r>
      <w:r w:rsidRPr="009513A7">
        <w:rPr>
          <w:rFonts w:cstheme="minorHAnsi"/>
          <w:sz w:val="24"/>
          <w:szCs w:val="24"/>
        </w:rPr>
        <w:t xml:space="preserve">. However, they are not perfect; one pitfall is the failure of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to follow through in part, or at all, on case management plans (</w:t>
      </w:r>
      <w:r w:rsidR="005A734A">
        <w:rPr>
          <w:rFonts w:cstheme="minorHAnsi"/>
          <w:sz w:val="24"/>
          <w:szCs w:val="24"/>
        </w:rPr>
        <w:t xml:space="preserve">Deisinger et al., 2008; Meloy &amp; Hoffman, 2021; </w:t>
      </w:r>
      <w:r w:rsidRPr="009513A7">
        <w:rPr>
          <w:rFonts w:cstheme="minorHAnsi"/>
          <w:sz w:val="24"/>
          <w:szCs w:val="24"/>
        </w:rPr>
        <w:t>Pollard et al., 2012). Once a person of concern has been identified, the team should collect more information and develop a plan (Deisinger</w:t>
      </w:r>
      <w:r w:rsidR="0034776C">
        <w:rPr>
          <w:rFonts w:cstheme="minorHAnsi"/>
          <w:sz w:val="24"/>
          <w:szCs w:val="24"/>
        </w:rPr>
        <w:t xml:space="preserve"> </w:t>
      </w:r>
      <w:r w:rsidRPr="009513A7">
        <w:rPr>
          <w:rFonts w:cstheme="minorHAnsi"/>
          <w:sz w:val="24"/>
          <w:szCs w:val="24"/>
        </w:rPr>
        <w:t xml:space="preserve">et al., 2008). If no immediate threat </w:t>
      </w:r>
      <w:r w:rsidR="0034776C">
        <w:rPr>
          <w:rFonts w:cstheme="minorHAnsi"/>
          <w:sz w:val="24"/>
          <w:szCs w:val="24"/>
        </w:rPr>
        <w:t>is</w:t>
      </w:r>
      <w:r w:rsidRPr="009513A7">
        <w:rPr>
          <w:rFonts w:cstheme="minorHAnsi"/>
          <w:sz w:val="24"/>
          <w:szCs w:val="24"/>
        </w:rPr>
        <w:t xml:space="preserve"> identified the person may be placed under case management. Case management can include </w:t>
      </w:r>
      <w:r w:rsidR="0034776C">
        <w:rPr>
          <w:rFonts w:cstheme="minorHAnsi"/>
          <w:sz w:val="24"/>
          <w:szCs w:val="24"/>
        </w:rPr>
        <w:t xml:space="preserve">numerous </w:t>
      </w:r>
      <w:r w:rsidRPr="009513A7">
        <w:rPr>
          <w:rFonts w:cstheme="minorHAnsi"/>
          <w:sz w:val="24"/>
          <w:szCs w:val="24"/>
        </w:rPr>
        <w:t xml:space="preserve">informal strategies to </w:t>
      </w:r>
      <w:r w:rsidR="0034776C">
        <w:rPr>
          <w:rFonts w:cstheme="minorHAnsi"/>
          <w:sz w:val="24"/>
          <w:szCs w:val="24"/>
        </w:rPr>
        <w:t>connect</w:t>
      </w:r>
      <w:r w:rsidRPr="009513A7">
        <w:rPr>
          <w:rFonts w:cstheme="minorHAnsi"/>
          <w:sz w:val="24"/>
          <w:szCs w:val="24"/>
        </w:rPr>
        <w:t xml:space="preserve"> </w:t>
      </w:r>
      <w:r w:rsidR="0046553F">
        <w:rPr>
          <w:rFonts w:cstheme="minorHAnsi"/>
          <w:sz w:val="24"/>
          <w:szCs w:val="24"/>
        </w:rPr>
        <w:t xml:space="preserve">a </w:t>
      </w:r>
      <w:r w:rsidRPr="009513A7">
        <w:rPr>
          <w:rFonts w:cstheme="minorHAnsi"/>
          <w:sz w:val="24"/>
          <w:szCs w:val="24"/>
        </w:rPr>
        <w:t>person of concern with resources and supports</w:t>
      </w:r>
      <w:r w:rsidR="0034776C">
        <w:rPr>
          <w:rFonts w:cstheme="minorHAnsi"/>
          <w:sz w:val="24"/>
          <w:szCs w:val="24"/>
        </w:rPr>
        <w:t xml:space="preserve"> (e.g., </w:t>
      </w:r>
      <w:r w:rsidRPr="009513A7">
        <w:rPr>
          <w:rFonts w:cstheme="minorHAnsi"/>
          <w:sz w:val="24"/>
          <w:szCs w:val="24"/>
        </w:rPr>
        <w:t>referral to the counseling center or an employee assistance program with intermittent follow up by a team member</w:t>
      </w:r>
      <w:r w:rsidR="0034776C">
        <w:rPr>
          <w:rFonts w:cstheme="minorHAnsi"/>
          <w:sz w:val="24"/>
          <w:szCs w:val="24"/>
        </w:rPr>
        <w:t xml:space="preserve">; </w:t>
      </w:r>
      <w:r w:rsidRPr="009513A7">
        <w:rPr>
          <w:rFonts w:cstheme="minorHAnsi"/>
          <w:sz w:val="24"/>
          <w:szCs w:val="24"/>
        </w:rPr>
        <w:t>Deisinger et al., 200</w:t>
      </w:r>
      <w:r w:rsidR="00FF0682">
        <w:rPr>
          <w:rFonts w:cstheme="minorHAnsi"/>
          <w:sz w:val="24"/>
          <w:szCs w:val="24"/>
        </w:rPr>
        <w:t xml:space="preserve">8; </w:t>
      </w:r>
      <w:r w:rsidR="00FF0682">
        <w:rPr>
          <w:rFonts w:cstheme="minorHAnsi"/>
          <w:bCs/>
          <w:iCs/>
          <w:sz w:val="24"/>
          <w:szCs w:val="24"/>
        </w:rPr>
        <w:t>Meloy &amp; Hoffmann, 2021</w:t>
      </w:r>
      <w:r w:rsidRPr="009513A7">
        <w:rPr>
          <w:rFonts w:cstheme="minorHAnsi"/>
          <w:sz w:val="24"/>
          <w:szCs w:val="24"/>
        </w:rPr>
        <w:t xml:space="preserve">).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should also work to build prevention efforts into the campus culture and clarify what </w:t>
      </w:r>
      <w:r w:rsidR="0046553F">
        <w:rPr>
          <w:rFonts w:cstheme="minorHAnsi"/>
          <w:sz w:val="24"/>
          <w:szCs w:val="24"/>
        </w:rPr>
        <w:t xml:space="preserve">behaviors and/or incidents </w:t>
      </w:r>
      <w:r w:rsidRPr="009513A7">
        <w:rPr>
          <w:rFonts w:cstheme="minorHAnsi"/>
          <w:sz w:val="24"/>
          <w:szCs w:val="24"/>
        </w:rPr>
        <w:t>should be reported and to whom (Deisinger et al., 200</w:t>
      </w:r>
      <w:r w:rsidR="00FF0682">
        <w:rPr>
          <w:rFonts w:cstheme="minorHAnsi"/>
          <w:sz w:val="24"/>
          <w:szCs w:val="24"/>
        </w:rPr>
        <w:t>8</w:t>
      </w:r>
      <w:r w:rsidRPr="009513A7">
        <w:rPr>
          <w:rFonts w:cstheme="minorHAnsi"/>
          <w:sz w:val="24"/>
          <w:szCs w:val="24"/>
        </w:rPr>
        <w:t xml:space="preserve">). Creating an environment of care and support can be achieved through internal marketing and communication channels to faculty, staff, and students.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and their programs </w:t>
      </w:r>
      <w:r w:rsidR="0046553F">
        <w:rPr>
          <w:rFonts w:cstheme="minorHAnsi"/>
          <w:sz w:val="24"/>
          <w:szCs w:val="24"/>
        </w:rPr>
        <w:t>can serve as</w:t>
      </w:r>
      <w:r w:rsidRPr="009513A7">
        <w:rPr>
          <w:rFonts w:cstheme="minorHAnsi"/>
          <w:sz w:val="24"/>
          <w:szCs w:val="24"/>
        </w:rPr>
        <w:t xml:space="preserve"> a campus resource. Lastly, assessment for prevention, as well as intervention and postvention, are a challenge as it is </w:t>
      </w:r>
      <w:r w:rsidR="0034776C">
        <w:rPr>
          <w:rFonts w:cstheme="minorHAnsi"/>
          <w:sz w:val="24"/>
          <w:szCs w:val="24"/>
        </w:rPr>
        <w:t xml:space="preserve">often </w:t>
      </w:r>
      <w:r w:rsidRPr="009513A7">
        <w:rPr>
          <w:rFonts w:cstheme="minorHAnsi"/>
          <w:sz w:val="24"/>
          <w:szCs w:val="24"/>
        </w:rPr>
        <w:t xml:space="preserve">the </w:t>
      </w:r>
      <w:r w:rsidR="0034776C">
        <w:rPr>
          <w:rFonts w:cstheme="minorHAnsi"/>
          <w:sz w:val="24"/>
          <w:szCs w:val="24"/>
        </w:rPr>
        <w:t>absence of</w:t>
      </w:r>
      <w:r w:rsidRPr="009513A7">
        <w:rPr>
          <w:rFonts w:cstheme="minorHAnsi"/>
          <w:sz w:val="24"/>
          <w:szCs w:val="24"/>
        </w:rPr>
        <w:t xml:space="preserve"> a tragedy that indicates success (Deisinger et al., 2008; </w:t>
      </w:r>
      <w:r w:rsidR="005A734A">
        <w:rPr>
          <w:rFonts w:cstheme="minorHAnsi"/>
          <w:sz w:val="24"/>
          <w:szCs w:val="24"/>
        </w:rPr>
        <w:t xml:space="preserve">Meloy &amp; Hoffman, 2021; </w:t>
      </w:r>
      <w:r w:rsidRPr="009513A7">
        <w:rPr>
          <w:rFonts w:cstheme="minorHAnsi"/>
          <w:sz w:val="24"/>
          <w:szCs w:val="24"/>
        </w:rPr>
        <w:t xml:space="preserve">Van Brunt, 2012). </w:t>
      </w:r>
      <w:r w:rsidR="0034776C">
        <w:rPr>
          <w:rFonts w:cstheme="minorHAnsi"/>
          <w:sz w:val="24"/>
          <w:szCs w:val="24"/>
        </w:rPr>
        <w:t>Surveying t</w:t>
      </w:r>
      <w:r w:rsidRPr="009513A7">
        <w:rPr>
          <w:rFonts w:cstheme="minorHAnsi"/>
          <w:sz w:val="24"/>
          <w:szCs w:val="24"/>
        </w:rPr>
        <w:t xml:space="preserve">he campus community can gauge </w:t>
      </w:r>
      <w:r w:rsidR="0034776C">
        <w:rPr>
          <w:rFonts w:cstheme="minorHAnsi"/>
          <w:sz w:val="24"/>
          <w:szCs w:val="24"/>
        </w:rPr>
        <w:t xml:space="preserve">knowledge and </w:t>
      </w:r>
      <w:r w:rsidRPr="009513A7">
        <w:rPr>
          <w:rFonts w:cstheme="minorHAnsi"/>
          <w:sz w:val="24"/>
          <w:szCs w:val="24"/>
        </w:rPr>
        <w:t>understanding about a culture of care, outreach, and available</w:t>
      </w:r>
      <w:r w:rsidR="0034776C">
        <w:rPr>
          <w:rFonts w:cstheme="minorHAnsi"/>
          <w:sz w:val="24"/>
          <w:szCs w:val="24"/>
        </w:rPr>
        <w:t xml:space="preserve"> support</w:t>
      </w:r>
      <w:r w:rsidR="0065462A">
        <w:rPr>
          <w:rFonts w:cstheme="minorHAnsi"/>
          <w:sz w:val="24"/>
          <w:szCs w:val="24"/>
        </w:rPr>
        <w:t>.</w:t>
      </w:r>
    </w:p>
    <w:p w14:paraId="3D45B257" w14:textId="77777777" w:rsidR="00B2797B" w:rsidRPr="009513A7" w:rsidRDefault="00B2797B" w:rsidP="00B2797B">
      <w:pPr>
        <w:spacing w:after="0" w:line="480" w:lineRule="auto"/>
        <w:rPr>
          <w:rFonts w:cstheme="minorHAnsi"/>
          <w:b/>
          <w:bCs/>
          <w:sz w:val="24"/>
          <w:szCs w:val="24"/>
        </w:rPr>
      </w:pPr>
      <w:r w:rsidRPr="009513A7">
        <w:rPr>
          <w:rFonts w:cstheme="minorHAnsi"/>
          <w:b/>
          <w:bCs/>
          <w:sz w:val="24"/>
          <w:szCs w:val="24"/>
        </w:rPr>
        <w:t>Intervention</w:t>
      </w:r>
    </w:p>
    <w:p w14:paraId="35D78EDE" w14:textId="6D357239" w:rsidR="00B2797B" w:rsidRPr="009513A7" w:rsidRDefault="00B2797B" w:rsidP="00B2797B">
      <w:pPr>
        <w:spacing w:after="0" w:line="480" w:lineRule="auto"/>
        <w:rPr>
          <w:rFonts w:cstheme="minorHAnsi"/>
          <w:sz w:val="24"/>
          <w:szCs w:val="24"/>
        </w:rPr>
      </w:pPr>
      <w:r w:rsidRPr="009513A7">
        <w:rPr>
          <w:rFonts w:cstheme="minorHAnsi"/>
          <w:sz w:val="24"/>
          <w:szCs w:val="24"/>
        </w:rPr>
        <w:tab/>
        <w:t xml:space="preserve">Intervention is a critical action step in case management.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have several options to connect a person of concern with campus and local resources for support or to uphold safety. </w:t>
      </w:r>
      <w:r w:rsidRPr="009513A7">
        <w:rPr>
          <w:rFonts w:cstheme="minorHAnsi"/>
          <w:sz w:val="24"/>
          <w:szCs w:val="24"/>
        </w:rPr>
        <w:lastRenderedPageBreak/>
        <w:t>Examples may include connecting a student with the student counseling center, suspension, or expulsion. Faculty and staff of concern may require a mandatory employee assistance program referral, fitness for duty examination, or administrative leave with or without pay</w:t>
      </w:r>
      <w:r w:rsidR="00FF0682" w:rsidRPr="00FF0682">
        <w:rPr>
          <w:rFonts w:cstheme="minorHAnsi"/>
          <w:sz w:val="24"/>
          <w:szCs w:val="24"/>
        </w:rPr>
        <w:t xml:space="preserve"> </w:t>
      </w:r>
      <w:r w:rsidR="00FF0682">
        <w:rPr>
          <w:rFonts w:cstheme="minorHAnsi"/>
          <w:sz w:val="24"/>
          <w:szCs w:val="24"/>
        </w:rPr>
        <w:t>(</w:t>
      </w:r>
      <w:r w:rsidR="00FF0682">
        <w:rPr>
          <w:rFonts w:cstheme="minorHAnsi"/>
          <w:bCs/>
          <w:iCs/>
          <w:sz w:val="24"/>
          <w:szCs w:val="24"/>
        </w:rPr>
        <w:t>Meloy &amp; Hoffmann, 2021)</w:t>
      </w:r>
      <w:r w:rsidRPr="009513A7">
        <w:rPr>
          <w:rFonts w:cstheme="minorHAnsi"/>
          <w:sz w:val="24"/>
          <w:szCs w:val="24"/>
        </w:rPr>
        <w:t xml:space="preserve">. Threat assessment alone may not be enough for adequate intervention to protect the campus community (Borum et al., 2010; Sokolow et al., 2014). Many teams will </w:t>
      </w:r>
      <w:r w:rsidR="00DD7E87">
        <w:rPr>
          <w:rFonts w:cstheme="minorHAnsi"/>
          <w:sz w:val="24"/>
          <w:szCs w:val="24"/>
        </w:rPr>
        <w:t xml:space="preserve">assess </w:t>
      </w:r>
      <w:r w:rsidRPr="009513A7">
        <w:rPr>
          <w:rFonts w:cstheme="minorHAnsi"/>
          <w:sz w:val="24"/>
          <w:szCs w:val="24"/>
        </w:rPr>
        <w:t xml:space="preserve">both the threat and engage with the person of concern for a more comprehensive approach (Sokolow et al., 2014). If a threat is identified, the </w:t>
      </w:r>
      <w:r w:rsidR="00244EEC" w:rsidRPr="009513A7">
        <w:rPr>
          <w:rFonts w:cstheme="minorHAnsi"/>
          <w:sz w:val="24"/>
          <w:szCs w:val="24"/>
        </w:rPr>
        <w:t>TA</w:t>
      </w:r>
      <w:r w:rsidR="00244EEC">
        <w:rPr>
          <w:rFonts w:cstheme="minorHAnsi"/>
          <w:sz w:val="24"/>
          <w:szCs w:val="24"/>
        </w:rPr>
        <w:t>T</w:t>
      </w:r>
      <w:r w:rsidR="00244EEC" w:rsidRPr="009513A7">
        <w:rPr>
          <w:rFonts w:cstheme="minorHAnsi"/>
          <w:sz w:val="24"/>
          <w:szCs w:val="24"/>
        </w:rPr>
        <w:t xml:space="preserve"> </w:t>
      </w:r>
      <w:r w:rsidR="00DD7E87">
        <w:rPr>
          <w:rFonts w:cstheme="minorHAnsi"/>
          <w:sz w:val="24"/>
          <w:szCs w:val="24"/>
        </w:rPr>
        <w:t>will</w:t>
      </w:r>
      <w:r w:rsidR="00DD7E87" w:rsidRPr="009513A7">
        <w:rPr>
          <w:rFonts w:cstheme="minorHAnsi"/>
          <w:sz w:val="24"/>
          <w:szCs w:val="24"/>
        </w:rPr>
        <w:t xml:space="preserve"> </w:t>
      </w:r>
      <w:r w:rsidR="00DD7E87">
        <w:rPr>
          <w:rFonts w:cstheme="minorHAnsi"/>
          <w:sz w:val="24"/>
          <w:szCs w:val="24"/>
        </w:rPr>
        <w:t>determine</w:t>
      </w:r>
      <w:r w:rsidRPr="009513A7">
        <w:rPr>
          <w:rFonts w:cstheme="minorHAnsi"/>
          <w:sz w:val="24"/>
          <w:szCs w:val="24"/>
        </w:rPr>
        <w:t xml:space="preserve"> a priority rating or level of concern and collect more information to develop a plan (Deisinger et al., 2008</w:t>
      </w:r>
      <w:r w:rsidR="00FF0682">
        <w:rPr>
          <w:rFonts w:cstheme="minorHAnsi"/>
          <w:sz w:val="24"/>
          <w:szCs w:val="24"/>
        </w:rPr>
        <w:t xml:space="preserve">; </w:t>
      </w:r>
      <w:r w:rsidR="00FF0682">
        <w:rPr>
          <w:rFonts w:cstheme="minorHAnsi"/>
          <w:bCs/>
          <w:iCs/>
          <w:sz w:val="24"/>
          <w:szCs w:val="24"/>
        </w:rPr>
        <w:t>Meloy &amp; Hoffmann, 2021</w:t>
      </w:r>
      <w:r w:rsidRPr="009513A7">
        <w:rPr>
          <w:rFonts w:cstheme="minorHAnsi"/>
          <w:sz w:val="24"/>
          <w:szCs w:val="24"/>
        </w:rPr>
        <w:t xml:space="preserve">). This helps the team determine when/if an attack might occur and whether the individual has the means to carry </w:t>
      </w:r>
      <w:r w:rsidR="007761D2">
        <w:rPr>
          <w:rFonts w:cstheme="minorHAnsi"/>
          <w:sz w:val="24"/>
          <w:szCs w:val="24"/>
        </w:rPr>
        <w:t xml:space="preserve">out </w:t>
      </w:r>
      <w:r w:rsidRPr="009513A7">
        <w:rPr>
          <w:rFonts w:cstheme="minorHAnsi"/>
          <w:sz w:val="24"/>
          <w:szCs w:val="24"/>
        </w:rPr>
        <w:t>an attack (</w:t>
      </w:r>
      <w:r w:rsidR="005A734A">
        <w:rPr>
          <w:rFonts w:cstheme="minorHAnsi"/>
          <w:sz w:val="24"/>
          <w:szCs w:val="24"/>
        </w:rPr>
        <w:t xml:space="preserve">Meloy &amp; Hoffman, 2021; </w:t>
      </w:r>
      <w:r w:rsidRPr="009513A7">
        <w:rPr>
          <w:rFonts w:cstheme="minorHAnsi"/>
          <w:sz w:val="24"/>
          <w:szCs w:val="24"/>
        </w:rPr>
        <w:t xml:space="preserve">O’Toole, 1999). </w:t>
      </w:r>
    </w:p>
    <w:p w14:paraId="2990BDA1" w14:textId="77777777" w:rsidR="00B2797B" w:rsidRPr="009513A7" w:rsidRDefault="00B2797B" w:rsidP="00B2797B">
      <w:pPr>
        <w:spacing w:after="0" w:line="480" w:lineRule="auto"/>
        <w:rPr>
          <w:rFonts w:cstheme="minorHAnsi"/>
          <w:b/>
          <w:bCs/>
          <w:sz w:val="24"/>
          <w:szCs w:val="24"/>
        </w:rPr>
      </w:pPr>
      <w:r w:rsidRPr="009513A7">
        <w:rPr>
          <w:rFonts w:cstheme="minorHAnsi"/>
          <w:b/>
          <w:bCs/>
          <w:sz w:val="24"/>
          <w:szCs w:val="24"/>
        </w:rPr>
        <w:t xml:space="preserve">Postvention </w:t>
      </w:r>
    </w:p>
    <w:p w14:paraId="30C7A14E" w14:textId="7362BFF4" w:rsidR="00B2797B" w:rsidRPr="009513A7" w:rsidRDefault="00B2797B" w:rsidP="00B2797B">
      <w:pPr>
        <w:spacing w:after="0" w:line="480" w:lineRule="auto"/>
        <w:contextualSpacing/>
        <w:rPr>
          <w:rFonts w:cstheme="minorHAnsi"/>
          <w:bCs/>
          <w:iCs/>
          <w:sz w:val="24"/>
          <w:szCs w:val="24"/>
        </w:rPr>
      </w:pPr>
      <w:r w:rsidRPr="009513A7">
        <w:rPr>
          <w:rFonts w:cstheme="minorHAnsi"/>
          <w:sz w:val="24"/>
          <w:szCs w:val="24"/>
        </w:rPr>
        <w:tab/>
        <w:t>Postvention efforts are rare since they follow a tragic incident and not all IHEs experience major threats, such as an active shooter (</w:t>
      </w:r>
      <w:r w:rsidR="005A734A">
        <w:rPr>
          <w:rFonts w:cstheme="minorHAnsi"/>
          <w:sz w:val="24"/>
          <w:szCs w:val="24"/>
        </w:rPr>
        <w:t xml:space="preserve">Cornell et al., 2021; Meloy &amp; Hoffman, 2021; </w:t>
      </w:r>
      <w:r w:rsidRPr="009513A7">
        <w:rPr>
          <w:rFonts w:cstheme="minorHAnsi"/>
          <w:sz w:val="24"/>
          <w:szCs w:val="24"/>
        </w:rPr>
        <w:t xml:space="preserve">Pollard et al., 2012). </w:t>
      </w:r>
      <w:r w:rsidR="00DD7E87">
        <w:rPr>
          <w:rFonts w:cstheme="minorHAnsi"/>
          <w:sz w:val="24"/>
          <w:szCs w:val="24"/>
        </w:rPr>
        <w:t xml:space="preserve">TAT </w:t>
      </w:r>
      <w:r w:rsidRPr="009513A7">
        <w:rPr>
          <w:rFonts w:cstheme="minorHAnsi"/>
          <w:sz w:val="24"/>
          <w:szCs w:val="24"/>
        </w:rPr>
        <w:t>Members may coordinate healing efforts such as campus bereavement in the aftermath of a tragedy (</w:t>
      </w:r>
      <w:r w:rsidR="005A734A">
        <w:rPr>
          <w:rFonts w:cstheme="minorHAnsi"/>
          <w:sz w:val="24"/>
          <w:szCs w:val="24"/>
        </w:rPr>
        <w:t xml:space="preserve">Cornell et al., 2021; Meloy &amp; Hoffman, 2021; </w:t>
      </w:r>
      <w:r w:rsidRPr="009513A7">
        <w:rPr>
          <w:rFonts w:cstheme="minorHAnsi"/>
          <w:sz w:val="24"/>
          <w:szCs w:val="24"/>
        </w:rPr>
        <w:t>McCusker &amp; Witherow, 2012). A study of Virginia Tech</w:t>
      </w:r>
      <w:r w:rsidR="00DD7E87">
        <w:rPr>
          <w:rFonts w:cstheme="minorHAnsi"/>
          <w:sz w:val="24"/>
          <w:szCs w:val="24"/>
        </w:rPr>
        <w:t>’s</w:t>
      </w:r>
      <w:r w:rsidRPr="009513A7">
        <w:rPr>
          <w:rFonts w:cstheme="minorHAnsi"/>
          <w:sz w:val="24"/>
          <w:szCs w:val="24"/>
        </w:rPr>
        <w:t xml:space="preserve"> communications during and after the crisis revealed areas for improvement in terms of crisis management and communication with </w:t>
      </w:r>
      <w:r w:rsidR="00DD7E87">
        <w:rPr>
          <w:rFonts w:cstheme="minorHAnsi"/>
          <w:sz w:val="24"/>
          <w:szCs w:val="24"/>
        </w:rPr>
        <w:t xml:space="preserve">victim </w:t>
      </w:r>
      <w:r w:rsidRPr="009513A7">
        <w:rPr>
          <w:rFonts w:cstheme="minorHAnsi"/>
          <w:sz w:val="24"/>
          <w:szCs w:val="24"/>
        </w:rPr>
        <w:t xml:space="preserve">families (Barker &amp; Yoder, 2012). Much can be learned from postvention efforts to better inform early prevention and intervention. </w:t>
      </w:r>
      <w:r w:rsidRPr="009513A7">
        <w:rPr>
          <w:rFonts w:cstheme="minorHAnsi"/>
          <w:bCs/>
          <w:iCs/>
          <w:sz w:val="24"/>
          <w:szCs w:val="24"/>
        </w:rPr>
        <w:t>In the aftermath of tragedies, panel reviews</w:t>
      </w:r>
      <w:r w:rsidR="005A734A">
        <w:rPr>
          <w:rFonts w:cstheme="minorHAnsi"/>
          <w:bCs/>
          <w:iCs/>
          <w:sz w:val="24"/>
          <w:szCs w:val="24"/>
        </w:rPr>
        <w:t xml:space="preserve"> and other </w:t>
      </w:r>
      <w:r w:rsidR="00C01E3F">
        <w:rPr>
          <w:rFonts w:cstheme="minorHAnsi"/>
          <w:bCs/>
          <w:iCs/>
          <w:sz w:val="24"/>
          <w:szCs w:val="24"/>
        </w:rPr>
        <w:t>effort</w:t>
      </w:r>
      <w:r w:rsidR="005A734A">
        <w:rPr>
          <w:rFonts w:cstheme="minorHAnsi"/>
          <w:bCs/>
          <w:iCs/>
          <w:sz w:val="24"/>
          <w:szCs w:val="24"/>
        </w:rPr>
        <w:t>s</w:t>
      </w:r>
      <w:r w:rsidRPr="009513A7">
        <w:rPr>
          <w:rFonts w:cstheme="minorHAnsi"/>
          <w:bCs/>
          <w:iCs/>
          <w:sz w:val="24"/>
          <w:szCs w:val="24"/>
        </w:rPr>
        <w:t xml:space="preserve"> have attempted to identify similarities between incidents and opportunities for </w:t>
      </w:r>
      <w:r w:rsidRPr="009513A7">
        <w:rPr>
          <w:rFonts w:cstheme="minorHAnsi"/>
          <w:bCs/>
          <w:iCs/>
          <w:sz w:val="24"/>
          <w:szCs w:val="24"/>
        </w:rPr>
        <w:lastRenderedPageBreak/>
        <w:t>prevention measures (</w:t>
      </w:r>
      <w:r w:rsidR="005A734A">
        <w:rPr>
          <w:rFonts w:cstheme="minorHAnsi"/>
          <w:bCs/>
          <w:iCs/>
          <w:sz w:val="24"/>
          <w:szCs w:val="24"/>
        </w:rPr>
        <w:t xml:space="preserve">Meloy &amp; Hoffman, 2021; </w:t>
      </w:r>
      <w:r w:rsidRPr="009513A7">
        <w:rPr>
          <w:rFonts w:cstheme="minorHAnsi"/>
          <w:bCs/>
          <w:iCs/>
          <w:sz w:val="24"/>
          <w:szCs w:val="24"/>
        </w:rPr>
        <w:t>Northern Illinois Review Panel, 2008; Virginia Tech Review Panel, 2007).</w:t>
      </w:r>
    </w:p>
    <w:p w14:paraId="758402AD" w14:textId="46EACCD6" w:rsidR="00B2797B" w:rsidRPr="009513A7" w:rsidRDefault="00B2797B" w:rsidP="00B2797B">
      <w:pPr>
        <w:spacing w:after="0" w:line="480" w:lineRule="auto"/>
        <w:jc w:val="center"/>
        <w:rPr>
          <w:rFonts w:cstheme="minorHAnsi"/>
          <w:sz w:val="24"/>
          <w:szCs w:val="24"/>
        </w:rPr>
      </w:pPr>
      <w:r w:rsidRPr="009513A7">
        <w:rPr>
          <w:rFonts w:cstheme="minorHAnsi"/>
          <w:b/>
          <w:bCs/>
          <w:sz w:val="24"/>
          <w:szCs w:val="24"/>
        </w:rPr>
        <w:t xml:space="preserve">Challenges and Limitations of Threat Assessment Teams </w:t>
      </w:r>
    </w:p>
    <w:p w14:paraId="6467A2C7" w14:textId="565D622C" w:rsidR="00B2797B" w:rsidRPr="009513A7" w:rsidRDefault="00B2797B" w:rsidP="00B2797B">
      <w:pPr>
        <w:spacing w:line="480" w:lineRule="auto"/>
        <w:ind w:firstLine="720"/>
        <w:rPr>
          <w:rFonts w:cstheme="minorHAnsi"/>
          <w:sz w:val="24"/>
          <w:szCs w:val="24"/>
        </w:rPr>
      </w:pPr>
      <w:r w:rsidRPr="009513A7">
        <w:rPr>
          <w:rFonts w:cstheme="minorHAnsi"/>
          <w:sz w:val="24"/>
          <w:szCs w:val="24"/>
        </w:rPr>
        <w:t xml:space="preserve">There are several challenges </w:t>
      </w:r>
      <w:r w:rsidR="000760F4">
        <w:rPr>
          <w:rFonts w:cstheme="minorHAnsi"/>
          <w:sz w:val="24"/>
          <w:szCs w:val="24"/>
        </w:rPr>
        <w:t xml:space="preserve">facing </w:t>
      </w:r>
      <w:r w:rsidR="00244EEC" w:rsidRPr="009513A7">
        <w:rPr>
          <w:rFonts w:cstheme="minorHAnsi"/>
          <w:sz w:val="24"/>
          <w:szCs w:val="24"/>
        </w:rPr>
        <w:t>TA</w:t>
      </w:r>
      <w:r w:rsidR="00244EEC">
        <w:rPr>
          <w:rFonts w:cstheme="minorHAnsi"/>
          <w:sz w:val="24"/>
          <w:szCs w:val="24"/>
        </w:rPr>
        <w:t>Ts</w:t>
      </w:r>
      <w:r w:rsidR="0065462A" w:rsidRPr="009513A7">
        <w:rPr>
          <w:rFonts w:cstheme="minorHAnsi"/>
          <w:sz w:val="24"/>
          <w:szCs w:val="24"/>
        </w:rPr>
        <w:t>.</w:t>
      </w:r>
      <w:r w:rsidR="0065462A">
        <w:rPr>
          <w:rFonts w:cstheme="minorHAnsi"/>
          <w:sz w:val="24"/>
          <w:szCs w:val="24"/>
        </w:rPr>
        <w:t xml:space="preserve"> </w:t>
      </w:r>
      <w:r w:rsidR="000760F4">
        <w:rPr>
          <w:rFonts w:cstheme="minorHAnsi"/>
          <w:sz w:val="24"/>
          <w:szCs w:val="24"/>
        </w:rPr>
        <w:t>First,</w:t>
      </w:r>
      <w:r w:rsidRPr="009513A7">
        <w:rPr>
          <w:rFonts w:cstheme="minorHAnsi"/>
          <w:sz w:val="24"/>
          <w:szCs w:val="24"/>
        </w:rPr>
        <w:t xml:space="preserve"> is a </w:t>
      </w:r>
      <w:r w:rsidR="00F17F6E" w:rsidRPr="009513A7">
        <w:rPr>
          <w:rFonts w:cstheme="minorHAnsi"/>
          <w:sz w:val="24"/>
          <w:szCs w:val="24"/>
        </w:rPr>
        <w:t xml:space="preserve">lack of research on employee-focused teams as the literature contains information on student-focused teams </w:t>
      </w:r>
      <w:r w:rsidRPr="009513A7">
        <w:rPr>
          <w:rFonts w:cstheme="minorHAnsi"/>
          <w:sz w:val="24"/>
          <w:szCs w:val="24"/>
        </w:rPr>
        <w:t xml:space="preserve">in relation to violent crimes and prevention strategies but </w:t>
      </w:r>
      <w:r w:rsidR="005A734A">
        <w:rPr>
          <w:rFonts w:cstheme="minorHAnsi"/>
          <w:sz w:val="24"/>
          <w:szCs w:val="24"/>
        </w:rPr>
        <w:t>does not</w:t>
      </w:r>
      <w:r w:rsidR="00C01E3F">
        <w:rPr>
          <w:rFonts w:cstheme="minorHAnsi"/>
          <w:sz w:val="24"/>
          <w:szCs w:val="24"/>
        </w:rPr>
        <w:t xml:space="preserve"> </w:t>
      </w:r>
      <w:r w:rsidRPr="009513A7">
        <w:rPr>
          <w:rFonts w:cstheme="minorHAnsi"/>
          <w:sz w:val="24"/>
          <w:szCs w:val="24"/>
        </w:rPr>
        <w:t xml:space="preserve">address faculty and staff prevention measures in as much detail.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are also bound by law and must balance policy, practice, and a duty </w:t>
      </w:r>
      <w:r w:rsidR="007761D2">
        <w:rPr>
          <w:rFonts w:cstheme="minorHAnsi"/>
          <w:sz w:val="24"/>
          <w:szCs w:val="24"/>
        </w:rPr>
        <w:t>of</w:t>
      </w:r>
      <w:r w:rsidRPr="009513A7">
        <w:rPr>
          <w:rFonts w:cstheme="minorHAnsi"/>
          <w:sz w:val="24"/>
          <w:szCs w:val="24"/>
        </w:rPr>
        <w:t xml:space="preserve"> care</w:t>
      </w:r>
      <w:r w:rsidR="005A734A">
        <w:rPr>
          <w:rFonts w:cstheme="minorHAnsi"/>
          <w:sz w:val="24"/>
          <w:szCs w:val="24"/>
        </w:rPr>
        <w:t xml:space="preserve"> for students (Meloy &amp; Hoffman, 2021)</w:t>
      </w:r>
      <w:r w:rsidRPr="009513A7">
        <w:rPr>
          <w:rFonts w:cstheme="minorHAnsi"/>
          <w:sz w:val="24"/>
          <w:szCs w:val="24"/>
        </w:rPr>
        <w:t xml:space="preserve">. Smaller IHEs may struggle to find professionals on staff with the expertise and experience necessary to successfully serve on </w:t>
      </w:r>
      <w:r w:rsidR="00244EEC" w:rsidRPr="009513A7">
        <w:rPr>
          <w:rFonts w:cstheme="minorHAnsi"/>
          <w:sz w:val="24"/>
          <w:szCs w:val="24"/>
        </w:rPr>
        <w:t>TA</w:t>
      </w:r>
      <w:r w:rsidR="00244EEC">
        <w:rPr>
          <w:rFonts w:cstheme="minorHAnsi"/>
          <w:sz w:val="24"/>
          <w:szCs w:val="24"/>
        </w:rPr>
        <w:t>Ts</w:t>
      </w:r>
      <w:r w:rsidRPr="009513A7">
        <w:rPr>
          <w:rFonts w:cstheme="minorHAnsi"/>
          <w:sz w:val="24"/>
          <w:szCs w:val="24"/>
        </w:rPr>
        <w:t>. Larger IHEs with more case volume must be wary of burnout and case fatigue for their team members. Ethical and trauma-related issues for individual team members or the team at-large may also be prevalent due to the difficult subject matter of each case</w:t>
      </w:r>
      <w:r w:rsidR="00FF0682" w:rsidRPr="00FF0682">
        <w:rPr>
          <w:rFonts w:cstheme="minorHAnsi"/>
          <w:sz w:val="24"/>
          <w:szCs w:val="24"/>
        </w:rPr>
        <w:t xml:space="preserve"> </w:t>
      </w:r>
      <w:r w:rsidR="00FF0682">
        <w:rPr>
          <w:rFonts w:cstheme="minorHAnsi"/>
          <w:sz w:val="24"/>
          <w:szCs w:val="24"/>
        </w:rPr>
        <w:t>(</w:t>
      </w:r>
      <w:r w:rsidR="005A734A">
        <w:rPr>
          <w:rFonts w:cstheme="minorHAnsi"/>
          <w:sz w:val="24"/>
          <w:szCs w:val="24"/>
        </w:rPr>
        <w:t xml:space="preserve">Cornell et al., 2021; </w:t>
      </w:r>
      <w:r w:rsidR="00FF0682">
        <w:rPr>
          <w:rFonts w:cstheme="minorHAnsi"/>
          <w:bCs/>
          <w:iCs/>
          <w:sz w:val="24"/>
          <w:szCs w:val="24"/>
        </w:rPr>
        <w:t>Meloy &amp; Hoffmann, 2021)</w:t>
      </w:r>
      <w:r w:rsidRPr="009513A7">
        <w:rPr>
          <w:rFonts w:cstheme="minorHAnsi"/>
          <w:sz w:val="24"/>
          <w:szCs w:val="24"/>
        </w:rPr>
        <w:t>. Studies have shown there is no one profile or set of characteristics for a person of concern or clear indicator of a pathway to violence; instead IHEs must look for behaviors, patterns, and other evidence to best assess</w:t>
      </w:r>
      <w:r w:rsidR="00702C94">
        <w:rPr>
          <w:rFonts w:cstheme="minorHAnsi"/>
          <w:sz w:val="24"/>
          <w:szCs w:val="24"/>
        </w:rPr>
        <w:t xml:space="preserve"> threat potential</w:t>
      </w:r>
      <w:r w:rsidRPr="009513A7">
        <w:rPr>
          <w:rFonts w:cstheme="minorHAnsi"/>
          <w:sz w:val="24"/>
          <w:szCs w:val="24"/>
        </w:rPr>
        <w:t xml:space="preserve"> (</w:t>
      </w:r>
      <w:r w:rsidRPr="009513A7">
        <w:rPr>
          <w:rFonts w:eastAsia="Calibri" w:cstheme="minorHAnsi"/>
          <w:sz w:val="24"/>
          <w:szCs w:val="24"/>
        </w:rPr>
        <w:t>Randazzo &amp; Cameron, 2012).</w:t>
      </w:r>
      <w:r w:rsidRPr="009513A7">
        <w:rPr>
          <w:rFonts w:cstheme="minorHAnsi"/>
          <w:sz w:val="24"/>
          <w:szCs w:val="24"/>
        </w:rPr>
        <w:t xml:space="preserve"> Lastly, and perhaps the biggest challenge, is identifying a person of concern</w:t>
      </w:r>
      <w:r w:rsidR="00FF0682" w:rsidRPr="00FF0682">
        <w:rPr>
          <w:rFonts w:cstheme="minorHAnsi"/>
          <w:sz w:val="24"/>
          <w:szCs w:val="24"/>
        </w:rPr>
        <w:t xml:space="preserve"> </w:t>
      </w:r>
      <w:r w:rsidR="00FF0682">
        <w:rPr>
          <w:rFonts w:cstheme="minorHAnsi"/>
          <w:sz w:val="24"/>
          <w:szCs w:val="24"/>
        </w:rPr>
        <w:t>(</w:t>
      </w:r>
      <w:r w:rsidR="00FF0682" w:rsidRPr="009513A7">
        <w:rPr>
          <w:rFonts w:cstheme="minorHAnsi"/>
          <w:sz w:val="24"/>
          <w:szCs w:val="24"/>
        </w:rPr>
        <w:t>Deisinger et al., 2008</w:t>
      </w:r>
      <w:r w:rsidR="00FF0682">
        <w:rPr>
          <w:rFonts w:cstheme="minorHAnsi"/>
          <w:bCs/>
          <w:iCs/>
          <w:sz w:val="24"/>
          <w:szCs w:val="24"/>
        </w:rPr>
        <w:t>; Meloy &amp; Hoffmann, 2021)</w:t>
      </w:r>
      <w:r w:rsidRPr="009513A7">
        <w:rPr>
          <w:rFonts w:cstheme="minorHAnsi"/>
          <w:sz w:val="24"/>
          <w:szCs w:val="24"/>
        </w:rPr>
        <w:t xml:space="preserve">.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 xml:space="preserve">must rely on the campus community to speak up and speak out when they see or hear something of concern. In most cases, referrals to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are not typically cases where a threat exists (</w:t>
      </w:r>
      <w:r w:rsidR="005A734A">
        <w:rPr>
          <w:rFonts w:cstheme="minorHAnsi"/>
          <w:sz w:val="24"/>
          <w:szCs w:val="24"/>
        </w:rPr>
        <w:t xml:space="preserve">Deisinger et al., 2008; Meloy &amp; Hoffman, 2021; </w:t>
      </w:r>
      <w:r w:rsidRPr="009513A7">
        <w:rPr>
          <w:rFonts w:cstheme="minorHAnsi"/>
          <w:sz w:val="24"/>
          <w:szCs w:val="24"/>
        </w:rPr>
        <w:t>Sokolow et al, 2014). Trust of the informant(s), and the team itself, is paramount</w:t>
      </w:r>
      <w:r w:rsidR="0055688D">
        <w:rPr>
          <w:rFonts w:cstheme="minorHAnsi"/>
          <w:bCs/>
          <w:iCs/>
          <w:sz w:val="24"/>
          <w:szCs w:val="24"/>
        </w:rPr>
        <w:t xml:space="preserve"> (Bolman &amp; Deal, 2021)</w:t>
      </w:r>
      <w:r w:rsidRPr="009513A7">
        <w:rPr>
          <w:rFonts w:cstheme="minorHAnsi"/>
          <w:sz w:val="24"/>
          <w:szCs w:val="24"/>
        </w:rPr>
        <w:t xml:space="preserve">. Therefore, teams must regularly review best practices for prevention, intervention, and </w:t>
      </w:r>
      <w:r w:rsidRPr="005A734A">
        <w:rPr>
          <w:rFonts w:cstheme="minorHAnsi"/>
          <w:sz w:val="24"/>
          <w:szCs w:val="24"/>
        </w:rPr>
        <w:t>postvention</w:t>
      </w:r>
      <w:r w:rsidR="005B589F" w:rsidRPr="00C01E3F">
        <w:rPr>
          <w:rFonts w:cstheme="minorHAnsi"/>
          <w:bCs/>
          <w:iCs/>
          <w:sz w:val="24"/>
          <w:szCs w:val="24"/>
        </w:rPr>
        <w:t xml:space="preserve"> </w:t>
      </w:r>
      <w:r w:rsidR="0055688D" w:rsidRPr="005A734A">
        <w:rPr>
          <w:rFonts w:cstheme="minorHAnsi"/>
          <w:bCs/>
          <w:iCs/>
          <w:sz w:val="24"/>
          <w:szCs w:val="24"/>
        </w:rPr>
        <w:t>(</w:t>
      </w:r>
      <w:r w:rsidR="0055688D" w:rsidRPr="005A734A">
        <w:rPr>
          <w:rFonts w:cstheme="minorHAnsi"/>
          <w:sz w:val="24"/>
          <w:szCs w:val="24"/>
        </w:rPr>
        <w:t>Deisinger</w:t>
      </w:r>
      <w:r w:rsidR="0055688D" w:rsidRPr="009513A7">
        <w:rPr>
          <w:rFonts w:cstheme="minorHAnsi"/>
          <w:sz w:val="24"/>
          <w:szCs w:val="24"/>
        </w:rPr>
        <w:t xml:space="preserve"> et al., 2008</w:t>
      </w:r>
      <w:r w:rsidR="0055688D">
        <w:rPr>
          <w:rFonts w:cstheme="minorHAnsi"/>
          <w:bCs/>
          <w:iCs/>
          <w:sz w:val="24"/>
          <w:szCs w:val="24"/>
        </w:rPr>
        <w:t>; Meloy &amp; Hoffmann, 2021).</w:t>
      </w:r>
      <w:r w:rsidRPr="009513A7">
        <w:rPr>
          <w:rFonts w:cstheme="minorHAnsi"/>
          <w:sz w:val="24"/>
          <w:szCs w:val="24"/>
        </w:rPr>
        <w:t xml:space="preserve"> A culture of care may inspire </w:t>
      </w:r>
      <w:r w:rsidRPr="009513A7">
        <w:rPr>
          <w:rFonts w:cstheme="minorHAnsi"/>
          <w:sz w:val="24"/>
          <w:szCs w:val="24"/>
        </w:rPr>
        <w:lastRenderedPageBreak/>
        <w:t xml:space="preserve">campus community members to contact the </w:t>
      </w:r>
      <w:r w:rsidR="00244EEC" w:rsidRPr="009513A7">
        <w:rPr>
          <w:rFonts w:cstheme="minorHAnsi"/>
          <w:sz w:val="24"/>
          <w:szCs w:val="24"/>
        </w:rPr>
        <w:t>TA</w:t>
      </w:r>
      <w:r w:rsidR="00244EEC">
        <w:rPr>
          <w:rFonts w:cstheme="minorHAnsi"/>
          <w:sz w:val="24"/>
          <w:szCs w:val="24"/>
        </w:rPr>
        <w:t>T</w:t>
      </w:r>
      <w:r w:rsidRPr="009513A7">
        <w:rPr>
          <w:rFonts w:cstheme="minorHAnsi"/>
          <w:sz w:val="24"/>
          <w:szCs w:val="24"/>
        </w:rPr>
        <w:t>, or related program, to discuss concerns and/or seek resources and supports. IHEs</w:t>
      </w:r>
      <w:r w:rsidR="00702C94">
        <w:rPr>
          <w:rFonts w:cstheme="minorHAnsi"/>
          <w:sz w:val="24"/>
          <w:szCs w:val="24"/>
        </w:rPr>
        <w:t xml:space="preserve"> </w:t>
      </w:r>
      <w:r w:rsidRPr="009513A7">
        <w:rPr>
          <w:rFonts w:cstheme="minorHAnsi"/>
          <w:sz w:val="24"/>
          <w:szCs w:val="24"/>
        </w:rPr>
        <w:t xml:space="preserve">cannot react to what they do not know about. Education about when and who to contact with concerns is essential for the overall success of the TAM team. </w:t>
      </w:r>
    </w:p>
    <w:p w14:paraId="76DC96EA" w14:textId="5E5F81D6" w:rsidR="00B2797B" w:rsidRPr="009513A7" w:rsidRDefault="00B2797B" w:rsidP="00B2797B">
      <w:pPr>
        <w:spacing w:after="0" w:line="240" w:lineRule="auto"/>
        <w:contextualSpacing/>
        <w:jc w:val="center"/>
        <w:rPr>
          <w:rFonts w:cstheme="minorHAnsi"/>
          <w:b/>
          <w:iCs/>
          <w:sz w:val="24"/>
          <w:szCs w:val="24"/>
        </w:rPr>
      </w:pPr>
      <w:r w:rsidRPr="009513A7">
        <w:rPr>
          <w:rFonts w:cstheme="minorHAnsi"/>
          <w:b/>
          <w:iCs/>
          <w:sz w:val="24"/>
          <w:szCs w:val="24"/>
        </w:rPr>
        <w:t xml:space="preserve">Other Factors </w:t>
      </w:r>
      <w:r w:rsidR="000760F4">
        <w:rPr>
          <w:rFonts w:cstheme="minorHAnsi"/>
          <w:b/>
          <w:iCs/>
          <w:sz w:val="24"/>
          <w:szCs w:val="24"/>
        </w:rPr>
        <w:t>Impacting</w:t>
      </w:r>
      <w:r w:rsidRPr="009513A7">
        <w:rPr>
          <w:rFonts w:cstheme="minorHAnsi"/>
          <w:b/>
          <w:iCs/>
          <w:sz w:val="24"/>
          <w:szCs w:val="24"/>
        </w:rPr>
        <w:t xml:space="preserve"> Threat Assessment Teams</w:t>
      </w:r>
    </w:p>
    <w:p w14:paraId="07967B0F" w14:textId="77777777" w:rsidR="00B2797B" w:rsidRPr="009513A7" w:rsidRDefault="00B2797B" w:rsidP="00B2797B">
      <w:pPr>
        <w:spacing w:after="0" w:line="240" w:lineRule="auto"/>
        <w:contextualSpacing/>
        <w:jc w:val="center"/>
        <w:rPr>
          <w:rFonts w:cstheme="minorHAnsi"/>
          <w:b/>
          <w:iCs/>
          <w:sz w:val="24"/>
          <w:szCs w:val="24"/>
        </w:rPr>
      </w:pPr>
    </w:p>
    <w:p w14:paraId="1D22195C" w14:textId="5888B9E5" w:rsidR="000760F4" w:rsidRDefault="00B2797B" w:rsidP="00B2797B">
      <w:pPr>
        <w:spacing w:after="0" w:line="480" w:lineRule="auto"/>
        <w:ind w:firstLine="720"/>
        <w:rPr>
          <w:rFonts w:cstheme="minorHAnsi"/>
          <w:sz w:val="24"/>
          <w:szCs w:val="24"/>
        </w:rPr>
      </w:pPr>
      <w:r w:rsidRPr="009513A7">
        <w:rPr>
          <w:rFonts w:cstheme="minorHAnsi"/>
          <w:sz w:val="24"/>
          <w:szCs w:val="24"/>
        </w:rPr>
        <w:t xml:space="preserve">Perceptions of campus safety vary among students, faculty, and staff. </w:t>
      </w:r>
      <w:r w:rsidR="005A734A">
        <w:rPr>
          <w:rFonts w:cstheme="minorHAnsi"/>
          <w:sz w:val="24"/>
          <w:szCs w:val="24"/>
        </w:rPr>
        <w:t>Employees</w:t>
      </w:r>
      <w:r w:rsidR="005A734A" w:rsidRPr="009513A7">
        <w:rPr>
          <w:rFonts w:cstheme="minorHAnsi"/>
          <w:sz w:val="24"/>
          <w:szCs w:val="24"/>
        </w:rPr>
        <w:t xml:space="preserve"> </w:t>
      </w:r>
      <w:r w:rsidRPr="009513A7">
        <w:rPr>
          <w:rFonts w:cstheme="minorHAnsi"/>
          <w:sz w:val="24"/>
          <w:szCs w:val="24"/>
        </w:rPr>
        <w:t>at three Australian Universities were asked to complete a safety culture survey. Despite a low response rate, the study conclude</w:t>
      </w:r>
      <w:r w:rsidR="00A1697C">
        <w:rPr>
          <w:rFonts w:cstheme="minorHAnsi"/>
          <w:sz w:val="24"/>
          <w:szCs w:val="24"/>
        </w:rPr>
        <w:t>d</w:t>
      </w:r>
      <w:r w:rsidRPr="009513A7">
        <w:rPr>
          <w:rFonts w:cstheme="minorHAnsi"/>
          <w:sz w:val="24"/>
          <w:szCs w:val="24"/>
        </w:rPr>
        <w:t xml:space="preserve"> staff perceive safety as </w:t>
      </w:r>
      <w:r w:rsidR="002D5C7E" w:rsidRPr="009513A7">
        <w:rPr>
          <w:rFonts w:cstheme="minorHAnsi"/>
          <w:sz w:val="24"/>
          <w:szCs w:val="24"/>
        </w:rPr>
        <w:t>work</w:t>
      </w:r>
      <w:r w:rsidRPr="009513A7">
        <w:rPr>
          <w:rFonts w:cstheme="minorHAnsi"/>
          <w:sz w:val="24"/>
          <w:szCs w:val="24"/>
        </w:rPr>
        <w:t>-in-progress with room for improvement (Lyons, 2016). In co</w:t>
      </w:r>
      <w:r w:rsidR="00A1697C">
        <w:rPr>
          <w:rFonts w:cstheme="minorHAnsi"/>
          <w:sz w:val="24"/>
          <w:szCs w:val="24"/>
        </w:rPr>
        <w:t>mparison</w:t>
      </w:r>
      <w:r w:rsidRPr="009513A7">
        <w:rPr>
          <w:rFonts w:cstheme="minorHAnsi"/>
          <w:sz w:val="24"/>
          <w:szCs w:val="24"/>
        </w:rPr>
        <w:t>, a survey of students, faculty</w:t>
      </w:r>
      <w:r w:rsidR="00A1697C">
        <w:rPr>
          <w:rFonts w:cstheme="minorHAnsi"/>
          <w:sz w:val="24"/>
          <w:szCs w:val="24"/>
        </w:rPr>
        <w:t>,</w:t>
      </w:r>
      <w:r w:rsidRPr="009513A7">
        <w:rPr>
          <w:rFonts w:cstheme="minorHAnsi"/>
          <w:sz w:val="24"/>
          <w:szCs w:val="24"/>
        </w:rPr>
        <w:t xml:space="preserve"> and staff at Virginia Polytechnic Institute and State University perceive</w:t>
      </w:r>
      <w:r w:rsidR="00A1697C">
        <w:rPr>
          <w:rFonts w:cstheme="minorHAnsi"/>
          <w:sz w:val="24"/>
          <w:szCs w:val="24"/>
        </w:rPr>
        <w:t>d</w:t>
      </w:r>
      <w:r w:rsidRPr="009513A7">
        <w:rPr>
          <w:rFonts w:cstheme="minorHAnsi"/>
          <w:sz w:val="24"/>
          <w:szCs w:val="24"/>
        </w:rPr>
        <w:t xml:space="preserve"> mental health to be the</w:t>
      </w:r>
      <w:r w:rsidR="00A1697C">
        <w:rPr>
          <w:rFonts w:cstheme="minorHAnsi"/>
          <w:sz w:val="24"/>
          <w:szCs w:val="24"/>
        </w:rPr>
        <w:t xml:space="preserve"> most significant</w:t>
      </w:r>
      <w:r w:rsidRPr="009513A7">
        <w:rPr>
          <w:rFonts w:cstheme="minorHAnsi"/>
          <w:sz w:val="24"/>
          <w:szCs w:val="24"/>
        </w:rPr>
        <w:t xml:space="preserve"> factor </w:t>
      </w:r>
      <w:r w:rsidR="00A1697C">
        <w:rPr>
          <w:rFonts w:cstheme="minorHAnsi"/>
          <w:sz w:val="24"/>
          <w:szCs w:val="24"/>
        </w:rPr>
        <w:t>in</w:t>
      </w:r>
      <w:r w:rsidRPr="009513A7">
        <w:rPr>
          <w:rFonts w:cstheme="minorHAnsi"/>
          <w:sz w:val="24"/>
          <w:szCs w:val="24"/>
        </w:rPr>
        <w:t xml:space="preserve"> the April 2007 tragedy (Fallahi et al., 2009). Moreover, survey opinions on safety, parenting, violent media, and gun control also saw differences among genders (Fallahi et al., 2009; McIntyre et al., 2011). </w:t>
      </w:r>
    </w:p>
    <w:p w14:paraId="32FB9F3B" w14:textId="142E3761" w:rsidR="00B2797B" w:rsidRPr="009513A7" w:rsidRDefault="00B2797B" w:rsidP="00B2797B">
      <w:pPr>
        <w:spacing w:after="0" w:line="480" w:lineRule="auto"/>
        <w:ind w:firstLine="720"/>
        <w:rPr>
          <w:rFonts w:cstheme="minorHAnsi"/>
          <w:sz w:val="24"/>
          <w:szCs w:val="24"/>
        </w:rPr>
      </w:pPr>
      <w:r w:rsidRPr="009513A7">
        <w:rPr>
          <w:rFonts w:cstheme="minorHAnsi"/>
          <w:sz w:val="24"/>
          <w:szCs w:val="24"/>
        </w:rPr>
        <w:t>Chekwa</w:t>
      </w:r>
      <w:r w:rsidR="000760F4">
        <w:rPr>
          <w:rFonts w:cstheme="minorHAnsi"/>
          <w:sz w:val="24"/>
          <w:szCs w:val="24"/>
        </w:rPr>
        <w:t xml:space="preserve"> et al. </w:t>
      </w:r>
      <w:r w:rsidRPr="009513A7">
        <w:rPr>
          <w:rFonts w:cstheme="minorHAnsi"/>
          <w:sz w:val="24"/>
          <w:szCs w:val="24"/>
        </w:rPr>
        <w:t xml:space="preserve">(2013) conducted a smaller study that again reinforces the idea that students do not feel safe on campus and suggests they are not familiar with the legislation designed to protect them, such as the Clery Act, nor </w:t>
      </w:r>
      <w:r w:rsidR="000760F4">
        <w:rPr>
          <w:rFonts w:cstheme="minorHAnsi"/>
          <w:sz w:val="24"/>
          <w:szCs w:val="24"/>
        </w:rPr>
        <w:t xml:space="preserve">campus </w:t>
      </w:r>
      <w:r w:rsidRPr="009513A7">
        <w:rPr>
          <w:rFonts w:cstheme="minorHAnsi"/>
          <w:sz w:val="24"/>
          <w:szCs w:val="24"/>
        </w:rPr>
        <w:t xml:space="preserve">safety resources. </w:t>
      </w:r>
      <w:r w:rsidR="00C01E3F">
        <w:rPr>
          <w:rFonts w:cstheme="minorHAnsi"/>
          <w:sz w:val="24"/>
          <w:szCs w:val="24"/>
        </w:rPr>
        <w:t>T</w:t>
      </w:r>
      <w:r w:rsidRPr="009513A7">
        <w:rPr>
          <w:rFonts w:cstheme="minorHAnsi"/>
          <w:sz w:val="24"/>
          <w:szCs w:val="24"/>
        </w:rPr>
        <w:t xml:space="preserve">he purpose of the Clery Act is to enforce the consistent reporting of crime on campus to enhance educational and safety awareness efforts (Janosik &amp; Plummer, 2005). While studies about crime reporting efforts, such as the Clery Act, are generally positive, there are concerns regarding the likelihood that students will read the data and </w:t>
      </w:r>
      <w:r w:rsidR="0065462A" w:rsidRPr="009513A7">
        <w:rPr>
          <w:rFonts w:cstheme="minorHAnsi"/>
          <w:sz w:val="24"/>
          <w:szCs w:val="24"/>
        </w:rPr>
        <w:t>change</w:t>
      </w:r>
      <w:r w:rsidRPr="009513A7">
        <w:rPr>
          <w:rFonts w:cstheme="minorHAnsi"/>
          <w:sz w:val="24"/>
          <w:szCs w:val="24"/>
        </w:rPr>
        <w:t xml:space="preserve"> their behavior because of it (Janosik &amp; Plummer, 2005). Lastly, campus culture may have the biggest impact. </w:t>
      </w:r>
      <w:r w:rsidR="00244EEC" w:rsidRPr="009513A7">
        <w:rPr>
          <w:rFonts w:cstheme="minorHAnsi"/>
          <w:sz w:val="24"/>
          <w:szCs w:val="24"/>
        </w:rPr>
        <w:t>TA</w:t>
      </w:r>
      <w:r w:rsidR="00244EEC">
        <w:rPr>
          <w:rFonts w:cstheme="minorHAnsi"/>
          <w:sz w:val="24"/>
          <w:szCs w:val="24"/>
        </w:rPr>
        <w:t>Ts</w:t>
      </w:r>
      <w:r w:rsidR="00244EEC" w:rsidRPr="009513A7">
        <w:rPr>
          <w:rFonts w:cstheme="minorHAnsi"/>
          <w:sz w:val="24"/>
          <w:szCs w:val="24"/>
        </w:rPr>
        <w:t xml:space="preserve"> </w:t>
      </w:r>
      <w:r w:rsidRPr="009513A7">
        <w:rPr>
          <w:rFonts w:cstheme="minorHAnsi"/>
          <w:sz w:val="24"/>
          <w:szCs w:val="24"/>
        </w:rPr>
        <w:t>may be leaders in fostering a culture of care through outreach and education efforts</w:t>
      </w:r>
      <w:r w:rsidR="005A734A">
        <w:rPr>
          <w:rFonts w:cstheme="minorHAnsi"/>
          <w:sz w:val="24"/>
          <w:szCs w:val="24"/>
        </w:rPr>
        <w:t xml:space="preserve"> (Meloy &amp; Hoffmann, 2021)</w:t>
      </w:r>
      <w:r w:rsidRPr="009513A7">
        <w:rPr>
          <w:rFonts w:cstheme="minorHAnsi"/>
          <w:sz w:val="24"/>
          <w:szCs w:val="24"/>
        </w:rPr>
        <w:t>.</w:t>
      </w:r>
    </w:p>
    <w:p w14:paraId="7A18576C" w14:textId="5241EB8E" w:rsidR="00B2797B" w:rsidRPr="009513A7" w:rsidRDefault="00B2797B" w:rsidP="00B2797B">
      <w:pPr>
        <w:spacing w:after="0" w:line="480" w:lineRule="auto"/>
        <w:jc w:val="center"/>
        <w:rPr>
          <w:rFonts w:cstheme="minorHAnsi"/>
          <w:b/>
          <w:bCs/>
          <w:sz w:val="24"/>
          <w:szCs w:val="24"/>
        </w:rPr>
      </w:pPr>
      <w:r w:rsidRPr="009513A7">
        <w:rPr>
          <w:rFonts w:cstheme="minorHAnsi"/>
          <w:b/>
          <w:bCs/>
          <w:sz w:val="24"/>
          <w:szCs w:val="24"/>
        </w:rPr>
        <w:lastRenderedPageBreak/>
        <w:t>Diversity, Equity, and Inclusion and Threat Assessment Teams</w:t>
      </w:r>
    </w:p>
    <w:p w14:paraId="12DEC4E5" w14:textId="3D0050E1" w:rsidR="00B2797B" w:rsidRDefault="00B2797B" w:rsidP="00B2797B">
      <w:pPr>
        <w:spacing w:after="0" w:line="480" w:lineRule="auto"/>
        <w:contextualSpacing/>
        <w:rPr>
          <w:rFonts w:cstheme="minorHAnsi"/>
          <w:sz w:val="24"/>
          <w:szCs w:val="24"/>
        </w:rPr>
      </w:pPr>
      <w:r w:rsidRPr="009513A7">
        <w:rPr>
          <w:rFonts w:cstheme="minorHAnsi"/>
          <w:bCs/>
          <w:iCs/>
          <w:sz w:val="24"/>
          <w:szCs w:val="24"/>
        </w:rPr>
        <w:tab/>
        <w:t>IHEs are more diverse than ever with student enrollment bringing a variety of backgrounds and experiences to campus (</w:t>
      </w:r>
      <w:r w:rsidR="004473C5" w:rsidRPr="0073690A">
        <w:rPr>
          <w:rFonts w:ascii="Calibri" w:eastAsia="Calibri" w:hAnsi="Calibri" w:cs="Times New Roman"/>
          <w:sz w:val="24"/>
          <w:szCs w:val="24"/>
        </w:rPr>
        <w:t>Bakioglu</w:t>
      </w:r>
      <w:r w:rsidR="004473C5" w:rsidRPr="009513A7">
        <w:rPr>
          <w:rFonts w:cstheme="minorHAnsi"/>
          <w:bCs/>
          <w:iCs/>
          <w:sz w:val="24"/>
          <w:szCs w:val="24"/>
        </w:rPr>
        <w:t xml:space="preserve"> </w:t>
      </w:r>
      <w:r w:rsidR="004473C5">
        <w:rPr>
          <w:rFonts w:cstheme="minorHAnsi"/>
          <w:bCs/>
          <w:iCs/>
          <w:sz w:val="24"/>
          <w:szCs w:val="24"/>
        </w:rPr>
        <w:t xml:space="preserve">et al., 2022; </w:t>
      </w:r>
      <w:r w:rsidRPr="009513A7">
        <w:rPr>
          <w:rFonts w:cstheme="minorHAnsi"/>
          <w:bCs/>
          <w:iCs/>
          <w:sz w:val="24"/>
          <w:szCs w:val="24"/>
        </w:rPr>
        <w:t>Silverman, 2008). The college campus is where students come to prepare for the world they are about to inherit</w:t>
      </w:r>
      <w:r w:rsidR="0055688D">
        <w:rPr>
          <w:rFonts w:cstheme="minorHAnsi"/>
          <w:bCs/>
          <w:iCs/>
          <w:sz w:val="24"/>
          <w:szCs w:val="24"/>
        </w:rPr>
        <w:t xml:space="preserve"> </w:t>
      </w:r>
      <w:r w:rsidR="004473C5">
        <w:rPr>
          <w:rFonts w:cstheme="minorHAnsi"/>
          <w:bCs/>
          <w:iCs/>
          <w:sz w:val="24"/>
          <w:szCs w:val="24"/>
        </w:rPr>
        <w:t xml:space="preserve">and do so in a safe environment </w:t>
      </w:r>
      <w:r w:rsidR="0055688D">
        <w:rPr>
          <w:rFonts w:cstheme="minorHAnsi"/>
          <w:bCs/>
          <w:iCs/>
          <w:sz w:val="24"/>
          <w:szCs w:val="24"/>
        </w:rPr>
        <w:t>(Blumenstyk, 2015</w:t>
      </w:r>
      <w:r w:rsidR="004473C5">
        <w:rPr>
          <w:rFonts w:cstheme="minorHAnsi"/>
          <w:bCs/>
          <w:iCs/>
          <w:sz w:val="24"/>
          <w:szCs w:val="24"/>
        </w:rPr>
        <w:t>; Flannery et al., 2021</w:t>
      </w:r>
      <w:r w:rsidR="0055688D">
        <w:rPr>
          <w:rFonts w:cstheme="minorHAnsi"/>
          <w:bCs/>
          <w:iCs/>
          <w:sz w:val="24"/>
          <w:szCs w:val="24"/>
        </w:rPr>
        <w:t>)</w:t>
      </w:r>
      <w:r w:rsidRPr="009513A7">
        <w:rPr>
          <w:rFonts w:cstheme="minorHAnsi"/>
          <w:bCs/>
          <w:iCs/>
          <w:sz w:val="24"/>
          <w:szCs w:val="24"/>
        </w:rPr>
        <w:t xml:space="preserve">. </w:t>
      </w:r>
      <w:r w:rsidR="004473C5">
        <w:rPr>
          <w:rFonts w:cstheme="minorHAnsi"/>
          <w:bCs/>
          <w:iCs/>
          <w:sz w:val="24"/>
          <w:szCs w:val="24"/>
        </w:rPr>
        <w:t>T</w:t>
      </w:r>
      <w:r w:rsidRPr="009513A7">
        <w:rPr>
          <w:rFonts w:cstheme="minorHAnsi"/>
          <w:bCs/>
          <w:iCs/>
          <w:sz w:val="24"/>
          <w:szCs w:val="24"/>
        </w:rPr>
        <w:t xml:space="preserve">he work of </w:t>
      </w:r>
      <w:r w:rsidR="00244EEC" w:rsidRPr="009513A7">
        <w:rPr>
          <w:rFonts w:cstheme="minorHAnsi"/>
          <w:sz w:val="24"/>
          <w:szCs w:val="24"/>
        </w:rPr>
        <w:t>TA</w:t>
      </w:r>
      <w:r w:rsidR="00244EEC">
        <w:rPr>
          <w:rFonts w:cstheme="minorHAnsi"/>
          <w:sz w:val="24"/>
          <w:szCs w:val="24"/>
        </w:rPr>
        <w:t>Ts</w:t>
      </w:r>
      <w:r w:rsidR="00244EEC" w:rsidRPr="009513A7">
        <w:rPr>
          <w:rFonts w:cstheme="minorHAnsi"/>
          <w:bCs/>
          <w:iCs/>
          <w:sz w:val="24"/>
          <w:szCs w:val="24"/>
        </w:rPr>
        <w:t xml:space="preserve"> </w:t>
      </w:r>
      <w:r w:rsidR="004473C5">
        <w:rPr>
          <w:rFonts w:cstheme="minorHAnsi"/>
          <w:bCs/>
          <w:iCs/>
          <w:sz w:val="24"/>
          <w:szCs w:val="24"/>
        </w:rPr>
        <w:t>is best</w:t>
      </w:r>
      <w:r w:rsidRPr="009513A7">
        <w:rPr>
          <w:rFonts w:cstheme="minorHAnsi"/>
          <w:bCs/>
          <w:iCs/>
          <w:sz w:val="24"/>
          <w:szCs w:val="24"/>
        </w:rPr>
        <w:t xml:space="preserve"> accomplished through diversity of perspective via multidisciplinary teams (Deisinger et al., 2008; Dunkle et al., 200</w:t>
      </w:r>
      <w:r w:rsidR="0055688D">
        <w:rPr>
          <w:rFonts w:cstheme="minorHAnsi"/>
          <w:bCs/>
          <w:iCs/>
          <w:sz w:val="24"/>
          <w:szCs w:val="24"/>
        </w:rPr>
        <w:t>8; Meloy &amp; Hoffmann, 2021</w:t>
      </w:r>
      <w:r w:rsidRPr="009513A7">
        <w:rPr>
          <w:rFonts w:cstheme="minorHAnsi"/>
          <w:bCs/>
          <w:iCs/>
          <w:sz w:val="24"/>
          <w:szCs w:val="24"/>
        </w:rPr>
        <w:t>). Specialty members could also be invited to case management discussions where appropriate to relay information as subject-matter experts and better assess a case. For example, “a member of Religious Life may be helpful for cases where religion may be important for the person</w:t>
      </w:r>
      <w:r w:rsidR="00F511A5">
        <w:rPr>
          <w:rFonts w:cstheme="minorHAnsi"/>
          <w:bCs/>
          <w:iCs/>
          <w:sz w:val="24"/>
          <w:szCs w:val="24"/>
        </w:rPr>
        <w:t>… [</w:t>
      </w:r>
      <w:r w:rsidRPr="009513A7">
        <w:rPr>
          <w:rFonts w:cstheme="minorHAnsi"/>
          <w:bCs/>
          <w:iCs/>
          <w:sz w:val="24"/>
          <w:szCs w:val="24"/>
        </w:rPr>
        <w:t>of concern or</w:t>
      </w:r>
      <w:r w:rsidR="00CE6C82">
        <w:rPr>
          <w:rFonts w:cstheme="minorHAnsi"/>
          <w:bCs/>
          <w:iCs/>
          <w:sz w:val="24"/>
          <w:szCs w:val="24"/>
        </w:rPr>
        <w:t xml:space="preserve">] </w:t>
      </w:r>
      <w:r w:rsidRPr="009513A7">
        <w:rPr>
          <w:rFonts w:cstheme="minorHAnsi"/>
          <w:bCs/>
          <w:iCs/>
          <w:sz w:val="24"/>
          <w:szCs w:val="24"/>
        </w:rPr>
        <w:t xml:space="preserve">…a member of the student, gay, lesbian, bisexual, and transgender </w:t>
      </w:r>
      <w:r w:rsidR="004473C5">
        <w:rPr>
          <w:rFonts w:cstheme="minorHAnsi"/>
          <w:bCs/>
          <w:iCs/>
          <w:sz w:val="24"/>
          <w:szCs w:val="24"/>
        </w:rPr>
        <w:t xml:space="preserve">communities </w:t>
      </w:r>
      <w:r w:rsidRPr="009513A7">
        <w:rPr>
          <w:rFonts w:cstheme="minorHAnsi"/>
          <w:bCs/>
          <w:iCs/>
          <w:sz w:val="24"/>
          <w:szCs w:val="24"/>
        </w:rPr>
        <w:t xml:space="preserve">may be helpful in cases where the hazing of a gay student is involved” (Deisinger et al, 2008, p. 41). </w:t>
      </w:r>
      <w:r w:rsidR="00244EEC" w:rsidRPr="009513A7">
        <w:rPr>
          <w:rFonts w:cstheme="minorHAnsi"/>
          <w:sz w:val="24"/>
          <w:szCs w:val="24"/>
        </w:rPr>
        <w:t>TA</w:t>
      </w:r>
      <w:r w:rsidR="00244EEC">
        <w:rPr>
          <w:rFonts w:cstheme="minorHAnsi"/>
          <w:sz w:val="24"/>
          <w:szCs w:val="24"/>
        </w:rPr>
        <w:t>Ts</w:t>
      </w:r>
      <w:r w:rsidR="00244EEC" w:rsidRPr="009513A7">
        <w:rPr>
          <w:rFonts w:cstheme="minorHAnsi"/>
          <w:bCs/>
          <w:iCs/>
          <w:sz w:val="24"/>
          <w:szCs w:val="24"/>
        </w:rPr>
        <w:t xml:space="preserve"> </w:t>
      </w:r>
      <w:r w:rsidRPr="009513A7">
        <w:rPr>
          <w:rFonts w:cstheme="minorHAnsi"/>
          <w:bCs/>
          <w:iCs/>
          <w:sz w:val="24"/>
          <w:szCs w:val="24"/>
        </w:rPr>
        <w:t xml:space="preserve">may be a primary point of contact for students and employees in distress related to hate crimes. </w:t>
      </w:r>
      <w:r w:rsidR="009F72B8">
        <w:rPr>
          <w:rFonts w:cstheme="minorHAnsi"/>
          <w:sz w:val="24"/>
          <w:szCs w:val="24"/>
        </w:rPr>
        <w:t>In a 2020 study conducted by Wang and colleagues,</w:t>
      </w:r>
      <w:r w:rsidR="009F72B8" w:rsidRPr="009513A7">
        <w:rPr>
          <w:rFonts w:cstheme="minorHAnsi"/>
          <w:sz w:val="24"/>
          <w:szCs w:val="24"/>
        </w:rPr>
        <w:t xml:space="preserve"> 958 hate crimes </w:t>
      </w:r>
      <w:r w:rsidR="009F72B8">
        <w:rPr>
          <w:rFonts w:cstheme="minorHAnsi"/>
          <w:sz w:val="24"/>
          <w:szCs w:val="24"/>
        </w:rPr>
        <w:t xml:space="preserve">were </w:t>
      </w:r>
      <w:r w:rsidR="009F72B8" w:rsidRPr="009513A7">
        <w:rPr>
          <w:rFonts w:cstheme="minorHAnsi"/>
          <w:sz w:val="24"/>
          <w:szCs w:val="24"/>
        </w:rPr>
        <w:t xml:space="preserve">reported on college campuses, </w:t>
      </w:r>
      <w:r w:rsidR="00D47B80">
        <w:rPr>
          <w:rFonts w:cstheme="minorHAnsi"/>
          <w:sz w:val="24"/>
          <w:szCs w:val="24"/>
        </w:rPr>
        <w:t xml:space="preserve">437 incidents of </w:t>
      </w:r>
      <w:r w:rsidR="009F72B8" w:rsidRPr="009513A7">
        <w:rPr>
          <w:rFonts w:cstheme="minorHAnsi"/>
          <w:sz w:val="24"/>
          <w:szCs w:val="24"/>
        </w:rPr>
        <w:t>destruction, damage, and vandalism</w:t>
      </w:r>
      <w:r w:rsidR="00D47B80">
        <w:rPr>
          <w:rFonts w:cstheme="minorHAnsi"/>
          <w:sz w:val="24"/>
          <w:szCs w:val="24"/>
        </w:rPr>
        <w:t>, and 385 incidents of intimidation,</w:t>
      </w:r>
      <w:r w:rsidR="009F72B8" w:rsidRPr="009513A7">
        <w:rPr>
          <w:rFonts w:cstheme="minorHAnsi"/>
          <w:sz w:val="24"/>
          <w:szCs w:val="24"/>
        </w:rPr>
        <w:t xml:space="preserve"> and </w:t>
      </w:r>
      <w:r w:rsidR="00D47B80">
        <w:rPr>
          <w:rFonts w:cstheme="minorHAnsi"/>
          <w:sz w:val="24"/>
          <w:szCs w:val="24"/>
        </w:rPr>
        <w:t xml:space="preserve">83 instances of </w:t>
      </w:r>
      <w:r w:rsidR="009F72B8" w:rsidRPr="009513A7">
        <w:rPr>
          <w:rFonts w:cstheme="minorHAnsi"/>
          <w:sz w:val="24"/>
          <w:szCs w:val="24"/>
        </w:rPr>
        <w:t>simple assault</w:t>
      </w:r>
      <w:r w:rsidR="00D47B80">
        <w:rPr>
          <w:rFonts w:cstheme="minorHAnsi"/>
          <w:sz w:val="24"/>
          <w:szCs w:val="24"/>
        </w:rPr>
        <w:t>.</w:t>
      </w:r>
      <w:r w:rsidR="009F72B8" w:rsidRPr="009513A7">
        <w:rPr>
          <w:rFonts w:cstheme="minorHAnsi"/>
          <w:sz w:val="24"/>
          <w:szCs w:val="24"/>
        </w:rPr>
        <w:t xml:space="preserve"> </w:t>
      </w:r>
      <w:r w:rsidR="00D47B80">
        <w:rPr>
          <w:rFonts w:cstheme="minorHAnsi"/>
          <w:sz w:val="24"/>
          <w:szCs w:val="24"/>
        </w:rPr>
        <w:t>Racial, religious, and sexual orientation t</w:t>
      </w:r>
      <w:r w:rsidR="009F72B8" w:rsidRPr="009513A7">
        <w:rPr>
          <w:rFonts w:cstheme="minorHAnsi"/>
          <w:sz w:val="24"/>
          <w:szCs w:val="24"/>
        </w:rPr>
        <w:t xml:space="preserve">hemes </w:t>
      </w:r>
      <w:r w:rsidR="009F72B8">
        <w:rPr>
          <w:rFonts w:cstheme="minorHAnsi"/>
          <w:sz w:val="24"/>
          <w:szCs w:val="24"/>
        </w:rPr>
        <w:t xml:space="preserve">were </w:t>
      </w:r>
      <w:r w:rsidR="009F72B8" w:rsidRPr="009513A7">
        <w:rPr>
          <w:rFonts w:cstheme="minorHAnsi"/>
          <w:sz w:val="24"/>
          <w:szCs w:val="24"/>
        </w:rPr>
        <w:t xml:space="preserve">frequently associated with </w:t>
      </w:r>
      <w:r w:rsidR="009F72B8">
        <w:rPr>
          <w:rFonts w:cstheme="minorHAnsi"/>
          <w:sz w:val="24"/>
          <w:szCs w:val="24"/>
        </w:rPr>
        <w:t xml:space="preserve">the 958 </w:t>
      </w:r>
      <w:r w:rsidR="009F72B8" w:rsidRPr="009513A7">
        <w:rPr>
          <w:rFonts w:cstheme="minorHAnsi"/>
          <w:sz w:val="24"/>
          <w:szCs w:val="24"/>
        </w:rPr>
        <w:t xml:space="preserve">hate crimes. </w:t>
      </w:r>
      <w:r w:rsidRPr="009513A7">
        <w:rPr>
          <w:rFonts w:cstheme="minorHAnsi"/>
          <w:sz w:val="24"/>
          <w:szCs w:val="24"/>
        </w:rPr>
        <w:t xml:space="preserve">Other controversial topics </w:t>
      </w:r>
      <w:r w:rsidR="00CE6C82">
        <w:rPr>
          <w:rFonts w:cstheme="minorHAnsi"/>
          <w:sz w:val="24"/>
          <w:szCs w:val="24"/>
        </w:rPr>
        <w:t>such as</w:t>
      </w:r>
      <w:r w:rsidRPr="009513A7">
        <w:rPr>
          <w:rFonts w:cstheme="minorHAnsi"/>
          <w:sz w:val="24"/>
          <w:szCs w:val="24"/>
        </w:rPr>
        <w:t xml:space="preserve"> concealed campus carry has IHEs </w:t>
      </w:r>
      <w:r w:rsidR="00CE6C82">
        <w:rPr>
          <w:rFonts w:cstheme="minorHAnsi"/>
          <w:sz w:val="24"/>
          <w:szCs w:val="24"/>
        </w:rPr>
        <w:t>considering</w:t>
      </w:r>
      <w:r w:rsidRPr="009513A7">
        <w:rPr>
          <w:rFonts w:cstheme="minorHAnsi"/>
          <w:sz w:val="24"/>
          <w:szCs w:val="24"/>
        </w:rPr>
        <w:t xml:space="preserve"> the implications for freedom of speech and the impact on communities of color (</w:t>
      </w:r>
      <w:r w:rsidRPr="009513A7">
        <w:rPr>
          <w:rFonts w:eastAsia="Calibri" w:cstheme="minorHAnsi"/>
          <w:sz w:val="24"/>
          <w:szCs w:val="24"/>
        </w:rPr>
        <w:t xml:space="preserve">Somers &amp; Valentine, 2020). </w:t>
      </w:r>
    </w:p>
    <w:p w14:paraId="6C589C6E" w14:textId="049081FE" w:rsidR="00522CE0" w:rsidRPr="00CE6C82" w:rsidRDefault="00522CE0" w:rsidP="00CE6C82">
      <w:pPr>
        <w:spacing w:after="0" w:line="480" w:lineRule="auto"/>
        <w:contextualSpacing/>
        <w:jc w:val="center"/>
        <w:rPr>
          <w:rFonts w:cstheme="minorHAnsi"/>
          <w:b/>
          <w:bCs/>
          <w:sz w:val="24"/>
          <w:szCs w:val="24"/>
        </w:rPr>
      </w:pPr>
      <w:r w:rsidRPr="00CE6C82">
        <w:rPr>
          <w:rFonts w:cstheme="minorHAnsi"/>
          <w:b/>
          <w:bCs/>
          <w:sz w:val="24"/>
          <w:szCs w:val="24"/>
        </w:rPr>
        <w:t xml:space="preserve">Theoretical </w:t>
      </w:r>
      <w:r w:rsidR="009B5C5C" w:rsidRPr="00CE6C82">
        <w:rPr>
          <w:rFonts w:cstheme="minorHAnsi"/>
          <w:b/>
          <w:bCs/>
          <w:sz w:val="24"/>
          <w:szCs w:val="24"/>
        </w:rPr>
        <w:t>Framework</w:t>
      </w:r>
    </w:p>
    <w:p w14:paraId="1733EA9D" w14:textId="6159631D" w:rsidR="00522CE0" w:rsidRDefault="00522CE0" w:rsidP="007B79D9">
      <w:pPr>
        <w:spacing w:after="0" w:line="480" w:lineRule="auto"/>
        <w:ind w:firstLine="720"/>
        <w:rPr>
          <w:rFonts w:cstheme="minorHAnsi"/>
          <w:bCs/>
          <w:sz w:val="24"/>
          <w:szCs w:val="24"/>
        </w:rPr>
      </w:pPr>
      <w:r>
        <w:rPr>
          <w:rFonts w:cstheme="minorHAnsi"/>
          <w:bCs/>
          <w:sz w:val="24"/>
          <w:szCs w:val="24"/>
        </w:rPr>
        <w:t xml:space="preserve">Threats come in many forms, including but not limited to, self-harm, gun violence, lone actor terrorism, cyberthreats, insider threats, and more (Meloy &amp; Hoffmann, 2021). These </w:t>
      </w:r>
      <w:r>
        <w:rPr>
          <w:rFonts w:cstheme="minorHAnsi"/>
          <w:bCs/>
          <w:sz w:val="24"/>
          <w:szCs w:val="24"/>
        </w:rPr>
        <w:lastRenderedPageBreak/>
        <w:t xml:space="preserve">incidents can quickly escalate to a crisis. How organizations, including TATs, respond to crisis can have a huge </w:t>
      </w:r>
      <w:r w:rsidR="00885CD8">
        <w:rPr>
          <w:rFonts w:cstheme="minorHAnsi"/>
          <w:bCs/>
          <w:sz w:val="24"/>
          <w:szCs w:val="24"/>
        </w:rPr>
        <w:t>effect</w:t>
      </w:r>
      <w:r>
        <w:rPr>
          <w:rFonts w:cstheme="minorHAnsi"/>
          <w:bCs/>
          <w:sz w:val="24"/>
          <w:szCs w:val="24"/>
        </w:rPr>
        <w:t xml:space="preserve"> on both the organization and leaders as “crisis is an acid test for leadership” (Bolman &amp; Deal, 2021, p. 313). Innovative responses to crisis stem from utilizing the</w:t>
      </w:r>
      <w:r w:rsidR="002D71F0">
        <w:rPr>
          <w:rFonts w:cstheme="minorHAnsi"/>
          <w:bCs/>
          <w:sz w:val="24"/>
          <w:szCs w:val="24"/>
        </w:rPr>
        <w:t xml:space="preserve"> four-</w:t>
      </w:r>
      <w:r>
        <w:rPr>
          <w:rFonts w:cstheme="minorHAnsi"/>
          <w:bCs/>
          <w:sz w:val="24"/>
          <w:szCs w:val="24"/>
        </w:rPr>
        <w:t>frame</w:t>
      </w:r>
      <w:r w:rsidR="002D71F0">
        <w:rPr>
          <w:rFonts w:cstheme="minorHAnsi"/>
          <w:bCs/>
          <w:sz w:val="24"/>
          <w:szCs w:val="24"/>
        </w:rPr>
        <w:t xml:space="preserve"> model</w:t>
      </w:r>
      <w:r>
        <w:rPr>
          <w:rFonts w:cstheme="minorHAnsi"/>
          <w:bCs/>
          <w:sz w:val="24"/>
          <w:szCs w:val="24"/>
        </w:rPr>
        <w:t xml:space="preserve"> and applying the</w:t>
      </w:r>
      <w:r w:rsidR="002D71F0">
        <w:rPr>
          <w:rFonts w:cstheme="minorHAnsi"/>
          <w:bCs/>
          <w:sz w:val="24"/>
          <w:szCs w:val="24"/>
        </w:rPr>
        <w:t xml:space="preserve"> frames</w:t>
      </w:r>
      <w:r>
        <w:rPr>
          <w:rFonts w:cstheme="minorHAnsi"/>
          <w:bCs/>
          <w:sz w:val="24"/>
          <w:szCs w:val="24"/>
        </w:rPr>
        <w:t xml:space="preserve"> as appropriate; no frame fits every situation (Bolman &amp; Deal, 2021; Roberts, 2010). The four frames – structural, human resource, political, and symbolic – can serve as the lenses through which TATs conduct threat assessment and case management to navigate threats in innovative and effective ways (Bolman &amp; Deal, 2021; </w:t>
      </w:r>
      <w:r w:rsidRPr="009513A7">
        <w:rPr>
          <w:rFonts w:eastAsia="Calibri" w:cstheme="minorHAnsi"/>
          <w:sz w:val="24"/>
          <w:szCs w:val="24"/>
        </w:rPr>
        <w:t>Deisinger</w:t>
      </w:r>
      <w:r w:rsidRPr="009513A7">
        <w:rPr>
          <w:rFonts w:cstheme="minorHAnsi"/>
          <w:sz w:val="24"/>
          <w:szCs w:val="24"/>
        </w:rPr>
        <w:t xml:space="preserve"> et al., 2008</w:t>
      </w:r>
      <w:r>
        <w:rPr>
          <w:rFonts w:cstheme="minorHAnsi"/>
          <w:sz w:val="24"/>
          <w:szCs w:val="24"/>
        </w:rPr>
        <w:t xml:space="preserve">; </w:t>
      </w:r>
      <w:r>
        <w:rPr>
          <w:rFonts w:cstheme="minorHAnsi"/>
          <w:bCs/>
          <w:sz w:val="24"/>
          <w:szCs w:val="24"/>
        </w:rPr>
        <w:t>Meloy &amp; Hoffmann, 2021). There are advantages and disadvantages for each frame (Bolman &amp; Deal, 2021).</w:t>
      </w:r>
      <w:r w:rsidRPr="00CD2568">
        <w:rPr>
          <w:rFonts w:cstheme="minorHAnsi"/>
          <w:bCs/>
          <w:sz w:val="24"/>
          <w:szCs w:val="24"/>
        </w:rPr>
        <w:t xml:space="preserve"> </w:t>
      </w:r>
      <w:r>
        <w:rPr>
          <w:rFonts w:cstheme="minorHAnsi"/>
          <w:bCs/>
          <w:sz w:val="24"/>
          <w:szCs w:val="24"/>
        </w:rPr>
        <w:t xml:space="preserve">The following is an overview of each of the four frames and how they may apply to leading through crisis. </w:t>
      </w:r>
    </w:p>
    <w:p w14:paraId="3DBC4EDE" w14:textId="77777777" w:rsidR="00522CE0" w:rsidRDefault="00522CE0" w:rsidP="003712EC">
      <w:pPr>
        <w:spacing w:after="0" w:line="480" w:lineRule="auto"/>
        <w:rPr>
          <w:rFonts w:cstheme="minorHAnsi"/>
          <w:b/>
          <w:sz w:val="24"/>
          <w:szCs w:val="24"/>
        </w:rPr>
      </w:pPr>
      <w:r w:rsidRPr="00DB1B14">
        <w:rPr>
          <w:rFonts w:cstheme="minorHAnsi"/>
          <w:b/>
          <w:sz w:val="24"/>
          <w:szCs w:val="24"/>
        </w:rPr>
        <w:t>Structural Frame</w:t>
      </w:r>
    </w:p>
    <w:p w14:paraId="7C2A7F93" w14:textId="78BE42EE" w:rsidR="00522CE0" w:rsidRPr="0052736E" w:rsidRDefault="00522CE0" w:rsidP="007B79D9">
      <w:pPr>
        <w:spacing w:after="0" w:line="480" w:lineRule="auto"/>
        <w:rPr>
          <w:rFonts w:cstheme="minorHAnsi"/>
          <w:b/>
          <w:sz w:val="24"/>
          <w:szCs w:val="24"/>
        </w:rPr>
      </w:pPr>
      <w:r>
        <w:rPr>
          <w:rFonts w:cstheme="minorHAnsi"/>
          <w:b/>
          <w:sz w:val="24"/>
          <w:szCs w:val="24"/>
        </w:rPr>
        <w:tab/>
      </w:r>
      <w:r w:rsidR="00885CD8">
        <w:rPr>
          <w:rFonts w:cstheme="minorHAnsi"/>
          <w:bCs/>
          <w:sz w:val="24"/>
          <w:szCs w:val="24"/>
        </w:rPr>
        <w:t>O</w:t>
      </w:r>
      <w:r>
        <w:rPr>
          <w:rFonts w:cstheme="minorHAnsi"/>
          <w:bCs/>
          <w:sz w:val="24"/>
          <w:szCs w:val="24"/>
        </w:rPr>
        <w:t xml:space="preserve">rganizational structure and accountability </w:t>
      </w:r>
      <w:r w:rsidR="00885CD8">
        <w:rPr>
          <w:rFonts w:cstheme="minorHAnsi"/>
          <w:bCs/>
          <w:sz w:val="24"/>
          <w:szCs w:val="24"/>
        </w:rPr>
        <w:t xml:space="preserve">are </w:t>
      </w:r>
      <w:r>
        <w:rPr>
          <w:rFonts w:cstheme="minorHAnsi"/>
          <w:bCs/>
          <w:sz w:val="24"/>
          <w:szCs w:val="24"/>
        </w:rPr>
        <w:t xml:space="preserve">a priority for success </w:t>
      </w:r>
      <w:r w:rsidR="00885CD8">
        <w:rPr>
          <w:rFonts w:cstheme="minorHAnsi"/>
          <w:bCs/>
          <w:sz w:val="24"/>
          <w:szCs w:val="24"/>
        </w:rPr>
        <w:t xml:space="preserve">in the structural frame </w:t>
      </w:r>
      <w:r>
        <w:rPr>
          <w:rFonts w:cstheme="minorHAnsi"/>
          <w:bCs/>
          <w:sz w:val="24"/>
          <w:szCs w:val="24"/>
        </w:rPr>
        <w:t xml:space="preserve">(Bolman &amp; Deal, 2021). The structural lens is rooted in scientific management and sociology as influenced by Taylor (1911) and Weber (1947). Frederick W. Taylor founded the “scientific management” </w:t>
      </w:r>
      <w:r w:rsidR="00885CD8">
        <w:rPr>
          <w:rFonts w:cstheme="minorHAnsi"/>
          <w:bCs/>
          <w:sz w:val="24"/>
          <w:szCs w:val="24"/>
        </w:rPr>
        <w:t>(</w:t>
      </w:r>
      <w:r w:rsidR="007B79D9">
        <w:rPr>
          <w:rFonts w:cstheme="minorHAnsi"/>
          <w:bCs/>
          <w:sz w:val="24"/>
          <w:szCs w:val="24"/>
        </w:rPr>
        <w:t xml:space="preserve">Bolman &amp; Deal, 2021, </w:t>
      </w:r>
      <w:r w:rsidR="00885CD8">
        <w:rPr>
          <w:rFonts w:cstheme="minorHAnsi"/>
          <w:bCs/>
          <w:sz w:val="24"/>
          <w:szCs w:val="24"/>
        </w:rPr>
        <w:t xml:space="preserve">p. 51) </w:t>
      </w:r>
      <w:r>
        <w:rPr>
          <w:rFonts w:cstheme="minorHAnsi"/>
          <w:bCs/>
          <w:sz w:val="24"/>
          <w:szCs w:val="24"/>
        </w:rPr>
        <w:t xml:space="preserve">approach where tasks are </w:t>
      </w:r>
      <w:r w:rsidR="00EC0F4A">
        <w:rPr>
          <w:rFonts w:cstheme="minorHAnsi"/>
          <w:bCs/>
          <w:sz w:val="24"/>
          <w:szCs w:val="24"/>
        </w:rPr>
        <w:t>divided</w:t>
      </w:r>
      <w:r>
        <w:rPr>
          <w:rFonts w:cstheme="minorHAnsi"/>
          <w:bCs/>
          <w:sz w:val="24"/>
          <w:szCs w:val="24"/>
        </w:rPr>
        <w:t xml:space="preserve"> into defined duties with clear expectations to enhance efficiencies</w:t>
      </w:r>
      <w:r w:rsidR="007B79D9">
        <w:rPr>
          <w:rFonts w:cstheme="minorHAnsi"/>
          <w:bCs/>
          <w:sz w:val="24"/>
          <w:szCs w:val="24"/>
        </w:rPr>
        <w:t>.</w:t>
      </w:r>
      <w:r>
        <w:rPr>
          <w:rFonts w:cstheme="minorHAnsi"/>
          <w:bCs/>
          <w:sz w:val="24"/>
          <w:szCs w:val="24"/>
        </w:rPr>
        <w:t xml:space="preserve"> Sociologist, Max Weber, pioneered “monocratic bureaucracy”</w:t>
      </w:r>
      <w:r w:rsidR="00885CD8">
        <w:rPr>
          <w:rFonts w:cstheme="minorHAnsi"/>
          <w:bCs/>
          <w:sz w:val="24"/>
          <w:szCs w:val="24"/>
        </w:rPr>
        <w:t xml:space="preserve"> (</w:t>
      </w:r>
      <w:r w:rsidR="007B79D9">
        <w:rPr>
          <w:rFonts w:cstheme="minorHAnsi"/>
          <w:bCs/>
          <w:sz w:val="24"/>
          <w:szCs w:val="24"/>
        </w:rPr>
        <w:t xml:space="preserve">Bolman &amp; Deal, 2021, </w:t>
      </w:r>
      <w:r w:rsidR="00885CD8">
        <w:rPr>
          <w:rFonts w:cstheme="minorHAnsi"/>
          <w:bCs/>
          <w:sz w:val="24"/>
          <w:szCs w:val="24"/>
        </w:rPr>
        <w:t>p. 51)</w:t>
      </w:r>
      <w:r>
        <w:rPr>
          <w:rFonts w:cstheme="minorHAnsi"/>
          <w:bCs/>
          <w:sz w:val="24"/>
          <w:szCs w:val="24"/>
        </w:rPr>
        <w:t xml:space="preserve"> as an effective way to maximize efficiencies. Weber’s original model described the following concepts, which inform the structural frame: fixed division</w:t>
      </w:r>
      <w:r w:rsidR="005F69FB">
        <w:rPr>
          <w:rFonts w:cstheme="minorHAnsi"/>
          <w:bCs/>
          <w:sz w:val="24"/>
          <w:szCs w:val="24"/>
        </w:rPr>
        <w:t>s</w:t>
      </w:r>
      <w:r>
        <w:rPr>
          <w:rFonts w:cstheme="minorHAnsi"/>
          <w:bCs/>
          <w:sz w:val="24"/>
          <w:szCs w:val="24"/>
        </w:rPr>
        <w:t xml:space="preserve"> of labor, hierarch</w:t>
      </w:r>
      <w:r w:rsidR="005F69FB">
        <w:rPr>
          <w:rFonts w:cstheme="minorHAnsi"/>
          <w:bCs/>
          <w:sz w:val="24"/>
          <w:szCs w:val="24"/>
        </w:rPr>
        <w:t>ies</w:t>
      </w:r>
      <w:r>
        <w:rPr>
          <w:rFonts w:cstheme="minorHAnsi"/>
          <w:bCs/>
          <w:sz w:val="24"/>
          <w:szCs w:val="24"/>
        </w:rPr>
        <w:t xml:space="preserve"> of offices, set</w:t>
      </w:r>
      <w:r w:rsidR="005F69FB">
        <w:rPr>
          <w:rFonts w:cstheme="minorHAnsi"/>
          <w:bCs/>
          <w:sz w:val="24"/>
          <w:szCs w:val="24"/>
        </w:rPr>
        <w:t>s</w:t>
      </w:r>
      <w:r>
        <w:rPr>
          <w:rFonts w:cstheme="minorHAnsi"/>
          <w:bCs/>
          <w:sz w:val="24"/>
          <w:szCs w:val="24"/>
        </w:rPr>
        <w:t xml:space="preserve"> of rules governing performance, separation of personal from official property and rights, the use of technical qualifications (not family ties or friendship) for selecting and promoting personnel, employment as primary occupation</w:t>
      </w:r>
      <w:r w:rsidR="00EC0F4A">
        <w:rPr>
          <w:rFonts w:cstheme="minorHAnsi"/>
          <w:bCs/>
          <w:sz w:val="24"/>
          <w:szCs w:val="24"/>
        </w:rPr>
        <w:t>,</w:t>
      </w:r>
      <w:r>
        <w:rPr>
          <w:rFonts w:cstheme="minorHAnsi"/>
          <w:bCs/>
          <w:sz w:val="24"/>
          <w:szCs w:val="24"/>
        </w:rPr>
        <w:t xml:space="preserve"> and long-term career (Bolman &amp; Deal, 2021; Weber, 1947). Taylor’s </w:t>
      </w:r>
      <w:r>
        <w:rPr>
          <w:rFonts w:cstheme="minorHAnsi"/>
          <w:bCs/>
          <w:sz w:val="24"/>
          <w:szCs w:val="24"/>
        </w:rPr>
        <w:lastRenderedPageBreak/>
        <w:t xml:space="preserve">(1911) approach and Weber’s (1947) model, serve as the inspiration for Bolman and Deal’s (2021) six assumptions of the structural frame. </w:t>
      </w:r>
    </w:p>
    <w:p w14:paraId="056D1DF2" w14:textId="77777777" w:rsidR="00522CE0" w:rsidRPr="00423E8E" w:rsidRDefault="00522CE0" w:rsidP="00522CE0">
      <w:pPr>
        <w:pStyle w:val="ListParagraph"/>
        <w:numPr>
          <w:ilvl w:val="0"/>
          <w:numId w:val="3"/>
        </w:numPr>
        <w:spacing w:line="480" w:lineRule="auto"/>
        <w:rPr>
          <w:rFonts w:asciiTheme="minorHAnsi" w:hAnsiTheme="minorHAnsi" w:cstheme="minorHAnsi"/>
          <w:bCs/>
          <w:szCs w:val="24"/>
        </w:rPr>
      </w:pPr>
      <w:r w:rsidRPr="00423E8E">
        <w:rPr>
          <w:rFonts w:asciiTheme="minorHAnsi" w:hAnsiTheme="minorHAnsi" w:cstheme="minorHAnsi"/>
          <w:bCs/>
          <w:szCs w:val="24"/>
        </w:rPr>
        <w:t xml:space="preserve">Organizations exist to achieve established goals and objectives and devise strategies to reach those goals. </w:t>
      </w:r>
    </w:p>
    <w:p w14:paraId="462283FC" w14:textId="77777777" w:rsidR="00522CE0" w:rsidRPr="00423E8E" w:rsidRDefault="00522CE0" w:rsidP="00522CE0">
      <w:pPr>
        <w:pStyle w:val="ListParagraph"/>
        <w:numPr>
          <w:ilvl w:val="0"/>
          <w:numId w:val="3"/>
        </w:numPr>
        <w:spacing w:line="480" w:lineRule="auto"/>
        <w:rPr>
          <w:rFonts w:asciiTheme="minorHAnsi" w:hAnsiTheme="minorHAnsi" w:cstheme="minorHAnsi"/>
          <w:bCs/>
          <w:szCs w:val="24"/>
        </w:rPr>
      </w:pPr>
      <w:r w:rsidRPr="00423E8E">
        <w:rPr>
          <w:rFonts w:asciiTheme="minorHAnsi" w:hAnsiTheme="minorHAnsi" w:cstheme="minorHAnsi"/>
          <w:bCs/>
          <w:szCs w:val="24"/>
        </w:rPr>
        <w:t xml:space="preserve">Organizations increase efficiency and enhance performance through specialization and appropriate division of labor. </w:t>
      </w:r>
    </w:p>
    <w:p w14:paraId="352E47CB" w14:textId="77777777" w:rsidR="00522CE0" w:rsidRPr="00423E8E" w:rsidRDefault="00522CE0" w:rsidP="00522CE0">
      <w:pPr>
        <w:pStyle w:val="ListParagraph"/>
        <w:numPr>
          <w:ilvl w:val="0"/>
          <w:numId w:val="3"/>
        </w:numPr>
        <w:spacing w:line="480" w:lineRule="auto"/>
        <w:rPr>
          <w:rFonts w:asciiTheme="minorHAnsi" w:hAnsiTheme="minorHAnsi" w:cstheme="minorHAnsi"/>
          <w:bCs/>
          <w:szCs w:val="24"/>
        </w:rPr>
      </w:pPr>
      <w:r w:rsidRPr="00423E8E">
        <w:rPr>
          <w:rFonts w:asciiTheme="minorHAnsi" w:hAnsiTheme="minorHAnsi" w:cstheme="minorHAnsi"/>
          <w:bCs/>
          <w:szCs w:val="24"/>
        </w:rPr>
        <w:t xml:space="preserve">Suitable forms of coordination and control ensure that diverse efforts of individuals and units mesh. </w:t>
      </w:r>
    </w:p>
    <w:p w14:paraId="4B850A24" w14:textId="77777777" w:rsidR="00522CE0" w:rsidRPr="00423E8E" w:rsidRDefault="00522CE0" w:rsidP="00522CE0">
      <w:pPr>
        <w:pStyle w:val="ListParagraph"/>
        <w:numPr>
          <w:ilvl w:val="0"/>
          <w:numId w:val="3"/>
        </w:numPr>
        <w:spacing w:line="480" w:lineRule="auto"/>
        <w:rPr>
          <w:rFonts w:asciiTheme="minorHAnsi" w:hAnsiTheme="minorHAnsi" w:cstheme="minorHAnsi"/>
          <w:bCs/>
          <w:szCs w:val="24"/>
        </w:rPr>
      </w:pPr>
      <w:r w:rsidRPr="00423E8E">
        <w:rPr>
          <w:rFonts w:asciiTheme="minorHAnsi" w:hAnsiTheme="minorHAnsi" w:cstheme="minorHAnsi"/>
          <w:bCs/>
          <w:szCs w:val="24"/>
        </w:rPr>
        <w:t>Organizations work best when rationality prevails over personal agendas and extraneous pressures.</w:t>
      </w:r>
    </w:p>
    <w:p w14:paraId="49E2E749" w14:textId="77777777" w:rsidR="00522CE0" w:rsidRPr="00423E8E" w:rsidRDefault="00522CE0" w:rsidP="00522CE0">
      <w:pPr>
        <w:pStyle w:val="ListParagraph"/>
        <w:numPr>
          <w:ilvl w:val="0"/>
          <w:numId w:val="3"/>
        </w:numPr>
        <w:spacing w:line="480" w:lineRule="auto"/>
        <w:rPr>
          <w:rFonts w:asciiTheme="minorHAnsi" w:hAnsiTheme="minorHAnsi" w:cstheme="minorHAnsi"/>
          <w:bCs/>
          <w:szCs w:val="24"/>
        </w:rPr>
      </w:pPr>
      <w:r w:rsidRPr="00423E8E">
        <w:rPr>
          <w:rFonts w:asciiTheme="minorHAnsi" w:hAnsiTheme="minorHAnsi" w:cstheme="minorHAnsi"/>
          <w:bCs/>
          <w:szCs w:val="24"/>
        </w:rPr>
        <w:t xml:space="preserve">Effective structure fits an organization’s current circumstances (including its strategy, technology, workforce, and environment). </w:t>
      </w:r>
    </w:p>
    <w:p w14:paraId="20CFBE0D" w14:textId="611F54BD" w:rsidR="00522CE0" w:rsidRPr="00423E8E" w:rsidRDefault="00522CE0" w:rsidP="007B50F8">
      <w:pPr>
        <w:pStyle w:val="ListParagraph"/>
        <w:numPr>
          <w:ilvl w:val="0"/>
          <w:numId w:val="3"/>
        </w:numPr>
        <w:spacing w:after="0" w:line="480" w:lineRule="auto"/>
        <w:rPr>
          <w:rFonts w:asciiTheme="minorHAnsi" w:hAnsiTheme="minorHAnsi" w:cstheme="minorHAnsi"/>
          <w:bCs/>
          <w:szCs w:val="24"/>
        </w:rPr>
      </w:pPr>
      <w:r w:rsidRPr="00423E8E">
        <w:rPr>
          <w:rFonts w:asciiTheme="minorHAnsi" w:hAnsiTheme="minorHAnsi" w:cstheme="minorHAnsi"/>
          <w:bCs/>
          <w:szCs w:val="24"/>
        </w:rPr>
        <w:t xml:space="preserve">When performance suffers from structural flaws, the preferred remedy is problem solving and restructuring. (Bolman </w:t>
      </w:r>
      <w:r w:rsidR="007B50F8">
        <w:rPr>
          <w:rFonts w:asciiTheme="minorHAnsi" w:hAnsiTheme="minorHAnsi" w:cstheme="minorHAnsi"/>
          <w:bCs/>
          <w:szCs w:val="24"/>
        </w:rPr>
        <w:t>&amp;</w:t>
      </w:r>
      <w:r w:rsidRPr="00423E8E">
        <w:rPr>
          <w:rFonts w:asciiTheme="minorHAnsi" w:hAnsiTheme="minorHAnsi" w:cstheme="minorHAnsi"/>
          <w:bCs/>
          <w:szCs w:val="24"/>
        </w:rPr>
        <w:t xml:space="preserve"> Deal, 2021, p. 50)</w:t>
      </w:r>
    </w:p>
    <w:p w14:paraId="7AE56809" w14:textId="75718B70" w:rsidR="005F69FB" w:rsidRDefault="00522CE0" w:rsidP="007B50F8">
      <w:pPr>
        <w:spacing w:after="0" w:line="480" w:lineRule="auto"/>
        <w:rPr>
          <w:rFonts w:cstheme="minorHAnsi"/>
          <w:b/>
          <w:bCs/>
          <w:sz w:val="24"/>
          <w:szCs w:val="24"/>
        </w:rPr>
      </w:pPr>
      <w:r>
        <w:rPr>
          <w:rFonts w:cstheme="minorHAnsi"/>
          <w:bCs/>
          <w:sz w:val="24"/>
          <w:szCs w:val="24"/>
        </w:rPr>
        <w:t>Considered social architects, leaders and/or teams who use the structural frame seek to establish and enforce structures and rules to meet clear goals (Bolman &amp; Deal, 2021). TATs that are lead through the structural frame see the value of a clear protocol, defined roles, and a solid understanding of how</w:t>
      </w:r>
      <w:r w:rsidR="00381C14">
        <w:rPr>
          <w:rFonts w:cstheme="minorHAnsi"/>
          <w:bCs/>
          <w:sz w:val="24"/>
          <w:szCs w:val="24"/>
        </w:rPr>
        <w:t xml:space="preserve"> such rules and roles</w:t>
      </w:r>
      <w:r>
        <w:rPr>
          <w:rFonts w:cstheme="minorHAnsi"/>
          <w:bCs/>
          <w:sz w:val="24"/>
          <w:szCs w:val="24"/>
        </w:rPr>
        <w:t xml:space="preserve"> operate in tandem during a threat or crisis. Rational thinking and problem solving grounded in polic</w:t>
      </w:r>
      <w:r w:rsidR="00EC0F4A">
        <w:rPr>
          <w:rFonts w:cstheme="minorHAnsi"/>
          <w:bCs/>
          <w:sz w:val="24"/>
          <w:szCs w:val="24"/>
        </w:rPr>
        <w:t>ies</w:t>
      </w:r>
      <w:r>
        <w:rPr>
          <w:rFonts w:cstheme="minorHAnsi"/>
          <w:bCs/>
          <w:sz w:val="24"/>
          <w:szCs w:val="24"/>
        </w:rPr>
        <w:t xml:space="preserve"> and procedure</w:t>
      </w:r>
      <w:r w:rsidR="00EC0F4A">
        <w:rPr>
          <w:rFonts w:cstheme="minorHAnsi"/>
          <w:bCs/>
          <w:sz w:val="24"/>
          <w:szCs w:val="24"/>
        </w:rPr>
        <w:t>s</w:t>
      </w:r>
      <w:r>
        <w:rPr>
          <w:rFonts w:cstheme="minorHAnsi"/>
          <w:bCs/>
          <w:sz w:val="24"/>
          <w:szCs w:val="24"/>
        </w:rPr>
        <w:t xml:space="preserve"> are hallmarks of a TAT operating </w:t>
      </w:r>
      <w:r w:rsidR="00EC0F4A">
        <w:rPr>
          <w:rFonts w:cstheme="minorHAnsi"/>
          <w:bCs/>
          <w:sz w:val="24"/>
          <w:szCs w:val="24"/>
        </w:rPr>
        <w:t xml:space="preserve">within </w:t>
      </w:r>
      <w:r>
        <w:rPr>
          <w:rFonts w:cstheme="minorHAnsi"/>
          <w:bCs/>
          <w:sz w:val="24"/>
          <w:szCs w:val="24"/>
        </w:rPr>
        <w:t xml:space="preserve">the structural frame (Bolman &amp; Deal, 2021; </w:t>
      </w:r>
      <w:r w:rsidRPr="00CD5EC0">
        <w:rPr>
          <w:rFonts w:cstheme="minorHAnsi"/>
          <w:sz w:val="24"/>
          <w:szCs w:val="24"/>
        </w:rPr>
        <w:t>Meloy</w:t>
      </w:r>
      <w:r>
        <w:rPr>
          <w:rFonts w:cstheme="minorHAnsi"/>
          <w:sz w:val="24"/>
          <w:szCs w:val="24"/>
        </w:rPr>
        <w:t xml:space="preserve"> &amp;</w:t>
      </w:r>
      <w:r w:rsidRPr="00CD5EC0">
        <w:rPr>
          <w:rFonts w:cstheme="minorHAnsi"/>
          <w:sz w:val="24"/>
          <w:szCs w:val="24"/>
        </w:rPr>
        <w:t xml:space="preserve"> Hoffmann, 2021</w:t>
      </w:r>
      <w:r>
        <w:rPr>
          <w:rFonts w:cstheme="minorHAnsi"/>
          <w:bCs/>
          <w:sz w:val="24"/>
          <w:szCs w:val="24"/>
        </w:rPr>
        <w:t xml:space="preserve">). TATs </w:t>
      </w:r>
      <w:r w:rsidR="00EC0F4A">
        <w:rPr>
          <w:rFonts w:cstheme="minorHAnsi"/>
          <w:bCs/>
          <w:sz w:val="24"/>
          <w:szCs w:val="24"/>
        </w:rPr>
        <w:t>that</w:t>
      </w:r>
      <w:r>
        <w:rPr>
          <w:rFonts w:cstheme="minorHAnsi"/>
          <w:bCs/>
          <w:sz w:val="24"/>
          <w:szCs w:val="24"/>
        </w:rPr>
        <w:t xml:space="preserve"> fail to utilize the structural frame may waste time, energy, and resources during critical responses</w:t>
      </w:r>
      <w:r w:rsidRPr="00EF53AA">
        <w:rPr>
          <w:rFonts w:cstheme="minorHAnsi"/>
          <w:bCs/>
          <w:sz w:val="24"/>
          <w:szCs w:val="24"/>
        </w:rPr>
        <w:t xml:space="preserve"> </w:t>
      </w:r>
      <w:r>
        <w:rPr>
          <w:rFonts w:cstheme="minorHAnsi"/>
          <w:bCs/>
          <w:sz w:val="24"/>
          <w:szCs w:val="24"/>
        </w:rPr>
        <w:t xml:space="preserve">(Bolman &amp; Deal, 2021). However, sole reliance on this frame risks losing sight </w:t>
      </w:r>
      <w:r>
        <w:rPr>
          <w:rFonts w:cstheme="minorHAnsi"/>
          <w:bCs/>
          <w:sz w:val="24"/>
          <w:szCs w:val="24"/>
        </w:rPr>
        <w:lastRenderedPageBreak/>
        <w:t xml:space="preserve">of human, political, and cultural variables necessary in response to a threat. Unlike the structural frames’ reliance on rules, the human resource frame focuses on the people who </w:t>
      </w:r>
      <w:r w:rsidR="005F69FB">
        <w:rPr>
          <w:rFonts w:cstheme="minorHAnsi"/>
          <w:bCs/>
          <w:sz w:val="24"/>
          <w:szCs w:val="24"/>
        </w:rPr>
        <w:t>comprise</w:t>
      </w:r>
      <w:r>
        <w:rPr>
          <w:rFonts w:cstheme="minorHAnsi"/>
          <w:bCs/>
          <w:sz w:val="24"/>
          <w:szCs w:val="24"/>
        </w:rPr>
        <w:t xml:space="preserve"> the organization.</w:t>
      </w:r>
    </w:p>
    <w:p w14:paraId="055AD96E" w14:textId="37CAD1F5" w:rsidR="00522CE0" w:rsidRDefault="00522CE0" w:rsidP="007B50F8">
      <w:pPr>
        <w:spacing w:after="0" w:line="480" w:lineRule="auto"/>
        <w:rPr>
          <w:rFonts w:cstheme="minorHAnsi"/>
          <w:b/>
          <w:bCs/>
          <w:sz w:val="24"/>
          <w:szCs w:val="24"/>
        </w:rPr>
      </w:pPr>
      <w:r w:rsidRPr="00DB1B14">
        <w:rPr>
          <w:rFonts w:cstheme="minorHAnsi"/>
          <w:b/>
          <w:bCs/>
          <w:sz w:val="24"/>
          <w:szCs w:val="24"/>
        </w:rPr>
        <w:t>Human Resource Frame</w:t>
      </w:r>
    </w:p>
    <w:p w14:paraId="0953FDEC" w14:textId="567BB0ED" w:rsidR="00522CE0" w:rsidRPr="0052736E" w:rsidRDefault="00522CE0" w:rsidP="007B50F8">
      <w:pPr>
        <w:spacing w:after="0" w:line="480" w:lineRule="auto"/>
        <w:rPr>
          <w:rFonts w:cstheme="minorHAnsi"/>
          <w:b/>
          <w:bCs/>
          <w:sz w:val="24"/>
          <w:szCs w:val="24"/>
        </w:rPr>
      </w:pPr>
      <w:r>
        <w:rPr>
          <w:rFonts w:cstheme="minorHAnsi"/>
          <w:b/>
          <w:bCs/>
          <w:sz w:val="24"/>
          <w:szCs w:val="24"/>
        </w:rPr>
        <w:tab/>
      </w:r>
      <w:r>
        <w:rPr>
          <w:rFonts w:cstheme="minorHAnsi"/>
          <w:sz w:val="24"/>
          <w:szCs w:val="24"/>
        </w:rPr>
        <w:t xml:space="preserve">The human resource frame was influenced by several theorists including Abraham Maslow (1954), Douglas McGregor (1960), Chris Argyris (1957, 1964), and Frederick Herzberg (1966). Bolman and Deal’s (2021) human resource frame was developed from the work of Mary Parker Follet (1918) and Elton Mayo (1933, 1945). Follet and Mayo argued that the talent and loyalty of people are vital to an organization’s sustainability and the idea of working simply for a </w:t>
      </w:r>
      <w:r w:rsidRPr="00BA37DC">
        <w:rPr>
          <w:rFonts w:cstheme="minorHAnsi"/>
          <w:sz w:val="24"/>
          <w:szCs w:val="24"/>
        </w:rPr>
        <w:t xml:space="preserve">paycheck is lackluster. </w:t>
      </w:r>
      <w:r>
        <w:rPr>
          <w:rFonts w:cstheme="minorHAnsi"/>
          <w:sz w:val="24"/>
          <w:szCs w:val="24"/>
        </w:rPr>
        <w:t xml:space="preserve">Their work was critical for the organizational shift from processes and productivity to people and relationships; thus, the human resource lens views the people that </w:t>
      </w:r>
      <w:r w:rsidR="005F69FB">
        <w:rPr>
          <w:rFonts w:cstheme="minorHAnsi"/>
          <w:sz w:val="24"/>
          <w:szCs w:val="24"/>
        </w:rPr>
        <w:t>comprise</w:t>
      </w:r>
      <w:r>
        <w:rPr>
          <w:rFonts w:cstheme="minorHAnsi"/>
          <w:sz w:val="24"/>
          <w:szCs w:val="24"/>
        </w:rPr>
        <w:t xml:space="preserve"> an organization, or team, as an extended family (Bolman &amp; Deal, 2021). </w:t>
      </w:r>
      <w:r w:rsidRPr="00BA37DC">
        <w:rPr>
          <w:rFonts w:cstheme="minorHAnsi"/>
          <w:sz w:val="24"/>
          <w:szCs w:val="24"/>
        </w:rPr>
        <w:t>The following are the core assumptions of the human resource frame that connect</w:t>
      </w:r>
      <w:r>
        <w:rPr>
          <w:rFonts w:cstheme="minorHAnsi"/>
          <w:sz w:val="24"/>
          <w:szCs w:val="24"/>
        </w:rPr>
        <w:t>s</w:t>
      </w:r>
      <w:r w:rsidRPr="00BA37DC">
        <w:rPr>
          <w:rFonts w:cstheme="minorHAnsi"/>
          <w:sz w:val="24"/>
          <w:szCs w:val="24"/>
        </w:rPr>
        <w:t xml:space="preserve"> people and organizations: </w:t>
      </w:r>
    </w:p>
    <w:p w14:paraId="7640F99C" w14:textId="77777777" w:rsidR="00522CE0" w:rsidRPr="00BA37DC" w:rsidRDefault="00522CE0" w:rsidP="00522CE0">
      <w:pPr>
        <w:pStyle w:val="ListParagraph"/>
        <w:numPr>
          <w:ilvl w:val="0"/>
          <w:numId w:val="4"/>
        </w:numPr>
        <w:spacing w:line="480" w:lineRule="auto"/>
        <w:rPr>
          <w:rFonts w:asciiTheme="minorHAnsi" w:hAnsiTheme="minorHAnsi" w:cstheme="minorHAnsi"/>
          <w:szCs w:val="24"/>
        </w:rPr>
      </w:pPr>
      <w:r w:rsidRPr="00BA37DC">
        <w:rPr>
          <w:rFonts w:asciiTheme="minorHAnsi" w:hAnsiTheme="minorHAnsi" w:cstheme="minorHAnsi"/>
          <w:szCs w:val="24"/>
        </w:rPr>
        <w:t xml:space="preserve">Organizations exist to serve human needs rather than the converse. </w:t>
      </w:r>
    </w:p>
    <w:p w14:paraId="35B4BC53" w14:textId="77777777" w:rsidR="00522CE0" w:rsidRPr="00BA37DC" w:rsidRDefault="00522CE0" w:rsidP="00522CE0">
      <w:pPr>
        <w:pStyle w:val="ListParagraph"/>
        <w:numPr>
          <w:ilvl w:val="0"/>
          <w:numId w:val="4"/>
        </w:numPr>
        <w:spacing w:line="480" w:lineRule="auto"/>
        <w:rPr>
          <w:rFonts w:asciiTheme="minorHAnsi" w:hAnsiTheme="minorHAnsi" w:cstheme="minorHAnsi"/>
          <w:szCs w:val="24"/>
        </w:rPr>
      </w:pPr>
      <w:r w:rsidRPr="00BA37DC">
        <w:rPr>
          <w:rFonts w:asciiTheme="minorHAnsi" w:hAnsiTheme="minorHAnsi" w:cstheme="minorHAnsi"/>
          <w:szCs w:val="24"/>
        </w:rPr>
        <w:t xml:space="preserve">People and organizations need each other. Organizations need ideas, energy, and talent; people need careers, salaries, and opportunities. </w:t>
      </w:r>
    </w:p>
    <w:p w14:paraId="71A9904B" w14:textId="77777777" w:rsidR="00522CE0" w:rsidRPr="00BA37DC" w:rsidRDefault="00522CE0" w:rsidP="00522CE0">
      <w:pPr>
        <w:pStyle w:val="ListParagraph"/>
        <w:numPr>
          <w:ilvl w:val="0"/>
          <w:numId w:val="4"/>
        </w:numPr>
        <w:spacing w:line="480" w:lineRule="auto"/>
        <w:rPr>
          <w:rFonts w:asciiTheme="minorHAnsi" w:hAnsiTheme="minorHAnsi" w:cstheme="minorHAnsi"/>
          <w:szCs w:val="24"/>
        </w:rPr>
      </w:pPr>
      <w:r w:rsidRPr="00BA37DC">
        <w:rPr>
          <w:rFonts w:asciiTheme="minorHAnsi" w:hAnsiTheme="minorHAnsi" w:cstheme="minorHAnsi"/>
          <w:szCs w:val="24"/>
        </w:rPr>
        <w:t xml:space="preserve">When the fit between individual and system is poor, one or both suffer. Individuals are exploited or exploit the organization – or both become victims. </w:t>
      </w:r>
    </w:p>
    <w:p w14:paraId="11118CC7" w14:textId="7F4BB4A2" w:rsidR="00522CE0" w:rsidRPr="00BA37DC" w:rsidRDefault="00522CE0" w:rsidP="00381C14">
      <w:pPr>
        <w:pStyle w:val="ListParagraph"/>
        <w:numPr>
          <w:ilvl w:val="0"/>
          <w:numId w:val="4"/>
        </w:numPr>
        <w:spacing w:after="0" w:line="480" w:lineRule="auto"/>
        <w:rPr>
          <w:rFonts w:asciiTheme="minorHAnsi" w:hAnsiTheme="minorHAnsi" w:cstheme="minorHAnsi"/>
          <w:szCs w:val="24"/>
        </w:rPr>
      </w:pPr>
      <w:r w:rsidRPr="00BA37DC">
        <w:rPr>
          <w:rFonts w:asciiTheme="minorHAnsi" w:hAnsiTheme="minorHAnsi" w:cstheme="minorHAnsi"/>
          <w:szCs w:val="24"/>
        </w:rPr>
        <w:t xml:space="preserve">A good fit benefits both. Individuals find meaningful and satisfying work, and organizations get the talent and energy they need to succeed. </w:t>
      </w:r>
      <w:r w:rsidR="009F72B8" w:rsidRPr="00423E8E">
        <w:rPr>
          <w:rFonts w:asciiTheme="minorHAnsi" w:hAnsiTheme="minorHAnsi" w:cstheme="minorHAnsi"/>
          <w:bCs/>
          <w:szCs w:val="24"/>
        </w:rPr>
        <w:t xml:space="preserve">(Bolman </w:t>
      </w:r>
      <w:r w:rsidR="009F72B8">
        <w:rPr>
          <w:rFonts w:asciiTheme="minorHAnsi" w:hAnsiTheme="minorHAnsi" w:cstheme="minorHAnsi"/>
          <w:bCs/>
          <w:szCs w:val="24"/>
        </w:rPr>
        <w:t>&amp;</w:t>
      </w:r>
      <w:r w:rsidR="009F72B8" w:rsidRPr="00423E8E">
        <w:rPr>
          <w:rFonts w:asciiTheme="minorHAnsi" w:hAnsiTheme="minorHAnsi" w:cstheme="minorHAnsi"/>
          <w:bCs/>
          <w:szCs w:val="24"/>
        </w:rPr>
        <w:t xml:space="preserve"> Deal, 2021, p. </w:t>
      </w:r>
      <w:r w:rsidR="009F72B8">
        <w:rPr>
          <w:rFonts w:asciiTheme="minorHAnsi" w:hAnsiTheme="minorHAnsi" w:cstheme="minorHAnsi"/>
          <w:bCs/>
          <w:szCs w:val="24"/>
        </w:rPr>
        <w:t>121–122</w:t>
      </w:r>
      <w:r w:rsidR="009F72B8" w:rsidRPr="00423E8E">
        <w:rPr>
          <w:rFonts w:asciiTheme="minorHAnsi" w:hAnsiTheme="minorHAnsi" w:cstheme="minorHAnsi"/>
          <w:bCs/>
          <w:szCs w:val="24"/>
        </w:rPr>
        <w:t>)</w:t>
      </w:r>
    </w:p>
    <w:p w14:paraId="695267C3" w14:textId="6383C7A2" w:rsidR="00522CE0" w:rsidRDefault="00522CE0" w:rsidP="007B50F8">
      <w:pPr>
        <w:spacing w:after="0" w:line="480" w:lineRule="auto"/>
        <w:rPr>
          <w:rFonts w:cstheme="minorHAnsi"/>
          <w:sz w:val="24"/>
          <w:szCs w:val="24"/>
        </w:rPr>
      </w:pPr>
      <w:r>
        <w:rPr>
          <w:rFonts w:cstheme="minorHAnsi"/>
          <w:sz w:val="24"/>
          <w:szCs w:val="24"/>
        </w:rPr>
        <w:lastRenderedPageBreak/>
        <w:t>One disadvantage of this frame is the potential for an unrealistic assumption that everyone in the organization</w:t>
      </w:r>
      <w:r w:rsidR="009F72B8">
        <w:rPr>
          <w:rFonts w:cstheme="minorHAnsi"/>
          <w:sz w:val="24"/>
          <w:szCs w:val="24"/>
        </w:rPr>
        <w:t xml:space="preserve"> has the same goal</w:t>
      </w:r>
      <w:r>
        <w:rPr>
          <w:rFonts w:cstheme="minorHAnsi"/>
          <w:sz w:val="24"/>
          <w:szCs w:val="24"/>
        </w:rPr>
        <w:t xml:space="preserve">. TATs </w:t>
      </w:r>
      <w:r w:rsidR="005F69FB">
        <w:rPr>
          <w:rFonts w:cstheme="minorHAnsi"/>
          <w:sz w:val="24"/>
          <w:szCs w:val="24"/>
        </w:rPr>
        <w:t>that</w:t>
      </w:r>
      <w:r>
        <w:rPr>
          <w:rFonts w:cstheme="minorHAnsi"/>
          <w:sz w:val="24"/>
          <w:szCs w:val="24"/>
        </w:rPr>
        <w:t xml:space="preserve"> lean too heavily into the needs and wants of the people may miss the difficult realities of conflict and scarcity (Bolman &amp; Deal, 2021). TATs that use the human resource frame value the individual by balancing the needs of the individual and the organization, or IHE. In contrast, the political frame strives to secure resources necessary for success. </w:t>
      </w:r>
    </w:p>
    <w:p w14:paraId="196389E5" w14:textId="2F71E097" w:rsidR="00522CE0" w:rsidRPr="00DB1B14" w:rsidRDefault="00522CE0" w:rsidP="00381C14">
      <w:pPr>
        <w:spacing w:after="0" w:line="480" w:lineRule="auto"/>
        <w:rPr>
          <w:rFonts w:cstheme="minorHAnsi"/>
          <w:b/>
          <w:bCs/>
          <w:sz w:val="24"/>
          <w:szCs w:val="24"/>
        </w:rPr>
      </w:pPr>
      <w:r w:rsidRPr="00DB1B14">
        <w:rPr>
          <w:rFonts w:cstheme="minorHAnsi"/>
          <w:b/>
          <w:bCs/>
          <w:sz w:val="24"/>
          <w:szCs w:val="24"/>
        </w:rPr>
        <w:t>Political Frame</w:t>
      </w:r>
    </w:p>
    <w:p w14:paraId="1AADD8CE" w14:textId="258565E8" w:rsidR="00522CE0" w:rsidRDefault="00522CE0" w:rsidP="00381C14">
      <w:pPr>
        <w:spacing w:after="0" w:line="480" w:lineRule="auto"/>
        <w:rPr>
          <w:rFonts w:cstheme="minorHAnsi"/>
          <w:bCs/>
          <w:sz w:val="24"/>
          <w:szCs w:val="24"/>
        </w:rPr>
      </w:pPr>
      <w:r>
        <w:rPr>
          <w:rFonts w:cstheme="minorHAnsi"/>
          <w:sz w:val="24"/>
          <w:szCs w:val="24"/>
        </w:rPr>
        <w:tab/>
        <w:t xml:space="preserve">The political frame is based on the work of Richard Cyert and James March (1963) which views organizations as coalitions made up of individuals who negotiate, or bargain, to find the resources necessary for success (Bolman &amp; Deal, 2021). Leaders who use the political frame </w:t>
      </w:r>
      <w:r w:rsidR="0065462A">
        <w:rPr>
          <w:rFonts w:cstheme="minorHAnsi"/>
          <w:sz w:val="24"/>
          <w:szCs w:val="24"/>
        </w:rPr>
        <w:t>rely</w:t>
      </w:r>
      <w:r>
        <w:rPr>
          <w:rFonts w:cstheme="minorHAnsi"/>
          <w:sz w:val="24"/>
          <w:szCs w:val="24"/>
        </w:rPr>
        <w:t xml:space="preserve"> on networking and negotiating between interest groups for scarce resources. TATs who use this frame are aware of limited resources, hidden agendas, and the need to make </w:t>
      </w:r>
      <w:r w:rsidR="00EC3387">
        <w:rPr>
          <w:rFonts w:cstheme="minorHAnsi"/>
          <w:sz w:val="24"/>
          <w:szCs w:val="24"/>
        </w:rPr>
        <w:t>tough decisions</w:t>
      </w:r>
      <w:r>
        <w:rPr>
          <w:rFonts w:cstheme="minorHAnsi"/>
          <w:sz w:val="24"/>
          <w:szCs w:val="24"/>
        </w:rPr>
        <w:t xml:space="preserve"> in a crisis (</w:t>
      </w:r>
      <w:r>
        <w:rPr>
          <w:rFonts w:cstheme="minorHAnsi"/>
          <w:bCs/>
          <w:sz w:val="24"/>
          <w:szCs w:val="24"/>
        </w:rPr>
        <w:t xml:space="preserve">Bolman &amp; Deal, 2021; </w:t>
      </w:r>
      <w:r w:rsidRPr="009513A7">
        <w:rPr>
          <w:rFonts w:eastAsia="Calibri" w:cstheme="minorHAnsi"/>
          <w:sz w:val="24"/>
          <w:szCs w:val="24"/>
        </w:rPr>
        <w:t>Deisinger</w:t>
      </w:r>
      <w:r w:rsidRPr="009513A7">
        <w:rPr>
          <w:rFonts w:cstheme="minorHAnsi"/>
          <w:sz w:val="24"/>
          <w:szCs w:val="24"/>
        </w:rPr>
        <w:t xml:space="preserve"> et al., 2008</w:t>
      </w:r>
      <w:r>
        <w:rPr>
          <w:rFonts w:cstheme="minorHAnsi"/>
          <w:sz w:val="24"/>
          <w:szCs w:val="24"/>
        </w:rPr>
        <w:t xml:space="preserve">; </w:t>
      </w:r>
      <w:r>
        <w:rPr>
          <w:rFonts w:cstheme="minorHAnsi"/>
          <w:bCs/>
          <w:sz w:val="24"/>
          <w:szCs w:val="24"/>
        </w:rPr>
        <w:t xml:space="preserve">Meloy &amp; Hoffmann, 2021). The following five propositions that summarize the political view of organizations as roiling arenas that host ongoing contests arising from individual and group interests: </w:t>
      </w:r>
    </w:p>
    <w:p w14:paraId="1A631CAC" w14:textId="77777777" w:rsidR="00522CE0" w:rsidRPr="008C273C" w:rsidRDefault="00522CE0" w:rsidP="00522CE0">
      <w:pPr>
        <w:pStyle w:val="ListParagraph"/>
        <w:numPr>
          <w:ilvl w:val="0"/>
          <w:numId w:val="5"/>
        </w:numPr>
        <w:spacing w:line="480" w:lineRule="auto"/>
        <w:rPr>
          <w:rFonts w:asciiTheme="minorHAnsi" w:hAnsiTheme="minorHAnsi" w:cstheme="minorHAnsi"/>
          <w:bCs/>
          <w:szCs w:val="24"/>
        </w:rPr>
      </w:pPr>
      <w:r w:rsidRPr="008C273C">
        <w:rPr>
          <w:rFonts w:asciiTheme="minorHAnsi" w:hAnsiTheme="minorHAnsi" w:cstheme="minorHAnsi"/>
          <w:bCs/>
          <w:szCs w:val="24"/>
        </w:rPr>
        <w:t>Organizations are coalitions of different individuals and interest groups.</w:t>
      </w:r>
    </w:p>
    <w:p w14:paraId="674FB10C" w14:textId="77777777" w:rsidR="00522CE0" w:rsidRPr="008C273C" w:rsidRDefault="00522CE0" w:rsidP="00522CE0">
      <w:pPr>
        <w:pStyle w:val="ListParagraph"/>
        <w:numPr>
          <w:ilvl w:val="0"/>
          <w:numId w:val="5"/>
        </w:numPr>
        <w:spacing w:line="480" w:lineRule="auto"/>
        <w:rPr>
          <w:rFonts w:asciiTheme="minorHAnsi" w:hAnsiTheme="minorHAnsi" w:cstheme="minorHAnsi"/>
          <w:bCs/>
          <w:szCs w:val="24"/>
        </w:rPr>
      </w:pPr>
      <w:r w:rsidRPr="008C273C">
        <w:rPr>
          <w:rFonts w:asciiTheme="minorHAnsi" w:hAnsiTheme="minorHAnsi" w:cstheme="minorHAnsi"/>
          <w:bCs/>
          <w:szCs w:val="24"/>
        </w:rPr>
        <w:t>Coalition members have enduring difference</w:t>
      </w:r>
      <w:r>
        <w:rPr>
          <w:rFonts w:asciiTheme="minorHAnsi" w:hAnsiTheme="minorHAnsi" w:cstheme="minorHAnsi"/>
          <w:bCs/>
          <w:szCs w:val="24"/>
        </w:rPr>
        <w:t>s</w:t>
      </w:r>
      <w:r w:rsidRPr="008C273C">
        <w:rPr>
          <w:rFonts w:asciiTheme="minorHAnsi" w:hAnsiTheme="minorHAnsi" w:cstheme="minorHAnsi"/>
          <w:bCs/>
          <w:szCs w:val="24"/>
        </w:rPr>
        <w:t xml:space="preserve"> in values, beliefs, information, interests, resources, and perceptions of reality. </w:t>
      </w:r>
    </w:p>
    <w:p w14:paraId="77480CE5" w14:textId="77777777" w:rsidR="00522CE0" w:rsidRPr="008C273C" w:rsidRDefault="00522CE0" w:rsidP="00522CE0">
      <w:pPr>
        <w:pStyle w:val="ListParagraph"/>
        <w:numPr>
          <w:ilvl w:val="0"/>
          <w:numId w:val="5"/>
        </w:numPr>
        <w:spacing w:line="480" w:lineRule="auto"/>
        <w:rPr>
          <w:rFonts w:asciiTheme="minorHAnsi" w:hAnsiTheme="minorHAnsi" w:cstheme="minorHAnsi"/>
          <w:bCs/>
          <w:szCs w:val="24"/>
        </w:rPr>
      </w:pPr>
      <w:r w:rsidRPr="008C273C">
        <w:rPr>
          <w:rFonts w:asciiTheme="minorHAnsi" w:hAnsiTheme="minorHAnsi" w:cstheme="minorHAnsi"/>
          <w:bCs/>
          <w:szCs w:val="24"/>
        </w:rPr>
        <w:t>Most important decisions involve allocating scarce resources – deciding who gets what.</w:t>
      </w:r>
    </w:p>
    <w:p w14:paraId="2223B0D8" w14:textId="77777777" w:rsidR="00522CE0" w:rsidRPr="008C273C" w:rsidRDefault="00522CE0" w:rsidP="00522CE0">
      <w:pPr>
        <w:pStyle w:val="ListParagraph"/>
        <w:numPr>
          <w:ilvl w:val="0"/>
          <w:numId w:val="5"/>
        </w:numPr>
        <w:spacing w:line="480" w:lineRule="auto"/>
        <w:rPr>
          <w:rFonts w:asciiTheme="minorHAnsi" w:hAnsiTheme="minorHAnsi" w:cstheme="minorHAnsi"/>
          <w:bCs/>
          <w:szCs w:val="24"/>
        </w:rPr>
      </w:pPr>
      <w:r w:rsidRPr="008C273C">
        <w:rPr>
          <w:rFonts w:asciiTheme="minorHAnsi" w:hAnsiTheme="minorHAnsi" w:cstheme="minorHAnsi"/>
          <w:bCs/>
          <w:szCs w:val="24"/>
        </w:rPr>
        <w:t>Scarce resources and enduring differences put conflict at the center of the day-to-day dynamics and make power the most important asset.</w:t>
      </w:r>
    </w:p>
    <w:p w14:paraId="4E44077D" w14:textId="4F018A68" w:rsidR="00522CE0" w:rsidRPr="008C273C" w:rsidRDefault="00522CE0" w:rsidP="00381C14">
      <w:pPr>
        <w:pStyle w:val="ListParagraph"/>
        <w:numPr>
          <w:ilvl w:val="0"/>
          <w:numId w:val="5"/>
        </w:numPr>
        <w:spacing w:after="0" w:line="480" w:lineRule="auto"/>
        <w:rPr>
          <w:rFonts w:asciiTheme="minorHAnsi" w:hAnsiTheme="minorHAnsi" w:cstheme="minorHAnsi"/>
          <w:bCs/>
          <w:szCs w:val="24"/>
        </w:rPr>
      </w:pPr>
      <w:r w:rsidRPr="008C273C">
        <w:rPr>
          <w:rFonts w:asciiTheme="minorHAnsi" w:hAnsiTheme="minorHAnsi" w:cstheme="minorHAnsi"/>
          <w:bCs/>
          <w:szCs w:val="24"/>
        </w:rPr>
        <w:lastRenderedPageBreak/>
        <w:t xml:space="preserve">Goals and decisions emerge from bargaining and negotiation among competing stakeholders jockeying for their respective interests. (Bolman </w:t>
      </w:r>
      <w:r w:rsidR="00381C14">
        <w:rPr>
          <w:rFonts w:asciiTheme="minorHAnsi" w:hAnsiTheme="minorHAnsi" w:cstheme="minorHAnsi"/>
          <w:bCs/>
          <w:szCs w:val="24"/>
        </w:rPr>
        <w:t>&amp;</w:t>
      </w:r>
      <w:r w:rsidR="00381C14" w:rsidRPr="008C273C">
        <w:rPr>
          <w:rFonts w:asciiTheme="minorHAnsi" w:hAnsiTheme="minorHAnsi" w:cstheme="minorHAnsi"/>
          <w:bCs/>
          <w:szCs w:val="24"/>
        </w:rPr>
        <w:t xml:space="preserve"> </w:t>
      </w:r>
      <w:r w:rsidRPr="008C273C">
        <w:rPr>
          <w:rFonts w:asciiTheme="minorHAnsi" w:hAnsiTheme="minorHAnsi" w:cstheme="minorHAnsi"/>
          <w:bCs/>
          <w:szCs w:val="24"/>
        </w:rPr>
        <w:t>Deal, 2021, p. 191)</w:t>
      </w:r>
    </w:p>
    <w:p w14:paraId="22E02905" w14:textId="52DB2F3D" w:rsidR="00522CE0" w:rsidRDefault="00522CE0" w:rsidP="007B50F8">
      <w:pPr>
        <w:spacing w:after="0" w:line="480" w:lineRule="auto"/>
        <w:rPr>
          <w:rFonts w:cstheme="minorHAnsi"/>
          <w:sz w:val="24"/>
          <w:szCs w:val="24"/>
        </w:rPr>
      </w:pPr>
      <w:r>
        <w:rPr>
          <w:rFonts w:cstheme="minorHAnsi"/>
          <w:bCs/>
          <w:sz w:val="24"/>
          <w:szCs w:val="24"/>
        </w:rPr>
        <w:t xml:space="preserve">The political frame captures </w:t>
      </w:r>
      <w:r w:rsidR="00381C14">
        <w:rPr>
          <w:rFonts w:cstheme="minorHAnsi"/>
          <w:bCs/>
          <w:sz w:val="24"/>
          <w:szCs w:val="24"/>
        </w:rPr>
        <w:t xml:space="preserve">what </w:t>
      </w:r>
      <w:r>
        <w:rPr>
          <w:rFonts w:cstheme="minorHAnsi"/>
          <w:bCs/>
          <w:sz w:val="24"/>
          <w:szCs w:val="24"/>
        </w:rPr>
        <w:t xml:space="preserve">other frames can miss which may prove vital during a crisis </w:t>
      </w:r>
      <w:r w:rsidR="005F69FB">
        <w:rPr>
          <w:rFonts w:cstheme="minorHAnsi"/>
          <w:bCs/>
          <w:sz w:val="24"/>
          <w:szCs w:val="24"/>
        </w:rPr>
        <w:t>(</w:t>
      </w:r>
      <w:r>
        <w:rPr>
          <w:rFonts w:cstheme="minorHAnsi"/>
          <w:bCs/>
          <w:sz w:val="24"/>
          <w:szCs w:val="24"/>
        </w:rPr>
        <w:t>Bolman &amp; Deal, 2021). Having subject matter experts on a TAT will diversify perspective</w:t>
      </w:r>
      <w:r w:rsidR="005F69FB">
        <w:rPr>
          <w:rFonts w:cstheme="minorHAnsi"/>
          <w:bCs/>
          <w:sz w:val="24"/>
          <w:szCs w:val="24"/>
        </w:rPr>
        <w:t>s</w:t>
      </w:r>
      <w:r>
        <w:rPr>
          <w:rFonts w:cstheme="minorHAnsi"/>
          <w:bCs/>
          <w:sz w:val="24"/>
          <w:szCs w:val="24"/>
        </w:rPr>
        <w:t xml:space="preserve"> and may enhance use of the political frame (Bolman &amp; Deal, 2021; </w:t>
      </w:r>
      <w:r w:rsidRPr="009513A7">
        <w:rPr>
          <w:rFonts w:eastAsia="Calibri" w:cstheme="minorHAnsi"/>
          <w:sz w:val="24"/>
          <w:szCs w:val="24"/>
        </w:rPr>
        <w:t>Deisinger</w:t>
      </w:r>
      <w:r w:rsidRPr="009513A7">
        <w:rPr>
          <w:rFonts w:cstheme="minorHAnsi"/>
          <w:sz w:val="24"/>
          <w:szCs w:val="24"/>
        </w:rPr>
        <w:t xml:space="preserve"> et al., 2008</w:t>
      </w:r>
      <w:r>
        <w:rPr>
          <w:rFonts w:cstheme="minorHAnsi"/>
          <w:sz w:val="24"/>
          <w:szCs w:val="24"/>
        </w:rPr>
        <w:t xml:space="preserve">; </w:t>
      </w:r>
      <w:r>
        <w:rPr>
          <w:rFonts w:cstheme="minorHAnsi"/>
          <w:bCs/>
          <w:sz w:val="24"/>
          <w:szCs w:val="24"/>
        </w:rPr>
        <w:t>Meloy &amp; Hoffmann, 2021). Disadvantages of this frame include the possibility of perpetuating conflict as well as losing sight of rational discourse and the common good (Bolman &amp; Deal, 2021). TAT responses based on this frame can be negatively perceived</w:t>
      </w:r>
      <w:r w:rsidR="005F69FB">
        <w:rPr>
          <w:rFonts w:cstheme="minorHAnsi"/>
          <w:bCs/>
          <w:sz w:val="24"/>
          <w:szCs w:val="24"/>
        </w:rPr>
        <w:t>,</w:t>
      </w:r>
      <w:r>
        <w:rPr>
          <w:rFonts w:cstheme="minorHAnsi"/>
          <w:bCs/>
          <w:sz w:val="24"/>
          <w:szCs w:val="24"/>
        </w:rPr>
        <w:t xml:space="preserve"> whereas the symbolic frame can help teams enhance positivity and inspire a shared vision. </w:t>
      </w:r>
    </w:p>
    <w:p w14:paraId="0C9259CB" w14:textId="09E09A55" w:rsidR="00522CE0" w:rsidRDefault="00522CE0" w:rsidP="007B50F8">
      <w:pPr>
        <w:spacing w:after="0" w:line="480" w:lineRule="auto"/>
        <w:rPr>
          <w:rFonts w:cstheme="minorHAnsi"/>
          <w:b/>
          <w:bCs/>
          <w:sz w:val="24"/>
          <w:szCs w:val="24"/>
        </w:rPr>
      </w:pPr>
      <w:r w:rsidRPr="00DB1B14">
        <w:rPr>
          <w:rFonts w:cstheme="minorHAnsi"/>
          <w:b/>
          <w:bCs/>
          <w:sz w:val="24"/>
          <w:szCs w:val="24"/>
        </w:rPr>
        <w:t>Symbolic Frame</w:t>
      </w:r>
    </w:p>
    <w:p w14:paraId="658B8454" w14:textId="0DE31457" w:rsidR="00522CE0" w:rsidRPr="00F46956" w:rsidRDefault="00522CE0" w:rsidP="007B50F8">
      <w:pPr>
        <w:spacing w:after="0" w:line="480" w:lineRule="auto"/>
        <w:ind w:firstLine="720"/>
        <w:rPr>
          <w:rFonts w:cstheme="minorHAnsi"/>
          <w:bCs/>
          <w:sz w:val="24"/>
          <w:szCs w:val="24"/>
        </w:rPr>
      </w:pPr>
      <w:r w:rsidRPr="0052736E">
        <w:rPr>
          <w:rFonts w:cstheme="minorHAnsi"/>
          <w:sz w:val="24"/>
          <w:szCs w:val="24"/>
        </w:rPr>
        <w:t>The symbolic frame is derived from organization theory</w:t>
      </w:r>
      <w:r w:rsidR="005F69FB">
        <w:rPr>
          <w:rFonts w:cstheme="minorHAnsi"/>
          <w:sz w:val="24"/>
          <w:szCs w:val="24"/>
        </w:rPr>
        <w:t xml:space="preserve">, </w:t>
      </w:r>
      <w:r w:rsidRPr="0052736E">
        <w:rPr>
          <w:rFonts w:cstheme="minorHAnsi"/>
          <w:sz w:val="24"/>
          <w:szCs w:val="24"/>
        </w:rPr>
        <w:t>sociology, political science, magic, and neurolinguistic programming (</w:t>
      </w:r>
      <w:r w:rsidRPr="0052736E">
        <w:rPr>
          <w:rFonts w:cstheme="minorHAnsi"/>
          <w:bCs/>
          <w:sz w:val="24"/>
          <w:szCs w:val="24"/>
        </w:rPr>
        <w:t>Bolman</w:t>
      </w:r>
      <w:r>
        <w:rPr>
          <w:rFonts w:cstheme="minorHAnsi"/>
          <w:bCs/>
          <w:sz w:val="24"/>
          <w:szCs w:val="24"/>
        </w:rPr>
        <w:t xml:space="preserve"> &amp; Deal, 2021). </w:t>
      </w:r>
      <w:r w:rsidR="00381C14">
        <w:rPr>
          <w:rFonts w:cstheme="minorHAnsi"/>
          <w:bCs/>
          <w:sz w:val="24"/>
          <w:szCs w:val="24"/>
        </w:rPr>
        <w:t xml:space="preserve">Zott </w:t>
      </w:r>
      <w:r w:rsidR="007B79D9">
        <w:rPr>
          <w:rFonts w:cstheme="minorHAnsi"/>
          <w:bCs/>
          <w:sz w:val="24"/>
          <w:szCs w:val="24"/>
        </w:rPr>
        <w:t>and</w:t>
      </w:r>
      <w:r w:rsidR="00381C14">
        <w:rPr>
          <w:rFonts w:cstheme="minorHAnsi"/>
          <w:bCs/>
          <w:sz w:val="24"/>
          <w:szCs w:val="24"/>
        </w:rPr>
        <w:t xml:space="preserve"> Huy (2007) describe a symbol as “…</w:t>
      </w:r>
      <w:r>
        <w:rPr>
          <w:rFonts w:cstheme="minorHAnsi"/>
          <w:bCs/>
          <w:sz w:val="24"/>
          <w:szCs w:val="24"/>
        </w:rPr>
        <w:t xml:space="preserve">something that stands for or suggests something else; it conveys socially constructed meanings beyond its intrinsic or obvious functional use” (p. 72). </w:t>
      </w:r>
      <w:r w:rsidR="005F69FB">
        <w:rPr>
          <w:rFonts w:cstheme="minorHAnsi"/>
          <w:sz w:val="24"/>
          <w:szCs w:val="24"/>
        </w:rPr>
        <w:t>S</w:t>
      </w:r>
      <w:r>
        <w:rPr>
          <w:rFonts w:cstheme="minorHAnsi"/>
          <w:sz w:val="24"/>
          <w:szCs w:val="24"/>
        </w:rPr>
        <w:t>ymbols can help people make meaning, hold onto hope, or believe in something greater (</w:t>
      </w:r>
      <w:r w:rsidRPr="0052736E">
        <w:rPr>
          <w:rFonts w:cstheme="minorHAnsi"/>
          <w:bCs/>
          <w:sz w:val="24"/>
          <w:szCs w:val="24"/>
        </w:rPr>
        <w:t>Bolman</w:t>
      </w:r>
      <w:r>
        <w:rPr>
          <w:rFonts w:cstheme="minorHAnsi"/>
          <w:bCs/>
          <w:sz w:val="24"/>
          <w:szCs w:val="24"/>
        </w:rPr>
        <w:t xml:space="preserve"> &amp; Deal, 2021). The symbolic frame distills ideas from diverse sources into five </w:t>
      </w:r>
      <w:r w:rsidRPr="00F46956">
        <w:rPr>
          <w:rFonts w:cstheme="minorHAnsi"/>
          <w:bCs/>
          <w:sz w:val="24"/>
          <w:szCs w:val="24"/>
        </w:rPr>
        <w:t xml:space="preserve">suppositions: </w:t>
      </w:r>
    </w:p>
    <w:p w14:paraId="34608493" w14:textId="77777777" w:rsidR="00522CE0" w:rsidRPr="00F46956" w:rsidRDefault="00522CE0" w:rsidP="00522CE0">
      <w:pPr>
        <w:pStyle w:val="ListParagraph"/>
        <w:numPr>
          <w:ilvl w:val="0"/>
          <w:numId w:val="6"/>
        </w:numPr>
        <w:spacing w:line="480" w:lineRule="auto"/>
        <w:rPr>
          <w:rFonts w:asciiTheme="minorHAnsi" w:hAnsiTheme="minorHAnsi" w:cstheme="minorHAnsi"/>
          <w:bCs/>
          <w:szCs w:val="24"/>
        </w:rPr>
      </w:pPr>
      <w:r w:rsidRPr="00F46956">
        <w:rPr>
          <w:rFonts w:asciiTheme="minorHAnsi" w:hAnsiTheme="minorHAnsi" w:cstheme="minorHAnsi"/>
          <w:bCs/>
          <w:szCs w:val="24"/>
        </w:rPr>
        <w:t>What is most important is not what happens but what it means.</w:t>
      </w:r>
    </w:p>
    <w:p w14:paraId="75CAD11E" w14:textId="77777777" w:rsidR="00522CE0" w:rsidRPr="00F46956" w:rsidRDefault="00522CE0" w:rsidP="00522CE0">
      <w:pPr>
        <w:pStyle w:val="ListParagraph"/>
        <w:numPr>
          <w:ilvl w:val="0"/>
          <w:numId w:val="6"/>
        </w:numPr>
        <w:spacing w:line="480" w:lineRule="auto"/>
        <w:rPr>
          <w:rFonts w:asciiTheme="minorHAnsi" w:hAnsiTheme="minorHAnsi" w:cstheme="minorHAnsi"/>
          <w:bCs/>
          <w:szCs w:val="24"/>
        </w:rPr>
      </w:pPr>
      <w:r w:rsidRPr="00F46956">
        <w:rPr>
          <w:rFonts w:asciiTheme="minorHAnsi" w:hAnsiTheme="minorHAnsi" w:cstheme="minorHAnsi"/>
          <w:bCs/>
          <w:szCs w:val="24"/>
        </w:rPr>
        <w:t>Activity and meaning are loosely coupled; events and actions have multiple interpretations as people exper</w:t>
      </w:r>
      <w:r>
        <w:rPr>
          <w:rFonts w:asciiTheme="minorHAnsi" w:hAnsiTheme="minorHAnsi" w:cstheme="minorHAnsi"/>
          <w:bCs/>
          <w:szCs w:val="24"/>
        </w:rPr>
        <w:t>i</w:t>
      </w:r>
      <w:r w:rsidRPr="00F46956">
        <w:rPr>
          <w:rFonts w:asciiTheme="minorHAnsi" w:hAnsiTheme="minorHAnsi" w:cstheme="minorHAnsi"/>
          <w:bCs/>
          <w:szCs w:val="24"/>
        </w:rPr>
        <w:t>ence situati</w:t>
      </w:r>
      <w:r>
        <w:rPr>
          <w:rFonts w:asciiTheme="minorHAnsi" w:hAnsiTheme="minorHAnsi" w:cstheme="minorHAnsi"/>
          <w:bCs/>
          <w:szCs w:val="24"/>
        </w:rPr>
        <w:t>ons</w:t>
      </w:r>
      <w:r w:rsidRPr="00F46956">
        <w:rPr>
          <w:rFonts w:asciiTheme="minorHAnsi" w:hAnsiTheme="minorHAnsi" w:cstheme="minorHAnsi"/>
          <w:bCs/>
          <w:szCs w:val="24"/>
        </w:rPr>
        <w:t xml:space="preserve"> differently.</w:t>
      </w:r>
    </w:p>
    <w:p w14:paraId="00C56450" w14:textId="77777777" w:rsidR="00522CE0" w:rsidRPr="00F46956" w:rsidRDefault="00522CE0" w:rsidP="00522CE0">
      <w:pPr>
        <w:pStyle w:val="ListParagraph"/>
        <w:numPr>
          <w:ilvl w:val="0"/>
          <w:numId w:val="6"/>
        </w:numPr>
        <w:spacing w:line="480" w:lineRule="auto"/>
        <w:rPr>
          <w:rFonts w:asciiTheme="minorHAnsi" w:hAnsiTheme="minorHAnsi" w:cstheme="minorHAnsi"/>
          <w:bCs/>
          <w:szCs w:val="24"/>
        </w:rPr>
      </w:pPr>
      <w:r w:rsidRPr="00F46956">
        <w:rPr>
          <w:rFonts w:asciiTheme="minorHAnsi" w:hAnsiTheme="minorHAnsi" w:cstheme="minorHAnsi"/>
          <w:bCs/>
          <w:szCs w:val="24"/>
        </w:rPr>
        <w:t>Facing uncertainty and ambiguity, symbols arise to he</w:t>
      </w:r>
      <w:r>
        <w:rPr>
          <w:rFonts w:asciiTheme="minorHAnsi" w:hAnsiTheme="minorHAnsi" w:cstheme="minorHAnsi"/>
          <w:bCs/>
          <w:szCs w:val="24"/>
        </w:rPr>
        <w:t>l</w:t>
      </w:r>
      <w:r w:rsidRPr="00F46956">
        <w:rPr>
          <w:rFonts w:asciiTheme="minorHAnsi" w:hAnsiTheme="minorHAnsi" w:cstheme="minorHAnsi"/>
          <w:bCs/>
          <w:szCs w:val="24"/>
        </w:rPr>
        <w:t>p people resolve confusion, find direction, and anchor hope and faith.</w:t>
      </w:r>
    </w:p>
    <w:p w14:paraId="2FA600A5" w14:textId="77777777" w:rsidR="00522CE0" w:rsidRPr="00F46956" w:rsidRDefault="00522CE0" w:rsidP="00522CE0">
      <w:pPr>
        <w:pStyle w:val="ListParagraph"/>
        <w:numPr>
          <w:ilvl w:val="0"/>
          <w:numId w:val="6"/>
        </w:numPr>
        <w:spacing w:line="480" w:lineRule="auto"/>
        <w:rPr>
          <w:rFonts w:asciiTheme="minorHAnsi" w:hAnsiTheme="minorHAnsi" w:cstheme="minorHAnsi"/>
          <w:bCs/>
          <w:szCs w:val="24"/>
        </w:rPr>
      </w:pPr>
      <w:r w:rsidRPr="00F46956">
        <w:rPr>
          <w:rFonts w:asciiTheme="minorHAnsi" w:hAnsiTheme="minorHAnsi" w:cstheme="minorHAnsi"/>
          <w:bCs/>
          <w:szCs w:val="24"/>
        </w:rPr>
        <w:lastRenderedPageBreak/>
        <w:t xml:space="preserve">Events and processes are often more important for what they express or signal than for their intent or </w:t>
      </w:r>
      <w:r>
        <w:rPr>
          <w:rFonts w:asciiTheme="minorHAnsi" w:hAnsiTheme="minorHAnsi" w:cstheme="minorHAnsi"/>
          <w:bCs/>
          <w:szCs w:val="24"/>
        </w:rPr>
        <w:t>outcomes</w:t>
      </w:r>
      <w:r w:rsidRPr="00F46956">
        <w:rPr>
          <w:rFonts w:asciiTheme="minorHAnsi" w:hAnsiTheme="minorHAnsi" w:cstheme="minorHAnsi"/>
          <w:bCs/>
          <w:szCs w:val="24"/>
        </w:rPr>
        <w:t>. Their emblematic form weave</w:t>
      </w:r>
      <w:r>
        <w:rPr>
          <w:rFonts w:asciiTheme="minorHAnsi" w:hAnsiTheme="minorHAnsi" w:cstheme="minorHAnsi"/>
          <w:bCs/>
          <w:szCs w:val="24"/>
        </w:rPr>
        <w:t>s</w:t>
      </w:r>
      <w:r w:rsidRPr="00F46956">
        <w:rPr>
          <w:rFonts w:asciiTheme="minorHAnsi" w:hAnsiTheme="minorHAnsi" w:cstheme="minorHAnsi"/>
          <w:bCs/>
          <w:szCs w:val="24"/>
        </w:rPr>
        <w:t xml:space="preserve"> a tapestry of secular myths, heroes and heroines, rituals, ceremonies, and stories to help people find purpose and passion. </w:t>
      </w:r>
    </w:p>
    <w:p w14:paraId="0E737A89" w14:textId="594AE5D0" w:rsidR="00522CE0" w:rsidRPr="00420DF9" w:rsidRDefault="00522CE0" w:rsidP="00381C14">
      <w:pPr>
        <w:pStyle w:val="ListParagraph"/>
        <w:numPr>
          <w:ilvl w:val="0"/>
          <w:numId w:val="6"/>
        </w:numPr>
        <w:spacing w:after="0" w:line="480" w:lineRule="auto"/>
        <w:rPr>
          <w:rFonts w:asciiTheme="minorHAnsi" w:hAnsiTheme="minorHAnsi" w:cstheme="minorHAnsi"/>
          <w:bCs/>
          <w:szCs w:val="24"/>
        </w:rPr>
      </w:pPr>
      <w:r w:rsidRPr="00F46956">
        <w:rPr>
          <w:rFonts w:asciiTheme="minorHAnsi" w:hAnsiTheme="minorHAnsi" w:cstheme="minorHAnsi"/>
          <w:bCs/>
          <w:szCs w:val="24"/>
        </w:rPr>
        <w:t>Cu</w:t>
      </w:r>
      <w:r>
        <w:rPr>
          <w:rFonts w:asciiTheme="minorHAnsi" w:hAnsiTheme="minorHAnsi" w:cstheme="minorHAnsi"/>
          <w:bCs/>
          <w:szCs w:val="24"/>
        </w:rPr>
        <w:t xml:space="preserve">lture </w:t>
      </w:r>
      <w:r w:rsidRPr="00F46956">
        <w:rPr>
          <w:rFonts w:asciiTheme="minorHAnsi" w:hAnsiTheme="minorHAnsi" w:cstheme="minorHAnsi"/>
          <w:bCs/>
          <w:szCs w:val="24"/>
        </w:rPr>
        <w:t xml:space="preserve">forms the superglue that bonds an organization, unites people, and helps an enterprise to accomplish desired ends. (Bolman </w:t>
      </w:r>
      <w:r w:rsidR="007B50F8">
        <w:rPr>
          <w:rFonts w:asciiTheme="minorHAnsi" w:hAnsiTheme="minorHAnsi" w:cstheme="minorHAnsi"/>
          <w:bCs/>
          <w:szCs w:val="24"/>
        </w:rPr>
        <w:t>&amp;</w:t>
      </w:r>
      <w:r w:rsidRPr="00F46956">
        <w:rPr>
          <w:rFonts w:asciiTheme="minorHAnsi" w:hAnsiTheme="minorHAnsi" w:cstheme="minorHAnsi"/>
          <w:bCs/>
          <w:szCs w:val="24"/>
        </w:rPr>
        <w:t xml:space="preserve"> Deal, 2021, p. </w:t>
      </w:r>
      <w:r>
        <w:rPr>
          <w:rFonts w:asciiTheme="minorHAnsi" w:hAnsiTheme="minorHAnsi" w:cstheme="minorHAnsi"/>
          <w:bCs/>
          <w:szCs w:val="24"/>
        </w:rPr>
        <w:t>254</w:t>
      </w:r>
      <w:r w:rsidRPr="00F46956">
        <w:rPr>
          <w:rFonts w:asciiTheme="minorHAnsi" w:hAnsiTheme="minorHAnsi" w:cstheme="minorHAnsi"/>
          <w:bCs/>
          <w:szCs w:val="24"/>
        </w:rPr>
        <w:t>)</w:t>
      </w:r>
    </w:p>
    <w:p w14:paraId="7F308869" w14:textId="77777777" w:rsidR="00522CE0" w:rsidRDefault="00522CE0" w:rsidP="00381C14">
      <w:pPr>
        <w:spacing w:after="0" w:line="480" w:lineRule="auto"/>
        <w:ind w:firstLine="720"/>
        <w:rPr>
          <w:rFonts w:cstheme="minorHAnsi"/>
          <w:sz w:val="24"/>
          <w:szCs w:val="24"/>
        </w:rPr>
      </w:pPr>
      <w:r w:rsidRPr="00361D80">
        <w:rPr>
          <w:rFonts w:cstheme="minorHAnsi"/>
          <w:sz w:val="24"/>
          <w:szCs w:val="24"/>
        </w:rPr>
        <w:t>TAT members who believe they are part of something greater than themselves may feel inspired, energized, and take pride in their work (</w:t>
      </w:r>
      <w:r w:rsidRPr="0052736E">
        <w:rPr>
          <w:rFonts w:cstheme="minorHAnsi"/>
          <w:bCs/>
          <w:sz w:val="24"/>
          <w:szCs w:val="24"/>
        </w:rPr>
        <w:t>Bolman</w:t>
      </w:r>
      <w:r>
        <w:rPr>
          <w:rFonts w:cstheme="minorHAnsi"/>
          <w:bCs/>
          <w:sz w:val="24"/>
          <w:szCs w:val="24"/>
        </w:rPr>
        <w:t xml:space="preserve"> &amp; Deal, 2021</w:t>
      </w:r>
      <w:r w:rsidRPr="00F46956">
        <w:rPr>
          <w:rFonts w:cstheme="minorHAnsi"/>
          <w:bCs/>
          <w:sz w:val="24"/>
          <w:szCs w:val="24"/>
        </w:rPr>
        <w:t>).</w:t>
      </w:r>
      <w:r w:rsidRPr="00F46956">
        <w:rPr>
          <w:rFonts w:cstheme="minorHAnsi"/>
          <w:sz w:val="24"/>
          <w:szCs w:val="24"/>
        </w:rPr>
        <w:t xml:space="preserve"> In times of crisis symbols can empower collaboration toward a common belief or shared goal, and even console the people within an organization making it an effective tool for TATs (</w:t>
      </w:r>
      <w:r w:rsidRPr="00F46956">
        <w:rPr>
          <w:rFonts w:cstheme="minorHAnsi"/>
          <w:bCs/>
          <w:sz w:val="24"/>
          <w:szCs w:val="24"/>
        </w:rPr>
        <w:t xml:space="preserve">Bolman &amp; Deal, 2021; Meloy &amp; Hoffmann, 2021). </w:t>
      </w:r>
      <w:r w:rsidRPr="00F46956">
        <w:rPr>
          <w:rFonts w:cstheme="minorHAnsi"/>
          <w:sz w:val="24"/>
          <w:szCs w:val="24"/>
        </w:rPr>
        <w:t>Often considered artists, authentic leaders who utilize the symbolic frame can foster an energy and enthusiasm around a common goal, such as in a response to a threat</w:t>
      </w:r>
      <w:r>
        <w:rPr>
          <w:rFonts w:cstheme="minorHAnsi"/>
          <w:sz w:val="24"/>
          <w:szCs w:val="24"/>
        </w:rPr>
        <w:t xml:space="preserve"> </w:t>
      </w:r>
      <w:r w:rsidRPr="00F46956">
        <w:rPr>
          <w:rFonts w:cstheme="minorHAnsi"/>
          <w:sz w:val="24"/>
          <w:szCs w:val="24"/>
        </w:rPr>
        <w:t>(</w:t>
      </w:r>
      <w:r w:rsidRPr="00F46956">
        <w:rPr>
          <w:rFonts w:cstheme="minorHAnsi"/>
          <w:bCs/>
          <w:sz w:val="24"/>
          <w:szCs w:val="24"/>
        </w:rPr>
        <w:t>Bolman</w:t>
      </w:r>
      <w:r>
        <w:rPr>
          <w:rFonts w:cstheme="minorHAnsi"/>
          <w:bCs/>
          <w:sz w:val="24"/>
          <w:szCs w:val="24"/>
        </w:rPr>
        <w:t xml:space="preserve"> &amp; Deal, 2021; </w:t>
      </w:r>
      <w:r w:rsidRPr="00361D80">
        <w:rPr>
          <w:rFonts w:cstheme="minorHAnsi"/>
          <w:bCs/>
          <w:sz w:val="24"/>
          <w:szCs w:val="24"/>
        </w:rPr>
        <w:t>Meloy &amp; Hoffmann, 2021</w:t>
      </w:r>
      <w:r>
        <w:rPr>
          <w:rFonts w:cstheme="minorHAnsi"/>
          <w:bCs/>
          <w:sz w:val="24"/>
          <w:szCs w:val="24"/>
        </w:rPr>
        <w:t>).</w:t>
      </w:r>
    </w:p>
    <w:p w14:paraId="03D04D32" w14:textId="02913F0E" w:rsidR="00EC0F4A" w:rsidRPr="009513A7" w:rsidRDefault="00522CE0" w:rsidP="005F69FB">
      <w:pPr>
        <w:spacing w:after="0" w:line="480" w:lineRule="auto"/>
        <w:ind w:firstLine="720"/>
        <w:rPr>
          <w:rFonts w:cstheme="minorHAnsi"/>
          <w:sz w:val="24"/>
          <w:szCs w:val="24"/>
        </w:rPr>
      </w:pPr>
      <w:r>
        <w:rPr>
          <w:rFonts w:cstheme="minorHAnsi"/>
          <w:bCs/>
          <w:sz w:val="24"/>
          <w:szCs w:val="24"/>
        </w:rPr>
        <w:t xml:space="preserve">All four frames may serve as alternate approaches to case management and impact existing team protocols, engagement, and success. I will explore how the four frames inform the work of TATs, specifically from the perspective of those leading a TAT. </w:t>
      </w:r>
      <w:r w:rsidR="00F17F6E">
        <w:rPr>
          <w:rFonts w:cstheme="minorHAnsi"/>
          <w:bCs/>
          <w:sz w:val="24"/>
          <w:szCs w:val="24"/>
        </w:rPr>
        <w:t xml:space="preserve">Leaders and teams who adapt their leadership style and view situations from a multi-frame perspective tend to be more successful (Bolman &amp; Deal, 2021; McArdle, 2013; </w:t>
      </w:r>
      <w:r w:rsidR="00F17F6E" w:rsidRPr="00361D80">
        <w:rPr>
          <w:rFonts w:cstheme="minorHAnsi"/>
          <w:bCs/>
          <w:sz w:val="24"/>
          <w:szCs w:val="24"/>
        </w:rPr>
        <w:t>Meloy &amp; Hoffmann, 2021</w:t>
      </w:r>
      <w:r w:rsidR="00F17F6E">
        <w:rPr>
          <w:rFonts w:cstheme="minorHAnsi"/>
          <w:bCs/>
          <w:sz w:val="24"/>
          <w:szCs w:val="24"/>
        </w:rPr>
        <w:t>; Monahan &amp; Shah, 2011; Pierce, 2012).</w:t>
      </w:r>
    </w:p>
    <w:p w14:paraId="07344602" w14:textId="77777777" w:rsidR="00B2797B" w:rsidRPr="009513A7" w:rsidRDefault="00B2797B" w:rsidP="00B2797B">
      <w:pPr>
        <w:spacing w:after="0" w:line="480" w:lineRule="auto"/>
        <w:jc w:val="center"/>
        <w:rPr>
          <w:rFonts w:cstheme="minorHAnsi"/>
          <w:b/>
          <w:bCs/>
          <w:sz w:val="24"/>
          <w:szCs w:val="24"/>
        </w:rPr>
      </w:pPr>
      <w:r w:rsidRPr="009513A7">
        <w:rPr>
          <w:rFonts w:cstheme="minorHAnsi"/>
          <w:b/>
          <w:bCs/>
          <w:sz w:val="24"/>
          <w:szCs w:val="24"/>
        </w:rPr>
        <w:t>Summary</w:t>
      </w:r>
    </w:p>
    <w:p w14:paraId="7B6E72C5" w14:textId="08C3A6E8" w:rsidR="00B2797B" w:rsidRPr="009513A7" w:rsidRDefault="00B2797B" w:rsidP="00B2797B">
      <w:pPr>
        <w:spacing w:after="0" w:line="480" w:lineRule="auto"/>
        <w:ind w:firstLine="720"/>
        <w:rPr>
          <w:rFonts w:cstheme="minorHAnsi"/>
          <w:bCs/>
          <w:iCs/>
          <w:sz w:val="24"/>
          <w:szCs w:val="24"/>
        </w:rPr>
      </w:pPr>
      <w:r w:rsidRPr="009513A7">
        <w:rPr>
          <w:rFonts w:cstheme="minorHAnsi"/>
          <w:sz w:val="24"/>
          <w:szCs w:val="24"/>
        </w:rPr>
        <w:t xml:space="preserve">Whether a </w:t>
      </w:r>
      <w:r w:rsidR="00332F2A">
        <w:rPr>
          <w:rFonts w:cstheme="minorHAnsi"/>
          <w:sz w:val="24"/>
          <w:szCs w:val="24"/>
        </w:rPr>
        <w:t xml:space="preserve">school </w:t>
      </w:r>
      <w:r w:rsidRPr="009513A7">
        <w:rPr>
          <w:rFonts w:cstheme="minorHAnsi"/>
          <w:sz w:val="24"/>
          <w:szCs w:val="24"/>
        </w:rPr>
        <w:t xml:space="preserve">shooting took place in the 1800s or </w:t>
      </w:r>
      <w:r w:rsidR="00EC0F4A">
        <w:rPr>
          <w:rFonts w:cstheme="minorHAnsi"/>
          <w:sz w:val="24"/>
          <w:szCs w:val="24"/>
        </w:rPr>
        <w:t>in the 21</w:t>
      </w:r>
      <w:r w:rsidR="00EC0F4A" w:rsidRPr="00381C14">
        <w:rPr>
          <w:rFonts w:cstheme="minorHAnsi"/>
          <w:sz w:val="24"/>
          <w:szCs w:val="24"/>
          <w:vertAlign w:val="superscript"/>
        </w:rPr>
        <w:t>st</w:t>
      </w:r>
      <w:r w:rsidR="00EC0F4A">
        <w:rPr>
          <w:rFonts w:cstheme="minorHAnsi"/>
          <w:sz w:val="24"/>
          <w:szCs w:val="24"/>
        </w:rPr>
        <w:t xml:space="preserve"> century</w:t>
      </w:r>
      <w:r w:rsidRPr="009513A7">
        <w:rPr>
          <w:rFonts w:cstheme="minorHAnsi"/>
          <w:sz w:val="24"/>
          <w:szCs w:val="24"/>
        </w:rPr>
        <w:t>, the</w:t>
      </w:r>
      <w:r w:rsidR="0055688D">
        <w:rPr>
          <w:rFonts w:cstheme="minorHAnsi"/>
          <w:sz w:val="24"/>
          <w:szCs w:val="24"/>
        </w:rPr>
        <w:t xml:space="preserve"> call for a response </w:t>
      </w:r>
      <w:r w:rsidRPr="009513A7">
        <w:rPr>
          <w:rFonts w:cstheme="minorHAnsi"/>
          <w:sz w:val="24"/>
          <w:szCs w:val="24"/>
        </w:rPr>
        <w:t xml:space="preserve">from the campus community </w:t>
      </w:r>
      <w:r w:rsidR="0055688D">
        <w:rPr>
          <w:rFonts w:cstheme="minorHAnsi"/>
          <w:sz w:val="24"/>
          <w:szCs w:val="24"/>
        </w:rPr>
        <w:t>toward</w:t>
      </w:r>
      <w:r w:rsidRPr="009513A7">
        <w:rPr>
          <w:rFonts w:cstheme="minorHAnsi"/>
          <w:sz w:val="24"/>
          <w:szCs w:val="24"/>
        </w:rPr>
        <w:t xml:space="preserve"> improve</w:t>
      </w:r>
      <w:r w:rsidR="00366A57">
        <w:rPr>
          <w:rFonts w:cstheme="minorHAnsi"/>
          <w:sz w:val="24"/>
          <w:szCs w:val="24"/>
        </w:rPr>
        <w:t>ment</w:t>
      </w:r>
      <w:r w:rsidR="0055688D">
        <w:rPr>
          <w:rFonts w:cstheme="minorHAnsi"/>
          <w:sz w:val="24"/>
          <w:szCs w:val="24"/>
        </w:rPr>
        <w:t xml:space="preserve"> remains constant</w:t>
      </w:r>
      <w:r w:rsidRPr="009513A7">
        <w:rPr>
          <w:rFonts w:cstheme="minorHAnsi"/>
          <w:sz w:val="24"/>
          <w:szCs w:val="24"/>
        </w:rPr>
        <w:t xml:space="preserve">. Throughout </w:t>
      </w:r>
      <w:r w:rsidRPr="009513A7">
        <w:rPr>
          <w:rFonts w:cstheme="minorHAnsi"/>
          <w:sz w:val="24"/>
          <w:szCs w:val="24"/>
        </w:rPr>
        <w:lastRenderedPageBreak/>
        <w:t>history campus safety has continued to evolve. Mass shootings</w:t>
      </w:r>
      <w:r w:rsidR="00D448E2">
        <w:rPr>
          <w:rFonts w:cstheme="minorHAnsi"/>
          <w:sz w:val="24"/>
          <w:szCs w:val="24"/>
        </w:rPr>
        <w:t>,</w:t>
      </w:r>
      <w:r w:rsidRPr="009513A7">
        <w:rPr>
          <w:rFonts w:cstheme="minorHAnsi"/>
          <w:sz w:val="24"/>
          <w:szCs w:val="24"/>
        </w:rPr>
        <w:t xml:space="preserve"> other types of violence</w:t>
      </w:r>
      <w:r w:rsidR="00D448E2">
        <w:rPr>
          <w:rFonts w:cstheme="minorHAnsi"/>
          <w:sz w:val="24"/>
          <w:szCs w:val="24"/>
        </w:rPr>
        <w:t>, and behavioral concerns at IHEs have</w:t>
      </w:r>
      <w:r w:rsidRPr="009513A7">
        <w:rPr>
          <w:rFonts w:cstheme="minorHAnsi"/>
          <w:sz w:val="24"/>
          <w:szCs w:val="24"/>
        </w:rPr>
        <w:t xml:space="preserve"> paved the way for the development</w:t>
      </w:r>
      <w:r w:rsidR="00D448E2">
        <w:rPr>
          <w:rFonts w:cstheme="minorHAnsi"/>
          <w:sz w:val="24"/>
          <w:szCs w:val="24"/>
        </w:rPr>
        <w:t xml:space="preserve"> and growth </w:t>
      </w:r>
      <w:r w:rsidRPr="009513A7">
        <w:rPr>
          <w:rFonts w:cstheme="minorHAnsi"/>
          <w:sz w:val="24"/>
          <w:szCs w:val="24"/>
        </w:rPr>
        <w:t xml:space="preserve"> of </w:t>
      </w:r>
      <w:r w:rsidR="00244EEC" w:rsidRPr="009513A7">
        <w:rPr>
          <w:rFonts w:cstheme="minorHAnsi"/>
          <w:sz w:val="24"/>
          <w:szCs w:val="24"/>
        </w:rPr>
        <w:t>TA</w:t>
      </w:r>
      <w:r w:rsidR="00244EEC">
        <w:rPr>
          <w:rFonts w:cstheme="minorHAnsi"/>
          <w:sz w:val="24"/>
          <w:szCs w:val="24"/>
        </w:rPr>
        <w:t>Ts</w:t>
      </w:r>
      <w:r w:rsidR="0055688D" w:rsidRPr="0055688D">
        <w:rPr>
          <w:rFonts w:cstheme="minorHAnsi"/>
          <w:sz w:val="24"/>
          <w:szCs w:val="24"/>
        </w:rPr>
        <w:t xml:space="preserve"> </w:t>
      </w:r>
      <w:r w:rsidR="0055688D">
        <w:rPr>
          <w:rFonts w:cstheme="minorHAnsi"/>
          <w:sz w:val="24"/>
          <w:szCs w:val="24"/>
        </w:rPr>
        <w:t>(</w:t>
      </w:r>
      <w:r w:rsidR="0055688D" w:rsidRPr="009513A7">
        <w:rPr>
          <w:rFonts w:cstheme="minorHAnsi"/>
          <w:sz w:val="24"/>
          <w:szCs w:val="24"/>
        </w:rPr>
        <w:t>Deisinger et al., 2008</w:t>
      </w:r>
      <w:r w:rsidR="0055688D">
        <w:rPr>
          <w:rFonts w:cstheme="minorHAnsi"/>
          <w:bCs/>
          <w:iCs/>
          <w:sz w:val="24"/>
          <w:szCs w:val="24"/>
        </w:rPr>
        <w:t>; Meloy &amp; Hoffmann, 2021)</w:t>
      </w:r>
      <w:r w:rsidRPr="009513A7">
        <w:rPr>
          <w:rFonts w:cstheme="minorHAnsi"/>
          <w:sz w:val="24"/>
          <w:szCs w:val="24"/>
        </w:rPr>
        <w:t xml:space="preserve">. </w:t>
      </w:r>
      <w:r w:rsidRPr="009513A7">
        <w:rPr>
          <w:rFonts w:cstheme="minorHAnsi"/>
          <w:bCs/>
          <w:sz w:val="24"/>
          <w:szCs w:val="24"/>
        </w:rPr>
        <w:t xml:space="preserve">Further, workplace and community violence prevention inform the work of </w:t>
      </w:r>
      <w:r w:rsidR="00244EEC" w:rsidRPr="009513A7">
        <w:rPr>
          <w:rFonts w:cstheme="minorHAnsi"/>
          <w:sz w:val="24"/>
          <w:szCs w:val="24"/>
        </w:rPr>
        <w:t>TA</w:t>
      </w:r>
      <w:r w:rsidR="00244EEC">
        <w:rPr>
          <w:rFonts w:cstheme="minorHAnsi"/>
          <w:sz w:val="24"/>
          <w:szCs w:val="24"/>
        </w:rPr>
        <w:t>Ts</w:t>
      </w:r>
      <w:r w:rsidR="00244EEC" w:rsidRPr="009513A7">
        <w:rPr>
          <w:rFonts w:cstheme="minorHAnsi"/>
          <w:bCs/>
          <w:sz w:val="24"/>
          <w:szCs w:val="24"/>
        </w:rPr>
        <w:t xml:space="preserve"> </w:t>
      </w:r>
      <w:r w:rsidRPr="009513A7">
        <w:rPr>
          <w:rFonts w:cstheme="minorHAnsi"/>
          <w:bCs/>
          <w:sz w:val="24"/>
          <w:szCs w:val="24"/>
        </w:rPr>
        <w:t xml:space="preserve">in higher education in many ways. Institutional obligations to safety, other types of violence, legislative implications, and the importance of multidisciplinary teams are all critical considerations for the work of these </w:t>
      </w:r>
      <w:r w:rsidR="0055688D">
        <w:rPr>
          <w:rFonts w:cstheme="minorHAnsi"/>
          <w:bCs/>
          <w:sz w:val="24"/>
          <w:szCs w:val="24"/>
        </w:rPr>
        <w:t>teams</w:t>
      </w:r>
      <w:r w:rsidRPr="009513A7">
        <w:rPr>
          <w:rFonts w:cstheme="minorHAnsi"/>
          <w:bCs/>
          <w:sz w:val="24"/>
          <w:szCs w:val="24"/>
        </w:rPr>
        <w:t xml:space="preserve">. </w:t>
      </w:r>
      <w:r w:rsidRPr="009513A7">
        <w:rPr>
          <w:rFonts w:cstheme="minorHAnsi"/>
          <w:sz w:val="24"/>
          <w:szCs w:val="24"/>
        </w:rPr>
        <w:t>While only a few states mandate threat assessment, most have committed to doing the work to provide support and resources for their faculty, staff, and students in distress (D</w:t>
      </w:r>
      <w:r w:rsidR="0055688D">
        <w:rPr>
          <w:rFonts w:cstheme="minorHAnsi"/>
          <w:sz w:val="24"/>
          <w:szCs w:val="24"/>
        </w:rPr>
        <w:t>ei</w:t>
      </w:r>
      <w:r w:rsidRPr="009513A7">
        <w:rPr>
          <w:rFonts w:cstheme="minorHAnsi"/>
          <w:sz w:val="24"/>
          <w:szCs w:val="24"/>
        </w:rPr>
        <w:t>singer et al., 2008</w:t>
      </w:r>
      <w:r w:rsidR="00ED3DBE">
        <w:rPr>
          <w:rFonts w:cstheme="minorHAnsi"/>
          <w:sz w:val="24"/>
          <w:szCs w:val="24"/>
        </w:rPr>
        <w:t>; Meloy &amp; Hoffmann, 2021</w:t>
      </w:r>
      <w:r w:rsidRPr="009513A7">
        <w:rPr>
          <w:rFonts w:cstheme="minorHAnsi"/>
          <w:sz w:val="24"/>
          <w:szCs w:val="24"/>
        </w:rPr>
        <w:t xml:space="preserve">). These teams </w:t>
      </w:r>
      <w:r w:rsidRPr="0055688D">
        <w:rPr>
          <w:rFonts w:cstheme="minorHAnsi"/>
          <w:sz w:val="24"/>
          <w:szCs w:val="24"/>
        </w:rPr>
        <w:t>are important for</w:t>
      </w:r>
      <w:r w:rsidRPr="009513A7">
        <w:rPr>
          <w:rFonts w:cstheme="minorHAnsi"/>
          <w:sz w:val="24"/>
          <w:szCs w:val="24"/>
        </w:rPr>
        <w:t xml:space="preserve"> prevention but may also play a role during intervention and post-disaster communications. Threat assessment will not eliminate disasters but may serve as a critical step toward overall campus safet</w:t>
      </w:r>
      <w:r w:rsidR="0055688D">
        <w:rPr>
          <w:rFonts w:cstheme="minorHAnsi"/>
          <w:sz w:val="24"/>
          <w:szCs w:val="24"/>
        </w:rPr>
        <w:t>y (</w:t>
      </w:r>
      <w:r w:rsidR="0055688D">
        <w:rPr>
          <w:rFonts w:cstheme="minorHAnsi"/>
          <w:bCs/>
          <w:iCs/>
          <w:sz w:val="24"/>
          <w:szCs w:val="24"/>
        </w:rPr>
        <w:t>Meloy &amp; Hoffmann, 2021)</w:t>
      </w:r>
      <w:r w:rsidRPr="009513A7">
        <w:rPr>
          <w:rFonts w:cstheme="minorHAnsi"/>
          <w:sz w:val="24"/>
          <w:szCs w:val="24"/>
        </w:rPr>
        <w:t xml:space="preserve">. In the diverse, complex, and legal environment of higher education, threat assessment </w:t>
      </w:r>
      <w:r w:rsidR="00ED3DBE">
        <w:rPr>
          <w:rFonts w:cstheme="minorHAnsi"/>
          <w:sz w:val="24"/>
          <w:szCs w:val="24"/>
        </w:rPr>
        <w:t>is</w:t>
      </w:r>
      <w:r w:rsidRPr="009513A7">
        <w:rPr>
          <w:rFonts w:cstheme="minorHAnsi"/>
          <w:sz w:val="24"/>
          <w:szCs w:val="24"/>
        </w:rPr>
        <w:t xml:space="preserve"> </w:t>
      </w:r>
      <w:r w:rsidR="00ED3DBE">
        <w:rPr>
          <w:rFonts w:cstheme="minorHAnsi"/>
          <w:sz w:val="24"/>
          <w:szCs w:val="24"/>
        </w:rPr>
        <w:t xml:space="preserve">essential </w:t>
      </w:r>
      <w:r w:rsidRPr="009513A7">
        <w:rPr>
          <w:rFonts w:cstheme="minorHAnsi"/>
          <w:sz w:val="24"/>
          <w:szCs w:val="24"/>
        </w:rPr>
        <w:t xml:space="preserve">to the health, safety, and well-being of every campus community. </w:t>
      </w:r>
      <w:r w:rsidR="00381C14">
        <w:rPr>
          <w:rFonts w:cstheme="minorHAnsi"/>
          <w:sz w:val="24"/>
          <w:szCs w:val="24"/>
        </w:rPr>
        <w:t>S</w:t>
      </w:r>
      <w:r w:rsidRPr="009513A7">
        <w:rPr>
          <w:rFonts w:cstheme="minorHAnsi"/>
          <w:sz w:val="24"/>
          <w:szCs w:val="24"/>
        </w:rPr>
        <w:t>tudent</w:t>
      </w:r>
      <w:r w:rsidR="00381C14">
        <w:rPr>
          <w:rFonts w:cstheme="minorHAnsi"/>
          <w:sz w:val="24"/>
          <w:szCs w:val="24"/>
        </w:rPr>
        <w:t>s</w:t>
      </w:r>
      <w:r w:rsidRPr="009513A7">
        <w:rPr>
          <w:rFonts w:cstheme="minorHAnsi"/>
          <w:sz w:val="24"/>
          <w:szCs w:val="24"/>
        </w:rPr>
        <w:t xml:space="preserve"> and college campus</w:t>
      </w:r>
      <w:r w:rsidR="00381C14">
        <w:rPr>
          <w:rFonts w:cstheme="minorHAnsi"/>
          <w:sz w:val="24"/>
          <w:szCs w:val="24"/>
        </w:rPr>
        <w:t>es</w:t>
      </w:r>
      <w:r w:rsidRPr="009513A7">
        <w:rPr>
          <w:rFonts w:cstheme="minorHAnsi"/>
          <w:sz w:val="24"/>
          <w:szCs w:val="24"/>
        </w:rPr>
        <w:t xml:space="preserve"> ha</w:t>
      </w:r>
      <w:r w:rsidR="00381C14">
        <w:rPr>
          <w:rFonts w:cstheme="minorHAnsi"/>
          <w:sz w:val="24"/>
          <w:szCs w:val="24"/>
        </w:rPr>
        <w:t>ve</w:t>
      </w:r>
      <w:r w:rsidRPr="009513A7">
        <w:rPr>
          <w:rFonts w:cstheme="minorHAnsi"/>
          <w:sz w:val="24"/>
          <w:szCs w:val="24"/>
        </w:rPr>
        <w:t xml:space="preserve"> changed over the years, and the challenge of finding the balance between protection, regulation, and rights continues </w:t>
      </w:r>
      <w:r w:rsidR="00ED3DBE">
        <w:rPr>
          <w:rFonts w:cstheme="minorHAnsi"/>
          <w:sz w:val="24"/>
          <w:szCs w:val="24"/>
        </w:rPr>
        <w:t>(</w:t>
      </w:r>
      <w:r w:rsidR="00381C14">
        <w:rPr>
          <w:rFonts w:cstheme="minorHAnsi"/>
          <w:sz w:val="24"/>
          <w:szCs w:val="24"/>
        </w:rPr>
        <w:t xml:space="preserve">Education Commission of the States, 2022; </w:t>
      </w:r>
      <w:r w:rsidR="00ED3DBE" w:rsidRPr="009513A7">
        <w:rPr>
          <w:rFonts w:cstheme="minorHAnsi"/>
          <w:sz w:val="24"/>
          <w:szCs w:val="24"/>
        </w:rPr>
        <w:t>Eells &amp; Ro</w:t>
      </w:r>
      <w:r w:rsidR="00ED3DBE" w:rsidRPr="00A27A2E">
        <w:rPr>
          <w:rFonts w:cstheme="minorHAnsi"/>
          <w:sz w:val="24"/>
          <w:szCs w:val="24"/>
        </w:rPr>
        <w:t>ckland-Miller, 2011</w:t>
      </w:r>
      <w:r w:rsidR="00381C14">
        <w:rPr>
          <w:rFonts w:cstheme="minorHAnsi"/>
          <w:sz w:val="24"/>
          <w:szCs w:val="24"/>
        </w:rPr>
        <w:t xml:space="preserve">; Meloy &amp; Hoffman, 2021; </w:t>
      </w:r>
      <w:r w:rsidR="00381C14" w:rsidRPr="005A734A">
        <w:rPr>
          <w:rFonts w:cstheme="minorHAnsi"/>
          <w:sz w:val="24"/>
          <w:szCs w:val="24"/>
        </w:rPr>
        <w:t>Turanovic</w:t>
      </w:r>
      <w:r w:rsidR="00381C14">
        <w:rPr>
          <w:rFonts w:cstheme="minorHAnsi"/>
          <w:sz w:val="24"/>
          <w:szCs w:val="24"/>
        </w:rPr>
        <w:t xml:space="preserve"> &amp; </w:t>
      </w:r>
      <w:r w:rsidR="00381C14" w:rsidRPr="005A734A">
        <w:rPr>
          <w:rFonts w:cstheme="minorHAnsi"/>
          <w:sz w:val="24"/>
          <w:szCs w:val="24"/>
        </w:rPr>
        <w:t>Siennick</w:t>
      </w:r>
      <w:r w:rsidR="00381C14">
        <w:rPr>
          <w:rFonts w:cstheme="minorHAnsi"/>
          <w:sz w:val="24"/>
          <w:szCs w:val="24"/>
        </w:rPr>
        <w:t>, 2022</w:t>
      </w:r>
      <w:r w:rsidR="00ED3DBE">
        <w:rPr>
          <w:rFonts w:cstheme="minorHAnsi"/>
          <w:bCs/>
          <w:iCs/>
          <w:sz w:val="24"/>
          <w:szCs w:val="24"/>
        </w:rPr>
        <w:t>)</w:t>
      </w:r>
      <w:r w:rsidRPr="009513A7">
        <w:rPr>
          <w:rFonts w:cstheme="minorHAnsi"/>
          <w:sz w:val="24"/>
          <w:szCs w:val="24"/>
        </w:rPr>
        <w:t xml:space="preserve">. </w:t>
      </w:r>
      <w:r w:rsidR="007761D2" w:rsidRPr="009513A7">
        <w:rPr>
          <w:rFonts w:cstheme="minorHAnsi"/>
          <w:sz w:val="24"/>
          <w:szCs w:val="24"/>
        </w:rPr>
        <w:t xml:space="preserve">Understanding the lived experiences of those </w:t>
      </w:r>
      <w:r w:rsidR="00ED3DBE">
        <w:rPr>
          <w:rFonts w:cstheme="minorHAnsi"/>
          <w:sz w:val="24"/>
          <w:szCs w:val="24"/>
        </w:rPr>
        <w:t>leading</w:t>
      </w:r>
      <w:r w:rsidR="007761D2" w:rsidRPr="009513A7">
        <w:rPr>
          <w:rFonts w:cstheme="minorHAnsi"/>
          <w:sz w:val="24"/>
          <w:szCs w:val="24"/>
        </w:rPr>
        <w:t xml:space="preserve"> threat assessment </w:t>
      </w:r>
      <w:r w:rsidR="00FE0F42">
        <w:rPr>
          <w:rFonts w:cstheme="minorHAnsi"/>
          <w:sz w:val="24"/>
          <w:szCs w:val="24"/>
        </w:rPr>
        <w:t>will</w:t>
      </w:r>
      <w:r w:rsidR="00FE0F42" w:rsidRPr="009513A7">
        <w:rPr>
          <w:rFonts w:cstheme="minorHAnsi"/>
          <w:sz w:val="24"/>
          <w:szCs w:val="24"/>
        </w:rPr>
        <w:t xml:space="preserve"> </w:t>
      </w:r>
      <w:r w:rsidR="00D448E2">
        <w:rPr>
          <w:rFonts w:cstheme="minorHAnsi"/>
          <w:sz w:val="24"/>
          <w:szCs w:val="24"/>
        </w:rPr>
        <w:t xml:space="preserve">help </w:t>
      </w:r>
      <w:r w:rsidR="00FE0F42">
        <w:rPr>
          <w:rFonts w:cstheme="minorHAnsi"/>
          <w:sz w:val="24"/>
          <w:szCs w:val="24"/>
        </w:rPr>
        <w:t xml:space="preserve">uncover how </w:t>
      </w:r>
      <w:r w:rsidR="00D448E2">
        <w:rPr>
          <w:rFonts w:cstheme="minorHAnsi"/>
          <w:sz w:val="24"/>
          <w:szCs w:val="24"/>
        </w:rPr>
        <w:t>they operationalize and define success .</w:t>
      </w:r>
      <w:r w:rsidR="00ED0EF8">
        <w:rPr>
          <w:rFonts w:cstheme="minorHAnsi"/>
          <w:sz w:val="24"/>
          <w:szCs w:val="24"/>
        </w:rPr>
        <w:t xml:space="preserve"> </w:t>
      </w:r>
    </w:p>
    <w:p w14:paraId="44E9FF30" w14:textId="77777777" w:rsidR="00655000" w:rsidRDefault="00655000">
      <w:pPr>
        <w:rPr>
          <w:rFonts w:cstheme="minorHAnsi"/>
          <w:b/>
          <w:iCs/>
          <w:sz w:val="24"/>
          <w:szCs w:val="24"/>
        </w:rPr>
      </w:pPr>
      <w:r>
        <w:rPr>
          <w:rFonts w:cstheme="minorHAnsi"/>
          <w:b/>
          <w:iCs/>
          <w:sz w:val="24"/>
          <w:szCs w:val="24"/>
        </w:rPr>
        <w:br w:type="page"/>
      </w:r>
    </w:p>
    <w:p w14:paraId="72B388F6" w14:textId="2EE29139" w:rsidR="00501548" w:rsidRDefault="00EA57C1" w:rsidP="00EA57C1">
      <w:pPr>
        <w:spacing w:before="240" w:after="0" w:line="480" w:lineRule="auto"/>
        <w:contextualSpacing/>
        <w:jc w:val="center"/>
        <w:rPr>
          <w:rFonts w:cstheme="minorHAnsi"/>
          <w:b/>
          <w:iCs/>
          <w:sz w:val="24"/>
          <w:szCs w:val="24"/>
        </w:rPr>
      </w:pPr>
      <w:r w:rsidRPr="009513A7">
        <w:rPr>
          <w:rFonts w:cstheme="minorHAnsi"/>
          <w:b/>
          <w:iCs/>
          <w:sz w:val="24"/>
          <w:szCs w:val="24"/>
        </w:rPr>
        <w:lastRenderedPageBreak/>
        <w:t>CHAPTER 3</w:t>
      </w:r>
    </w:p>
    <w:p w14:paraId="71F0D75C" w14:textId="5C960B95" w:rsidR="00821497" w:rsidRPr="00EA57C1" w:rsidRDefault="00D448E2" w:rsidP="00441F01">
      <w:pPr>
        <w:spacing w:before="240" w:after="0" w:line="480" w:lineRule="auto"/>
        <w:ind w:firstLine="720"/>
        <w:contextualSpacing/>
        <w:rPr>
          <w:rFonts w:eastAsia="Calibri" w:cstheme="minorHAnsi"/>
          <w:sz w:val="24"/>
          <w:szCs w:val="24"/>
        </w:rPr>
      </w:pPr>
      <w:r>
        <w:rPr>
          <w:rFonts w:cstheme="minorHAnsi"/>
          <w:bCs/>
          <w:iCs/>
          <w:sz w:val="24"/>
          <w:szCs w:val="24"/>
        </w:rPr>
        <w:t xml:space="preserve">I conducted a basic qualitative research study to </w:t>
      </w:r>
      <w:r w:rsidRPr="00D448E2">
        <w:rPr>
          <w:rFonts w:cstheme="minorHAnsi"/>
          <w:bCs/>
          <w:iCs/>
          <w:sz w:val="24"/>
          <w:szCs w:val="24"/>
        </w:rPr>
        <w:t>examine the experiences of individuals who lead threat assessment teams (TATs) in higher education, specifically to understand how they operationalize and define success.</w:t>
      </w:r>
      <w:r w:rsidR="008213A7" w:rsidRPr="008213A7">
        <w:t xml:space="preserve"> </w:t>
      </w:r>
      <w:r w:rsidR="008213A7" w:rsidRPr="008213A7">
        <w:rPr>
          <w:rFonts w:cstheme="minorHAnsi"/>
          <w:bCs/>
          <w:iCs/>
          <w:sz w:val="24"/>
          <w:szCs w:val="24"/>
        </w:rPr>
        <w:t xml:space="preserve">Furthermore, I sought to learn how team leaders, not policy or standards, operationalize and define success, and understand what that looks like in practice to them. </w:t>
      </w:r>
      <w:r w:rsidRPr="00D448E2">
        <w:rPr>
          <w:rFonts w:cstheme="minorHAnsi"/>
          <w:bCs/>
          <w:iCs/>
          <w:sz w:val="24"/>
          <w:szCs w:val="24"/>
        </w:rPr>
        <w:t xml:space="preserve"> </w:t>
      </w:r>
      <w:r w:rsidR="008213A7">
        <w:rPr>
          <w:rFonts w:eastAsia="Calibri" w:cstheme="minorHAnsi"/>
          <w:sz w:val="24"/>
          <w:szCs w:val="24"/>
        </w:rPr>
        <w:t xml:space="preserve">To accomplish this goal, the </w:t>
      </w:r>
      <w:r w:rsidR="00821497" w:rsidRPr="00EA57C1">
        <w:rPr>
          <w:rFonts w:eastAsia="Calibri" w:cstheme="minorHAnsi"/>
          <w:sz w:val="24"/>
          <w:szCs w:val="24"/>
        </w:rPr>
        <w:t>following research question guide</w:t>
      </w:r>
      <w:r w:rsidR="008213A7">
        <w:rPr>
          <w:rFonts w:eastAsia="Calibri" w:cstheme="minorHAnsi"/>
          <w:sz w:val="24"/>
          <w:szCs w:val="24"/>
        </w:rPr>
        <w:t>d</w:t>
      </w:r>
      <w:r w:rsidR="00821497" w:rsidRPr="00EA57C1">
        <w:rPr>
          <w:rFonts w:eastAsia="Calibri" w:cstheme="minorHAnsi"/>
          <w:sz w:val="24"/>
          <w:szCs w:val="24"/>
        </w:rPr>
        <w:t xml:space="preserve"> this study:</w:t>
      </w:r>
    </w:p>
    <w:p w14:paraId="626092C3" w14:textId="5AA2DE74" w:rsidR="008213A7" w:rsidRPr="00EA57C1" w:rsidRDefault="008213A7" w:rsidP="00821497">
      <w:pPr>
        <w:spacing w:after="0" w:line="480" w:lineRule="auto"/>
        <w:rPr>
          <w:rFonts w:eastAsia="Calibri" w:cstheme="minorHAnsi"/>
          <w:sz w:val="24"/>
          <w:szCs w:val="24"/>
        </w:rPr>
      </w:pPr>
      <w:r>
        <w:rPr>
          <w:rFonts w:eastAsia="Calibri" w:cstheme="minorHAnsi"/>
          <w:sz w:val="24"/>
          <w:szCs w:val="24"/>
        </w:rPr>
        <w:t xml:space="preserve">RQ: </w:t>
      </w:r>
      <w:r w:rsidRPr="008213A7">
        <w:rPr>
          <w:rFonts w:eastAsia="Calibri" w:cstheme="minorHAnsi"/>
          <w:sz w:val="24"/>
          <w:szCs w:val="24"/>
        </w:rPr>
        <w:t>How do threat assessment team leaders operationalize and define success?</w:t>
      </w:r>
      <w:r>
        <w:rPr>
          <w:rFonts w:eastAsia="Calibri" w:cstheme="minorHAnsi"/>
          <w:sz w:val="24"/>
          <w:szCs w:val="24"/>
        </w:rPr>
        <w:t xml:space="preserve"> </w:t>
      </w:r>
      <w:r>
        <w:rPr>
          <w:rFonts w:eastAsia="Calibri" w:cstheme="minorHAnsi"/>
          <w:sz w:val="24"/>
          <w:szCs w:val="24"/>
        </w:rPr>
        <w:tab/>
        <w:t xml:space="preserve">In this chapter I discussed my methodology for this basic qualitative research study. Specifically, I </w:t>
      </w:r>
      <w:r w:rsidRPr="008213A7">
        <w:rPr>
          <w:rFonts w:eastAsia="Calibri" w:cstheme="minorHAnsi"/>
          <w:sz w:val="24"/>
          <w:szCs w:val="24"/>
        </w:rPr>
        <w:t>discuss</w:t>
      </w:r>
      <w:r>
        <w:rPr>
          <w:rFonts w:eastAsia="Calibri" w:cstheme="minorHAnsi"/>
          <w:sz w:val="24"/>
          <w:szCs w:val="24"/>
        </w:rPr>
        <w:t>ed</w:t>
      </w:r>
      <w:r w:rsidRPr="008213A7">
        <w:rPr>
          <w:rFonts w:eastAsia="Calibri" w:cstheme="minorHAnsi"/>
          <w:sz w:val="24"/>
          <w:szCs w:val="24"/>
        </w:rPr>
        <w:t xml:space="preserve"> the research design, participants, trustworthiness, ethical considerations, insider/outsider status, and my reflexivity.</w:t>
      </w:r>
    </w:p>
    <w:p w14:paraId="1B899FE0" w14:textId="77777777" w:rsidR="00821497" w:rsidRPr="009513A7" w:rsidRDefault="00821497" w:rsidP="00821497">
      <w:pPr>
        <w:spacing w:after="0" w:line="480" w:lineRule="auto"/>
        <w:jc w:val="center"/>
        <w:rPr>
          <w:rFonts w:cstheme="minorHAnsi"/>
          <w:b/>
          <w:bCs/>
          <w:sz w:val="24"/>
          <w:szCs w:val="24"/>
        </w:rPr>
      </w:pPr>
      <w:r>
        <w:rPr>
          <w:rFonts w:eastAsia="Calibri" w:cstheme="minorHAnsi"/>
          <w:b/>
          <w:bCs/>
          <w:sz w:val="24"/>
          <w:szCs w:val="24"/>
        </w:rPr>
        <w:t>Methodology</w:t>
      </w:r>
    </w:p>
    <w:p w14:paraId="45F12EAD" w14:textId="77777777" w:rsidR="008E420B" w:rsidRPr="008E420B" w:rsidRDefault="008E420B" w:rsidP="008E420B">
      <w:pPr>
        <w:spacing w:after="0" w:line="480" w:lineRule="auto"/>
        <w:ind w:firstLine="720"/>
        <w:rPr>
          <w:rFonts w:eastAsia="Calibri" w:cstheme="minorHAnsi"/>
          <w:sz w:val="24"/>
          <w:szCs w:val="24"/>
        </w:rPr>
      </w:pPr>
      <w:r w:rsidRPr="008E420B">
        <w:rPr>
          <w:rFonts w:eastAsia="Calibri" w:cstheme="minorHAnsi"/>
          <w:sz w:val="24"/>
          <w:szCs w:val="24"/>
        </w:rPr>
        <w:t xml:space="preserve">The methodology for this study was basic qualitative research which is the most common form of qualitative research found in education (Merriam &amp; Tisdell, 2016). Merriam and Tisdell (2016) described qualitative research as a method to uncover and interpret meaning. The researcher is the primary instrument of data collection and analysis in this inductive and richly descriptive process (Creswell, 2014). I collected data through interviews and document analysis to uncover participant experiences. I analyzed the experiences of individuals that lead threat assessment teams (TATs) starting with thirteen Southeastern Conference (SEC) schools to better understand how TAT leaders operationalize and define success. The unit of analysis for this study was TAT leaders. I used a non-probability sampling method in this study. Non-probability sampling is the process of selecting participants from a non-random sample and preferred for qualitative research (Merriam &amp; Tisdell, 2016). This </w:t>
      </w:r>
      <w:r w:rsidRPr="008E420B">
        <w:rPr>
          <w:rFonts w:eastAsia="Calibri" w:cstheme="minorHAnsi"/>
          <w:sz w:val="24"/>
          <w:szCs w:val="24"/>
        </w:rPr>
        <w:lastRenderedPageBreak/>
        <w:t>sampling method allowed me to select participants from TATs to better understand how leaders operationalize and define success from the perspective of those who lead (Creswell, 2014; Honigmann, 1982; LeCompte &amp; Schensul, 2010). A type of non-probability sampling is criterion-based or purposeful sampling (Chein, 1981; Merriam &amp; Tisdell, 2016; Patton, 2015). I  used the most common form of purposeful sampling known as snowball sampling (Merriam &amp; Tisdell, 2016). I first sought participants from TATs in the SEC as TATs are a recognized group within the SEC. As I interviewed key participants who met the criteria for my study, I asked each to refer me to other participants. With each referral the number of participants, or snowball, grew, and I accumulated information-rich cases (Merriam &amp; Tisdell, 2016; Patton, 2015). I engaged in two forms of data collection – semi-structured interviews and document analysis (Merriam &amp; Tisdell, 2016). I collected thick, rich data and analyzed it so that it “makes sense” (Firestone, 1987, p. 19) to the reader. The interviews and documents provided data to answer the research question (Merriam &amp; Tisdell, 2016; Ponterotto, 2006). I engaged in data collection until the point of saturation. Saturation was achieved when data collection became redundant and no new information was forthcoming (Lincoln &amp; Guba, 1985; Merriam &amp; Tisdell, 2016; Patton, 2015).</w:t>
      </w:r>
    </w:p>
    <w:p w14:paraId="0B79A587" w14:textId="6481ED06" w:rsidR="00821497" w:rsidRPr="003A580F" w:rsidRDefault="008E420B" w:rsidP="00821497">
      <w:pPr>
        <w:spacing w:after="0" w:line="480" w:lineRule="auto"/>
        <w:rPr>
          <w:rFonts w:eastAsia="Calibri" w:cstheme="minorHAnsi"/>
          <w:b/>
          <w:bCs/>
          <w:sz w:val="24"/>
          <w:szCs w:val="24"/>
        </w:rPr>
      </w:pPr>
      <w:r w:rsidRPr="008E420B">
        <w:rPr>
          <w:rFonts w:eastAsia="Calibri" w:cstheme="minorHAnsi"/>
          <w:sz w:val="24"/>
          <w:szCs w:val="24"/>
        </w:rPr>
        <w:t>A basic qualitative study was ideal to conduct in-depth interviews, review documents, and analyze the experiences of those who lead TATs. Each tragedy that occurs at institutions of higher education (IHEs) brings new challenges and criticisms with an ever-increasing call for successful prevention efforts (Federal Bureau of Investigation et al., 2022). This research is important to understand how threat assessment team leaders operationalize and define success (Bolman &amp; Deal, 2021; Meloy &amp; Hoffmann, 2021).</w:t>
      </w:r>
      <w:r w:rsidR="00821497">
        <w:rPr>
          <w:rFonts w:eastAsia="Calibri" w:cstheme="minorHAnsi"/>
          <w:b/>
          <w:bCs/>
          <w:sz w:val="24"/>
          <w:szCs w:val="24"/>
        </w:rPr>
        <w:t>Context</w:t>
      </w:r>
    </w:p>
    <w:p w14:paraId="54CFF47F" w14:textId="1C503AFB" w:rsidR="00821497" w:rsidRPr="009513A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lastRenderedPageBreak/>
        <w:t>T</w:t>
      </w:r>
      <w:r w:rsidRPr="009513A7">
        <w:rPr>
          <w:rFonts w:cstheme="minorHAnsi"/>
          <w:sz w:val="24"/>
          <w:szCs w:val="24"/>
        </w:rPr>
        <w:t xml:space="preserve">he SEC, established in 1933 “has provided leadership on the vital issues facing intercollegiate competition” (Southeastern Conference, 2021). There are currently fourteen-member schools in the SEC: University of Alabama, University of Arkansas, Auburn University, University of Florida, University of Georgia, University of Kentucky, Louisiana State University, University of Mississippi, Mississippi State University, University of Missouri, University of South Carolina, University of Tennessee, Texas A&amp;M University, and Vanderbilt University. The University of Oklahoma and University of Texas </w:t>
      </w:r>
      <w:r w:rsidR="008E420B">
        <w:rPr>
          <w:rFonts w:cstheme="minorHAnsi"/>
          <w:sz w:val="24"/>
          <w:szCs w:val="24"/>
        </w:rPr>
        <w:t>were</w:t>
      </w:r>
      <w:r w:rsidRPr="009513A7">
        <w:rPr>
          <w:rFonts w:cstheme="minorHAnsi"/>
          <w:sz w:val="24"/>
          <w:szCs w:val="24"/>
        </w:rPr>
        <w:t xml:space="preserve"> slated to join the SEC July 1, 202</w:t>
      </w:r>
      <w:r w:rsidR="00774FD3">
        <w:rPr>
          <w:rFonts w:cstheme="minorHAnsi"/>
          <w:sz w:val="24"/>
          <w:szCs w:val="24"/>
        </w:rPr>
        <w:t>4</w:t>
      </w:r>
      <w:r w:rsidRPr="009513A7">
        <w:rPr>
          <w:rFonts w:cstheme="minorHAnsi"/>
          <w:sz w:val="24"/>
          <w:szCs w:val="24"/>
        </w:rPr>
        <w:t>, increasing the membership to 16 schools (Southeastern Conference, 2018; Southeastern Conference, 2021).</w:t>
      </w:r>
      <w:r>
        <w:rPr>
          <w:rFonts w:cstheme="minorHAnsi"/>
          <w:sz w:val="24"/>
          <w:szCs w:val="24"/>
        </w:rPr>
        <w:t xml:space="preserve"> </w:t>
      </w:r>
      <w:r w:rsidRPr="009513A7">
        <w:rPr>
          <w:rFonts w:eastAsia="Calibri" w:cstheme="minorHAnsi"/>
          <w:sz w:val="24"/>
          <w:szCs w:val="24"/>
        </w:rPr>
        <w:t xml:space="preserve">The University of Tennessee is not included in this study. UTK is my alma mater and employer. </w:t>
      </w:r>
      <w:r w:rsidR="008E420B" w:rsidRPr="008E420B">
        <w:rPr>
          <w:rFonts w:eastAsia="Calibri" w:cstheme="minorHAnsi"/>
          <w:sz w:val="24"/>
          <w:szCs w:val="24"/>
        </w:rPr>
        <w:t xml:space="preserve">The unit of analysis for this study </w:t>
      </w:r>
      <w:r w:rsidR="008E420B">
        <w:rPr>
          <w:rFonts w:eastAsia="Calibri" w:cstheme="minorHAnsi"/>
          <w:sz w:val="24"/>
          <w:szCs w:val="24"/>
        </w:rPr>
        <w:t>was</w:t>
      </w:r>
      <w:r w:rsidR="008E420B" w:rsidRPr="008E420B">
        <w:rPr>
          <w:rFonts w:eastAsia="Calibri" w:cstheme="minorHAnsi"/>
          <w:sz w:val="24"/>
          <w:szCs w:val="24"/>
        </w:rPr>
        <w:t xml:space="preserve"> TAT leaders </w:t>
      </w:r>
      <w:r w:rsidRPr="009513A7">
        <w:rPr>
          <w:rFonts w:eastAsia="Calibri" w:cstheme="minorHAnsi"/>
          <w:sz w:val="24"/>
          <w:szCs w:val="24"/>
        </w:rPr>
        <w:t>(</w:t>
      </w:r>
      <w:r w:rsidR="003B77EE">
        <w:rPr>
          <w:rFonts w:eastAsia="Calibri" w:cstheme="minorHAnsi"/>
          <w:sz w:val="24"/>
          <w:szCs w:val="24"/>
        </w:rPr>
        <w:t xml:space="preserve">Creswell, 2014; </w:t>
      </w:r>
      <w:r w:rsidR="00DE4173">
        <w:rPr>
          <w:rFonts w:eastAsia="Calibri" w:cstheme="minorHAnsi"/>
          <w:sz w:val="24"/>
          <w:szCs w:val="24"/>
        </w:rPr>
        <w:t xml:space="preserve">Merriam &amp; Tisdell, 2016; </w:t>
      </w:r>
      <w:r w:rsidRPr="009513A7">
        <w:rPr>
          <w:rFonts w:eastAsia="Calibri" w:cstheme="minorHAnsi"/>
          <w:sz w:val="24"/>
          <w:szCs w:val="24"/>
        </w:rPr>
        <w:t>Stake, 1988)</w:t>
      </w:r>
      <w:r w:rsidR="008E420B">
        <w:rPr>
          <w:rFonts w:eastAsia="Calibri" w:cstheme="minorHAnsi"/>
          <w:sz w:val="24"/>
          <w:szCs w:val="24"/>
        </w:rPr>
        <w:t>.</w:t>
      </w:r>
      <w:r w:rsidRPr="009513A7">
        <w:rPr>
          <w:rFonts w:eastAsia="Calibri" w:cstheme="minorHAnsi"/>
          <w:sz w:val="24"/>
          <w:szCs w:val="24"/>
        </w:rPr>
        <w:t xml:space="preserve"> </w:t>
      </w:r>
      <w:r w:rsidR="008E420B">
        <w:rPr>
          <w:rFonts w:eastAsia="Calibri" w:cstheme="minorHAnsi"/>
          <w:sz w:val="24"/>
          <w:szCs w:val="24"/>
        </w:rPr>
        <w:t xml:space="preserve">Using the snowball sampling method, I included TAT leaders from IHEs beyond the SEC. Examining data from participants from as many IHEs as possible </w:t>
      </w:r>
      <w:r w:rsidRPr="009513A7">
        <w:rPr>
          <w:rFonts w:eastAsia="Calibri" w:cstheme="minorHAnsi"/>
          <w:sz w:val="24"/>
          <w:szCs w:val="24"/>
        </w:rPr>
        <w:t xml:space="preserve">from the perspective of the </w:t>
      </w:r>
      <w:r w:rsidR="003B77EE">
        <w:rPr>
          <w:rFonts w:eastAsia="Calibri" w:cstheme="minorHAnsi"/>
          <w:sz w:val="24"/>
          <w:szCs w:val="24"/>
        </w:rPr>
        <w:t xml:space="preserve">TAT </w:t>
      </w:r>
      <w:r w:rsidR="008E420B">
        <w:rPr>
          <w:rFonts w:eastAsia="Calibri" w:cstheme="minorHAnsi"/>
          <w:sz w:val="24"/>
          <w:szCs w:val="24"/>
        </w:rPr>
        <w:t>leader helped to cultivate</w:t>
      </w:r>
      <w:r w:rsidRPr="009513A7">
        <w:rPr>
          <w:rFonts w:eastAsia="Calibri" w:cstheme="minorHAnsi"/>
          <w:sz w:val="24"/>
          <w:szCs w:val="24"/>
        </w:rPr>
        <w:t xml:space="preserve"> greater variation across cases</w:t>
      </w:r>
      <w:r w:rsidR="003B77EE">
        <w:rPr>
          <w:rFonts w:eastAsia="Calibri" w:cstheme="minorHAnsi"/>
          <w:sz w:val="24"/>
          <w:szCs w:val="24"/>
        </w:rPr>
        <w:t xml:space="preserve"> and strengthen </w:t>
      </w:r>
      <w:r w:rsidRPr="009513A7">
        <w:rPr>
          <w:rFonts w:eastAsia="Calibri" w:cstheme="minorHAnsi"/>
          <w:sz w:val="24"/>
          <w:szCs w:val="24"/>
        </w:rPr>
        <w:t xml:space="preserve">trustworthiness of the findings (Creswell, 2014; Miles et al., 2014). For the purposes of this research, a </w:t>
      </w:r>
      <w:r w:rsidR="008E420B">
        <w:rPr>
          <w:rFonts w:eastAsia="Calibri" w:cstheme="minorHAnsi"/>
          <w:sz w:val="24"/>
          <w:szCs w:val="24"/>
        </w:rPr>
        <w:t xml:space="preserve">basic </w:t>
      </w:r>
      <w:r w:rsidRPr="009513A7">
        <w:rPr>
          <w:rFonts w:eastAsia="Calibri" w:cstheme="minorHAnsi"/>
          <w:sz w:val="24"/>
          <w:szCs w:val="24"/>
        </w:rPr>
        <w:t xml:space="preserve">qualitative study is ideal to conduct in-depth interviews and analyze the experiences of those who </w:t>
      </w:r>
      <w:r w:rsidR="008E420B">
        <w:rPr>
          <w:rFonts w:eastAsia="Calibri" w:cstheme="minorHAnsi"/>
          <w:sz w:val="24"/>
          <w:szCs w:val="24"/>
        </w:rPr>
        <w:t>lead</w:t>
      </w:r>
      <w:r>
        <w:rPr>
          <w:rFonts w:eastAsia="Calibri" w:cstheme="minorHAnsi"/>
          <w:sz w:val="24"/>
          <w:szCs w:val="24"/>
        </w:rPr>
        <w:t xml:space="preserve"> </w:t>
      </w:r>
      <w:r w:rsidRPr="009513A7">
        <w:rPr>
          <w:rFonts w:cstheme="minorHAnsi"/>
          <w:sz w:val="24"/>
          <w:szCs w:val="24"/>
        </w:rPr>
        <w:t>TA</w:t>
      </w:r>
      <w:r>
        <w:rPr>
          <w:rFonts w:cstheme="minorHAnsi"/>
          <w:sz w:val="24"/>
          <w:szCs w:val="24"/>
        </w:rPr>
        <w:t>Ts</w:t>
      </w:r>
      <w:r w:rsidRPr="009513A7">
        <w:rPr>
          <w:rFonts w:eastAsia="Calibri" w:cstheme="minorHAnsi"/>
          <w:sz w:val="24"/>
          <w:szCs w:val="24"/>
        </w:rPr>
        <w:t xml:space="preserve">. </w:t>
      </w:r>
    </w:p>
    <w:p w14:paraId="2850DC3B" w14:textId="77777777" w:rsidR="00894B74" w:rsidRDefault="00894B74" w:rsidP="00821497">
      <w:pPr>
        <w:spacing w:after="0" w:line="480" w:lineRule="auto"/>
        <w:rPr>
          <w:rFonts w:eastAsia="Calibri" w:cstheme="minorHAnsi"/>
          <w:b/>
          <w:sz w:val="24"/>
          <w:szCs w:val="24"/>
        </w:rPr>
      </w:pPr>
    </w:p>
    <w:p w14:paraId="328A682D" w14:textId="77777777" w:rsidR="00894B74" w:rsidRDefault="00894B74" w:rsidP="00821497">
      <w:pPr>
        <w:spacing w:after="0" w:line="480" w:lineRule="auto"/>
        <w:rPr>
          <w:rFonts w:eastAsia="Calibri" w:cstheme="minorHAnsi"/>
          <w:b/>
          <w:sz w:val="24"/>
          <w:szCs w:val="24"/>
        </w:rPr>
      </w:pPr>
    </w:p>
    <w:p w14:paraId="48E39EC7" w14:textId="42C2497F" w:rsidR="00821497" w:rsidRPr="009513A7" w:rsidRDefault="00821497" w:rsidP="00821497">
      <w:pPr>
        <w:spacing w:after="0" w:line="480" w:lineRule="auto"/>
        <w:rPr>
          <w:rFonts w:eastAsia="Calibri" w:cstheme="minorHAnsi"/>
          <w:sz w:val="24"/>
          <w:szCs w:val="24"/>
        </w:rPr>
      </w:pPr>
      <w:r w:rsidRPr="009513A7">
        <w:rPr>
          <w:rFonts w:eastAsia="Calibri" w:cstheme="minorHAnsi"/>
          <w:b/>
          <w:sz w:val="24"/>
          <w:szCs w:val="24"/>
        </w:rPr>
        <w:t xml:space="preserve">Participants </w:t>
      </w:r>
      <w:sdt>
        <w:sdtPr>
          <w:rPr>
            <w:rFonts w:cstheme="minorHAnsi"/>
            <w:sz w:val="24"/>
            <w:szCs w:val="24"/>
          </w:rPr>
          <w:tag w:val="goog_rdk_36"/>
          <w:id w:val="-1561164603"/>
          <w:showingPlcHdr/>
        </w:sdtPr>
        <w:sdtEndPr/>
        <w:sdtContent>
          <w:r w:rsidRPr="009513A7">
            <w:rPr>
              <w:rFonts w:cstheme="minorHAnsi"/>
              <w:sz w:val="24"/>
              <w:szCs w:val="24"/>
            </w:rPr>
            <w:t xml:space="preserve">     </w:t>
          </w:r>
        </w:sdtContent>
      </w:sdt>
    </w:p>
    <w:p w14:paraId="5F4F0EAF" w14:textId="2D57E828" w:rsidR="00821497" w:rsidRPr="009513A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The unit of analysis, or case</w:t>
      </w:r>
      <w:r w:rsidR="008C33DA">
        <w:rPr>
          <w:rFonts w:eastAsia="Calibri" w:cstheme="minorHAnsi"/>
          <w:sz w:val="24"/>
          <w:szCs w:val="24"/>
        </w:rPr>
        <w:t>s</w:t>
      </w:r>
      <w:r w:rsidRPr="009513A7">
        <w:rPr>
          <w:rFonts w:eastAsia="Calibri" w:cstheme="minorHAnsi"/>
          <w:sz w:val="24"/>
          <w:szCs w:val="24"/>
        </w:rPr>
        <w:t xml:space="preserve">, for this study </w:t>
      </w:r>
      <w:r w:rsidR="008E420B">
        <w:rPr>
          <w:rFonts w:eastAsia="Calibri" w:cstheme="minorHAnsi"/>
          <w:sz w:val="24"/>
          <w:szCs w:val="24"/>
        </w:rPr>
        <w:t>was</w:t>
      </w:r>
      <w:r>
        <w:rPr>
          <w:rFonts w:eastAsia="Calibri" w:cstheme="minorHAnsi"/>
          <w:sz w:val="24"/>
          <w:szCs w:val="24"/>
        </w:rPr>
        <w:t xml:space="preserve"> </w:t>
      </w:r>
      <w:r w:rsidRPr="009513A7">
        <w:rPr>
          <w:rFonts w:cstheme="minorHAnsi"/>
          <w:sz w:val="24"/>
          <w:szCs w:val="24"/>
        </w:rPr>
        <w:t>TA</w:t>
      </w:r>
      <w:r>
        <w:rPr>
          <w:rFonts w:cstheme="minorHAnsi"/>
          <w:sz w:val="24"/>
          <w:szCs w:val="24"/>
        </w:rPr>
        <w:t>T</w:t>
      </w:r>
      <w:r w:rsidR="008C33DA">
        <w:rPr>
          <w:rFonts w:cstheme="minorHAnsi"/>
          <w:sz w:val="24"/>
          <w:szCs w:val="24"/>
        </w:rPr>
        <w:t xml:space="preserve"> </w:t>
      </w:r>
      <w:r w:rsidR="008E420B">
        <w:rPr>
          <w:rFonts w:cstheme="minorHAnsi"/>
          <w:sz w:val="24"/>
          <w:szCs w:val="24"/>
        </w:rPr>
        <w:t>leaders</w:t>
      </w:r>
      <w:r w:rsidRPr="009513A7">
        <w:rPr>
          <w:rFonts w:eastAsia="Calibri" w:cstheme="minorHAnsi"/>
          <w:sz w:val="24"/>
          <w:szCs w:val="24"/>
        </w:rPr>
        <w:t xml:space="preserve">. </w:t>
      </w:r>
      <w:r>
        <w:rPr>
          <w:rFonts w:eastAsia="Calibri" w:cstheme="minorHAnsi"/>
          <w:sz w:val="24"/>
          <w:szCs w:val="24"/>
        </w:rPr>
        <w:t>I use</w:t>
      </w:r>
      <w:r w:rsidR="00C46B58">
        <w:rPr>
          <w:rFonts w:eastAsia="Calibri" w:cstheme="minorHAnsi"/>
          <w:sz w:val="24"/>
          <w:szCs w:val="24"/>
        </w:rPr>
        <w:t>d</w:t>
      </w:r>
      <w:r>
        <w:rPr>
          <w:rFonts w:eastAsia="Calibri" w:cstheme="minorHAnsi"/>
          <w:sz w:val="24"/>
          <w:szCs w:val="24"/>
        </w:rPr>
        <w:t xml:space="preserve"> a</w:t>
      </w:r>
      <w:r w:rsidRPr="009513A7">
        <w:rPr>
          <w:rFonts w:eastAsia="Calibri" w:cstheme="minorHAnsi"/>
          <w:sz w:val="24"/>
          <w:szCs w:val="24"/>
        </w:rPr>
        <w:t xml:space="preserve"> non-probability sampling method in this study</w:t>
      </w:r>
      <w:r w:rsidR="0083693F">
        <w:rPr>
          <w:rFonts w:eastAsia="Calibri" w:cstheme="minorHAnsi"/>
          <w:sz w:val="24"/>
          <w:szCs w:val="24"/>
        </w:rPr>
        <w:t xml:space="preserve">. Non-probability sampling is a method of selecting </w:t>
      </w:r>
      <w:r w:rsidR="008C33DA">
        <w:rPr>
          <w:rFonts w:eastAsia="Calibri" w:cstheme="minorHAnsi"/>
          <w:sz w:val="24"/>
          <w:szCs w:val="24"/>
        </w:rPr>
        <w:t>participants</w:t>
      </w:r>
      <w:r w:rsidR="0083693F">
        <w:rPr>
          <w:rFonts w:eastAsia="Calibri" w:cstheme="minorHAnsi"/>
          <w:sz w:val="24"/>
          <w:szCs w:val="24"/>
        </w:rPr>
        <w:t xml:space="preserve"> from a non-random sample and is preferred for qualitative research (Merriam &amp; Tisdell, 2016). </w:t>
      </w:r>
      <w:r w:rsidR="0083693F">
        <w:rPr>
          <w:rFonts w:eastAsia="Calibri" w:cstheme="minorHAnsi"/>
          <w:sz w:val="24"/>
          <w:szCs w:val="24"/>
        </w:rPr>
        <w:lastRenderedPageBreak/>
        <w:t>This sampling method allow</w:t>
      </w:r>
      <w:r w:rsidR="00C46B58">
        <w:rPr>
          <w:rFonts w:eastAsia="Calibri" w:cstheme="minorHAnsi"/>
          <w:sz w:val="24"/>
          <w:szCs w:val="24"/>
        </w:rPr>
        <w:t>ed</w:t>
      </w:r>
      <w:r w:rsidR="0083693F">
        <w:rPr>
          <w:rFonts w:eastAsia="Calibri" w:cstheme="minorHAnsi"/>
          <w:sz w:val="24"/>
          <w:szCs w:val="24"/>
        </w:rPr>
        <w:t xml:space="preserve"> me to select </w:t>
      </w:r>
      <w:r w:rsidR="008C33DA">
        <w:rPr>
          <w:rFonts w:eastAsia="Calibri" w:cstheme="minorHAnsi"/>
          <w:sz w:val="24"/>
          <w:szCs w:val="24"/>
        </w:rPr>
        <w:t>participant</w:t>
      </w:r>
      <w:r w:rsidR="0083693F">
        <w:rPr>
          <w:rFonts w:eastAsia="Calibri" w:cstheme="minorHAnsi"/>
          <w:sz w:val="24"/>
          <w:szCs w:val="24"/>
        </w:rPr>
        <w:t>s from the TATs</w:t>
      </w:r>
      <w:r w:rsidRPr="009513A7">
        <w:rPr>
          <w:rFonts w:eastAsia="Calibri" w:cstheme="minorHAnsi"/>
          <w:sz w:val="24"/>
          <w:szCs w:val="24"/>
        </w:rPr>
        <w:t xml:space="preserve"> </w:t>
      </w:r>
      <w:r w:rsidR="00290E21">
        <w:rPr>
          <w:rFonts w:eastAsia="Calibri" w:cstheme="minorHAnsi"/>
          <w:sz w:val="24"/>
          <w:szCs w:val="24"/>
        </w:rPr>
        <w:t xml:space="preserve">to better understand </w:t>
      </w:r>
      <w:r w:rsidR="00C46B58" w:rsidRPr="00C46B58">
        <w:rPr>
          <w:rFonts w:eastAsia="Calibri" w:cstheme="minorHAnsi"/>
          <w:sz w:val="24"/>
          <w:szCs w:val="24"/>
        </w:rPr>
        <w:t xml:space="preserve">how leaders operationalize and define success from the perspective of those who lead </w:t>
      </w:r>
      <w:r w:rsidR="00665509">
        <w:rPr>
          <w:rFonts w:eastAsia="Calibri" w:cstheme="minorHAnsi"/>
          <w:sz w:val="24"/>
          <w:szCs w:val="24"/>
        </w:rPr>
        <w:t>(Creswell, 2014; Honigmann, 1982</w:t>
      </w:r>
      <w:r w:rsidR="00DD18AA">
        <w:rPr>
          <w:rFonts w:eastAsia="Calibri" w:cstheme="minorHAnsi"/>
          <w:sz w:val="24"/>
          <w:szCs w:val="24"/>
        </w:rPr>
        <w:t xml:space="preserve">; LeCompte &amp; Schensul, 2010; </w:t>
      </w:r>
      <w:r w:rsidR="00DD18AA" w:rsidRPr="009513A7">
        <w:rPr>
          <w:rFonts w:eastAsia="Calibri" w:cstheme="minorHAnsi"/>
          <w:sz w:val="24"/>
          <w:szCs w:val="24"/>
        </w:rPr>
        <w:t>Stake, 1988</w:t>
      </w:r>
      <w:r w:rsidR="00665509">
        <w:rPr>
          <w:rFonts w:eastAsia="Calibri" w:cstheme="minorHAnsi"/>
          <w:sz w:val="24"/>
          <w:szCs w:val="24"/>
        </w:rPr>
        <w:t xml:space="preserve">). </w:t>
      </w:r>
      <w:r w:rsidR="00C46B58" w:rsidRPr="00C46B58">
        <w:rPr>
          <w:rFonts w:eastAsia="Calibri" w:cstheme="minorHAnsi"/>
          <w:sz w:val="24"/>
          <w:szCs w:val="24"/>
        </w:rPr>
        <w:t xml:space="preserve">A type of non-probability sampling is criterion-based or purposeful sampling </w:t>
      </w:r>
      <w:r w:rsidRPr="009513A7">
        <w:rPr>
          <w:rFonts w:eastAsia="Calibri" w:cstheme="minorHAnsi"/>
          <w:sz w:val="24"/>
          <w:szCs w:val="24"/>
        </w:rPr>
        <w:t>(Chein, 1981</w:t>
      </w:r>
      <w:r w:rsidR="000C19BB">
        <w:rPr>
          <w:rFonts w:eastAsia="Calibri" w:cstheme="minorHAnsi"/>
          <w:sz w:val="24"/>
          <w:szCs w:val="24"/>
        </w:rPr>
        <w:t>;</w:t>
      </w:r>
      <w:r>
        <w:rPr>
          <w:rFonts w:eastAsia="Calibri" w:cstheme="minorHAnsi"/>
          <w:sz w:val="24"/>
          <w:szCs w:val="24"/>
        </w:rPr>
        <w:t xml:space="preserve"> </w:t>
      </w:r>
      <w:r w:rsidR="00CD729E">
        <w:rPr>
          <w:rFonts w:eastAsia="Calibri" w:cstheme="minorHAnsi"/>
          <w:sz w:val="24"/>
          <w:szCs w:val="24"/>
        </w:rPr>
        <w:t xml:space="preserve">Merriam &amp; Tisdell, 2016; </w:t>
      </w:r>
      <w:r>
        <w:rPr>
          <w:rFonts w:eastAsia="Calibri" w:cstheme="minorHAnsi"/>
          <w:sz w:val="24"/>
          <w:szCs w:val="24"/>
        </w:rPr>
        <w:t>Patton, 2015</w:t>
      </w:r>
      <w:r w:rsidRPr="009513A7">
        <w:rPr>
          <w:rFonts w:eastAsia="Calibri" w:cstheme="minorHAnsi"/>
          <w:sz w:val="24"/>
          <w:szCs w:val="24"/>
        </w:rPr>
        <w:t>)</w:t>
      </w:r>
      <w:r w:rsidR="0067564A">
        <w:rPr>
          <w:rFonts w:eastAsia="Calibri" w:cstheme="minorHAnsi"/>
          <w:sz w:val="24"/>
          <w:szCs w:val="24"/>
        </w:rPr>
        <w:t>.</w:t>
      </w:r>
      <w:r w:rsidR="00243698">
        <w:rPr>
          <w:rFonts w:eastAsia="Calibri" w:cstheme="minorHAnsi"/>
          <w:sz w:val="24"/>
          <w:szCs w:val="24"/>
        </w:rPr>
        <w:t xml:space="preserve"> </w:t>
      </w:r>
      <w:r w:rsidR="00C46B58" w:rsidRPr="00C46B58">
        <w:rPr>
          <w:rFonts w:eastAsia="Calibri" w:cstheme="minorHAnsi"/>
          <w:sz w:val="24"/>
          <w:szCs w:val="24"/>
        </w:rPr>
        <w:t>I use</w:t>
      </w:r>
      <w:r w:rsidR="00C46B58">
        <w:rPr>
          <w:rFonts w:eastAsia="Calibri" w:cstheme="minorHAnsi"/>
          <w:sz w:val="24"/>
          <w:szCs w:val="24"/>
        </w:rPr>
        <w:t>d</w:t>
      </w:r>
      <w:r w:rsidR="00C46B58" w:rsidRPr="00C46B58">
        <w:rPr>
          <w:rFonts w:eastAsia="Calibri" w:cstheme="minorHAnsi"/>
          <w:sz w:val="24"/>
          <w:szCs w:val="24"/>
        </w:rPr>
        <w:t xml:space="preserve"> the most common form of </w:t>
      </w:r>
      <w:r w:rsidR="00C46B58">
        <w:rPr>
          <w:rFonts w:eastAsia="Calibri" w:cstheme="minorHAnsi"/>
          <w:sz w:val="24"/>
          <w:szCs w:val="24"/>
        </w:rPr>
        <w:t xml:space="preserve">criterion-based, </w:t>
      </w:r>
      <w:r w:rsidR="00C46B58" w:rsidRPr="00C46B58">
        <w:rPr>
          <w:rFonts w:eastAsia="Calibri" w:cstheme="minorHAnsi"/>
          <w:sz w:val="24"/>
          <w:szCs w:val="24"/>
        </w:rPr>
        <w:t>purposeful sampling known as snowball sampling (</w:t>
      </w:r>
      <w:r w:rsidR="00C46B58" w:rsidRPr="009513A7">
        <w:rPr>
          <w:rFonts w:eastAsia="Calibri" w:cstheme="minorHAnsi"/>
          <w:sz w:val="24"/>
          <w:szCs w:val="24"/>
        </w:rPr>
        <w:t>Lincoln &amp; Guba, 1985</w:t>
      </w:r>
      <w:r w:rsidR="00C46B58">
        <w:rPr>
          <w:rFonts w:eastAsia="Calibri" w:cstheme="minorHAnsi"/>
          <w:sz w:val="24"/>
          <w:szCs w:val="24"/>
        </w:rPr>
        <w:t xml:space="preserve">; </w:t>
      </w:r>
      <w:r w:rsidR="00C46B58" w:rsidRPr="00C46B58">
        <w:rPr>
          <w:rFonts w:eastAsia="Calibri" w:cstheme="minorHAnsi"/>
          <w:sz w:val="24"/>
          <w:szCs w:val="24"/>
        </w:rPr>
        <w:t xml:space="preserve">Merriam &amp; Tisdell, 2016). I first </w:t>
      </w:r>
      <w:r w:rsidR="00C46B58">
        <w:rPr>
          <w:rFonts w:eastAsia="Calibri" w:cstheme="minorHAnsi"/>
          <w:sz w:val="24"/>
          <w:szCs w:val="24"/>
        </w:rPr>
        <w:t>sought</w:t>
      </w:r>
      <w:r w:rsidR="00C46B58" w:rsidRPr="00C46B58">
        <w:rPr>
          <w:rFonts w:eastAsia="Calibri" w:cstheme="minorHAnsi"/>
          <w:sz w:val="24"/>
          <w:szCs w:val="24"/>
        </w:rPr>
        <w:t xml:space="preserve"> participants from TATs in the SEC as TATs are a recognized group within the SEC. As I interview</w:t>
      </w:r>
      <w:r w:rsidR="00C46B58">
        <w:rPr>
          <w:rFonts w:eastAsia="Calibri" w:cstheme="minorHAnsi"/>
          <w:sz w:val="24"/>
          <w:szCs w:val="24"/>
        </w:rPr>
        <w:t>ed</w:t>
      </w:r>
      <w:r w:rsidR="00C46B58" w:rsidRPr="00C46B58">
        <w:rPr>
          <w:rFonts w:eastAsia="Calibri" w:cstheme="minorHAnsi"/>
          <w:sz w:val="24"/>
          <w:szCs w:val="24"/>
        </w:rPr>
        <w:t xml:space="preserve"> key participants who met the criteria for my study, I ask</w:t>
      </w:r>
      <w:r w:rsidR="00C46B58">
        <w:rPr>
          <w:rFonts w:eastAsia="Calibri" w:cstheme="minorHAnsi"/>
          <w:sz w:val="24"/>
          <w:szCs w:val="24"/>
        </w:rPr>
        <w:t>ed</w:t>
      </w:r>
      <w:r w:rsidR="00C46B58" w:rsidRPr="00C46B58">
        <w:rPr>
          <w:rFonts w:eastAsia="Calibri" w:cstheme="minorHAnsi"/>
          <w:sz w:val="24"/>
          <w:szCs w:val="24"/>
        </w:rPr>
        <w:t xml:space="preserve"> each to refer me to other participants. With each referral the number of participants, or snowball, gr</w:t>
      </w:r>
      <w:r w:rsidR="00C46B58">
        <w:rPr>
          <w:rFonts w:eastAsia="Calibri" w:cstheme="minorHAnsi"/>
          <w:sz w:val="24"/>
          <w:szCs w:val="24"/>
        </w:rPr>
        <w:t>e</w:t>
      </w:r>
      <w:r w:rsidR="00C46B58" w:rsidRPr="00C46B58">
        <w:rPr>
          <w:rFonts w:eastAsia="Calibri" w:cstheme="minorHAnsi"/>
          <w:sz w:val="24"/>
          <w:szCs w:val="24"/>
        </w:rPr>
        <w:t>w, and I accumulate</w:t>
      </w:r>
      <w:r w:rsidR="00C46B58">
        <w:rPr>
          <w:rFonts w:eastAsia="Calibri" w:cstheme="minorHAnsi"/>
          <w:sz w:val="24"/>
          <w:szCs w:val="24"/>
        </w:rPr>
        <w:t>d</w:t>
      </w:r>
      <w:r w:rsidR="00C46B58" w:rsidRPr="00C46B58">
        <w:rPr>
          <w:rFonts w:eastAsia="Calibri" w:cstheme="minorHAnsi"/>
          <w:sz w:val="24"/>
          <w:szCs w:val="24"/>
        </w:rPr>
        <w:t xml:space="preserve"> information-rich cases (Merriam &amp; Tisdell, 2016; Patton, 2015).</w:t>
      </w:r>
    </w:p>
    <w:p w14:paraId="76F339F8" w14:textId="142FACB4"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 xml:space="preserve">Criteria for </w:t>
      </w:r>
      <w:r w:rsidR="00BD4176">
        <w:rPr>
          <w:rFonts w:eastAsia="Calibri" w:cstheme="minorHAnsi"/>
          <w:sz w:val="24"/>
          <w:szCs w:val="24"/>
        </w:rPr>
        <w:t xml:space="preserve">study </w:t>
      </w:r>
      <w:r>
        <w:rPr>
          <w:rFonts w:eastAsia="Calibri" w:cstheme="minorHAnsi"/>
          <w:sz w:val="24"/>
          <w:szCs w:val="24"/>
        </w:rPr>
        <w:t>participation include</w:t>
      </w:r>
      <w:r w:rsidR="00C46B58">
        <w:rPr>
          <w:rFonts w:eastAsia="Calibri" w:cstheme="minorHAnsi"/>
          <w:sz w:val="24"/>
          <w:szCs w:val="24"/>
        </w:rPr>
        <w:t>d</w:t>
      </w:r>
      <w:r>
        <w:rPr>
          <w:rFonts w:eastAsia="Calibri" w:cstheme="minorHAnsi"/>
          <w:sz w:val="24"/>
          <w:szCs w:val="24"/>
        </w:rPr>
        <w:t xml:space="preserve"> prospective participants</w:t>
      </w:r>
      <w:r w:rsidRPr="009513A7">
        <w:rPr>
          <w:rFonts w:eastAsia="Calibri" w:cstheme="minorHAnsi"/>
          <w:sz w:val="24"/>
          <w:szCs w:val="24"/>
        </w:rPr>
        <w:t xml:space="preserve"> currently </w:t>
      </w:r>
      <w:r w:rsidR="001B01BF">
        <w:rPr>
          <w:rFonts w:eastAsia="Calibri" w:cstheme="minorHAnsi"/>
          <w:sz w:val="24"/>
          <w:szCs w:val="24"/>
        </w:rPr>
        <w:t>leading a</w:t>
      </w:r>
      <w:r>
        <w:rPr>
          <w:rFonts w:eastAsia="Calibri" w:cstheme="minorHAnsi"/>
          <w:sz w:val="24"/>
          <w:szCs w:val="24"/>
        </w:rPr>
        <w:t xml:space="preserve"> </w:t>
      </w:r>
      <w:r w:rsidRPr="009513A7">
        <w:rPr>
          <w:rFonts w:cstheme="minorHAnsi"/>
          <w:sz w:val="24"/>
          <w:szCs w:val="24"/>
        </w:rPr>
        <w:t>TA</w:t>
      </w:r>
      <w:r>
        <w:rPr>
          <w:rFonts w:cstheme="minorHAnsi"/>
          <w:sz w:val="24"/>
          <w:szCs w:val="24"/>
        </w:rPr>
        <w:t>T</w:t>
      </w:r>
      <w:r w:rsidRPr="009513A7">
        <w:rPr>
          <w:rFonts w:eastAsia="Calibri" w:cstheme="minorHAnsi"/>
          <w:sz w:val="24"/>
          <w:szCs w:val="24"/>
        </w:rPr>
        <w:t xml:space="preserve"> </w:t>
      </w:r>
      <w:r>
        <w:rPr>
          <w:rFonts w:eastAsia="Calibri" w:cstheme="minorHAnsi"/>
          <w:sz w:val="24"/>
          <w:szCs w:val="24"/>
        </w:rPr>
        <w:t xml:space="preserve">and having </w:t>
      </w:r>
      <w:r w:rsidRPr="009513A7">
        <w:rPr>
          <w:rFonts w:eastAsia="Calibri" w:cstheme="minorHAnsi"/>
          <w:sz w:val="24"/>
          <w:szCs w:val="24"/>
        </w:rPr>
        <w:t>served on th</w:t>
      </w:r>
      <w:r>
        <w:rPr>
          <w:rFonts w:eastAsia="Calibri" w:cstheme="minorHAnsi"/>
          <w:sz w:val="24"/>
          <w:szCs w:val="24"/>
        </w:rPr>
        <w:t>e</w:t>
      </w:r>
      <w:r w:rsidRPr="009513A7">
        <w:rPr>
          <w:rFonts w:eastAsia="Calibri" w:cstheme="minorHAnsi"/>
          <w:sz w:val="24"/>
          <w:szCs w:val="24"/>
        </w:rPr>
        <w:t xml:space="preserve"> team in some capacity for at least one year or 12 consecutive months. Serving on the team for at least one year increase</w:t>
      </w:r>
      <w:r w:rsidR="001B01BF">
        <w:rPr>
          <w:rFonts w:eastAsia="Calibri" w:cstheme="minorHAnsi"/>
          <w:sz w:val="24"/>
          <w:szCs w:val="24"/>
        </w:rPr>
        <w:t>d</w:t>
      </w:r>
      <w:r w:rsidRPr="009513A7">
        <w:rPr>
          <w:rFonts w:eastAsia="Calibri" w:cstheme="minorHAnsi"/>
          <w:sz w:val="24"/>
          <w:szCs w:val="24"/>
        </w:rPr>
        <w:t xml:space="preserve"> the likelihood that an individual </w:t>
      </w:r>
      <w:r w:rsidR="001B01BF">
        <w:rPr>
          <w:rFonts w:eastAsia="Calibri" w:cstheme="minorHAnsi"/>
          <w:sz w:val="24"/>
          <w:szCs w:val="24"/>
        </w:rPr>
        <w:t>had</w:t>
      </w:r>
      <w:r w:rsidRPr="009513A7">
        <w:rPr>
          <w:rFonts w:eastAsia="Calibri" w:cstheme="minorHAnsi"/>
          <w:sz w:val="24"/>
          <w:szCs w:val="24"/>
        </w:rPr>
        <w:t xml:space="preserve"> a foundational understanding of team-specific protocol</w:t>
      </w:r>
      <w:r>
        <w:rPr>
          <w:rFonts w:eastAsia="Calibri" w:cstheme="minorHAnsi"/>
          <w:sz w:val="24"/>
          <w:szCs w:val="24"/>
        </w:rPr>
        <w:t>s</w:t>
      </w:r>
      <w:r w:rsidRPr="009513A7">
        <w:rPr>
          <w:rFonts w:eastAsia="Calibri" w:cstheme="minorHAnsi"/>
          <w:sz w:val="24"/>
          <w:szCs w:val="24"/>
        </w:rPr>
        <w:t xml:space="preserve">, has worked on a case, and/or has engaged in some level of training for that specific team and institution. The sample size </w:t>
      </w:r>
      <w:r w:rsidR="001B01BF">
        <w:rPr>
          <w:rFonts w:eastAsia="Calibri" w:cstheme="minorHAnsi"/>
          <w:sz w:val="24"/>
          <w:szCs w:val="24"/>
        </w:rPr>
        <w:t xml:space="preserve">was dependent upon </w:t>
      </w:r>
      <w:r w:rsidR="00511CC6">
        <w:rPr>
          <w:rFonts w:eastAsia="Calibri" w:cstheme="minorHAnsi"/>
          <w:sz w:val="24"/>
          <w:szCs w:val="24"/>
        </w:rPr>
        <w:t xml:space="preserve"> on the number of </w:t>
      </w:r>
      <w:r w:rsidR="00140184">
        <w:rPr>
          <w:rFonts w:eastAsia="Calibri" w:cstheme="minorHAnsi"/>
          <w:sz w:val="24"/>
          <w:szCs w:val="24"/>
        </w:rPr>
        <w:t xml:space="preserve">TAT </w:t>
      </w:r>
      <w:r w:rsidR="001B01BF">
        <w:rPr>
          <w:rFonts w:eastAsia="Calibri" w:cstheme="minorHAnsi"/>
          <w:sz w:val="24"/>
          <w:szCs w:val="24"/>
        </w:rPr>
        <w:t xml:space="preserve">leaders </w:t>
      </w:r>
      <w:r w:rsidR="00511CC6">
        <w:rPr>
          <w:rFonts w:eastAsia="Calibri" w:cstheme="minorHAnsi"/>
          <w:sz w:val="24"/>
          <w:szCs w:val="24"/>
        </w:rPr>
        <w:t xml:space="preserve">willing and able to participate. </w:t>
      </w:r>
    </w:p>
    <w:p w14:paraId="1489F76E" w14:textId="29D61B83" w:rsidR="00821497" w:rsidRDefault="00821497" w:rsidP="009E11AA">
      <w:pPr>
        <w:spacing w:after="0" w:line="480" w:lineRule="auto"/>
        <w:ind w:firstLine="720"/>
        <w:rPr>
          <w:rFonts w:eastAsia="Calibri" w:cstheme="minorHAnsi"/>
          <w:b/>
          <w:sz w:val="24"/>
          <w:szCs w:val="24"/>
        </w:rPr>
      </w:pPr>
      <w:r w:rsidRPr="009513A7">
        <w:rPr>
          <w:rFonts w:eastAsia="Calibri" w:cstheme="minorHAnsi"/>
          <w:sz w:val="24"/>
          <w:szCs w:val="24"/>
        </w:rPr>
        <w:t xml:space="preserve">Gatekeepers are “individuals at the site who provide access to the site and allow or permit the research to be done” (Creswell, 2014, p. 188). As </w:t>
      </w:r>
      <w:r w:rsidR="002D5C7E" w:rsidRPr="009513A7">
        <w:rPr>
          <w:rFonts w:eastAsia="Calibri" w:cstheme="minorHAnsi"/>
          <w:sz w:val="24"/>
          <w:szCs w:val="24"/>
        </w:rPr>
        <w:t>a researcher</w:t>
      </w:r>
      <w:r w:rsidRPr="009513A7">
        <w:rPr>
          <w:rFonts w:eastAsia="Calibri" w:cstheme="minorHAnsi"/>
          <w:sz w:val="24"/>
          <w:szCs w:val="24"/>
        </w:rPr>
        <w:t xml:space="preserve"> and a </w:t>
      </w:r>
      <w:r w:rsidR="0033433E">
        <w:rPr>
          <w:rFonts w:eastAsia="Calibri" w:cstheme="minorHAnsi"/>
          <w:sz w:val="24"/>
          <w:szCs w:val="24"/>
        </w:rPr>
        <w:t>h</w:t>
      </w:r>
      <w:r w:rsidRPr="009513A7">
        <w:rPr>
          <w:rFonts w:eastAsia="Calibri" w:cstheme="minorHAnsi"/>
          <w:sz w:val="24"/>
          <w:szCs w:val="24"/>
        </w:rPr>
        <w:t>uman</w:t>
      </w:r>
      <w:r w:rsidR="00D47B80">
        <w:rPr>
          <w:rFonts w:eastAsia="Calibri" w:cstheme="minorHAnsi"/>
          <w:sz w:val="24"/>
          <w:szCs w:val="24"/>
        </w:rPr>
        <w:t xml:space="preserve"> </w:t>
      </w:r>
      <w:r w:rsidR="0033433E">
        <w:rPr>
          <w:rFonts w:eastAsia="Calibri" w:cstheme="minorHAnsi"/>
          <w:sz w:val="24"/>
          <w:szCs w:val="24"/>
        </w:rPr>
        <w:t>r</w:t>
      </w:r>
      <w:r w:rsidRPr="009513A7">
        <w:rPr>
          <w:rFonts w:eastAsia="Calibri" w:cstheme="minorHAnsi"/>
          <w:sz w:val="24"/>
          <w:szCs w:val="24"/>
        </w:rPr>
        <w:t>esources professional in higher education, I have threat assessment contacts at each SEC school. These contacts may serve as gatekeepers to participants, as well as any documentation</w:t>
      </w:r>
      <w:r>
        <w:rPr>
          <w:rFonts w:eastAsia="Calibri" w:cstheme="minorHAnsi"/>
          <w:sz w:val="24"/>
          <w:szCs w:val="24"/>
        </w:rPr>
        <w:t xml:space="preserve"> for review</w:t>
      </w:r>
      <w:r w:rsidRPr="009513A7">
        <w:rPr>
          <w:rFonts w:eastAsia="Calibri" w:cstheme="minorHAnsi"/>
          <w:sz w:val="24"/>
          <w:szCs w:val="24"/>
        </w:rPr>
        <w:t xml:space="preserve">, such as any </w:t>
      </w:r>
      <w:r w:rsidR="00F17F6E" w:rsidRPr="009513A7">
        <w:rPr>
          <w:rFonts w:eastAsia="Calibri" w:cstheme="minorHAnsi"/>
          <w:sz w:val="24"/>
          <w:szCs w:val="24"/>
        </w:rPr>
        <w:t>institution-specific protocol</w:t>
      </w:r>
      <w:r w:rsidR="00F17F6E">
        <w:rPr>
          <w:rFonts w:eastAsia="Calibri" w:cstheme="minorHAnsi"/>
          <w:sz w:val="24"/>
          <w:szCs w:val="24"/>
        </w:rPr>
        <w:t>s</w:t>
      </w:r>
      <w:r w:rsidR="00F17F6E" w:rsidRPr="009513A7">
        <w:rPr>
          <w:rFonts w:eastAsia="Calibri" w:cstheme="minorHAnsi"/>
          <w:sz w:val="24"/>
          <w:szCs w:val="24"/>
        </w:rPr>
        <w:t xml:space="preserve">. </w:t>
      </w:r>
      <w:r w:rsidRPr="009513A7">
        <w:rPr>
          <w:rFonts w:eastAsia="Calibri" w:cstheme="minorHAnsi"/>
          <w:sz w:val="24"/>
          <w:szCs w:val="24"/>
        </w:rPr>
        <w:t>This research involve</w:t>
      </w:r>
      <w:r w:rsidR="001B01BF">
        <w:rPr>
          <w:rFonts w:eastAsia="Calibri" w:cstheme="minorHAnsi"/>
          <w:sz w:val="24"/>
          <w:szCs w:val="24"/>
        </w:rPr>
        <w:t>d</w:t>
      </w:r>
      <w:r w:rsidRPr="009513A7">
        <w:rPr>
          <w:rFonts w:eastAsia="Calibri" w:cstheme="minorHAnsi"/>
          <w:sz w:val="24"/>
          <w:szCs w:val="24"/>
        </w:rPr>
        <w:t xml:space="preserve"> human subjects and therefore </w:t>
      </w:r>
      <w:r w:rsidR="001B01BF">
        <w:rPr>
          <w:rFonts w:eastAsia="Calibri" w:cstheme="minorHAnsi"/>
          <w:sz w:val="24"/>
          <w:szCs w:val="24"/>
        </w:rPr>
        <w:t>was</w:t>
      </w:r>
      <w:r w:rsidRPr="009513A7">
        <w:rPr>
          <w:rFonts w:eastAsia="Calibri" w:cstheme="minorHAnsi"/>
          <w:sz w:val="24"/>
          <w:szCs w:val="24"/>
        </w:rPr>
        <w:t xml:space="preserve"> submitted to the institutional review board (IRB) for approval; IRB review is </w:t>
      </w:r>
      <w:r w:rsidRPr="009513A7">
        <w:rPr>
          <w:rFonts w:eastAsia="Calibri" w:cstheme="minorHAnsi"/>
          <w:sz w:val="24"/>
          <w:szCs w:val="24"/>
        </w:rPr>
        <w:lastRenderedPageBreak/>
        <w:t xml:space="preserve">intended to provide protection against human rights violations (Creswell, 2014). Upon IRB approval, an email </w:t>
      </w:r>
      <w:r w:rsidR="001B01BF">
        <w:rPr>
          <w:rFonts w:eastAsia="Calibri" w:cstheme="minorHAnsi"/>
          <w:sz w:val="24"/>
          <w:szCs w:val="24"/>
        </w:rPr>
        <w:t>was</w:t>
      </w:r>
      <w:r w:rsidRPr="009513A7">
        <w:rPr>
          <w:rFonts w:eastAsia="Calibri" w:cstheme="minorHAnsi"/>
          <w:sz w:val="24"/>
          <w:szCs w:val="24"/>
        </w:rPr>
        <w:t xml:space="preserve"> sent to gatekeepers to inform them of the study, develop a </w:t>
      </w:r>
      <w:r>
        <w:rPr>
          <w:rFonts w:eastAsia="Calibri" w:cstheme="minorHAnsi"/>
          <w:sz w:val="24"/>
          <w:szCs w:val="24"/>
        </w:rPr>
        <w:t xml:space="preserve">prospective </w:t>
      </w:r>
      <w:r w:rsidRPr="009513A7">
        <w:rPr>
          <w:rFonts w:eastAsia="Calibri" w:cstheme="minorHAnsi"/>
          <w:sz w:val="24"/>
          <w:szCs w:val="24"/>
        </w:rPr>
        <w:t xml:space="preserve">participant list, and </w:t>
      </w:r>
      <w:r>
        <w:rPr>
          <w:rFonts w:eastAsia="Calibri" w:cstheme="minorHAnsi"/>
          <w:sz w:val="24"/>
          <w:szCs w:val="24"/>
        </w:rPr>
        <w:t>to</w:t>
      </w:r>
      <w:r w:rsidRPr="009513A7">
        <w:rPr>
          <w:rFonts w:eastAsia="Calibri" w:cstheme="minorHAnsi"/>
          <w:sz w:val="24"/>
          <w:szCs w:val="24"/>
        </w:rPr>
        <w:t xml:space="preserve"> request participation </w:t>
      </w:r>
      <w:r w:rsidR="00FA560A">
        <w:rPr>
          <w:rFonts w:eastAsia="Calibri" w:cstheme="minorHAnsi"/>
          <w:sz w:val="24"/>
          <w:szCs w:val="24"/>
        </w:rPr>
        <w:t xml:space="preserve">starting with </w:t>
      </w:r>
      <w:r w:rsidRPr="009513A7">
        <w:rPr>
          <w:rFonts w:eastAsia="Calibri" w:cstheme="minorHAnsi"/>
          <w:sz w:val="24"/>
          <w:szCs w:val="24"/>
        </w:rPr>
        <w:t xml:space="preserve">thirteen SEC schools. Participants </w:t>
      </w:r>
      <w:r w:rsidR="00FA560A">
        <w:rPr>
          <w:rFonts w:eastAsia="Calibri" w:cstheme="minorHAnsi"/>
          <w:sz w:val="24"/>
          <w:szCs w:val="24"/>
        </w:rPr>
        <w:t xml:space="preserve">were required to </w:t>
      </w:r>
      <w:r w:rsidRPr="009513A7">
        <w:rPr>
          <w:rFonts w:eastAsia="Calibri" w:cstheme="minorHAnsi"/>
          <w:sz w:val="24"/>
          <w:szCs w:val="24"/>
        </w:rPr>
        <w:t xml:space="preserve">sign informed consent forms </w:t>
      </w:r>
      <w:r w:rsidR="00FA560A">
        <w:rPr>
          <w:rFonts w:eastAsia="Calibri" w:cstheme="minorHAnsi"/>
          <w:sz w:val="24"/>
          <w:szCs w:val="24"/>
        </w:rPr>
        <w:t>via</w:t>
      </w:r>
      <w:r w:rsidRPr="009513A7">
        <w:rPr>
          <w:rFonts w:eastAsia="Calibri" w:cstheme="minorHAnsi"/>
          <w:sz w:val="24"/>
          <w:szCs w:val="24"/>
        </w:rPr>
        <w:t xml:space="preserve"> a brief demographic questionnaire before </w:t>
      </w:r>
      <w:r>
        <w:rPr>
          <w:rFonts w:eastAsia="Calibri" w:cstheme="minorHAnsi"/>
          <w:sz w:val="24"/>
          <w:szCs w:val="24"/>
        </w:rPr>
        <w:t>engaging</w:t>
      </w:r>
      <w:r w:rsidRPr="009513A7">
        <w:rPr>
          <w:rFonts w:eastAsia="Calibri" w:cstheme="minorHAnsi"/>
          <w:sz w:val="24"/>
          <w:szCs w:val="24"/>
        </w:rPr>
        <w:t xml:space="preserve"> in the study. </w:t>
      </w:r>
      <w:r>
        <w:rPr>
          <w:rFonts w:eastAsia="Calibri" w:cstheme="minorHAnsi"/>
          <w:sz w:val="24"/>
          <w:szCs w:val="24"/>
        </w:rPr>
        <w:t>I assign</w:t>
      </w:r>
      <w:r w:rsidR="00FA560A">
        <w:rPr>
          <w:rFonts w:eastAsia="Calibri" w:cstheme="minorHAnsi"/>
          <w:sz w:val="24"/>
          <w:szCs w:val="24"/>
        </w:rPr>
        <w:t>ed</w:t>
      </w:r>
      <w:r>
        <w:rPr>
          <w:rFonts w:eastAsia="Calibri" w:cstheme="minorHAnsi"/>
          <w:sz w:val="24"/>
          <w:szCs w:val="24"/>
        </w:rPr>
        <w:t xml:space="preserve"> p</w:t>
      </w:r>
      <w:r w:rsidRPr="009513A7">
        <w:rPr>
          <w:rFonts w:eastAsia="Calibri" w:cstheme="minorHAnsi"/>
          <w:sz w:val="24"/>
          <w:szCs w:val="24"/>
        </w:rPr>
        <w:t xml:space="preserve">seudonyms to each participant and institution </w:t>
      </w:r>
      <w:r>
        <w:rPr>
          <w:rFonts w:eastAsia="Calibri" w:cstheme="minorHAnsi"/>
          <w:sz w:val="24"/>
          <w:szCs w:val="24"/>
        </w:rPr>
        <w:t xml:space="preserve">to assist with </w:t>
      </w:r>
      <w:r w:rsidRPr="009513A7">
        <w:rPr>
          <w:rFonts w:eastAsia="Calibri" w:cstheme="minorHAnsi"/>
          <w:sz w:val="24"/>
          <w:szCs w:val="24"/>
        </w:rPr>
        <w:t xml:space="preserve">anonymity. </w:t>
      </w:r>
      <w:r>
        <w:rPr>
          <w:rFonts w:eastAsia="Calibri" w:cstheme="minorHAnsi"/>
          <w:sz w:val="24"/>
          <w:szCs w:val="24"/>
        </w:rPr>
        <w:t>I include</w:t>
      </w:r>
      <w:r w:rsidR="00FA560A">
        <w:rPr>
          <w:rFonts w:eastAsia="Calibri" w:cstheme="minorHAnsi"/>
          <w:sz w:val="24"/>
          <w:szCs w:val="24"/>
        </w:rPr>
        <w:t>d</w:t>
      </w:r>
      <w:r>
        <w:rPr>
          <w:rFonts w:eastAsia="Calibri" w:cstheme="minorHAnsi"/>
          <w:sz w:val="24"/>
          <w:szCs w:val="24"/>
        </w:rPr>
        <w:t xml:space="preserve"> a participant table with</w:t>
      </w:r>
      <w:r w:rsidRPr="009513A7">
        <w:rPr>
          <w:rFonts w:eastAsia="Calibri" w:cstheme="minorHAnsi"/>
          <w:sz w:val="24"/>
          <w:szCs w:val="24"/>
        </w:rPr>
        <w:t xml:space="preserve"> pseudonyms and </w:t>
      </w:r>
      <w:r>
        <w:rPr>
          <w:rFonts w:eastAsia="Calibri" w:cstheme="minorHAnsi"/>
          <w:sz w:val="24"/>
          <w:szCs w:val="24"/>
        </w:rPr>
        <w:t xml:space="preserve">relevant </w:t>
      </w:r>
      <w:r w:rsidRPr="009513A7">
        <w:rPr>
          <w:rFonts w:eastAsia="Calibri" w:cstheme="minorHAnsi"/>
          <w:sz w:val="24"/>
          <w:szCs w:val="24"/>
        </w:rPr>
        <w:t xml:space="preserve">demographic data </w:t>
      </w:r>
      <w:r>
        <w:rPr>
          <w:rFonts w:eastAsia="Calibri" w:cstheme="minorHAnsi"/>
          <w:sz w:val="24"/>
          <w:szCs w:val="24"/>
        </w:rPr>
        <w:t xml:space="preserve">in the </w:t>
      </w:r>
      <w:r w:rsidR="00FA560A">
        <w:rPr>
          <w:rFonts w:eastAsia="Calibri" w:cstheme="minorHAnsi"/>
          <w:sz w:val="24"/>
          <w:szCs w:val="24"/>
        </w:rPr>
        <w:t>appendix</w:t>
      </w:r>
      <w:r w:rsidRPr="009513A7">
        <w:rPr>
          <w:rFonts w:eastAsia="Calibri" w:cstheme="minorHAnsi"/>
          <w:sz w:val="24"/>
          <w:szCs w:val="24"/>
        </w:rPr>
        <w:t xml:space="preserve">. </w:t>
      </w:r>
      <w:r w:rsidR="00F17F6E" w:rsidRPr="009513A7">
        <w:rPr>
          <w:rFonts w:eastAsia="Calibri" w:cstheme="minorHAnsi"/>
          <w:sz w:val="24"/>
          <w:szCs w:val="24"/>
        </w:rPr>
        <w:t xml:space="preserve">Demographic data </w:t>
      </w:r>
      <w:r w:rsidRPr="009513A7">
        <w:rPr>
          <w:rFonts w:eastAsia="Calibri" w:cstheme="minorHAnsi"/>
          <w:sz w:val="24"/>
          <w:szCs w:val="24"/>
        </w:rPr>
        <w:t>include</w:t>
      </w:r>
      <w:r w:rsidR="00FA560A">
        <w:rPr>
          <w:rFonts w:eastAsia="Calibri" w:cstheme="minorHAnsi"/>
          <w:sz w:val="24"/>
          <w:szCs w:val="24"/>
        </w:rPr>
        <w:t>d</w:t>
      </w:r>
      <w:r w:rsidRPr="009513A7">
        <w:rPr>
          <w:rFonts w:eastAsia="Calibri" w:cstheme="minorHAnsi"/>
          <w:sz w:val="24"/>
          <w:szCs w:val="24"/>
        </w:rPr>
        <w:t xml:space="preserve"> age</w:t>
      </w:r>
      <w:r>
        <w:rPr>
          <w:rFonts w:eastAsia="Calibri" w:cstheme="minorHAnsi"/>
          <w:sz w:val="24"/>
          <w:szCs w:val="24"/>
        </w:rPr>
        <w:t xml:space="preserve">, </w:t>
      </w:r>
      <w:r w:rsidR="00FA560A">
        <w:rPr>
          <w:rFonts w:eastAsia="Calibri" w:cstheme="minorHAnsi"/>
          <w:sz w:val="24"/>
          <w:szCs w:val="24"/>
        </w:rPr>
        <w:t xml:space="preserve">race, ethnicity, </w:t>
      </w:r>
      <w:r w:rsidRPr="009513A7">
        <w:rPr>
          <w:rFonts w:eastAsia="Calibri" w:cstheme="minorHAnsi"/>
          <w:sz w:val="24"/>
          <w:szCs w:val="24"/>
        </w:rPr>
        <w:t xml:space="preserve">years at current institution, years serving on a </w:t>
      </w:r>
      <w:r w:rsidRPr="009513A7">
        <w:rPr>
          <w:rFonts w:cstheme="minorHAnsi"/>
          <w:sz w:val="24"/>
          <w:szCs w:val="24"/>
        </w:rPr>
        <w:t>TA</w:t>
      </w:r>
      <w:r>
        <w:rPr>
          <w:rFonts w:cstheme="minorHAnsi"/>
          <w:sz w:val="24"/>
          <w:szCs w:val="24"/>
        </w:rPr>
        <w:t>T</w:t>
      </w:r>
      <w:r w:rsidRPr="009513A7">
        <w:rPr>
          <w:rFonts w:eastAsia="Calibri" w:cstheme="minorHAnsi"/>
          <w:sz w:val="24"/>
          <w:szCs w:val="24"/>
        </w:rPr>
        <w:t xml:space="preserve"> or in the field of threat assessment, and institution size. </w:t>
      </w:r>
    </w:p>
    <w:p w14:paraId="0BE5FAA0" w14:textId="77777777" w:rsidR="00821497" w:rsidRPr="009513A7" w:rsidRDefault="00821497" w:rsidP="00821497">
      <w:pPr>
        <w:spacing w:after="0" w:line="480" w:lineRule="auto"/>
        <w:jc w:val="center"/>
        <w:rPr>
          <w:rFonts w:eastAsia="Calibri" w:cstheme="minorHAnsi"/>
          <w:sz w:val="24"/>
          <w:szCs w:val="24"/>
        </w:rPr>
      </w:pPr>
      <w:r w:rsidRPr="009513A7">
        <w:rPr>
          <w:rFonts w:eastAsia="Calibri" w:cstheme="minorHAnsi"/>
          <w:b/>
          <w:sz w:val="24"/>
          <w:szCs w:val="24"/>
        </w:rPr>
        <w:t>Data Collection</w:t>
      </w:r>
    </w:p>
    <w:p w14:paraId="10CC806E" w14:textId="3524C75D"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I engage</w:t>
      </w:r>
      <w:r w:rsidR="00FA560A">
        <w:rPr>
          <w:rFonts w:eastAsia="Calibri" w:cstheme="minorHAnsi"/>
          <w:sz w:val="24"/>
          <w:szCs w:val="24"/>
        </w:rPr>
        <w:t>d</w:t>
      </w:r>
      <w:r>
        <w:rPr>
          <w:rFonts w:eastAsia="Calibri" w:cstheme="minorHAnsi"/>
          <w:sz w:val="24"/>
          <w:szCs w:val="24"/>
        </w:rPr>
        <w:t xml:space="preserve"> in two forms of data collection </w:t>
      </w:r>
      <w:r w:rsidR="0033433E">
        <w:rPr>
          <w:rFonts w:eastAsia="Calibri" w:cstheme="minorHAnsi"/>
          <w:sz w:val="24"/>
          <w:szCs w:val="24"/>
        </w:rPr>
        <w:t>–</w:t>
      </w:r>
      <w:r>
        <w:rPr>
          <w:rFonts w:eastAsia="Calibri" w:cstheme="minorHAnsi"/>
          <w:sz w:val="24"/>
          <w:szCs w:val="24"/>
        </w:rPr>
        <w:t xml:space="preserve"> </w:t>
      </w:r>
      <w:r w:rsidR="0033433E">
        <w:rPr>
          <w:rFonts w:eastAsia="Calibri" w:cstheme="minorHAnsi"/>
          <w:sz w:val="24"/>
          <w:szCs w:val="24"/>
        </w:rPr>
        <w:t xml:space="preserve">semi-structured </w:t>
      </w:r>
      <w:r w:rsidRPr="009513A7">
        <w:rPr>
          <w:rFonts w:eastAsia="Calibri" w:cstheme="minorHAnsi"/>
          <w:sz w:val="24"/>
          <w:szCs w:val="24"/>
        </w:rPr>
        <w:t>interviews and document analysis</w:t>
      </w:r>
      <w:r w:rsidR="0033433E">
        <w:rPr>
          <w:rFonts w:eastAsia="Calibri" w:cstheme="minorHAnsi"/>
          <w:sz w:val="24"/>
          <w:szCs w:val="24"/>
        </w:rPr>
        <w:t xml:space="preserve"> (Merriam &amp; Tisdell, 2016)</w:t>
      </w:r>
      <w:r w:rsidRPr="009513A7">
        <w:rPr>
          <w:rFonts w:eastAsia="Calibri" w:cstheme="minorHAnsi"/>
          <w:sz w:val="24"/>
          <w:szCs w:val="24"/>
        </w:rPr>
        <w:t xml:space="preserve">. Thick, rich data </w:t>
      </w:r>
      <w:r w:rsidR="00FA560A">
        <w:rPr>
          <w:rFonts w:eastAsia="Calibri" w:cstheme="minorHAnsi"/>
          <w:sz w:val="24"/>
          <w:szCs w:val="24"/>
        </w:rPr>
        <w:t>was</w:t>
      </w:r>
      <w:r w:rsidRPr="009513A7">
        <w:rPr>
          <w:rFonts w:eastAsia="Calibri" w:cstheme="minorHAnsi"/>
          <w:sz w:val="24"/>
          <w:szCs w:val="24"/>
        </w:rPr>
        <w:t xml:space="preserve"> collected and analyzed in detail so that it “makes sense” </w:t>
      </w:r>
      <w:r w:rsidR="0033433E" w:rsidRPr="009513A7">
        <w:rPr>
          <w:rFonts w:eastAsia="Calibri" w:cstheme="minorHAnsi"/>
          <w:sz w:val="24"/>
          <w:szCs w:val="24"/>
        </w:rPr>
        <w:t>(Firestone, 1987, p. 19)</w:t>
      </w:r>
      <w:r w:rsidR="0033433E" w:rsidRPr="009513A7" w:rsidDel="001A52F4">
        <w:rPr>
          <w:rFonts w:eastAsia="Calibri" w:cstheme="minorHAnsi"/>
          <w:sz w:val="24"/>
          <w:szCs w:val="24"/>
        </w:rPr>
        <w:t xml:space="preserve"> </w:t>
      </w:r>
      <w:r w:rsidRPr="009513A7">
        <w:rPr>
          <w:rFonts w:eastAsia="Calibri" w:cstheme="minorHAnsi"/>
          <w:sz w:val="24"/>
          <w:szCs w:val="24"/>
        </w:rPr>
        <w:t>to the reader</w:t>
      </w:r>
      <w:r w:rsidR="0033433E">
        <w:rPr>
          <w:rFonts w:eastAsia="Calibri" w:cstheme="minorHAnsi"/>
          <w:sz w:val="24"/>
          <w:szCs w:val="24"/>
        </w:rPr>
        <w:t>.</w:t>
      </w:r>
      <w:r w:rsidRPr="009513A7">
        <w:rPr>
          <w:rFonts w:eastAsia="Calibri" w:cstheme="minorHAnsi"/>
          <w:sz w:val="24"/>
          <w:szCs w:val="24"/>
        </w:rPr>
        <w:t xml:space="preserve"> The interviews and documents provide</w:t>
      </w:r>
      <w:r w:rsidR="00FA560A">
        <w:rPr>
          <w:rFonts w:eastAsia="Calibri" w:cstheme="minorHAnsi"/>
          <w:sz w:val="24"/>
          <w:szCs w:val="24"/>
        </w:rPr>
        <w:t>d</w:t>
      </w:r>
      <w:r w:rsidRPr="009513A7">
        <w:rPr>
          <w:rFonts w:eastAsia="Calibri" w:cstheme="minorHAnsi"/>
          <w:sz w:val="24"/>
          <w:szCs w:val="24"/>
        </w:rPr>
        <w:t xml:space="preserve"> data </w:t>
      </w:r>
      <w:r w:rsidR="00D22794">
        <w:rPr>
          <w:rFonts w:cstheme="minorHAnsi"/>
          <w:sz w:val="24"/>
          <w:szCs w:val="24"/>
        </w:rPr>
        <w:t>to answer the research question</w:t>
      </w:r>
      <w:r w:rsidRPr="009513A7">
        <w:rPr>
          <w:rFonts w:eastAsia="Calibri" w:cstheme="minorHAnsi"/>
          <w:sz w:val="24"/>
          <w:szCs w:val="24"/>
        </w:rPr>
        <w:t xml:space="preserve"> (Merriam &amp; Tisdell, 2016; Ponterotto, 2006).</w:t>
      </w:r>
      <w:r w:rsidR="00AE39F6">
        <w:rPr>
          <w:rFonts w:eastAsia="Calibri" w:cstheme="minorHAnsi"/>
          <w:sz w:val="24"/>
          <w:szCs w:val="24"/>
        </w:rPr>
        <w:t xml:space="preserve"> I engage</w:t>
      </w:r>
      <w:r w:rsidR="00FA560A">
        <w:rPr>
          <w:rFonts w:eastAsia="Calibri" w:cstheme="minorHAnsi"/>
          <w:sz w:val="24"/>
          <w:szCs w:val="24"/>
        </w:rPr>
        <w:t>d</w:t>
      </w:r>
      <w:r w:rsidR="00AE39F6">
        <w:rPr>
          <w:rFonts w:eastAsia="Calibri" w:cstheme="minorHAnsi"/>
          <w:sz w:val="24"/>
          <w:szCs w:val="24"/>
        </w:rPr>
        <w:t xml:space="preserve"> in data collection until </w:t>
      </w:r>
      <w:r w:rsidR="00FA560A">
        <w:rPr>
          <w:rFonts w:eastAsia="Calibri" w:cstheme="minorHAnsi"/>
          <w:sz w:val="24"/>
          <w:szCs w:val="24"/>
        </w:rPr>
        <w:t xml:space="preserve">the point of </w:t>
      </w:r>
      <w:r w:rsidR="00AE39F6" w:rsidRPr="009513A7">
        <w:rPr>
          <w:rFonts w:eastAsia="Calibri" w:cstheme="minorHAnsi"/>
          <w:sz w:val="24"/>
          <w:szCs w:val="24"/>
        </w:rPr>
        <w:t>saturation</w:t>
      </w:r>
      <w:r w:rsidR="00AE39F6">
        <w:rPr>
          <w:rFonts w:eastAsia="Calibri" w:cstheme="minorHAnsi"/>
          <w:sz w:val="24"/>
          <w:szCs w:val="24"/>
        </w:rPr>
        <w:t>. Saturation is achieved</w:t>
      </w:r>
      <w:r w:rsidR="00AE39F6" w:rsidRPr="009513A7">
        <w:rPr>
          <w:rFonts w:eastAsia="Calibri" w:cstheme="minorHAnsi"/>
          <w:sz w:val="24"/>
          <w:szCs w:val="24"/>
        </w:rPr>
        <w:t xml:space="preserve"> when data collection becomes redundant and no new information is forthcoming (Lincoln &amp; Guba, 1985; Merriam &amp; Tisdell, 2016; Patton, 2015).</w:t>
      </w:r>
    </w:p>
    <w:p w14:paraId="1067A733" w14:textId="77777777" w:rsidR="00821497" w:rsidRPr="009513A7" w:rsidRDefault="00821497" w:rsidP="00821497">
      <w:pPr>
        <w:spacing w:after="0" w:line="480" w:lineRule="auto"/>
        <w:rPr>
          <w:rFonts w:eastAsia="Calibri" w:cstheme="minorHAnsi"/>
          <w:b/>
          <w:sz w:val="24"/>
          <w:szCs w:val="24"/>
        </w:rPr>
      </w:pPr>
      <w:r w:rsidRPr="009513A7">
        <w:rPr>
          <w:rFonts w:eastAsia="Calibri" w:cstheme="minorHAnsi"/>
          <w:b/>
          <w:sz w:val="24"/>
          <w:szCs w:val="24"/>
        </w:rPr>
        <w:t>Interviews</w:t>
      </w:r>
    </w:p>
    <w:p w14:paraId="7385FB95" w14:textId="4414573E" w:rsidR="00821497" w:rsidRPr="009513A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Interviews</w:t>
      </w:r>
      <w:r w:rsidR="00D22794">
        <w:rPr>
          <w:rFonts w:eastAsia="Calibri" w:cstheme="minorHAnsi"/>
          <w:sz w:val="24"/>
          <w:szCs w:val="24"/>
        </w:rPr>
        <w:t xml:space="preserve"> are</w:t>
      </w:r>
      <w:r w:rsidR="00A25010">
        <w:rPr>
          <w:rFonts w:eastAsia="Calibri" w:cstheme="minorHAnsi"/>
          <w:sz w:val="24"/>
          <w:szCs w:val="24"/>
        </w:rPr>
        <w:t xml:space="preserve"> </w:t>
      </w:r>
      <w:r w:rsidRPr="009513A7">
        <w:rPr>
          <w:rFonts w:eastAsia="Calibri" w:cstheme="minorHAnsi"/>
          <w:sz w:val="24"/>
          <w:szCs w:val="24"/>
        </w:rPr>
        <w:t>a conversation with a purpose</w:t>
      </w:r>
      <w:r w:rsidR="00A25010">
        <w:rPr>
          <w:rFonts w:eastAsia="Calibri" w:cstheme="minorHAnsi"/>
          <w:sz w:val="24"/>
          <w:szCs w:val="24"/>
        </w:rPr>
        <w:t xml:space="preserve"> </w:t>
      </w:r>
      <w:r w:rsidR="002D5C7E">
        <w:rPr>
          <w:rFonts w:eastAsia="Calibri" w:cstheme="minorHAnsi"/>
          <w:sz w:val="24"/>
          <w:szCs w:val="24"/>
        </w:rPr>
        <w:t>to help</w:t>
      </w:r>
      <w:r w:rsidRPr="009513A7">
        <w:rPr>
          <w:rFonts w:eastAsia="Calibri" w:cstheme="minorHAnsi"/>
          <w:sz w:val="24"/>
          <w:szCs w:val="24"/>
        </w:rPr>
        <w:t xml:space="preserve"> answer the research question (</w:t>
      </w:r>
      <w:r w:rsidR="00D22794">
        <w:rPr>
          <w:rFonts w:eastAsia="Calibri" w:cstheme="minorHAnsi"/>
          <w:sz w:val="24"/>
          <w:szCs w:val="24"/>
        </w:rPr>
        <w:t xml:space="preserve">Creswell, 2014; </w:t>
      </w:r>
      <w:r w:rsidRPr="009513A7">
        <w:rPr>
          <w:rFonts w:eastAsia="Calibri" w:cstheme="minorHAnsi"/>
          <w:sz w:val="24"/>
          <w:szCs w:val="24"/>
        </w:rPr>
        <w:t>Dexter, 1970</w:t>
      </w:r>
      <w:r w:rsidR="00D22794">
        <w:rPr>
          <w:rFonts w:eastAsia="Calibri" w:cstheme="minorHAnsi"/>
          <w:sz w:val="24"/>
          <w:szCs w:val="24"/>
        </w:rPr>
        <w:t>; Merriam &amp; Tisdell, 2016)</w:t>
      </w:r>
      <w:r w:rsidRPr="009513A7">
        <w:rPr>
          <w:rFonts w:eastAsia="Calibri" w:cstheme="minorHAnsi"/>
          <w:sz w:val="24"/>
          <w:szCs w:val="24"/>
        </w:rPr>
        <w:t xml:space="preserve">. </w:t>
      </w:r>
      <w:r w:rsidR="00D22794">
        <w:rPr>
          <w:rFonts w:eastAsia="Calibri" w:cstheme="minorHAnsi"/>
          <w:sz w:val="24"/>
          <w:szCs w:val="24"/>
        </w:rPr>
        <w:t xml:space="preserve">Semi-structured interviews </w:t>
      </w:r>
      <w:r>
        <w:rPr>
          <w:rFonts w:eastAsia="Calibri" w:cstheme="minorHAnsi"/>
          <w:sz w:val="24"/>
          <w:szCs w:val="24"/>
        </w:rPr>
        <w:t>help</w:t>
      </w:r>
      <w:r w:rsidR="00FA560A">
        <w:rPr>
          <w:rFonts w:eastAsia="Calibri" w:cstheme="minorHAnsi"/>
          <w:sz w:val="24"/>
          <w:szCs w:val="24"/>
        </w:rPr>
        <w:t>ed</w:t>
      </w:r>
      <w:r>
        <w:rPr>
          <w:rFonts w:eastAsia="Calibri" w:cstheme="minorHAnsi"/>
          <w:sz w:val="24"/>
          <w:szCs w:val="24"/>
        </w:rPr>
        <w:t xml:space="preserve"> me</w:t>
      </w:r>
      <w:r w:rsidRPr="009513A7">
        <w:rPr>
          <w:rFonts w:eastAsia="Calibri" w:cstheme="minorHAnsi"/>
          <w:sz w:val="24"/>
          <w:szCs w:val="24"/>
        </w:rPr>
        <w:t xml:space="preserve"> to better understand </w:t>
      </w:r>
      <w:r>
        <w:rPr>
          <w:rFonts w:eastAsia="Calibri" w:cstheme="minorHAnsi"/>
          <w:sz w:val="24"/>
          <w:szCs w:val="24"/>
        </w:rPr>
        <w:t xml:space="preserve">the </w:t>
      </w:r>
      <w:r w:rsidRPr="009513A7">
        <w:rPr>
          <w:rFonts w:eastAsia="Calibri" w:cstheme="minorHAnsi"/>
          <w:sz w:val="24"/>
          <w:szCs w:val="24"/>
        </w:rPr>
        <w:t xml:space="preserve">participants’ experiences and perspectives </w:t>
      </w:r>
      <w:r w:rsidR="00D22794">
        <w:rPr>
          <w:rFonts w:eastAsia="Calibri" w:cstheme="minorHAnsi"/>
          <w:sz w:val="24"/>
          <w:szCs w:val="24"/>
        </w:rPr>
        <w:t>leading</w:t>
      </w:r>
      <w:r w:rsidRPr="009513A7">
        <w:rPr>
          <w:rFonts w:eastAsia="Calibri" w:cstheme="minorHAnsi"/>
          <w:sz w:val="24"/>
          <w:szCs w:val="24"/>
        </w:rPr>
        <w:t xml:space="preserve"> a </w:t>
      </w:r>
      <w:r w:rsidRPr="009513A7">
        <w:rPr>
          <w:rFonts w:cstheme="minorHAnsi"/>
          <w:sz w:val="24"/>
          <w:szCs w:val="24"/>
        </w:rPr>
        <w:t>TA</w:t>
      </w:r>
      <w:r>
        <w:rPr>
          <w:rFonts w:cstheme="minorHAnsi"/>
          <w:sz w:val="24"/>
          <w:szCs w:val="24"/>
        </w:rPr>
        <w:t>T</w:t>
      </w:r>
      <w:r w:rsidRPr="009513A7">
        <w:rPr>
          <w:rFonts w:eastAsia="Calibri" w:cstheme="minorHAnsi"/>
          <w:sz w:val="24"/>
          <w:szCs w:val="24"/>
        </w:rPr>
        <w:t xml:space="preserve"> and how they make meaning from those experiences (Seidman, 2013). Interviews can capture data that cannot be observed such as feelings and how participants interpret the world around them </w:t>
      </w:r>
      <w:r w:rsidRPr="009513A7">
        <w:rPr>
          <w:rFonts w:eastAsia="Calibri" w:cstheme="minorHAnsi"/>
          <w:sz w:val="24"/>
          <w:szCs w:val="24"/>
        </w:rPr>
        <w:lastRenderedPageBreak/>
        <w:t xml:space="preserve">(Merriam &amp; Tisdell, 2016). Patton (2015) </w:t>
      </w:r>
      <w:r w:rsidR="009D4DC3">
        <w:rPr>
          <w:rFonts w:eastAsia="Calibri" w:cstheme="minorHAnsi"/>
          <w:sz w:val="24"/>
          <w:szCs w:val="24"/>
        </w:rPr>
        <w:t>said that interviews help to find what we cannot directly observe and ultimately “allow us to enter into the other person’s perspective</w:t>
      </w:r>
      <w:r w:rsidR="00AE39F6">
        <w:rPr>
          <w:rFonts w:eastAsia="Calibri" w:cstheme="minorHAnsi"/>
          <w:sz w:val="24"/>
          <w:szCs w:val="24"/>
        </w:rPr>
        <w:t>”</w:t>
      </w:r>
      <w:r w:rsidR="009D4DC3">
        <w:rPr>
          <w:rFonts w:eastAsia="Calibri" w:cstheme="minorHAnsi"/>
          <w:sz w:val="24"/>
          <w:szCs w:val="24"/>
        </w:rPr>
        <w:t xml:space="preserve"> (p. 426).</w:t>
      </w:r>
    </w:p>
    <w:p w14:paraId="0976EE7F" w14:textId="1C11F4B7" w:rsidR="00821497" w:rsidRDefault="00821497" w:rsidP="00821497">
      <w:pPr>
        <w:spacing w:after="0" w:line="480" w:lineRule="auto"/>
        <w:ind w:firstLine="720"/>
        <w:rPr>
          <w:rFonts w:eastAsia="Calibri" w:cstheme="minorHAnsi"/>
          <w:sz w:val="24"/>
          <w:szCs w:val="24"/>
        </w:rPr>
      </w:pPr>
      <w:r>
        <w:rPr>
          <w:rFonts w:eastAsia="Calibri" w:cstheme="minorHAnsi"/>
          <w:sz w:val="24"/>
          <w:szCs w:val="24"/>
        </w:rPr>
        <w:t>I conduct</w:t>
      </w:r>
      <w:r w:rsidR="002D0EB9">
        <w:rPr>
          <w:rFonts w:eastAsia="Calibri" w:cstheme="minorHAnsi"/>
          <w:sz w:val="24"/>
          <w:szCs w:val="24"/>
        </w:rPr>
        <w:t>ed</w:t>
      </w:r>
      <w:r>
        <w:rPr>
          <w:rFonts w:eastAsia="Calibri" w:cstheme="minorHAnsi"/>
          <w:sz w:val="24"/>
          <w:szCs w:val="24"/>
        </w:rPr>
        <w:t xml:space="preserve"> </w:t>
      </w:r>
      <w:r w:rsidRPr="009513A7">
        <w:rPr>
          <w:rFonts w:eastAsia="Calibri" w:cstheme="minorHAnsi"/>
          <w:sz w:val="24"/>
          <w:szCs w:val="24"/>
        </w:rPr>
        <w:t xml:space="preserve">semi-structured interviews </w:t>
      </w:r>
      <w:r>
        <w:rPr>
          <w:rFonts w:eastAsia="Calibri" w:cstheme="minorHAnsi"/>
          <w:sz w:val="24"/>
          <w:szCs w:val="24"/>
        </w:rPr>
        <w:t xml:space="preserve">with each interview </w:t>
      </w:r>
      <w:r w:rsidRPr="009513A7">
        <w:rPr>
          <w:rFonts w:eastAsia="Calibri" w:cstheme="minorHAnsi"/>
          <w:sz w:val="24"/>
          <w:szCs w:val="24"/>
        </w:rPr>
        <w:t xml:space="preserve">lasting </w:t>
      </w:r>
      <w:r>
        <w:rPr>
          <w:rFonts w:eastAsia="Calibri" w:cstheme="minorHAnsi"/>
          <w:sz w:val="24"/>
          <w:szCs w:val="24"/>
        </w:rPr>
        <w:t xml:space="preserve">approximately </w:t>
      </w:r>
      <w:r w:rsidRPr="009513A7">
        <w:rPr>
          <w:rFonts w:eastAsia="Calibri" w:cstheme="minorHAnsi"/>
          <w:sz w:val="24"/>
          <w:szCs w:val="24"/>
        </w:rPr>
        <w:t>60</w:t>
      </w:r>
      <w:r>
        <w:rPr>
          <w:rFonts w:eastAsia="Calibri" w:cstheme="minorHAnsi"/>
          <w:sz w:val="24"/>
          <w:szCs w:val="24"/>
        </w:rPr>
        <w:t xml:space="preserve">-75 </w:t>
      </w:r>
      <w:r w:rsidRPr="009513A7">
        <w:rPr>
          <w:rFonts w:eastAsia="Calibri" w:cstheme="minorHAnsi"/>
          <w:sz w:val="24"/>
          <w:szCs w:val="24"/>
        </w:rPr>
        <w:t xml:space="preserve">minutes. </w:t>
      </w:r>
      <w:r>
        <w:rPr>
          <w:rFonts w:eastAsia="Calibri" w:cstheme="minorHAnsi"/>
          <w:sz w:val="24"/>
          <w:szCs w:val="24"/>
        </w:rPr>
        <w:t>I record</w:t>
      </w:r>
      <w:r w:rsidR="002D0EB9">
        <w:rPr>
          <w:rFonts w:eastAsia="Calibri" w:cstheme="minorHAnsi"/>
          <w:sz w:val="24"/>
          <w:szCs w:val="24"/>
        </w:rPr>
        <w:t>ed</w:t>
      </w:r>
      <w:r>
        <w:rPr>
          <w:rFonts w:eastAsia="Calibri" w:cstheme="minorHAnsi"/>
          <w:sz w:val="24"/>
          <w:szCs w:val="24"/>
        </w:rPr>
        <w:t xml:space="preserve"> and</w:t>
      </w:r>
      <w:r w:rsidRPr="009513A7">
        <w:rPr>
          <w:rFonts w:eastAsia="Calibri" w:cstheme="minorHAnsi"/>
          <w:sz w:val="24"/>
          <w:szCs w:val="24"/>
        </w:rPr>
        <w:t xml:space="preserve"> conduct</w:t>
      </w:r>
      <w:r w:rsidR="002D0EB9">
        <w:rPr>
          <w:rFonts w:eastAsia="Calibri" w:cstheme="minorHAnsi"/>
          <w:sz w:val="24"/>
          <w:szCs w:val="24"/>
        </w:rPr>
        <w:t>ed</w:t>
      </w:r>
      <w:r>
        <w:rPr>
          <w:rFonts w:eastAsia="Calibri" w:cstheme="minorHAnsi"/>
          <w:sz w:val="24"/>
          <w:szCs w:val="24"/>
        </w:rPr>
        <w:t xml:space="preserve"> all interviews</w:t>
      </w:r>
      <w:r w:rsidRPr="009513A7">
        <w:rPr>
          <w:rFonts w:eastAsia="Calibri" w:cstheme="minorHAnsi"/>
          <w:sz w:val="24"/>
          <w:szCs w:val="24"/>
        </w:rPr>
        <w:t xml:space="preserve"> synchronously via a virtual video platform (e.g., Zoom). Strengths of virtual interviews include the elimination of geographic constraints and ease of video recording; weaknesses include technical (equipment/connection) difficulties and confidentiality concerns (Merriam &amp; Tisdell, 2016; Salmons, 2015). Advancements in virtual platforms and an increase of their use </w:t>
      </w:r>
      <w:r>
        <w:rPr>
          <w:rFonts w:eastAsia="Calibri" w:cstheme="minorHAnsi"/>
          <w:sz w:val="24"/>
          <w:szCs w:val="24"/>
        </w:rPr>
        <w:t xml:space="preserve">since </w:t>
      </w:r>
      <w:r w:rsidRPr="009513A7">
        <w:rPr>
          <w:rFonts w:eastAsia="Calibri" w:cstheme="minorHAnsi"/>
          <w:sz w:val="24"/>
          <w:szCs w:val="24"/>
        </w:rPr>
        <w:t>the global pandemic now allow researcher</w:t>
      </w:r>
      <w:r>
        <w:rPr>
          <w:rFonts w:eastAsia="Calibri" w:cstheme="minorHAnsi"/>
          <w:sz w:val="24"/>
          <w:szCs w:val="24"/>
        </w:rPr>
        <w:t>s</w:t>
      </w:r>
      <w:r w:rsidRPr="009513A7">
        <w:rPr>
          <w:rFonts w:eastAsia="Calibri" w:cstheme="minorHAnsi"/>
          <w:sz w:val="24"/>
          <w:szCs w:val="24"/>
        </w:rPr>
        <w:t xml:space="preserve"> to readily interview participants with ease and security (Swerzenski, 2021)</w:t>
      </w:r>
      <w:r>
        <w:rPr>
          <w:rFonts w:eastAsia="Calibri" w:cstheme="minorHAnsi"/>
          <w:sz w:val="24"/>
          <w:szCs w:val="24"/>
        </w:rPr>
        <w:t>.</w:t>
      </w:r>
      <w:r w:rsidRPr="009513A7">
        <w:rPr>
          <w:rFonts w:eastAsia="Calibri" w:cstheme="minorHAnsi"/>
          <w:sz w:val="24"/>
          <w:szCs w:val="24"/>
        </w:rPr>
        <w:t xml:space="preserve"> Semi-structured interviews best serve</w:t>
      </w:r>
      <w:r w:rsidR="002D0EB9">
        <w:rPr>
          <w:rFonts w:eastAsia="Calibri" w:cstheme="minorHAnsi"/>
          <w:sz w:val="24"/>
          <w:szCs w:val="24"/>
        </w:rPr>
        <w:t>d</w:t>
      </w:r>
      <w:r w:rsidRPr="009513A7">
        <w:rPr>
          <w:rFonts w:eastAsia="Calibri" w:cstheme="minorHAnsi"/>
          <w:sz w:val="24"/>
          <w:szCs w:val="24"/>
        </w:rPr>
        <w:t xml:space="preserve"> this study as they allow</w:t>
      </w:r>
      <w:r w:rsidR="002D0EB9">
        <w:rPr>
          <w:rFonts w:eastAsia="Calibri" w:cstheme="minorHAnsi"/>
          <w:sz w:val="24"/>
          <w:szCs w:val="24"/>
        </w:rPr>
        <w:t>ed</w:t>
      </w:r>
      <w:r w:rsidRPr="009513A7">
        <w:rPr>
          <w:rFonts w:eastAsia="Calibri" w:cstheme="minorHAnsi"/>
          <w:sz w:val="24"/>
          <w:szCs w:val="24"/>
        </w:rPr>
        <w:t xml:space="preserve"> for open-ended questions and more flexibility during the interview process (Creswell, 2014). I utilize</w:t>
      </w:r>
      <w:r w:rsidR="002D0EB9">
        <w:rPr>
          <w:rFonts w:eastAsia="Calibri" w:cstheme="minorHAnsi"/>
          <w:sz w:val="24"/>
          <w:szCs w:val="24"/>
        </w:rPr>
        <w:t>d</w:t>
      </w:r>
      <w:r w:rsidRPr="009513A7">
        <w:rPr>
          <w:rFonts w:eastAsia="Calibri" w:cstheme="minorHAnsi"/>
          <w:sz w:val="24"/>
          <w:szCs w:val="24"/>
        </w:rPr>
        <w:t xml:space="preserve"> a </w:t>
      </w:r>
      <w:r w:rsidR="00AE39F6">
        <w:rPr>
          <w:rFonts w:eastAsia="Calibri" w:cstheme="minorHAnsi"/>
          <w:sz w:val="24"/>
          <w:szCs w:val="24"/>
        </w:rPr>
        <w:t>constructi</w:t>
      </w:r>
      <w:r w:rsidR="001011D1">
        <w:rPr>
          <w:rFonts w:eastAsia="Calibri" w:cstheme="minorHAnsi"/>
          <w:sz w:val="24"/>
          <w:szCs w:val="24"/>
        </w:rPr>
        <w:t>vist</w:t>
      </w:r>
      <w:r w:rsidR="00AE39F6">
        <w:rPr>
          <w:rFonts w:eastAsia="Calibri" w:cstheme="minorHAnsi"/>
          <w:sz w:val="24"/>
          <w:szCs w:val="24"/>
        </w:rPr>
        <w:t xml:space="preserve"> epistemology</w:t>
      </w:r>
      <w:r w:rsidRPr="009513A7">
        <w:rPr>
          <w:rFonts w:eastAsia="Calibri" w:cstheme="minorHAnsi"/>
          <w:sz w:val="24"/>
          <w:szCs w:val="24"/>
        </w:rPr>
        <w:t xml:space="preserve"> by </w:t>
      </w:r>
      <w:r w:rsidR="00AE39F6">
        <w:rPr>
          <w:rFonts w:eastAsia="Calibri" w:cstheme="minorHAnsi"/>
          <w:sz w:val="24"/>
          <w:szCs w:val="24"/>
        </w:rPr>
        <w:t xml:space="preserve">co-constructing the data through </w:t>
      </w:r>
      <w:r w:rsidRPr="009513A7">
        <w:rPr>
          <w:rFonts w:eastAsia="Calibri" w:cstheme="minorHAnsi"/>
          <w:sz w:val="24"/>
          <w:szCs w:val="24"/>
        </w:rPr>
        <w:t xml:space="preserve">asking good questions, minimizing my bias, and </w:t>
      </w:r>
      <w:r w:rsidR="00AE39F6">
        <w:rPr>
          <w:rFonts w:eastAsia="Calibri" w:cstheme="minorHAnsi"/>
          <w:sz w:val="24"/>
          <w:szCs w:val="24"/>
        </w:rPr>
        <w:t>member checking</w:t>
      </w:r>
      <w:r w:rsidRPr="009513A7">
        <w:rPr>
          <w:rFonts w:eastAsia="Calibri" w:cstheme="minorHAnsi"/>
          <w:sz w:val="24"/>
          <w:szCs w:val="24"/>
        </w:rPr>
        <w:t xml:space="preserve"> (Merriam &amp; Tisdell, 2016; Roulston, 2010). </w:t>
      </w:r>
      <w:r>
        <w:rPr>
          <w:rFonts w:eastAsia="Calibri" w:cstheme="minorHAnsi"/>
          <w:sz w:val="24"/>
          <w:szCs w:val="24"/>
        </w:rPr>
        <w:t xml:space="preserve">Quality </w:t>
      </w:r>
      <w:r w:rsidRPr="009513A7">
        <w:rPr>
          <w:rFonts w:eastAsia="Calibri" w:cstheme="minorHAnsi"/>
          <w:sz w:val="24"/>
          <w:szCs w:val="24"/>
        </w:rPr>
        <w:t>interview questions can yield rich, meaningful data</w:t>
      </w:r>
      <w:r w:rsidR="00AE39F6">
        <w:rPr>
          <w:rFonts w:eastAsia="Calibri" w:cstheme="minorHAnsi"/>
          <w:sz w:val="24"/>
          <w:szCs w:val="24"/>
        </w:rPr>
        <w:t xml:space="preserve"> (Creswell, 2014; Merriam &amp; Tisdell, 2016)</w:t>
      </w:r>
      <w:r w:rsidRPr="009513A7">
        <w:rPr>
          <w:rFonts w:eastAsia="Calibri" w:cstheme="minorHAnsi"/>
          <w:sz w:val="24"/>
          <w:szCs w:val="24"/>
        </w:rPr>
        <w:t xml:space="preserve">. </w:t>
      </w:r>
      <w:r w:rsidR="0016527E">
        <w:rPr>
          <w:rFonts w:eastAsia="Calibri" w:cstheme="minorHAnsi"/>
          <w:sz w:val="24"/>
          <w:szCs w:val="24"/>
        </w:rPr>
        <w:t xml:space="preserve">I </w:t>
      </w:r>
      <w:r w:rsidR="0016527E" w:rsidRPr="009513A7">
        <w:rPr>
          <w:rFonts w:eastAsia="Calibri" w:cstheme="minorHAnsi"/>
          <w:sz w:val="24"/>
          <w:szCs w:val="24"/>
        </w:rPr>
        <w:t>develop</w:t>
      </w:r>
      <w:r w:rsidR="002D0EB9">
        <w:rPr>
          <w:rFonts w:eastAsia="Calibri" w:cstheme="minorHAnsi"/>
          <w:sz w:val="24"/>
          <w:szCs w:val="24"/>
        </w:rPr>
        <w:t>ed</w:t>
      </w:r>
      <w:r w:rsidR="0016527E">
        <w:rPr>
          <w:rFonts w:eastAsia="Calibri" w:cstheme="minorHAnsi"/>
          <w:sz w:val="24"/>
          <w:szCs w:val="24"/>
        </w:rPr>
        <w:t xml:space="preserve"> questions</w:t>
      </w:r>
      <w:r w:rsidR="0016527E" w:rsidRPr="009513A7">
        <w:rPr>
          <w:rFonts w:eastAsia="Calibri" w:cstheme="minorHAnsi"/>
          <w:sz w:val="24"/>
          <w:szCs w:val="24"/>
        </w:rPr>
        <w:t xml:space="preserve"> that evoke experience, behaviors, opinions, values, feelings, </w:t>
      </w:r>
      <w:r w:rsidR="0016527E">
        <w:rPr>
          <w:rFonts w:eastAsia="Calibri" w:cstheme="minorHAnsi"/>
          <w:sz w:val="24"/>
          <w:szCs w:val="24"/>
        </w:rPr>
        <w:t xml:space="preserve">and </w:t>
      </w:r>
      <w:r w:rsidR="0016527E" w:rsidRPr="009513A7">
        <w:rPr>
          <w:rFonts w:eastAsia="Calibri" w:cstheme="minorHAnsi"/>
          <w:sz w:val="24"/>
          <w:szCs w:val="24"/>
        </w:rPr>
        <w:t>knowledge</w:t>
      </w:r>
      <w:r w:rsidR="0016527E">
        <w:rPr>
          <w:rFonts w:eastAsia="Calibri" w:cstheme="minorHAnsi"/>
          <w:sz w:val="24"/>
          <w:szCs w:val="24"/>
        </w:rPr>
        <w:t xml:space="preserve"> </w:t>
      </w:r>
      <w:r w:rsidR="0016527E" w:rsidRPr="009513A7">
        <w:rPr>
          <w:rFonts w:eastAsia="Calibri" w:cstheme="minorHAnsi"/>
          <w:sz w:val="24"/>
          <w:szCs w:val="24"/>
        </w:rPr>
        <w:t>as well as sensory questions about what participant</w:t>
      </w:r>
      <w:r w:rsidR="0016527E">
        <w:rPr>
          <w:rFonts w:eastAsia="Calibri" w:cstheme="minorHAnsi"/>
          <w:sz w:val="24"/>
          <w:szCs w:val="24"/>
        </w:rPr>
        <w:t>s</w:t>
      </w:r>
      <w:r w:rsidR="0016527E" w:rsidRPr="009513A7">
        <w:rPr>
          <w:rFonts w:eastAsia="Calibri" w:cstheme="minorHAnsi"/>
          <w:sz w:val="24"/>
          <w:szCs w:val="24"/>
        </w:rPr>
        <w:t xml:space="preserve"> saw, heard, etc. (Patton, 2015). </w:t>
      </w:r>
      <w:r w:rsidR="0016527E">
        <w:rPr>
          <w:rFonts w:eastAsia="Calibri" w:cstheme="minorHAnsi"/>
          <w:sz w:val="24"/>
          <w:szCs w:val="24"/>
        </w:rPr>
        <w:t>I</w:t>
      </w:r>
      <w:r w:rsidR="002D0EB9">
        <w:rPr>
          <w:rFonts w:eastAsia="Calibri" w:cstheme="minorHAnsi"/>
          <w:sz w:val="24"/>
          <w:szCs w:val="24"/>
        </w:rPr>
        <w:t xml:space="preserve"> </w:t>
      </w:r>
      <w:r w:rsidR="0016527E">
        <w:rPr>
          <w:rFonts w:eastAsia="Calibri" w:cstheme="minorHAnsi"/>
          <w:sz w:val="24"/>
          <w:szCs w:val="24"/>
        </w:rPr>
        <w:t>include</w:t>
      </w:r>
      <w:r w:rsidR="002D0EB9">
        <w:rPr>
          <w:rFonts w:eastAsia="Calibri" w:cstheme="minorHAnsi"/>
          <w:sz w:val="24"/>
          <w:szCs w:val="24"/>
        </w:rPr>
        <w:t>d</w:t>
      </w:r>
      <w:r w:rsidR="0016527E">
        <w:rPr>
          <w:rFonts w:eastAsia="Calibri" w:cstheme="minorHAnsi"/>
          <w:sz w:val="24"/>
          <w:szCs w:val="24"/>
        </w:rPr>
        <w:t xml:space="preserve"> demographic questions to advance my understanding of the participants and their experiences (Merriam &amp; Tisdell, 2016; Patton, 2015).  </w:t>
      </w:r>
      <w:r w:rsidR="0016527E" w:rsidRPr="009513A7">
        <w:rPr>
          <w:rFonts w:eastAsia="Calibri" w:cstheme="minorHAnsi"/>
          <w:sz w:val="24"/>
          <w:szCs w:val="24"/>
        </w:rPr>
        <w:t>I also employ</w:t>
      </w:r>
      <w:r w:rsidR="002D0EB9">
        <w:rPr>
          <w:rFonts w:eastAsia="Calibri" w:cstheme="minorHAnsi"/>
          <w:sz w:val="24"/>
          <w:szCs w:val="24"/>
        </w:rPr>
        <w:t>ed</w:t>
      </w:r>
      <w:r w:rsidR="0016527E" w:rsidRPr="009513A7">
        <w:rPr>
          <w:rFonts w:eastAsia="Calibri" w:cstheme="minorHAnsi"/>
          <w:sz w:val="24"/>
          <w:szCs w:val="24"/>
        </w:rPr>
        <w:t xml:space="preserve"> probing questions as needed during interviews to further explore a question, response, or topic (Seidman, </w:t>
      </w:r>
      <w:r w:rsidRPr="009513A7">
        <w:rPr>
          <w:rFonts w:eastAsia="Calibri" w:cstheme="minorHAnsi"/>
          <w:sz w:val="24"/>
          <w:szCs w:val="24"/>
        </w:rPr>
        <w:t xml:space="preserve">2013). As </w:t>
      </w:r>
      <w:r>
        <w:rPr>
          <w:rFonts w:eastAsia="Calibri" w:cstheme="minorHAnsi"/>
          <w:sz w:val="24"/>
          <w:szCs w:val="24"/>
        </w:rPr>
        <w:t xml:space="preserve">the </w:t>
      </w:r>
      <w:r w:rsidRPr="009513A7">
        <w:rPr>
          <w:rFonts w:eastAsia="Calibri" w:cstheme="minorHAnsi"/>
          <w:sz w:val="24"/>
          <w:szCs w:val="24"/>
        </w:rPr>
        <w:t xml:space="preserve">researcher, and a peer in the field of threat assessment, I </w:t>
      </w:r>
      <w:r w:rsidR="002D0EB9">
        <w:rPr>
          <w:rFonts w:eastAsia="Calibri" w:cstheme="minorHAnsi"/>
          <w:sz w:val="24"/>
          <w:szCs w:val="24"/>
        </w:rPr>
        <w:t xml:space="preserve">kept </w:t>
      </w:r>
      <w:r w:rsidRPr="009513A7">
        <w:rPr>
          <w:rFonts w:eastAsia="Calibri" w:cstheme="minorHAnsi"/>
          <w:sz w:val="24"/>
          <w:szCs w:val="24"/>
        </w:rPr>
        <w:t xml:space="preserve"> my bias </w:t>
      </w:r>
      <w:r w:rsidR="002D0EB9">
        <w:rPr>
          <w:rFonts w:eastAsia="Calibri" w:cstheme="minorHAnsi"/>
          <w:sz w:val="24"/>
          <w:szCs w:val="24"/>
        </w:rPr>
        <w:t xml:space="preserve">in check </w:t>
      </w:r>
      <w:r w:rsidRPr="009513A7">
        <w:rPr>
          <w:rFonts w:eastAsia="Calibri" w:cstheme="minorHAnsi"/>
          <w:sz w:val="24"/>
          <w:szCs w:val="24"/>
        </w:rPr>
        <w:t>and avoid</w:t>
      </w:r>
      <w:r w:rsidR="002D0EB9">
        <w:rPr>
          <w:rFonts w:eastAsia="Calibri" w:cstheme="minorHAnsi"/>
          <w:sz w:val="24"/>
          <w:szCs w:val="24"/>
        </w:rPr>
        <w:t>ed</w:t>
      </w:r>
      <w:r w:rsidRPr="009513A7">
        <w:rPr>
          <w:rFonts w:eastAsia="Calibri" w:cstheme="minorHAnsi"/>
          <w:sz w:val="24"/>
          <w:szCs w:val="24"/>
        </w:rPr>
        <w:t xml:space="preserve"> leading, yes/no, and why questions; knowing my background in higher education and threat assessment may cause participants to feel pressured </w:t>
      </w:r>
      <w:r>
        <w:rPr>
          <w:rFonts w:eastAsia="Calibri" w:cstheme="minorHAnsi"/>
          <w:sz w:val="24"/>
          <w:szCs w:val="24"/>
        </w:rPr>
        <w:t xml:space="preserve">to respond in a particular way </w:t>
      </w:r>
      <w:r w:rsidRPr="009513A7">
        <w:rPr>
          <w:rFonts w:eastAsia="Calibri" w:cstheme="minorHAnsi"/>
          <w:sz w:val="24"/>
          <w:szCs w:val="24"/>
        </w:rPr>
        <w:t xml:space="preserve">or feel interrogated (Merriam &amp; </w:t>
      </w:r>
      <w:r w:rsidRPr="009513A7">
        <w:rPr>
          <w:rFonts w:eastAsia="Calibri" w:cstheme="minorHAnsi"/>
          <w:sz w:val="24"/>
          <w:szCs w:val="24"/>
        </w:rPr>
        <w:lastRenderedPageBreak/>
        <w:t xml:space="preserve">Tisdell, 2016). There </w:t>
      </w:r>
      <w:r w:rsidR="002D0EB9">
        <w:rPr>
          <w:rFonts w:eastAsia="Calibri" w:cstheme="minorHAnsi"/>
          <w:sz w:val="24"/>
          <w:szCs w:val="24"/>
        </w:rPr>
        <w:t>was</w:t>
      </w:r>
      <w:r w:rsidRPr="009513A7">
        <w:rPr>
          <w:rFonts w:eastAsia="Calibri" w:cstheme="minorHAnsi"/>
          <w:sz w:val="24"/>
          <w:szCs w:val="24"/>
        </w:rPr>
        <w:t xml:space="preserve"> also the possibility that participants </w:t>
      </w:r>
      <w:r w:rsidR="002D0EB9">
        <w:rPr>
          <w:rFonts w:eastAsia="Calibri" w:cstheme="minorHAnsi"/>
          <w:sz w:val="24"/>
          <w:szCs w:val="24"/>
        </w:rPr>
        <w:t>would</w:t>
      </w:r>
      <w:r w:rsidR="002D0EB9" w:rsidRPr="009513A7">
        <w:rPr>
          <w:rFonts w:eastAsia="Calibri" w:cstheme="minorHAnsi"/>
          <w:sz w:val="24"/>
          <w:szCs w:val="24"/>
        </w:rPr>
        <w:t xml:space="preserve"> </w:t>
      </w:r>
      <w:r w:rsidRPr="009513A7">
        <w:rPr>
          <w:rFonts w:eastAsia="Calibri" w:cstheme="minorHAnsi"/>
          <w:sz w:val="24"/>
          <w:szCs w:val="24"/>
        </w:rPr>
        <w:t xml:space="preserve">under or overshare knowing my role on a </w:t>
      </w:r>
      <w:r w:rsidRPr="009513A7">
        <w:rPr>
          <w:rFonts w:cstheme="minorHAnsi"/>
          <w:sz w:val="24"/>
          <w:szCs w:val="24"/>
        </w:rPr>
        <w:t>TA</w:t>
      </w:r>
      <w:r>
        <w:rPr>
          <w:rFonts w:cstheme="minorHAnsi"/>
          <w:sz w:val="24"/>
          <w:szCs w:val="24"/>
        </w:rPr>
        <w:t>T</w:t>
      </w:r>
      <w:r w:rsidRPr="009513A7">
        <w:rPr>
          <w:rFonts w:eastAsia="Calibri" w:cstheme="minorHAnsi"/>
          <w:sz w:val="24"/>
          <w:szCs w:val="24"/>
        </w:rPr>
        <w:t xml:space="preserve">. </w:t>
      </w:r>
    </w:p>
    <w:p w14:paraId="32A829BF" w14:textId="60BEBB2F" w:rsidR="00821497" w:rsidRDefault="009E4CDF" w:rsidP="00821497">
      <w:pPr>
        <w:spacing w:after="0" w:line="480" w:lineRule="auto"/>
        <w:ind w:firstLine="720"/>
        <w:rPr>
          <w:rFonts w:eastAsia="Calibri" w:cstheme="minorHAnsi"/>
          <w:sz w:val="24"/>
          <w:szCs w:val="24"/>
        </w:rPr>
      </w:pPr>
      <w:r>
        <w:rPr>
          <w:rFonts w:eastAsia="Calibri" w:cstheme="minorHAnsi"/>
          <w:sz w:val="24"/>
          <w:szCs w:val="24"/>
        </w:rPr>
        <w:t>A</w:t>
      </w:r>
      <w:r w:rsidR="008C33DA">
        <w:rPr>
          <w:rFonts w:eastAsia="Calibri" w:cstheme="minorHAnsi"/>
          <w:sz w:val="24"/>
          <w:szCs w:val="24"/>
        </w:rPr>
        <w:t xml:space="preserve"> </w:t>
      </w:r>
      <w:r w:rsidR="00821497" w:rsidRPr="009513A7">
        <w:rPr>
          <w:rFonts w:eastAsia="Calibri" w:cstheme="minorHAnsi"/>
          <w:sz w:val="24"/>
          <w:szCs w:val="24"/>
        </w:rPr>
        <w:t xml:space="preserve">pilot </w:t>
      </w:r>
      <w:r w:rsidR="00923268">
        <w:rPr>
          <w:rFonts w:eastAsia="Calibri" w:cstheme="minorHAnsi"/>
          <w:sz w:val="24"/>
          <w:szCs w:val="24"/>
        </w:rPr>
        <w:t>of the interview protocol</w:t>
      </w:r>
      <w:r w:rsidR="00821497" w:rsidRPr="009513A7">
        <w:rPr>
          <w:rFonts w:eastAsia="Calibri" w:cstheme="minorHAnsi"/>
          <w:sz w:val="24"/>
          <w:szCs w:val="24"/>
        </w:rPr>
        <w:t xml:space="preserve"> </w:t>
      </w:r>
      <w:r w:rsidR="002D0EB9">
        <w:rPr>
          <w:rFonts w:eastAsia="Calibri" w:cstheme="minorHAnsi"/>
          <w:sz w:val="24"/>
          <w:szCs w:val="24"/>
        </w:rPr>
        <w:t>was</w:t>
      </w:r>
      <w:r w:rsidR="00821497" w:rsidRPr="009513A7">
        <w:rPr>
          <w:rFonts w:eastAsia="Calibri" w:cstheme="minorHAnsi"/>
          <w:sz w:val="24"/>
          <w:szCs w:val="24"/>
        </w:rPr>
        <w:t xml:space="preserve"> conducted with individuals serving on </w:t>
      </w:r>
      <w:r w:rsidR="00923268">
        <w:rPr>
          <w:rFonts w:eastAsia="Calibri" w:cstheme="minorHAnsi"/>
          <w:sz w:val="24"/>
          <w:szCs w:val="24"/>
        </w:rPr>
        <w:t xml:space="preserve">IHE </w:t>
      </w:r>
      <w:r w:rsidR="00821497" w:rsidRPr="009513A7">
        <w:rPr>
          <w:rFonts w:cstheme="minorHAnsi"/>
          <w:sz w:val="24"/>
          <w:szCs w:val="24"/>
        </w:rPr>
        <w:t>TA</w:t>
      </w:r>
      <w:r w:rsidR="00821497">
        <w:rPr>
          <w:rFonts w:cstheme="minorHAnsi"/>
          <w:sz w:val="24"/>
          <w:szCs w:val="24"/>
        </w:rPr>
        <w:t>Ts</w:t>
      </w:r>
      <w:r w:rsidR="00821497" w:rsidRPr="009513A7">
        <w:rPr>
          <w:rFonts w:eastAsia="Calibri" w:cstheme="minorHAnsi"/>
          <w:sz w:val="24"/>
          <w:szCs w:val="24"/>
        </w:rPr>
        <w:t xml:space="preserve"> </w:t>
      </w:r>
      <w:r w:rsidR="00923268">
        <w:rPr>
          <w:rFonts w:eastAsia="Calibri" w:cstheme="minorHAnsi"/>
          <w:sz w:val="24"/>
          <w:szCs w:val="24"/>
        </w:rPr>
        <w:t>who</w:t>
      </w:r>
      <w:r w:rsidR="00821497" w:rsidRPr="009513A7">
        <w:rPr>
          <w:rFonts w:eastAsia="Calibri" w:cstheme="minorHAnsi"/>
          <w:sz w:val="24"/>
          <w:szCs w:val="24"/>
        </w:rPr>
        <w:t xml:space="preserve"> may not </w:t>
      </w:r>
      <w:r w:rsidR="00821497">
        <w:rPr>
          <w:rFonts w:eastAsia="Calibri" w:cstheme="minorHAnsi"/>
          <w:sz w:val="24"/>
          <w:szCs w:val="24"/>
        </w:rPr>
        <w:t xml:space="preserve">meet the criteria for </w:t>
      </w:r>
      <w:r w:rsidR="00821497" w:rsidRPr="009513A7">
        <w:rPr>
          <w:rFonts w:eastAsia="Calibri" w:cstheme="minorHAnsi"/>
          <w:sz w:val="24"/>
          <w:szCs w:val="24"/>
        </w:rPr>
        <w:t>study (</w:t>
      </w:r>
      <w:r w:rsidR="00821497">
        <w:rPr>
          <w:rFonts w:eastAsia="Calibri" w:cstheme="minorHAnsi"/>
          <w:sz w:val="24"/>
          <w:szCs w:val="24"/>
        </w:rPr>
        <w:t>e.g</w:t>
      </w:r>
      <w:r w:rsidR="00821497" w:rsidRPr="009513A7">
        <w:rPr>
          <w:rFonts w:eastAsia="Calibri" w:cstheme="minorHAnsi"/>
          <w:sz w:val="24"/>
          <w:szCs w:val="24"/>
        </w:rPr>
        <w:t>., they have not served on the current team for a minimum of one year) and other</w:t>
      </w:r>
      <w:r w:rsidR="00821497">
        <w:rPr>
          <w:rFonts w:eastAsia="Calibri" w:cstheme="minorHAnsi"/>
          <w:sz w:val="24"/>
          <w:szCs w:val="24"/>
        </w:rPr>
        <w:t xml:space="preserve">s who </w:t>
      </w:r>
      <w:r w:rsidR="00821497" w:rsidRPr="009513A7">
        <w:rPr>
          <w:rFonts w:eastAsia="Calibri" w:cstheme="minorHAnsi"/>
          <w:sz w:val="24"/>
          <w:szCs w:val="24"/>
        </w:rPr>
        <w:t xml:space="preserve">may have previously served on a </w:t>
      </w:r>
      <w:r w:rsidR="00821497">
        <w:rPr>
          <w:rFonts w:eastAsia="Calibri" w:cstheme="minorHAnsi"/>
          <w:sz w:val="24"/>
          <w:szCs w:val="24"/>
        </w:rPr>
        <w:t>TAT</w:t>
      </w:r>
      <w:r w:rsidR="00821497" w:rsidRPr="009513A7">
        <w:rPr>
          <w:rFonts w:eastAsia="Calibri" w:cstheme="minorHAnsi"/>
          <w:sz w:val="24"/>
          <w:szCs w:val="24"/>
        </w:rPr>
        <w:t>.</w:t>
      </w:r>
      <w:r w:rsidR="00923268">
        <w:rPr>
          <w:rFonts w:eastAsia="Calibri" w:cstheme="minorHAnsi"/>
          <w:sz w:val="24"/>
          <w:szCs w:val="24"/>
        </w:rPr>
        <w:t xml:space="preserve"> P</w:t>
      </w:r>
      <w:r w:rsidR="00821497" w:rsidRPr="009513A7">
        <w:rPr>
          <w:rFonts w:eastAsia="Calibri" w:cstheme="minorHAnsi"/>
          <w:sz w:val="24"/>
          <w:szCs w:val="24"/>
        </w:rPr>
        <w:t xml:space="preserve">ilot </w:t>
      </w:r>
      <w:r w:rsidR="00923268">
        <w:rPr>
          <w:rFonts w:eastAsia="Calibri" w:cstheme="minorHAnsi"/>
          <w:sz w:val="24"/>
          <w:szCs w:val="24"/>
        </w:rPr>
        <w:t xml:space="preserve">interviews </w:t>
      </w:r>
      <w:r w:rsidR="00821497" w:rsidRPr="009513A7">
        <w:rPr>
          <w:rFonts w:eastAsia="Calibri" w:cstheme="minorHAnsi"/>
          <w:sz w:val="24"/>
          <w:szCs w:val="24"/>
        </w:rPr>
        <w:t>allow</w:t>
      </w:r>
      <w:r w:rsidR="002D0EB9">
        <w:rPr>
          <w:rFonts w:eastAsia="Calibri" w:cstheme="minorHAnsi"/>
          <w:sz w:val="24"/>
          <w:szCs w:val="24"/>
        </w:rPr>
        <w:t>ed</w:t>
      </w:r>
      <w:r w:rsidR="00821497" w:rsidRPr="009513A7">
        <w:rPr>
          <w:rFonts w:eastAsia="Calibri" w:cstheme="minorHAnsi"/>
          <w:sz w:val="24"/>
          <w:szCs w:val="24"/>
        </w:rPr>
        <w:t xml:space="preserve"> me to practice interviewing as well as test and refine my interview questions (Merriam &amp; Tisdell, 2016; Patton, 2015). </w:t>
      </w:r>
      <w:r w:rsidR="00821497">
        <w:rPr>
          <w:rFonts w:eastAsia="Calibri" w:cstheme="minorHAnsi"/>
          <w:sz w:val="24"/>
          <w:szCs w:val="24"/>
        </w:rPr>
        <w:t>A</w:t>
      </w:r>
      <w:r w:rsidR="00821497" w:rsidRPr="009513A7">
        <w:rPr>
          <w:rFonts w:eastAsia="Calibri" w:cstheme="minorHAnsi"/>
          <w:sz w:val="24"/>
          <w:szCs w:val="24"/>
        </w:rPr>
        <w:t xml:space="preserve"> pilot </w:t>
      </w:r>
      <w:r w:rsidR="00821497">
        <w:rPr>
          <w:rFonts w:eastAsia="Calibri" w:cstheme="minorHAnsi"/>
          <w:sz w:val="24"/>
          <w:szCs w:val="24"/>
        </w:rPr>
        <w:t xml:space="preserve">of </w:t>
      </w:r>
      <w:r w:rsidR="00821497" w:rsidRPr="009513A7">
        <w:rPr>
          <w:rFonts w:eastAsia="Calibri" w:cstheme="minorHAnsi"/>
          <w:sz w:val="24"/>
          <w:szCs w:val="24"/>
        </w:rPr>
        <w:t xml:space="preserve">my </w:t>
      </w:r>
      <w:r w:rsidR="00831640">
        <w:rPr>
          <w:rFonts w:eastAsia="Calibri" w:cstheme="minorHAnsi"/>
          <w:sz w:val="24"/>
          <w:szCs w:val="24"/>
        </w:rPr>
        <w:t>interview protocol</w:t>
      </w:r>
      <w:r w:rsidR="00923268">
        <w:rPr>
          <w:rFonts w:eastAsia="Calibri" w:cstheme="minorHAnsi"/>
          <w:sz w:val="24"/>
          <w:szCs w:val="24"/>
        </w:rPr>
        <w:t xml:space="preserve"> </w:t>
      </w:r>
      <w:r w:rsidR="00821497">
        <w:rPr>
          <w:rFonts w:eastAsia="Calibri" w:cstheme="minorHAnsi"/>
          <w:sz w:val="24"/>
          <w:szCs w:val="24"/>
        </w:rPr>
        <w:t>help</w:t>
      </w:r>
      <w:r w:rsidR="002D0EB9">
        <w:rPr>
          <w:rFonts w:eastAsia="Calibri" w:cstheme="minorHAnsi"/>
          <w:sz w:val="24"/>
          <w:szCs w:val="24"/>
        </w:rPr>
        <w:t>ed</w:t>
      </w:r>
      <w:r w:rsidR="00821497" w:rsidRPr="009513A7">
        <w:rPr>
          <w:rFonts w:eastAsia="Calibri" w:cstheme="minorHAnsi"/>
          <w:sz w:val="24"/>
          <w:szCs w:val="24"/>
        </w:rPr>
        <w:t xml:space="preserve"> ensure quality questions. I </w:t>
      </w:r>
      <w:r w:rsidR="002D0EB9">
        <w:rPr>
          <w:rFonts w:eastAsia="Calibri" w:cstheme="minorHAnsi"/>
          <w:sz w:val="24"/>
          <w:szCs w:val="24"/>
        </w:rPr>
        <w:t>was</w:t>
      </w:r>
      <w:r w:rsidR="00821497" w:rsidRPr="009513A7">
        <w:rPr>
          <w:rFonts w:eastAsia="Calibri" w:cstheme="minorHAnsi"/>
          <w:sz w:val="24"/>
          <w:szCs w:val="24"/>
        </w:rPr>
        <w:t xml:space="preserve"> also mindful of how I frame</w:t>
      </w:r>
      <w:r w:rsidR="002D0EB9">
        <w:rPr>
          <w:rFonts w:eastAsia="Calibri" w:cstheme="minorHAnsi"/>
          <w:sz w:val="24"/>
          <w:szCs w:val="24"/>
        </w:rPr>
        <w:t>d</w:t>
      </w:r>
      <w:r w:rsidR="00821497" w:rsidRPr="009513A7">
        <w:rPr>
          <w:rFonts w:eastAsia="Calibri" w:cstheme="minorHAnsi"/>
          <w:sz w:val="24"/>
          <w:szCs w:val="24"/>
        </w:rPr>
        <w:t xml:space="preserve"> probing questions</w:t>
      </w:r>
      <w:r w:rsidR="00831640">
        <w:rPr>
          <w:rFonts w:eastAsia="Calibri" w:cstheme="minorHAnsi"/>
          <w:sz w:val="24"/>
          <w:szCs w:val="24"/>
        </w:rPr>
        <w:t xml:space="preserve">. </w:t>
      </w:r>
      <w:r w:rsidR="00821497" w:rsidRPr="009513A7">
        <w:rPr>
          <w:rFonts w:eastAsia="Calibri" w:cstheme="minorHAnsi"/>
          <w:sz w:val="24"/>
          <w:szCs w:val="24"/>
        </w:rPr>
        <w:t xml:space="preserve">I regularly communicate with faculty and staff on difficult subject matter given my role in </w:t>
      </w:r>
      <w:sdt>
        <w:sdtPr>
          <w:rPr>
            <w:rFonts w:cstheme="minorHAnsi"/>
            <w:sz w:val="24"/>
            <w:szCs w:val="24"/>
          </w:rPr>
          <w:tag w:val="goog_rdk_75"/>
          <w:id w:val="-2120590501"/>
        </w:sdtPr>
        <w:sdtEndPr/>
        <w:sdtContent/>
      </w:sdt>
      <w:r w:rsidR="00821497" w:rsidRPr="009513A7">
        <w:rPr>
          <w:rFonts w:eastAsia="Calibri" w:cstheme="minorHAnsi"/>
          <w:sz w:val="24"/>
          <w:szCs w:val="24"/>
        </w:rPr>
        <w:t xml:space="preserve">human resources and on the </w:t>
      </w:r>
      <w:r w:rsidR="00821497" w:rsidRPr="009513A7">
        <w:rPr>
          <w:rFonts w:cstheme="minorHAnsi"/>
          <w:sz w:val="24"/>
          <w:szCs w:val="24"/>
        </w:rPr>
        <w:t>TA</w:t>
      </w:r>
      <w:r w:rsidR="00821497">
        <w:rPr>
          <w:rFonts w:cstheme="minorHAnsi"/>
          <w:sz w:val="24"/>
          <w:szCs w:val="24"/>
        </w:rPr>
        <w:t>T</w:t>
      </w:r>
      <w:r w:rsidR="00821497" w:rsidRPr="009513A7">
        <w:rPr>
          <w:rFonts w:eastAsia="Calibri" w:cstheme="minorHAnsi"/>
          <w:sz w:val="24"/>
          <w:szCs w:val="24"/>
        </w:rPr>
        <w:t xml:space="preserve"> via investigation interviews, case review, and daily communications. Therefore, I have practice navigating interviews and asking probing or exploratory questions. </w:t>
      </w:r>
    </w:p>
    <w:p w14:paraId="78565348" w14:textId="495BF76A" w:rsidR="00821497" w:rsidRPr="009513A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 xml:space="preserve">Lastly, descriptive, reflective field notes </w:t>
      </w:r>
      <w:r w:rsidR="002D0EB9">
        <w:rPr>
          <w:rFonts w:eastAsia="Calibri" w:cstheme="minorHAnsi"/>
          <w:sz w:val="24"/>
          <w:szCs w:val="24"/>
        </w:rPr>
        <w:t>were</w:t>
      </w:r>
      <w:r w:rsidRPr="009513A7">
        <w:rPr>
          <w:rFonts w:eastAsia="Calibri" w:cstheme="minorHAnsi"/>
          <w:sz w:val="24"/>
          <w:szCs w:val="24"/>
        </w:rPr>
        <w:t xml:space="preserve"> taken during and immediately after interviews to check my bias and further familiarize myself with the data</w:t>
      </w:r>
      <w:r>
        <w:rPr>
          <w:rFonts w:eastAsia="Calibri" w:cstheme="minorHAnsi"/>
          <w:sz w:val="24"/>
          <w:szCs w:val="24"/>
        </w:rPr>
        <w:t xml:space="preserve">. This </w:t>
      </w:r>
      <w:r w:rsidR="002D0EB9">
        <w:rPr>
          <w:rFonts w:eastAsia="Calibri" w:cstheme="minorHAnsi"/>
          <w:sz w:val="24"/>
          <w:szCs w:val="24"/>
        </w:rPr>
        <w:t>was</w:t>
      </w:r>
      <w:r>
        <w:rPr>
          <w:rFonts w:eastAsia="Calibri" w:cstheme="minorHAnsi"/>
          <w:sz w:val="24"/>
          <w:szCs w:val="24"/>
        </w:rPr>
        <w:t xml:space="preserve"> important in my efforts to center</w:t>
      </w:r>
      <w:r w:rsidRPr="009513A7">
        <w:rPr>
          <w:rFonts w:eastAsia="Calibri" w:cstheme="minorHAnsi"/>
          <w:sz w:val="24"/>
          <w:szCs w:val="24"/>
        </w:rPr>
        <w:t xml:space="preserve"> the participants</w:t>
      </w:r>
      <w:r>
        <w:rPr>
          <w:rFonts w:eastAsia="Calibri" w:cstheme="minorHAnsi"/>
          <w:sz w:val="24"/>
          <w:szCs w:val="24"/>
        </w:rPr>
        <w:t>’</w:t>
      </w:r>
      <w:r w:rsidRPr="009513A7">
        <w:rPr>
          <w:rFonts w:eastAsia="Calibri" w:cstheme="minorHAnsi"/>
          <w:sz w:val="24"/>
          <w:szCs w:val="24"/>
        </w:rPr>
        <w:t xml:space="preserve"> voice</w:t>
      </w:r>
      <w:r>
        <w:rPr>
          <w:rFonts w:eastAsia="Calibri" w:cstheme="minorHAnsi"/>
          <w:sz w:val="24"/>
          <w:szCs w:val="24"/>
        </w:rPr>
        <w:t>s. Doing so</w:t>
      </w:r>
      <w:r w:rsidRPr="009513A7">
        <w:rPr>
          <w:rFonts w:eastAsia="Calibri" w:cstheme="minorHAnsi"/>
          <w:sz w:val="24"/>
          <w:szCs w:val="24"/>
        </w:rPr>
        <w:t xml:space="preserve"> also </w:t>
      </w:r>
      <w:r w:rsidR="002D0EB9">
        <w:rPr>
          <w:rFonts w:eastAsia="Calibri" w:cstheme="minorHAnsi"/>
          <w:sz w:val="24"/>
          <w:szCs w:val="24"/>
        </w:rPr>
        <w:t>added</w:t>
      </w:r>
      <w:r w:rsidRPr="009513A7">
        <w:rPr>
          <w:rFonts w:eastAsia="Calibri" w:cstheme="minorHAnsi"/>
          <w:sz w:val="24"/>
          <w:szCs w:val="24"/>
        </w:rPr>
        <w:t xml:space="preserve"> to the integrity of the study (Merriam &amp; Tisdell, 2016).</w:t>
      </w:r>
    </w:p>
    <w:p w14:paraId="22C5FBA0" w14:textId="076ED8CA" w:rsidR="00821497" w:rsidRPr="009513A7" w:rsidRDefault="00821497" w:rsidP="00821497">
      <w:pPr>
        <w:spacing w:after="0" w:line="480" w:lineRule="auto"/>
        <w:rPr>
          <w:rFonts w:eastAsia="Calibri" w:cstheme="minorHAnsi"/>
          <w:b/>
          <w:sz w:val="24"/>
          <w:szCs w:val="24"/>
        </w:rPr>
      </w:pPr>
      <w:r w:rsidRPr="009513A7">
        <w:rPr>
          <w:rFonts w:eastAsia="Calibri" w:cstheme="minorHAnsi"/>
          <w:b/>
          <w:sz w:val="24"/>
          <w:szCs w:val="24"/>
        </w:rPr>
        <w:t>Document</w:t>
      </w:r>
      <w:r>
        <w:rPr>
          <w:rFonts w:eastAsia="Calibri" w:cstheme="minorHAnsi"/>
          <w:b/>
          <w:sz w:val="24"/>
          <w:szCs w:val="24"/>
        </w:rPr>
        <w:t xml:space="preserve"> Analysis</w:t>
      </w:r>
    </w:p>
    <w:p w14:paraId="2052F661" w14:textId="660CF6AC"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I engage</w:t>
      </w:r>
      <w:r w:rsidR="002D0EB9">
        <w:rPr>
          <w:rFonts w:eastAsia="Calibri" w:cstheme="minorHAnsi"/>
          <w:sz w:val="24"/>
          <w:szCs w:val="24"/>
        </w:rPr>
        <w:t>d</w:t>
      </w:r>
      <w:r>
        <w:rPr>
          <w:rFonts w:eastAsia="Calibri" w:cstheme="minorHAnsi"/>
          <w:sz w:val="24"/>
          <w:szCs w:val="24"/>
        </w:rPr>
        <w:t xml:space="preserve"> in d</w:t>
      </w:r>
      <w:r w:rsidRPr="009513A7">
        <w:rPr>
          <w:rFonts w:eastAsia="Calibri" w:cstheme="minorHAnsi"/>
          <w:sz w:val="24"/>
          <w:szCs w:val="24"/>
        </w:rPr>
        <w:t>ocument</w:t>
      </w:r>
      <w:r>
        <w:rPr>
          <w:rFonts w:eastAsia="Calibri" w:cstheme="minorHAnsi"/>
          <w:sz w:val="24"/>
          <w:szCs w:val="24"/>
        </w:rPr>
        <w:t xml:space="preserve"> analysis of</w:t>
      </w:r>
      <w:r w:rsidRPr="009513A7">
        <w:rPr>
          <w:rFonts w:eastAsia="Calibri" w:cstheme="minorHAnsi"/>
          <w:sz w:val="24"/>
          <w:szCs w:val="24"/>
        </w:rPr>
        <w:t xml:space="preserve"> “written, visual, digital, and physical material relevant to the study”</w:t>
      </w:r>
      <w:r>
        <w:rPr>
          <w:rFonts w:eastAsia="Calibri" w:cstheme="minorHAnsi"/>
          <w:sz w:val="24"/>
          <w:szCs w:val="24"/>
        </w:rPr>
        <w:t xml:space="preserve"> </w:t>
      </w:r>
      <w:r w:rsidRPr="009513A7">
        <w:rPr>
          <w:rFonts w:eastAsia="Calibri" w:cstheme="minorHAnsi"/>
          <w:sz w:val="24"/>
          <w:szCs w:val="24"/>
        </w:rPr>
        <w:t>(Merriam &amp; Tisdell, 2016</w:t>
      </w:r>
      <w:r>
        <w:rPr>
          <w:rFonts w:eastAsia="Calibri" w:cstheme="minorHAnsi"/>
          <w:sz w:val="24"/>
          <w:szCs w:val="24"/>
        </w:rPr>
        <w:t>, p. 4</w:t>
      </w:r>
      <w:r w:rsidRPr="009513A7">
        <w:rPr>
          <w:rFonts w:eastAsia="Calibri" w:cstheme="minorHAnsi"/>
          <w:sz w:val="24"/>
          <w:szCs w:val="24"/>
        </w:rPr>
        <w:t>). This  include</w:t>
      </w:r>
      <w:r w:rsidR="002D0EB9">
        <w:rPr>
          <w:rFonts w:eastAsia="Calibri" w:cstheme="minorHAnsi"/>
          <w:sz w:val="24"/>
          <w:szCs w:val="24"/>
        </w:rPr>
        <w:t>d</w:t>
      </w:r>
      <w:r w:rsidRPr="009513A7">
        <w:rPr>
          <w:rFonts w:eastAsia="Calibri" w:cstheme="minorHAnsi"/>
          <w:sz w:val="24"/>
          <w:szCs w:val="24"/>
        </w:rPr>
        <w:t xml:space="preserve"> documents such as written </w:t>
      </w:r>
      <w:r w:rsidR="00972825" w:rsidRPr="009513A7">
        <w:rPr>
          <w:rFonts w:eastAsia="Calibri" w:cstheme="minorHAnsi"/>
          <w:sz w:val="24"/>
          <w:szCs w:val="24"/>
        </w:rPr>
        <w:t>polic</w:t>
      </w:r>
      <w:r w:rsidR="00972825">
        <w:rPr>
          <w:rFonts w:eastAsia="Calibri" w:cstheme="minorHAnsi"/>
          <w:sz w:val="24"/>
          <w:szCs w:val="24"/>
        </w:rPr>
        <w:t>ies,</w:t>
      </w:r>
      <w:r w:rsidRPr="009513A7">
        <w:rPr>
          <w:rFonts w:eastAsia="Calibri" w:cstheme="minorHAnsi"/>
          <w:sz w:val="24"/>
          <w:szCs w:val="24"/>
        </w:rPr>
        <w:t xml:space="preserve"> protocol</w:t>
      </w:r>
      <w:r w:rsidR="00317635">
        <w:rPr>
          <w:rFonts w:eastAsia="Calibri" w:cstheme="minorHAnsi"/>
          <w:sz w:val="24"/>
          <w:szCs w:val="24"/>
        </w:rPr>
        <w:t>s</w:t>
      </w:r>
      <w:r w:rsidR="00972825">
        <w:rPr>
          <w:rFonts w:eastAsia="Calibri" w:cstheme="minorHAnsi"/>
          <w:sz w:val="24"/>
          <w:szCs w:val="24"/>
        </w:rPr>
        <w:t>, any material relevant to</w:t>
      </w:r>
      <w:r w:rsidR="00A25010">
        <w:rPr>
          <w:rFonts w:eastAsia="Calibri" w:cstheme="minorHAnsi"/>
          <w:sz w:val="24"/>
          <w:szCs w:val="24"/>
        </w:rPr>
        <w:t xml:space="preserve"> </w:t>
      </w:r>
      <w:r w:rsidRPr="009513A7">
        <w:rPr>
          <w:rFonts w:cstheme="minorHAnsi"/>
          <w:sz w:val="24"/>
          <w:szCs w:val="24"/>
        </w:rPr>
        <w:t>TA</w:t>
      </w:r>
      <w:r>
        <w:rPr>
          <w:rFonts w:cstheme="minorHAnsi"/>
          <w:sz w:val="24"/>
          <w:szCs w:val="24"/>
        </w:rPr>
        <w:t>Ts</w:t>
      </w:r>
      <w:r w:rsidR="00972825">
        <w:rPr>
          <w:rFonts w:cstheme="minorHAnsi"/>
          <w:sz w:val="24"/>
          <w:szCs w:val="24"/>
        </w:rPr>
        <w:t>,</w:t>
      </w:r>
      <w:r w:rsidRPr="009513A7">
        <w:rPr>
          <w:rFonts w:eastAsia="Calibri" w:cstheme="minorHAnsi"/>
          <w:sz w:val="24"/>
          <w:szCs w:val="24"/>
        </w:rPr>
        <w:t xml:space="preserve"> </w:t>
      </w:r>
      <w:r w:rsidR="00972825">
        <w:rPr>
          <w:rFonts w:eastAsia="Calibri" w:cstheme="minorHAnsi"/>
          <w:sz w:val="24"/>
          <w:szCs w:val="24"/>
        </w:rPr>
        <w:t>or other</w:t>
      </w:r>
      <w:r w:rsidRPr="009513A7">
        <w:rPr>
          <w:rFonts w:eastAsia="Calibri" w:cstheme="minorHAnsi"/>
          <w:sz w:val="24"/>
          <w:szCs w:val="24"/>
        </w:rPr>
        <w:t xml:space="preserve"> public records. If an institution </w:t>
      </w:r>
      <w:r w:rsidR="002D0EB9">
        <w:rPr>
          <w:rFonts w:eastAsia="Calibri" w:cstheme="minorHAnsi"/>
          <w:sz w:val="24"/>
          <w:szCs w:val="24"/>
        </w:rPr>
        <w:t>had</w:t>
      </w:r>
      <w:r w:rsidRPr="009513A7">
        <w:rPr>
          <w:rFonts w:eastAsia="Calibri" w:cstheme="minorHAnsi"/>
          <w:sz w:val="24"/>
          <w:szCs w:val="24"/>
        </w:rPr>
        <w:t xml:space="preserve"> a formal policy or website dedicated to threat assessment</w:t>
      </w:r>
      <w:r>
        <w:rPr>
          <w:rFonts w:eastAsia="Calibri" w:cstheme="minorHAnsi"/>
          <w:sz w:val="24"/>
          <w:szCs w:val="24"/>
        </w:rPr>
        <w:t xml:space="preserve"> and prevention</w:t>
      </w:r>
      <w:r w:rsidRPr="009513A7">
        <w:rPr>
          <w:rFonts w:eastAsia="Calibri" w:cstheme="minorHAnsi"/>
          <w:sz w:val="24"/>
          <w:szCs w:val="24"/>
        </w:rPr>
        <w:t xml:space="preserve"> the documents </w:t>
      </w:r>
      <w:r w:rsidR="002D0EB9">
        <w:rPr>
          <w:rFonts w:eastAsia="Calibri" w:cstheme="minorHAnsi"/>
          <w:sz w:val="24"/>
          <w:szCs w:val="24"/>
        </w:rPr>
        <w:t>were</w:t>
      </w:r>
      <w:r w:rsidRPr="009513A7">
        <w:rPr>
          <w:rFonts w:eastAsia="Calibri" w:cstheme="minorHAnsi"/>
          <w:sz w:val="24"/>
          <w:szCs w:val="24"/>
        </w:rPr>
        <w:t xml:space="preserve"> accessible online. </w:t>
      </w:r>
      <w:r w:rsidR="00317635">
        <w:rPr>
          <w:rFonts w:eastAsia="Calibri" w:cstheme="minorHAnsi"/>
          <w:sz w:val="24"/>
          <w:szCs w:val="24"/>
        </w:rPr>
        <w:t>Another avenue to</w:t>
      </w:r>
      <w:r w:rsidRPr="009513A7">
        <w:rPr>
          <w:rFonts w:eastAsia="Calibri" w:cstheme="minorHAnsi"/>
          <w:sz w:val="24"/>
          <w:szCs w:val="24"/>
        </w:rPr>
        <w:t xml:space="preserve"> gain access to </w:t>
      </w:r>
      <w:r w:rsidR="00317635">
        <w:rPr>
          <w:rFonts w:eastAsia="Calibri" w:cstheme="minorHAnsi"/>
          <w:sz w:val="24"/>
          <w:szCs w:val="24"/>
        </w:rPr>
        <w:t xml:space="preserve">team </w:t>
      </w:r>
      <w:r w:rsidRPr="009513A7">
        <w:rPr>
          <w:rFonts w:eastAsia="Calibri" w:cstheme="minorHAnsi"/>
          <w:sz w:val="24"/>
          <w:szCs w:val="24"/>
        </w:rPr>
        <w:t xml:space="preserve">documents </w:t>
      </w:r>
      <w:r w:rsidR="002D0EB9">
        <w:rPr>
          <w:rFonts w:eastAsia="Calibri" w:cstheme="minorHAnsi"/>
          <w:sz w:val="24"/>
          <w:szCs w:val="24"/>
        </w:rPr>
        <w:t>was</w:t>
      </w:r>
      <w:r w:rsidRPr="009513A7">
        <w:rPr>
          <w:rFonts w:eastAsia="Calibri" w:cstheme="minorHAnsi"/>
          <w:sz w:val="24"/>
          <w:szCs w:val="24"/>
        </w:rPr>
        <w:t xml:space="preserve"> through the </w:t>
      </w:r>
      <w:r w:rsidR="00A25010">
        <w:rPr>
          <w:rFonts w:eastAsia="Calibri" w:cstheme="minorHAnsi"/>
          <w:sz w:val="24"/>
          <w:szCs w:val="24"/>
        </w:rPr>
        <w:t xml:space="preserve">aforementioned </w:t>
      </w:r>
      <w:r w:rsidRPr="009513A7">
        <w:rPr>
          <w:rFonts w:eastAsia="Calibri" w:cstheme="minorHAnsi"/>
          <w:sz w:val="24"/>
          <w:szCs w:val="24"/>
        </w:rPr>
        <w:t xml:space="preserve">gatekeepers. The documents </w:t>
      </w:r>
      <w:r w:rsidR="00844A21">
        <w:rPr>
          <w:rFonts w:eastAsia="Calibri" w:cstheme="minorHAnsi"/>
          <w:sz w:val="24"/>
          <w:szCs w:val="24"/>
        </w:rPr>
        <w:t xml:space="preserve">and records </w:t>
      </w:r>
      <w:r w:rsidRPr="009513A7">
        <w:rPr>
          <w:rFonts w:eastAsia="Calibri" w:cstheme="minorHAnsi"/>
          <w:sz w:val="24"/>
          <w:szCs w:val="24"/>
        </w:rPr>
        <w:t>provide</w:t>
      </w:r>
      <w:r w:rsidR="002D0EB9">
        <w:rPr>
          <w:rFonts w:eastAsia="Calibri" w:cstheme="minorHAnsi"/>
          <w:sz w:val="24"/>
          <w:szCs w:val="24"/>
        </w:rPr>
        <w:t>d</w:t>
      </w:r>
      <w:r w:rsidRPr="009513A7">
        <w:rPr>
          <w:rFonts w:eastAsia="Calibri" w:cstheme="minorHAnsi"/>
          <w:sz w:val="24"/>
          <w:szCs w:val="24"/>
        </w:rPr>
        <w:t xml:space="preserve"> historical context and </w:t>
      </w:r>
      <w:r>
        <w:rPr>
          <w:rFonts w:eastAsia="Calibri" w:cstheme="minorHAnsi"/>
          <w:sz w:val="24"/>
          <w:szCs w:val="24"/>
        </w:rPr>
        <w:lastRenderedPageBreak/>
        <w:t xml:space="preserve">process </w:t>
      </w:r>
      <w:r w:rsidRPr="009513A7">
        <w:rPr>
          <w:rFonts w:eastAsia="Calibri" w:cstheme="minorHAnsi"/>
          <w:sz w:val="24"/>
          <w:szCs w:val="24"/>
        </w:rPr>
        <w:t xml:space="preserve">details </w:t>
      </w:r>
      <w:r>
        <w:rPr>
          <w:rFonts w:eastAsia="Calibri" w:cstheme="minorHAnsi"/>
          <w:sz w:val="24"/>
          <w:szCs w:val="24"/>
        </w:rPr>
        <w:t>the</w:t>
      </w:r>
      <w:r w:rsidRPr="009513A7">
        <w:rPr>
          <w:rFonts w:eastAsia="Calibri" w:cstheme="minorHAnsi"/>
          <w:sz w:val="24"/>
          <w:szCs w:val="24"/>
        </w:rPr>
        <w:t xml:space="preserve"> interviews may not. </w:t>
      </w:r>
      <w:r w:rsidR="00317635" w:rsidRPr="009513A7">
        <w:rPr>
          <w:rFonts w:eastAsia="Calibri" w:cstheme="minorHAnsi"/>
          <w:sz w:val="24"/>
          <w:szCs w:val="24"/>
        </w:rPr>
        <w:t xml:space="preserve">I </w:t>
      </w:r>
      <w:r w:rsidR="00A25010">
        <w:rPr>
          <w:rFonts w:eastAsia="Calibri" w:cstheme="minorHAnsi"/>
          <w:sz w:val="24"/>
          <w:szCs w:val="24"/>
        </w:rPr>
        <w:t>analyze</w:t>
      </w:r>
      <w:r w:rsidR="002D0EB9">
        <w:rPr>
          <w:rFonts w:eastAsia="Calibri" w:cstheme="minorHAnsi"/>
          <w:sz w:val="24"/>
          <w:szCs w:val="24"/>
        </w:rPr>
        <w:t>d</w:t>
      </w:r>
      <w:r w:rsidR="00317635" w:rsidRPr="009513A7">
        <w:rPr>
          <w:rFonts w:eastAsia="Calibri" w:cstheme="minorHAnsi"/>
          <w:sz w:val="24"/>
          <w:szCs w:val="24"/>
        </w:rPr>
        <w:t xml:space="preserve"> the documents </w:t>
      </w:r>
      <w:r w:rsidR="002D0EB9">
        <w:rPr>
          <w:rFonts w:eastAsia="Calibri" w:cstheme="minorHAnsi"/>
          <w:sz w:val="24"/>
          <w:szCs w:val="24"/>
        </w:rPr>
        <w:t xml:space="preserve">when available, </w:t>
      </w:r>
      <w:r w:rsidR="00317635" w:rsidRPr="009513A7">
        <w:rPr>
          <w:rFonts w:eastAsia="Calibri" w:cstheme="minorHAnsi"/>
          <w:sz w:val="24"/>
          <w:szCs w:val="24"/>
        </w:rPr>
        <w:t>to gain a foundational knowledge for each team’s process prior to conducting interviews and coding data.</w:t>
      </w:r>
      <w:r w:rsidR="00972825" w:rsidRPr="009513A7">
        <w:rPr>
          <w:rFonts w:eastAsia="Calibri" w:cstheme="minorHAnsi"/>
          <w:sz w:val="24"/>
          <w:szCs w:val="24"/>
        </w:rPr>
        <w:t xml:space="preserve"> </w:t>
      </w:r>
    </w:p>
    <w:p w14:paraId="7368D86E" w14:textId="77777777" w:rsidR="00F53888" w:rsidRPr="009513A7" w:rsidRDefault="00F53888" w:rsidP="00F53888">
      <w:pPr>
        <w:spacing w:after="0" w:line="480" w:lineRule="auto"/>
        <w:jc w:val="center"/>
        <w:rPr>
          <w:rFonts w:eastAsia="Calibri" w:cstheme="minorHAnsi"/>
          <w:b/>
          <w:sz w:val="24"/>
          <w:szCs w:val="24"/>
        </w:rPr>
      </w:pPr>
      <w:r w:rsidRPr="009513A7">
        <w:rPr>
          <w:rFonts w:eastAsia="Calibri" w:cstheme="minorHAnsi"/>
          <w:b/>
          <w:sz w:val="24"/>
          <w:szCs w:val="24"/>
        </w:rPr>
        <w:t>Data Analysis</w:t>
      </w:r>
    </w:p>
    <w:p w14:paraId="009930D7" w14:textId="18BC45C9" w:rsidR="00F53888" w:rsidRPr="009513A7" w:rsidRDefault="00F53888" w:rsidP="003F161F">
      <w:pPr>
        <w:spacing w:after="0" w:line="480" w:lineRule="auto"/>
        <w:ind w:firstLine="720"/>
        <w:rPr>
          <w:rFonts w:eastAsia="Calibri" w:cstheme="minorHAnsi"/>
          <w:sz w:val="24"/>
          <w:szCs w:val="24"/>
        </w:rPr>
      </w:pPr>
      <w:r w:rsidRPr="009513A7">
        <w:rPr>
          <w:rFonts w:eastAsia="Calibri" w:cstheme="minorHAnsi"/>
          <w:sz w:val="24"/>
          <w:szCs w:val="24"/>
        </w:rPr>
        <w:t xml:space="preserve">For this study, data collection and analysis </w:t>
      </w:r>
      <w:r w:rsidR="002D0EB9">
        <w:rPr>
          <w:rFonts w:eastAsia="Calibri" w:cstheme="minorHAnsi"/>
          <w:sz w:val="24"/>
          <w:szCs w:val="24"/>
        </w:rPr>
        <w:t xml:space="preserve">was </w:t>
      </w:r>
      <w:r w:rsidRPr="009513A7">
        <w:rPr>
          <w:rFonts w:eastAsia="Calibri" w:cstheme="minorHAnsi"/>
          <w:sz w:val="24"/>
          <w:szCs w:val="24"/>
        </w:rPr>
        <w:t xml:space="preserve">concurrent (Merriam &amp; Tisdell, 2016). </w:t>
      </w:r>
      <w:r w:rsidR="003F161F">
        <w:rPr>
          <w:rFonts w:eastAsia="Calibri" w:cstheme="minorHAnsi"/>
          <w:sz w:val="24"/>
          <w:szCs w:val="24"/>
        </w:rPr>
        <w:t>A</w:t>
      </w:r>
      <w:r w:rsidR="003F161F" w:rsidRPr="003F161F">
        <w:rPr>
          <w:rFonts w:eastAsia="Calibri" w:cstheme="minorHAnsi"/>
          <w:sz w:val="24"/>
          <w:szCs w:val="24"/>
        </w:rPr>
        <w:t xml:space="preserve"> basic qualitative </w:t>
      </w:r>
      <w:r w:rsidR="003F161F">
        <w:rPr>
          <w:rFonts w:eastAsia="Calibri" w:cstheme="minorHAnsi"/>
          <w:sz w:val="24"/>
          <w:szCs w:val="24"/>
        </w:rPr>
        <w:t xml:space="preserve">research </w:t>
      </w:r>
      <w:r w:rsidR="003F161F" w:rsidRPr="003F161F">
        <w:rPr>
          <w:rFonts w:eastAsia="Calibri" w:cstheme="minorHAnsi"/>
          <w:sz w:val="24"/>
          <w:szCs w:val="24"/>
        </w:rPr>
        <w:t xml:space="preserve">study </w:t>
      </w:r>
      <w:r w:rsidR="003F161F">
        <w:rPr>
          <w:rFonts w:eastAsia="Calibri" w:cstheme="minorHAnsi"/>
          <w:sz w:val="24"/>
          <w:szCs w:val="24"/>
        </w:rPr>
        <w:t>was</w:t>
      </w:r>
      <w:r w:rsidR="003F161F" w:rsidRPr="003F161F">
        <w:rPr>
          <w:rFonts w:eastAsia="Calibri" w:cstheme="minorHAnsi"/>
          <w:sz w:val="24"/>
          <w:szCs w:val="24"/>
        </w:rPr>
        <w:t xml:space="preserve"> ideal to conduct in-depth interviews, review documents, and analyze the </w:t>
      </w:r>
      <w:r w:rsidR="003F161F">
        <w:rPr>
          <w:rFonts w:eastAsia="Calibri" w:cstheme="minorHAnsi"/>
          <w:sz w:val="24"/>
          <w:szCs w:val="24"/>
        </w:rPr>
        <w:t xml:space="preserve">lived </w:t>
      </w:r>
      <w:r w:rsidR="003F161F" w:rsidRPr="003F161F">
        <w:rPr>
          <w:rFonts w:eastAsia="Calibri" w:cstheme="minorHAnsi"/>
          <w:sz w:val="24"/>
          <w:szCs w:val="24"/>
        </w:rPr>
        <w:t>experiences of those who lead TATs</w:t>
      </w:r>
      <w:r w:rsidR="003F161F">
        <w:rPr>
          <w:rFonts w:eastAsia="Calibri" w:cstheme="minorHAnsi"/>
          <w:sz w:val="24"/>
          <w:szCs w:val="24"/>
        </w:rPr>
        <w:t>.</w:t>
      </w:r>
      <w:r w:rsidR="003F161F" w:rsidRPr="003F161F">
        <w:rPr>
          <w:rFonts w:eastAsia="Calibri" w:cstheme="minorHAnsi"/>
          <w:sz w:val="24"/>
          <w:szCs w:val="24"/>
        </w:rPr>
        <w:t xml:space="preserve"> </w:t>
      </w:r>
      <w:r w:rsidRPr="009513A7">
        <w:rPr>
          <w:rFonts w:eastAsia="Calibri" w:cstheme="minorHAnsi"/>
          <w:sz w:val="24"/>
          <w:szCs w:val="24"/>
        </w:rPr>
        <w:t>T</w:t>
      </w:r>
      <w:r>
        <w:rPr>
          <w:rFonts w:eastAsia="Calibri" w:cstheme="minorHAnsi"/>
          <w:sz w:val="24"/>
          <w:szCs w:val="24"/>
        </w:rPr>
        <w:t xml:space="preserve">he constant comparative method is an </w:t>
      </w:r>
      <w:r w:rsidRPr="009513A7">
        <w:rPr>
          <w:rFonts w:eastAsia="Calibri" w:cstheme="minorHAnsi"/>
          <w:sz w:val="24"/>
          <w:szCs w:val="24"/>
        </w:rPr>
        <w:t>inductive and comparative method commonly used in qualitative research</w:t>
      </w:r>
      <w:r w:rsidR="003F161F">
        <w:rPr>
          <w:rFonts w:eastAsia="Calibri" w:cstheme="minorHAnsi"/>
          <w:sz w:val="24"/>
          <w:szCs w:val="24"/>
        </w:rPr>
        <w:t xml:space="preserve"> to identify</w:t>
      </w:r>
      <w:r w:rsidR="003F161F" w:rsidRPr="009513A7">
        <w:rPr>
          <w:rFonts w:eastAsia="Calibri" w:cstheme="minorHAnsi"/>
          <w:sz w:val="24"/>
          <w:szCs w:val="24"/>
        </w:rPr>
        <w:t xml:space="preserve"> similarities, differences, and patterns within the data </w:t>
      </w:r>
      <w:r w:rsidR="003F161F">
        <w:rPr>
          <w:rFonts w:eastAsia="Calibri" w:cstheme="minorHAnsi"/>
          <w:sz w:val="24"/>
          <w:szCs w:val="24"/>
        </w:rPr>
        <w:t>to generate findings</w:t>
      </w:r>
      <w:r>
        <w:rPr>
          <w:rFonts w:eastAsia="Calibri" w:cstheme="minorHAnsi"/>
          <w:sz w:val="24"/>
          <w:szCs w:val="24"/>
        </w:rPr>
        <w:t xml:space="preserve"> (</w:t>
      </w:r>
      <w:r w:rsidR="003F161F">
        <w:rPr>
          <w:rFonts w:eastAsia="Calibri" w:cstheme="minorHAnsi"/>
          <w:sz w:val="24"/>
          <w:szCs w:val="24"/>
        </w:rPr>
        <w:t xml:space="preserve">Charmaz, 2014; </w:t>
      </w:r>
      <w:r>
        <w:rPr>
          <w:rFonts w:eastAsia="Calibri" w:cstheme="minorHAnsi"/>
          <w:sz w:val="24"/>
          <w:szCs w:val="24"/>
        </w:rPr>
        <w:t xml:space="preserve">Glaser &amp; Strauss, 1967; Merriam &amp; Tisdell, 2016). </w:t>
      </w:r>
      <w:r w:rsidRPr="009513A7">
        <w:rPr>
          <w:rFonts w:eastAsia="Calibri" w:cstheme="minorHAnsi"/>
          <w:sz w:val="24"/>
          <w:szCs w:val="24"/>
        </w:rPr>
        <w:t>Therefore, my analysis</w:t>
      </w:r>
      <w:r w:rsidR="003F161F">
        <w:rPr>
          <w:rFonts w:eastAsia="Calibri" w:cstheme="minorHAnsi"/>
          <w:sz w:val="24"/>
          <w:szCs w:val="24"/>
        </w:rPr>
        <w:t xml:space="preserve"> began </w:t>
      </w:r>
      <w:r w:rsidRPr="009513A7">
        <w:rPr>
          <w:rFonts w:eastAsia="Calibri" w:cstheme="minorHAnsi"/>
          <w:sz w:val="24"/>
          <w:szCs w:val="24"/>
        </w:rPr>
        <w:t>with the first document and continually evolve</w:t>
      </w:r>
      <w:r w:rsidR="003F161F">
        <w:rPr>
          <w:rFonts w:eastAsia="Calibri" w:cstheme="minorHAnsi"/>
          <w:sz w:val="24"/>
          <w:szCs w:val="24"/>
        </w:rPr>
        <w:t>d</w:t>
      </w:r>
      <w:r w:rsidRPr="009513A7">
        <w:rPr>
          <w:rFonts w:eastAsia="Calibri" w:cstheme="minorHAnsi"/>
          <w:sz w:val="24"/>
          <w:szCs w:val="24"/>
        </w:rPr>
        <w:t xml:space="preserve"> throughout the entire study. This </w:t>
      </w:r>
      <w:r w:rsidR="003F161F">
        <w:rPr>
          <w:rFonts w:eastAsia="Calibri" w:cstheme="minorHAnsi"/>
          <w:sz w:val="24"/>
          <w:szCs w:val="24"/>
        </w:rPr>
        <w:t>was</w:t>
      </w:r>
      <w:r w:rsidRPr="009513A7">
        <w:rPr>
          <w:rFonts w:eastAsia="Calibri" w:cstheme="minorHAnsi"/>
          <w:sz w:val="24"/>
          <w:szCs w:val="24"/>
        </w:rPr>
        <w:t xml:space="preserve"> done through careful </w:t>
      </w:r>
      <w:r>
        <w:rPr>
          <w:rFonts w:eastAsia="Calibri" w:cstheme="minorHAnsi"/>
          <w:sz w:val="24"/>
          <w:szCs w:val="24"/>
        </w:rPr>
        <w:t xml:space="preserve">data </w:t>
      </w:r>
      <w:r w:rsidRPr="009513A7">
        <w:rPr>
          <w:rFonts w:eastAsia="Calibri" w:cstheme="minorHAnsi"/>
          <w:sz w:val="24"/>
          <w:szCs w:val="24"/>
        </w:rPr>
        <w:t>organization</w:t>
      </w:r>
      <w:r>
        <w:rPr>
          <w:rFonts w:eastAsia="Calibri" w:cstheme="minorHAnsi"/>
          <w:sz w:val="24"/>
          <w:szCs w:val="24"/>
        </w:rPr>
        <w:t xml:space="preserve"> and management</w:t>
      </w:r>
      <w:r w:rsidRPr="009513A7">
        <w:rPr>
          <w:rFonts w:eastAsia="Calibri" w:cstheme="minorHAnsi"/>
          <w:sz w:val="24"/>
          <w:szCs w:val="24"/>
        </w:rPr>
        <w:t xml:space="preserve">, coding, </w:t>
      </w:r>
      <w:r w:rsidR="00A25010">
        <w:rPr>
          <w:rFonts w:eastAsia="Calibri" w:cstheme="minorHAnsi"/>
          <w:sz w:val="24"/>
          <w:szCs w:val="24"/>
        </w:rPr>
        <w:t xml:space="preserve">and </w:t>
      </w:r>
      <w:r>
        <w:rPr>
          <w:rFonts w:eastAsia="Calibri" w:cstheme="minorHAnsi"/>
          <w:sz w:val="24"/>
          <w:szCs w:val="24"/>
        </w:rPr>
        <w:t xml:space="preserve">identifying </w:t>
      </w:r>
      <w:r w:rsidR="00A25010">
        <w:rPr>
          <w:rFonts w:eastAsia="Calibri" w:cstheme="minorHAnsi"/>
          <w:sz w:val="24"/>
          <w:szCs w:val="24"/>
        </w:rPr>
        <w:t xml:space="preserve">the </w:t>
      </w:r>
      <w:r w:rsidRPr="009513A7">
        <w:rPr>
          <w:rFonts w:eastAsia="Calibri" w:cstheme="minorHAnsi"/>
          <w:sz w:val="24"/>
          <w:szCs w:val="24"/>
        </w:rPr>
        <w:t>emerg</w:t>
      </w:r>
      <w:r>
        <w:rPr>
          <w:rFonts w:eastAsia="Calibri" w:cstheme="minorHAnsi"/>
          <w:sz w:val="24"/>
          <w:szCs w:val="24"/>
        </w:rPr>
        <w:t>ent</w:t>
      </w:r>
      <w:r w:rsidRPr="009513A7">
        <w:rPr>
          <w:rFonts w:eastAsia="Calibri" w:cstheme="minorHAnsi"/>
          <w:sz w:val="24"/>
          <w:szCs w:val="24"/>
        </w:rPr>
        <w:t xml:space="preserve"> themes. </w:t>
      </w:r>
    </w:p>
    <w:p w14:paraId="0FF3634D" w14:textId="0351A015" w:rsidR="00F53888" w:rsidRPr="009513A7" w:rsidRDefault="00A25010" w:rsidP="00F53888">
      <w:pPr>
        <w:spacing w:after="0" w:line="480" w:lineRule="auto"/>
        <w:rPr>
          <w:rFonts w:eastAsia="Calibri" w:cstheme="minorHAnsi"/>
          <w:b/>
          <w:sz w:val="24"/>
          <w:szCs w:val="24"/>
        </w:rPr>
      </w:pPr>
      <w:r>
        <w:rPr>
          <w:rFonts w:eastAsia="Calibri" w:cstheme="minorHAnsi"/>
          <w:b/>
          <w:sz w:val="24"/>
          <w:szCs w:val="24"/>
        </w:rPr>
        <w:t xml:space="preserve">Data </w:t>
      </w:r>
      <w:r w:rsidR="00F53888" w:rsidRPr="009513A7">
        <w:rPr>
          <w:rFonts w:eastAsia="Calibri" w:cstheme="minorHAnsi"/>
          <w:b/>
          <w:sz w:val="24"/>
          <w:szCs w:val="24"/>
        </w:rPr>
        <w:t>Organization</w:t>
      </w:r>
    </w:p>
    <w:p w14:paraId="0735477C" w14:textId="3C25EC3F" w:rsidR="00F53888" w:rsidRDefault="00F53888" w:rsidP="00F53888">
      <w:pPr>
        <w:spacing w:after="0" w:line="480" w:lineRule="auto"/>
        <w:ind w:firstLine="720"/>
        <w:rPr>
          <w:rFonts w:eastAsia="Calibri" w:cstheme="minorHAnsi"/>
          <w:sz w:val="24"/>
          <w:szCs w:val="24"/>
        </w:rPr>
      </w:pPr>
      <w:r w:rsidRPr="009513A7">
        <w:rPr>
          <w:rFonts w:eastAsia="Calibri" w:cstheme="minorHAnsi"/>
          <w:sz w:val="24"/>
          <w:szCs w:val="24"/>
        </w:rPr>
        <w:t>The process of data analysis is “the classification and interpretation of linguistic (or visual) material to make statements about implicit and explicit dimensions and structures of meaning-making in the material and what is represented in it” (Flick, 2014, p. 5). For analysis to be ongoing and meaningful</w:t>
      </w:r>
      <w:r>
        <w:rPr>
          <w:rFonts w:eastAsia="Calibri" w:cstheme="minorHAnsi"/>
          <w:sz w:val="24"/>
          <w:szCs w:val="24"/>
        </w:rPr>
        <w:t>,</w:t>
      </w:r>
      <w:r w:rsidRPr="009513A7">
        <w:rPr>
          <w:rFonts w:eastAsia="Calibri" w:cstheme="minorHAnsi"/>
          <w:sz w:val="24"/>
          <w:szCs w:val="24"/>
        </w:rPr>
        <w:t xml:space="preserve"> the data must be organized from the beginning. First, I read </w:t>
      </w:r>
      <w:r>
        <w:rPr>
          <w:rFonts w:eastAsia="Calibri" w:cstheme="minorHAnsi"/>
          <w:sz w:val="24"/>
          <w:szCs w:val="24"/>
        </w:rPr>
        <w:t xml:space="preserve">the </w:t>
      </w:r>
      <w:r w:rsidRPr="009513A7">
        <w:rPr>
          <w:rFonts w:eastAsia="Calibri" w:cstheme="minorHAnsi"/>
          <w:sz w:val="24"/>
          <w:szCs w:val="24"/>
        </w:rPr>
        <w:t>document</w:t>
      </w:r>
      <w:r>
        <w:rPr>
          <w:rFonts w:eastAsia="Calibri" w:cstheme="minorHAnsi"/>
          <w:sz w:val="24"/>
          <w:szCs w:val="24"/>
        </w:rPr>
        <w:t>s</w:t>
      </w:r>
      <w:r w:rsidR="00A25010">
        <w:rPr>
          <w:rFonts w:eastAsia="Calibri" w:cstheme="minorHAnsi"/>
          <w:sz w:val="24"/>
          <w:szCs w:val="24"/>
        </w:rPr>
        <w:t xml:space="preserve"> </w:t>
      </w:r>
      <w:r w:rsidRPr="009513A7">
        <w:rPr>
          <w:rFonts w:eastAsia="Calibri" w:cstheme="minorHAnsi"/>
          <w:sz w:val="24"/>
          <w:szCs w:val="24"/>
        </w:rPr>
        <w:t>provided by each institution. While comparing those documents</w:t>
      </w:r>
      <w:r w:rsidR="00A25010">
        <w:rPr>
          <w:rFonts w:eastAsia="Calibri" w:cstheme="minorHAnsi"/>
          <w:sz w:val="24"/>
          <w:szCs w:val="24"/>
        </w:rPr>
        <w:t>,</w:t>
      </w:r>
      <w:r w:rsidRPr="009513A7">
        <w:rPr>
          <w:rFonts w:eastAsia="Calibri" w:cstheme="minorHAnsi"/>
          <w:sz w:val="24"/>
          <w:szCs w:val="24"/>
        </w:rPr>
        <w:t xml:space="preserve"> I </w:t>
      </w:r>
      <w:r w:rsidR="003F161F">
        <w:rPr>
          <w:rFonts w:eastAsia="Calibri" w:cstheme="minorHAnsi"/>
          <w:sz w:val="24"/>
          <w:szCs w:val="24"/>
        </w:rPr>
        <w:t xml:space="preserve">made </w:t>
      </w:r>
      <w:r w:rsidRPr="009513A7">
        <w:rPr>
          <w:rFonts w:eastAsia="Calibri" w:cstheme="minorHAnsi"/>
          <w:sz w:val="24"/>
          <w:szCs w:val="24"/>
        </w:rPr>
        <w:t xml:space="preserve">notes in the margins, highlighting similarities and circling any notable differences. I </w:t>
      </w:r>
      <w:r w:rsidR="003F161F">
        <w:rPr>
          <w:rFonts w:eastAsia="Calibri" w:cstheme="minorHAnsi"/>
          <w:sz w:val="24"/>
          <w:szCs w:val="24"/>
        </w:rPr>
        <w:t>ma</w:t>
      </w:r>
      <w:r w:rsidR="00774FD3">
        <w:rPr>
          <w:rFonts w:eastAsia="Calibri" w:cstheme="minorHAnsi"/>
          <w:sz w:val="24"/>
          <w:szCs w:val="24"/>
        </w:rPr>
        <w:t>de</w:t>
      </w:r>
      <w:r w:rsidRPr="009513A7">
        <w:rPr>
          <w:rFonts w:eastAsia="Calibri" w:cstheme="minorHAnsi"/>
          <w:sz w:val="24"/>
          <w:szCs w:val="24"/>
        </w:rPr>
        <w:t xml:space="preserve"> field notes from any observations during interviews and review</w:t>
      </w:r>
      <w:r w:rsidR="003F161F">
        <w:rPr>
          <w:rFonts w:eastAsia="Calibri" w:cstheme="minorHAnsi"/>
          <w:sz w:val="24"/>
          <w:szCs w:val="24"/>
        </w:rPr>
        <w:t>ed</w:t>
      </w:r>
      <w:r w:rsidRPr="009513A7">
        <w:rPr>
          <w:rFonts w:eastAsia="Calibri" w:cstheme="minorHAnsi"/>
          <w:sz w:val="24"/>
          <w:szCs w:val="24"/>
        </w:rPr>
        <w:t xml:space="preserve"> them after each </w:t>
      </w:r>
      <w:r w:rsidR="00A25010">
        <w:rPr>
          <w:rFonts w:eastAsia="Calibri" w:cstheme="minorHAnsi"/>
          <w:sz w:val="24"/>
          <w:szCs w:val="24"/>
        </w:rPr>
        <w:t>interview</w:t>
      </w:r>
      <w:r w:rsidRPr="009513A7">
        <w:rPr>
          <w:rFonts w:eastAsia="Calibri" w:cstheme="minorHAnsi"/>
          <w:sz w:val="24"/>
          <w:szCs w:val="24"/>
        </w:rPr>
        <w:t xml:space="preserve">. </w:t>
      </w:r>
    </w:p>
    <w:p w14:paraId="22041C1B" w14:textId="4DAD0F92" w:rsidR="00F53888" w:rsidRPr="009513A7" w:rsidRDefault="00F53888" w:rsidP="00F53888">
      <w:pPr>
        <w:spacing w:after="0" w:line="480" w:lineRule="auto"/>
        <w:ind w:firstLine="720"/>
        <w:rPr>
          <w:rFonts w:eastAsia="Calibri" w:cstheme="minorHAnsi"/>
          <w:sz w:val="24"/>
          <w:szCs w:val="24"/>
        </w:rPr>
      </w:pPr>
      <w:r>
        <w:rPr>
          <w:rFonts w:eastAsia="Calibri" w:cstheme="minorHAnsi"/>
          <w:sz w:val="24"/>
          <w:szCs w:val="24"/>
        </w:rPr>
        <w:t xml:space="preserve">After document analysis, </w:t>
      </w:r>
      <w:r w:rsidRPr="009513A7">
        <w:rPr>
          <w:rFonts w:eastAsia="Calibri" w:cstheme="minorHAnsi"/>
          <w:sz w:val="24"/>
          <w:szCs w:val="24"/>
        </w:rPr>
        <w:t>I transcribe</w:t>
      </w:r>
      <w:r w:rsidR="003F161F">
        <w:rPr>
          <w:rFonts w:eastAsia="Calibri" w:cstheme="minorHAnsi"/>
          <w:sz w:val="24"/>
          <w:szCs w:val="24"/>
        </w:rPr>
        <w:t>d</w:t>
      </w:r>
      <w:r w:rsidRPr="009513A7">
        <w:rPr>
          <w:rFonts w:eastAsia="Calibri" w:cstheme="minorHAnsi"/>
          <w:sz w:val="24"/>
          <w:szCs w:val="24"/>
        </w:rPr>
        <w:t xml:space="preserve"> and </w:t>
      </w:r>
      <w:r>
        <w:rPr>
          <w:rFonts w:eastAsia="Calibri" w:cstheme="minorHAnsi"/>
          <w:sz w:val="24"/>
          <w:szCs w:val="24"/>
        </w:rPr>
        <w:t>analyze</w:t>
      </w:r>
      <w:r w:rsidR="003F161F">
        <w:rPr>
          <w:rFonts w:eastAsia="Calibri" w:cstheme="minorHAnsi"/>
          <w:sz w:val="24"/>
          <w:szCs w:val="24"/>
        </w:rPr>
        <w:t>d</w:t>
      </w:r>
      <w:r w:rsidRPr="009513A7">
        <w:rPr>
          <w:rFonts w:eastAsia="Calibri" w:cstheme="minorHAnsi"/>
          <w:sz w:val="24"/>
          <w:szCs w:val="24"/>
        </w:rPr>
        <w:t xml:space="preserve"> each interview before proceeding to the next. </w:t>
      </w:r>
      <w:r w:rsidR="00DF26BB">
        <w:rPr>
          <w:rFonts w:eastAsia="Calibri" w:cstheme="minorHAnsi"/>
          <w:sz w:val="24"/>
          <w:szCs w:val="24"/>
        </w:rPr>
        <w:t>I review</w:t>
      </w:r>
      <w:r w:rsidR="003F161F">
        <w:rPr>
          <w:rFonts w:eastAsia="Calibri" w:cstheme="minorHAnsi"/>
          <w:sz w:val="24"/>
          <w:szCs w:val="24"/>
        </w:rPr>
        <w:t>ed</w:t>
      </w:r>
      <w:r w:rsidR="00DF26BB">
        <w:rPr>
          <w:rFonts w:eastAsia="Calibri" w:cstheme="minorHAnsi"/>
          <w:sz w:val="24"/>
          <w:szCs w:val="24"/>
        </w:rPr>
        <w:t xml:space="preserve"> each transcript multiple times to become familiar with the data and</w:t>
      </w:r>
      <w:r w:rsidRPr="009513A7">
        <w:rPr>
          <w:rFonts w:eastAsia="Calibri" w:cstheme="minorHAnsi"/>
          <w:sz w:val="24"/>
          <w:szCs w:val="24"/>
        </w:rPr>
        <w:t xml:space="preserve"> </w:t>
      </w:r>
      <w:r w:rsidRPr="009513A7">
        <w:rPr>
          <w:rFonts w:eastAsia="Calibri" w:cstheme="minorHAnsi"/>
          <w:sz w:val="24"/>
          <w:szCs w:val="24"/>
        </w:rPr>
        <w:lastRenderedPageBreak/>
        <w:t>compare</w:t>
      </w:r>
      <w:r w:rsidR="003F161F">
        <w:rPr>
          <w:rFonts w:eastAsia="Calibri" w:cstheme="minorHAnsi"/>
          <w:sz w:val="24"/>
          <w:szCs w:val="24"/>
        </w:rPr>
        <w:t>d</w:t>
      </w:r>
      <w:r w:rsidRPr="009513A7">
        <w:rPr>
          <w:rFonts w:eastAsia="Calibri" w:cstheme="minorHAnsi"/>
          <w:sz w:val="24"/>
          <w:szCs w:val="24"/>
        </w:rPr>
        <w:t xml:space="preserve"> my notes to </w:t>
      </w:r>
      <w:r w:rsidR="00A25010">
        <w:rPr>
          <w:rFonts w:eastAsia="Calibri" w:cstheme="minorHAnsi"/>
          <w:sz w:val="24"/>
          <w:szCs w:val="24"/>
        </w:rPr>
        <w:t xml:space="preserve">the </w:t>
      </w:r>
      <w:r>
        <w:rPr>
          <w:rFonts w:eastAsia="Calibri" w:cstheme="minorHAnsi"/>
          <w:sz w:val="24"/>
          <w:szCs w:val="24"/>
        </w:rPr>
        <w:t xml:space="preserve">notes from the completed </w:t>
      </w:r>
      <w:r w:rsidRPr="009513A7">
        <w:rPr>
          <w:rFonts w:eastAsia="Calibri" w:cstheme="minorHAnsi"/>
          <w:sz w:val="24"/>
          <w:szCs w:val="24"/>
        </w:rPr>
        <w:t>interviews</w:t>
      </w:r>
      <w:r>
        <w:rPr>
          <w:rFonts w:eastAsia="Calibri" w:cstheme="minorHAnsi"/>
          <w:sz w:val="24"/>
          <w:szCs w:val="24"/>
        </w:rPr>
        <w:t>. T</w:t>
      </w:r>
      <w:r w:rsidRPr="009513A7">
        <w:rPr>
          <w:rFonts w:eastAsia="Calibri" w:cstheme="minorHAnsi"/>
          <w:sz w:val="24"/>
          <w:szCs w:val="24"/>
        </w:rPr>
        <w:t>his practice inform</w:t>
      </w:r>
      <w:r w:rsidR="003F161F">
        <w:rPr>
          <w:rFonts w:eastAsia="Calibri" w:cstheme="minorHAnsi"/>
          <w:sz w:val="24"/>
          <w:szCs w:val="24"/>
        </w:rPr>
        <w:t>ed</w:t>
      </w:r>
      <w:r w:rsidRPr="009513A7">
        <w:rPr>
          <w:rFonts w:eastAsia="Calibri" w:cstheme="minorHAnsi"/>
          <w:sz w:val="24"/>
          <w:szCs w:val="24"/>
        </w:rPr>
        <w:t xml:space="preserve"> future interviews and help</w:t>
      </w:r>
      <w:r w:rsidR="003F161F">
        <w:rPr>
          <w:rFonts w:eastAsia="Calibri" w:cstheme="minorHAnsi"/>
          <w:sz w:val="24"/>
          <w:szCs w:val="24"/>
        </w:rPr>
        <w:t>ed</w:t>
      </w:r>
      <w:r w:rsidRPr="009513A7">
        <w:rPr>
          <w:rFonts w:eastAsia="Calibri" w:cstheme="minorHAnsi"/>
          <w:sz w:val="24"/>
          <w:szCs w:val="24"/>
        </w:rPr>
        <w:t xml:space="preserve"> cultivate themes, gaps, and other findings</w:t>
      </w:r>
      <w:r w:rsidR="00DF26BB">
        <w:rPr>
          <w:rFonts w:eastAsia="Calibri" w:cstheme="minorHAnsi"/>
          <w:sz w:val="24"/>
          <w:szCs w:val="24"/>
        </w:rPr>
        <w:t xml:space="preserve"> for analysis</w:t>
      </w:r>
      <w:r w:rsidRPr="009513A7">
        <w:rPr>
          <w:rFonts w:eastAsia="Calibri" w:cstheme="minorHAnsi"/>
          <w:sz w:val="24"/>
          <w:szCs w:val="24"/>
        </w:rPr>
        <w:t xml:space="preserve"> </w:t>
      </w:r>
      <w:r w:rsidR="00E22F19">
        <w:rPr>
          <w:rFonts w:eastAsia="Calibri" w:cstheme="minorHAnsi"/>
          <w:sz w:val="24"/>
          <w:szCs w:val="24"/>
        </w:rPr>
        <w:t xml:space="preserve">and member checking </w:t>
      </w:r>
      <w:r w:rsidRPr="009513A7">
        <w:rPr>
          <w:rFonts w:eastAsia="Calibri" w:cstheme="minorHAnsi"/>
          <w:sz w:val="24"/>
          <w:szCs w:val="24"/>
        </w:rPr>
        <w:t>(</w:t>
      </w:r>
      <w:r w:rsidR="00E22F19" w:rsidRPr="009513A7">
        <w:rPr>
          <w:rFonts w:eastAsia="Calibri" w:cstheme="minorHAnsi"/>
          <w:sz w:val="24"/>
          <w:szCs w:val="24"/>
        </w:rPr>
        <w:t>Bogdan &amp; Biklen, 2011</w:t>
      </w:r>
      <w:r w:rsidR="00E22F19">
        <w:rPr>
          <w:rFonts w:eastAsia="Calibri" w:cstheme="minorHAnsi"/>
          <w:sz w:val="24"/>
          <w:szCs w:val="24"/>
        </w:rPr>
        <w:t xml:space="preserve">; </w:t>
      </w:r>
      <w:r w:rsidRPr="009513A7">
        <w:rPr>
          <w:rFonts w:eastAsia="Calibri" w:cstheme="minorHAnsi"/>
          <w:sz w:val="24"/>
          <w:szCs w:val="24"/>
        </w:rPr>
        <w:t xml:space="preserve">Merriam &amp; Tisdell, 2016; Yin, 2014). </w:t>
      </w:r>
      <w:r w:rsidR="00243698">
        <w:rPr>
          <w:rFonts w:eastAsia="Calibri" w:cstheme="minorHAnsi"/>
          <w:sz w:val="24"/>
          <w:szCs w:val="24"/>
        </w:rPr>
        <w:t>I collect</w:t>
      </w:r>
      <w:r w:rsidR="003F161F">
        <w:rPr>
          <w:rFonts w:eastAsia="Calibri" w:cstheme="minorHAnsi"/>
          <w:sz w:val="24"/>
          <w:szCs w:val="24"/>
        </w:rPr>
        <w:t>ed</w:t>
      </w:r>
      <w:r w:rsidR="00243698">
        <w:rPr>
          <w:rFonts w:eastAsia="Calibri" w:cstheme="minorHAnsi"/>
          <w:sz w:val="24"/>
          <w:szCs w:val="24"/>
        </w:rPr>
        <w:t xml:space="preserve"> and analyze</w:t>
      </w:r>
      <w:r w:rsidR="003F161F">
        <w:rPr>
          <w:rFonts w:eastAsia="Calibri" w:cstheme="minorHAnsi"/>
          <w:sz w:val="24"/>
          <w:szCs w:val="24"/>
        </w:rPr>
        <w:t>d</w:t>
      </w:r>
      <w:r w:rsidR="00243698">
        <w:rPr>
          <w:rFonts w:eastAsia="Calibri" w:cstheme="minorHAnsi"/>
          <w:sz w:val="24"/>
          <w:szCs w:val="24"/>
        </w:rPr>
        <w:t xml:space="preserve"> enough data to draw necessary conclusions and stop</w:t>
      </w:r>
      <w:r w:rsidR="003F161F">
        <w:rPr>
          <w:rFonts w:eastAsia="Calibri" w:cstheme="minorHAnsi"/>
          <w:sz w:val="24"/>
          <w:szCs w:val="24"/>
        </w:rPr>
        <w:t>ped</w:t>
      </w:r>
      <w:r w:rsidR="00243698">
        <w:rPr>
          <w:rFonts w:eastAsia="Calibri" w:cstheme="minorHAnsi"/>
          <w:sz w:val="24"/>
          <w:szCs w:val="24"/>
        </w:rPr>
        <w:t xml:space="preserve"> at</w:t>
      </w:r>
      <w:r w:rsidR="00243698" w:rsidRPr="009513A7">
        <w:rPr>
          <w:rFonts w:eastAsia="Calibri" w:cstheme="minorHAnsi"/>
          <w:sz w:val="24"/>
          <w:szCs w:val="24"/>
        </w:rPr>
        <w:t xml:space="preserve"> the point of saturation</w:t>
      </w:r>
      <w:r w:rsidR="00243698">
        <w:rPr>
          <w:rFonts w:eastAsia="Calibri" w:cstheme="minorHAnsi"/>
          <w:sz w:val="24"/>
          <w:szCs w:val="24"/>
        </w:rPr>
        <w:t xml:space="preserve">, when further data collection </w:t>
      </w:r>
      <w:r w:rsidR="003F161F">
        <w:rPr>
          <w:rFonts w:eastAsia="Calibri" w:cstheme="minorHAnsi"/>
          <w:sz w:val="24"/>
          <w:szCs w:val="24"/>
        </w:rPr>
        <w:t>did</w:t>
      </w:r>
      <w:r w:rsidR="00243698">
        <w:rPr>
          <w:rFonts w:eastAsia="Calibri" w:cstheme="minorHAnsi"/>
          <w:sz w:val="24"/>
          <w:szCs w:val="24"/>
        </w:rPr>
        <w:t>not produce value-add</w:t>
      </w:r>
      <w:r w:rsidR="00D47B80">
        <w:rPr>
          <w:rFonts w:eastAsia="Calibri" w:cstheme="minorHAnsi"/>
          <w:sz w:val="24"/>
          <w:szCs w:val="24"/>
        </w:rPr>
        <w:t>ed</w:t>
      </w:r>
      <w:r w:rsidR="00243698">
        <w:rPr>
          <w:rFonts w:eastAsia="Calibri" w:cstheme="minorHAnsi"/>
          <w:sz w:val="24"/>
          <w:szCs w:val="24"/>
        </w:rPr>
        <w:t xml:space="preserve"> insights (Merriam &amp; Tisdell, 2016).</w:t>
      </w:r>
      <w:r w:rsidR="00243698" w:rsidRPr="009513A7">
        <w:rPr>
          <w:rFonts w:eastAsia="Calibri" w:cstheme="minorHAnsi"/>
          <w:sz w:val="24"/>
          <w:szCs w:val="24"/>
        </w:rPr>
        <w:t xml:space="preserve"> </w:t>
      </w:r>
      <w:r w:rsidR="00CF3C33">
        <w:rPr>
          <w:rFonts w:eastAsia="Calibri" w:cstheme="minorHAnsi"/>
          <w:sz w:val="24"/>
          <w:szCs w:val="24"/>
        </w:rPr>
        <w:t xml:space="preserve"> </w:t>
      </w:r>
    </w:p>
    <w:p w14:paraId="12B6EE8C" w14:textId="29A05A02" w:rsidR="00F53888" w:rsidRPr="009513A7" w:rsidRDefault="00F53888" w:rsidP="00F53888">
      <w:pPr>
        <w:spacing w:after="0" w:line="480" w:lineRule="auto"/>
        <w:rPr>
          <w:rFonts w:eastAsia="Calibri" w:cstheme="minorHAnsi"/>
          <w:b/>
          <w:sz w:val="24"/>
          <w:szCs w:val="24"/>
        </w:rPr>
      </w:pPr>
      <w:r w:rsidRPr="009513A7">
        <w:rPr>
          <w:rFonts w:eastAsia="Calibri" w:cstheme="minorHAnsi"/>
          <w:b/>
          <w:sz w:val="24"/>
          <w:szCs w:val="24"/>
        </w:rPr>
        <w:t xml:space="preserve">Coding </w:t>
      </w:r>
    </w:p>
    <w:p w14:paraId="05D54EAE" w14:textId="724893A1" w:rsidR="00394999" w:rsidRDefault="00E22F19" w:rsidP="00F53888">
      <w:pPr>
        <w:spacing w:after="0" w:line="480" w:lineRule="auto"/>
        <w:ind w:firstLine="720"/>
        <w:rPr>
          <w:rFonts w:eastAsia="Calibri" w:cstheme="minorHAnsi"/>
          <w:sz w:val="24"/>
          <w:szCs w:val="24"/>
        </w:rPr>
      </w:pPr>
      <w:r>
        <w:rPr>
          <w:rFonts w:eastAsia="Calibri" w:cstheme="minorHAnsi"/>
          <w:sz w:val="24"/>
          <w:szCs w:val="24"/>
        </w:rPr>
        <w:t>I use</w:t>
      </w:r>
      <w:r w:rsidR="003F161F">
        <w:rPr>
          <w:rFonts w:eastAsia="Calibri" w:cstheme="minorHAnsi"/>
          <w:sz w:val="24"/>
          <w:szCs w:val="24"/>
        </w:rPr>
        <w:t>d</w:t>
      </w:r>
      <w:r>
        <w:rPr>
          <w:rFonts w:eastAsia="Calibri" w:cstheme="minorHAnsi"/>
          <w:sz w:val="24"/>
          <w:szCs w:val="24"/>
        </w:rPr>
        <w:t xml:space="preserve"> a c</w:t>
      </w:r>
      <w:r w:rsidR="00F53888" w:rsidRPr="009513A7">
        <w:rPr>
          <w:rFonts w:eastAsia="Calibri" w:cstheme="minorHAnsi"/>
          <w:sz w:val="24"/>
          <w:szCs w:val="24"/>
        </w:rPr>
        <w:t xml:space="preserve">oding process </w:t>
      </w:r>
      <w:r>
        <w:rPr>
          <w:rFonts w:eastAsia="Calibri" w:cstheme="minorHAnsi"/>
          <w:sz w:val="24"/>
          <w:szCs w:val="24"/>
        </w:rPr>
        <w:t xml:space="preserve">to organize the data </w:t>
      </w:r>
      <w:r w:rsidR="00394999">
        <w:rPr>
          <w:rFonts w:eastAsia="Calibri" w:cstheme="minorHAnsi"/>
          <w:sz w:val="24"/>
          <w:szCs w:val="24"/>
        </w:rPr>
        <w:t>and</w:t>
      </w:r>
      <w:r w:rsidR="00F53888" w:rsidRPr="009513A7">
        <w:rPr>
          <w:rFonts w:eastAsia="Calibri" w:cstheme="minorHAnsi"/>
          <w:sz w:val="24"/>
          <w:szCs w:val="24"/>
        </w:rPr>
        <w:t xml:space="preserve"> easily retrieve specific </w:t>
      </w:r>
      <w:r w:rsidR="00A25010">
        <w:rPr>
          <w:rFonts w:eastAsia="Calibri" w:cstheme="minorHAnsi"/>
          <w:sz w:val="24"/>
          <w:szCs w:val="24"/>
        </w:rPr>
        <w:t>data</w:t>
      </w:r>
      <w:r w:rsidR="00F53888" w:rsidRPr="009513A7">
        <w:rPr>
          <w:rFonts w:eastAsia="Calibri" w:cstheme="minorHAnsi"/>
          <w:sz w:val="24"/>
          <w:szCs w:val="24"/>
        </w:rPr>
        <w:t xml:space="preserve"> (Saldaña, 2016; Strauss, 1987). Coding </w:t>
      </w:r>
      <w:r w:rsidR="00F53888">
        <w:rPr>
          <w:rFonts w:eastAsia="Calibri" w:cstheme="minorHAnsi"/>
          <w:sz w:val="24"/>
          <w:szCs w:val="24"/>
        </w:rPr>
        <w:t>is the process of</w:t>
      </w:r>
      <w:r w:rsidR="00F53888" w:rsidRPr="009513A7">
        <w:rPr>
          <w:rFonts w:eastAsia="Calibri" w:cstheme="minorHAnsi"/>
          <w:sz w:val="24"/>
          <w:szCs w:val="24"/>
        </w:rPr>
        <w:t xml:space="preserve"> synthesiz</w:t>
      </w:r>
      <w:r w:rsidR="00F53888">
        <w:rPr>
          <w:rFonts w:eastAsia="Calibri" w:cstheme="minorHAnsi"/>
          <w:sz w:val="24"/>
          <w:szCs w:val="24"/>
        </w:rPr>
        <w:t>ing</w:t>
      </w:r>
      <w:r w:rsidR="00F53888" w:rsidRPr="009513A7">
        <w:rPr>
          <w:rFonts w:eastAsia="Calibri" w:cstheme="minorHAnsi"/>
          <w:sz w:val="24"/>
          <w:szCs w:val="24"/>
        </w:rPr>
        <w:t xml:space="preserve"> data into segments of information </w:t>
      </w:r>
      <w:r w:rsidR="00A25010">
        <w:rPr>
          <w:rFonts w:eastAsia="Calibri" w:cstheme="minorHAnsi"/>
          <w:sz w:val="24"/>
          <w:szCs w:val="24"/>
        </w:rPr>
        <w:t>to</w:t>
      </w:r>
      <w:r w:rsidR="00F53888" w:rsidRPr="009513A7">
        <w:rPr>
          <w:rFonts w:eastAsia="Calibri" w:cstheme="minorHAnsi"/>
          <w:sz w:val="24"/>
          <w:szCs w:val="24"/>
        </w:rPr>
        <w:t xml:space="preserve"> make meaning (Merriam &amp; Tisdell, 2016). Before I </w:t>
      </w:r>
      <w:r w:rsidR="003F161F">
        <w:rPr>
          <w:rFonts w:eastAsia="Calibri" w:cstheme="minorHAnsi"/>
          <w:sz w:val="24"/>
          <w:szCs w:val="24"/>
        </w:rPr>
        <w:t xml:space="preserve">began </w:t>
      </w:r>
      <w:r w:rsidR="00F53888" w:rsidRPr="009513A7">
        <w:rPr>
          <w:rFonts w:eastAsia="Calibri" w:cstheme="minorHAnsi"/>
          <w:sz w:val="24"/>
          <w:szCs w:val="24"/>
        </w:rPr>
        <w:t>coding, I consider</w:t>
      </w:r>
      <w:r w:rsidR="003F161F">
        <w:rPr>
          <w:rFonts w:eastAsia="Calibri" w:cstheme="minorHAnsi"/>
          <w:sz w:val="24"/>
          <w:szCs w:val="24"/>
        </w:rPr>
        <w:t>ed</w:t>
      </w:r>
      <w:r w:rsidR="00F53888" w:rsidRPr="009513A7">
        <w:rPr>
          <w:rFonts w:eastAsia="Calibri" w:cstheme="minorHAnsi"/>
          <w:sz w:val="24"/>
          <w:szCs w:val="24"/>
        </w:rPr>
        <w:t xml:space="preserve"> the story I am trying to tell and create</w:t>
      </w:r>
      <w:r w:rsidR="003F161F">
        <w:rPr>
          <w:rFonts w:eastAsia="Calibri" w:cstheme="minorHAnsi"/>
          <w:sz w:val="24"/>
          <w:szCs w:val="24"/>
        </w:rPr>
        <w:t>d</w:t>
      </w:r>
      <w:r w:rsidR="00F53888" w:rsidRPr="009513A7">
        <w:rPr>
          <w:rFonts w:eastAsia="Calibri" w:cstheme="minorHAnsi"/>
          <w:sz w:val="24"/>
          <w:szCs w:val="24"/>
        </w:rPr>
        <w:t xml:space="preserve"> codes using words and colors that help</w:t>
      </w:r>
      <w:r w:rsidR="003F161F">
        <w:rPr>
          <w:rFonts w:eastAsia="Calibri" w:cstheme="minorHAnsi"/>
          <w:sz w:val="24"/>
          <w:szCs w:val="24"/>
        </w:rPr>
        <w:t>ed</w:t>
      </w:r>
      <w:r w:rsidR="00F53888" w:rsidRPr="009513A7">
        <w:rPr>
          <w:rFonts w:eastAsia="Calibri" w:cstheme="minorHAnsi"/>
          <w:sz w:val="24"/>
          <w:szCs w:val="24"/>
        </w:rPr>
        <w:t xml:space="preserve"> answer my research question; these </w:t>
      </w:r>
      <w:r w:rsidR="003F161F">
        <w:rPr>
          <w:rFonts w:eastAsia="Calibri" w:cstheme="minorHAnsi"/>
          <w:sz w:val="24"/>
          <w:szCs w:val="24"/>
        </w:rPr>
        <w:t>were</w:t>
      </w:r>
      <w:r w:rsidR="00F53888" w:rsidRPr="009513A7">
        <w:rPr>
          <w:rFonts w:eastAsia="Calibri" w:cstheme="minorHAnsi"/>
          <w:sz w:val="24"/>
          <w:szCs w:val="24"/>
        </w:rPr>
        <w:t xml:space="preserve"> </w:t>
      </w:r>
      <w:r w:rsidR="00F53888" w:rsidRPr="009513A7">
        <w:rPr>
          <w:rFonts w:eastAsia="Calibri" w:cstheme="minorHAnsi"/>
          <w:i/>
          <w:sz w:val="24"/>
          <w:szCs w:val="24"/>
        </w:rPr>
        <w:t>a priori</w:t>
      </w:r>
      <w:r w:rsidR="00F53888" w:rsidRPr="009513A7">
        <w:rPr>
          <w:rFonts w:eastAsia="Calibri" w:cstheme="minorHAnsi"/>
          <w:sz w:val="24"/>
          <w:szCs w:val="24"/>
        </w:rPr>
        <w:t xml:space="preserve"> codes or pre-set codes (Gibbs, 2018; Lofland &amp; Lofland, 1995; Miles &amp; Huberman, 1994; Taylor &amp; Bogdan, 1998). </w:t>
      </w:r>
      <w:r w:rsidR="00F53888">
        <w:rPr>
          <w:rFonts w:eastAsia="Calibri" w:cstheme="minorHAnsi"/>
          <w:sz w:val="24"/>
          <w:szCs w:val="24"/>
        </w:rPr>
        <w:t>I create</w:t>
      </w:r>
      <w:r w:rsidR="003F161F">
        <w:rPr>
          <w:rFonts w:eastAsia="Calibri" w:cstheme="minorHAnsi"/>
          <w:sz w:val="24"/>
          <w:szCs w:val="24"/>
        </w:rPr>
        <w:t>d</w:t>
      </w:r>
      <w:r w:rsidR="00F53888">
        <w:rPr>
          <w:rFonts w:eastAsia="Calibri" w:cstheme="minorHAnsi"/>
          <w:sz w:val="24"/>
          <w:szCs w:val="24"/>
        </w:rPr>
        <w:t xml:space="preserve"> t</w:t>
      </w:r>
      <w:r w:rsidR="00F53888" w:rsidRPr="009513A7">
        <w:rPr>
          <w:rFonts w:eastAsia="Calibri" w:cstheme="minorHAnsi"/>
          <w:sz w:val="24"/>
          <w:szCs w:val="24"/>
        </w:rPr>
        <w:t xml:space="preserve">he </w:t>
      </w:r>
      <w:r w:rsidR="00F53888" w:rsidRPr="009513A7">
        <w:rPr>
          <w:rFonts w:eastAsia="Calibri" w:cstheme="minorHAnsi"/>
          <w:i/>
          <w:sz w:val="24"/>
          <w:szCs w:val="24"/>
        </w:rPr>
        <w:t xml:space="preserve">a priori </w:t>
      </w:r>
      <w:r w:rsidR="00F53888" w:rsidRPr="009513A7">
        <w:rPr>
          <w:rFonts w:eastAsia="Calibri" w:cstheme="minorHAnsi"/>
          <w:sz w:val="24"/>
          <w:szCs w:val="24"/>
        </w:rPr>
        <w:t xml:space="preserve">codes based on the research question, interview questions, and theoretical framework. The theoretical framework for this study </w:t>
      </w:r>
      <w:r w:rsidR="003F161F">
        <w:rPr>
          <w:rFonts w:eastAsia="Calibri" w:cstheme="minorHAnsi"/>
          <w:sz w:val="24"/>
          <w:szCs w:val="24"/>
        </w:rPr>
        <w:t>was</w:t>
      </w:r>
      <w:r w:rsidR="00F53888" w:rsidRPr="009513A7">
        <w:rPr>
          <w:rFonts w:eastAsia="Calibri" w:cstheme="minorHAnsi"/>
          <w:sz w:val="24"/>
          <w:szCs w:val="24"/>
        </w:rPr>
        <w:t xml:space="preserve"> Bolman and Deal’s (2021) organizational four</w:t>
      </w:r>
      <w:r w:rsidR="00394999">
        <w:rPr>
          <w:rFonts w:eastAsia="Calibri" w:cstheme="minorHAnsi"/>
          <w:sz w:val="24"/>
          <w:szCs w:val="24"/>
        </w:rPr>
        <w:t>-</w:t>
      </w:r>
      <w:r w:rsidR="00F53888" w:rsidRPr="009513A7">
        <w:rPr>
          <w:rFonts w:eastAsia="Calibri" w:cstheme="minorHAnsi"/>
          <w:sz w:val="24"/>
          <w:szCs w:val="24"/>
        </w:rPr>
        <w:t>frame model; the frames that serve</w:t>
      </w:r>
      <w:r w:rsidR="003F161F">
        <w:rPr>
          <w:rFonts w:eastAsia="Calibri" w:cstheme="minorHAnsi"/>
          <w:sz w:val="24"/>
          <w:szCs w:val="24"/>
        </w:rPr>
        <w:t>d</w:t>
      </w:r>
      <w:r w:rsidR="00F53888" w:rsidRPr="009513A7">
        <w:rPr>
          <w:rFonts w:eastAsia="Calibri" w:cstheme="minorHAnsi"/>
          <w:sz w:val="24"/>
          <w:szCs w:val="24"/>
        </w:rPr>
        <w:t xml:space="preserve"> as codes are structural, human resources, symbolic, and political. The </w:t>
      </w:r>
      <w:r w:rsidR="00F53888" w:rsidRPr="009513A7">
        <w:rPr>
          <w:rFonts w:eastAsia="Calibri" w:cstheme="minorHAnsi"/>
          <w:i/>
          <w:sz w:val="24"/>
          <w:szCs w:val="24"/>
        </w:rPr>
        <w:t>a priori</w:t>
      </w:r>
      <w:r w:rsidR="00F53888" w:rsidRPr="009513A7">
        <w:rPr>
          <w:rFonts w:eastAsia="Calibri" w:cstheme="minorHAnsi"/>
          <w:sz w:val="24"/>
          <w:szCs w:val="24"/>
        </w:rPr>
        <w:t xml:space="preserve"> codes serve</w:t>
      </w:r>
      <w:r w:rsidR="003F161F">
        <w:rPr>
          <w:rFonts w:eastAsia="Calibri" w:cstheme="minorHAnsi"/>
          <w:sz w:val="24"/>
          <w:szCs w:val="24"/>
        </w:rPr>
        <w:t>d</w:t>
      </w:r>
      <w:r w:rsidR="00F53888" w:rsidRPr="009513A7">
        <w:rPr>
          <w:rFonts w:eastAsia="Calibri" w:cstheme="minorHAnsi"/>
          <w:sz w:val="24"/>
          <w:szCs w:val="24"/>
        </w:rPr>
        <w:t xml:space="preserve"> as categories or ideas, although other</w:t>
      </w:r>
      <w:r w:rsidR="00394999">
        <w:rPr>
          <w:rFonts w:eastAsia="Calibri" w:cstheme="minorHAnsi"/>
          <w:sz w:val="24"/>
          <w:szCs w:val="24"/>
        </w:rPr>
        <w:t xml:space="preserve"> codes</w:t>
      </w:r>
      <w:r w:rsidR="00F53888" w:rsidRPr="009513A7">
        <w:rPr>
          <w:rFonts w:eastAsia="Calibri" w:cstheme="minorHAnsi"/>
          <w:sz w:val="24"/>
          <w:szCs w:val="24"/>
        </w:rPr>
        <w:t xml:space="preserve"> emerge</w:t>
      </w:r>
      <w:r w:rsidR="003F161F">
        <w:rPr>
          <w:rFonts w:eastAsia="Calibri" w:cstheme="minorHAnsi"/>
          <w:sz w:val="24"/>
          <w:szCs w:val="24"/>
        </w:rPr>
        <w:t>d</w:t>
      </w:r>
      <w:r w:rsidR="00F53888" w:rsidRPr="009513A7">
        <w:rPr>
          <w:rFonts w:eastAsia="Calibri" w:cstheme="minorHAnsi"/>
          <w:sz w:val="24"/>
          <w:szCs w:val="24"/>
        </w:rPr>
        <w:t xml:space="preserve"> as data</w:t>
      </w:r>
      <w:r w:rsidR="00441F01">
        <w:rPr>
          <w:rFonts w:eastAsia="Calibri" w:cstheme="minorHAnsi"/>
          <w:sz w:val="24"/>
          <w:szCs w:val="24"/>
        </w:rPr>
        <w:t xml:space="preserve"> </w:t>
      </w:r>
      <w:r w:rsidR="003F161F">
        <w:rPr>
          <w:rFonts w:eastAsia="Calibri" w:cstheme="minorHAnsi"/>
          <w:sz w:val="24"/>
          <w:szCs w:val="24"/>
        </w:rPr>
        <w:t>was</w:t>
      </w:r>
      <w:r w:rsidR="00F53888" w:rsidRPr="009513A7">
        <w:rPr>
          <w:rFonts w:eastAsia="Calibri" w:cstheme="minorHAnsi"/>
          <w:sz w:val="24"/>
          <w:szCs w:val="24"/>
        </w:rPr>
        <w:t xml:space="preserve"> collected and analyzed, such as engagement or training categories (Merriam &amp; Tisdell, 2016). Codes </w:t>
      </w:r>
      <w:r w:rsidR="003F161F">
        <w:rPr>
          <w:rFonts w:eastAsia="Calibri" w:cstheme="minorHAnsi"/>
          <w:sz w:val="24"/>
          <w:szCs w:val="24"/>
        </w:rPr>
        <w:t>were</w:t>
      </w:r>
      <w:r w:rsidR="00F53888" w:rsidRPr="009513A7">
        <w:rPr>
          <w:rFonts w:eastAsia="Calibri" w:cstheme="minorHAnsi"/>
          <w:sz w:val="24"/>
          <w:szCs w:val="24"/>
        </w:rPr>
        <w:t xml:space="preserve"> compiled into a separate master code spreadsheet for reference as I review</w:t>
      </w:r>
      <w:r w:rsidR="003F161F">
        <w:rPr>
          <w:rFonts w:eastAsia="Calibri" w:cstheme="minorHAnsi"/>
          <w:sz w:val="24"/>
          <w:szCs w:val="24"/>
        </w:rPr>
        <w:t>ed</w:t>
      </w:r>
      <w:r w:rsidR="00F53888" w:rsidRPr="009513A7">
        <w:rPr>
          <w:rFonts w:eastAsia="Calibri" w:cstheme="minorHAnsi"/>
          <w:sz w:val="24"/>
          <w:szCs w:val="24"/>
        </w:rPr>
        <w:t xml:space="preserve"> each case transcript and document(s)</w:t>
      </w:r>
      <w:r w:rsidR="00394999">
        <w:rPr>
          <w:rFonts w:eastAsia="Calibri" w:cstheme="minorHAnsi"/>
          <w:sz w:val="24"/>
          <w:szCs w:val="24"/>
        </w:rPr>
        <w:t xml:space="preserve"> (Creswell, 20</w:t>
      </w:r>
      <w:r w:rsidR="00A25010">
        <w:rPr>
          <w:rFonts w:eastAsia="Calibri" w:cstheme="minorHAnsi"/>
          <w:sz w:val="24"/>
          <w:szCs w:val="24"/>
        </w:rPr>
        <w:t>1</w:t>
      </w:r>
      <w:r w:rsidR="00394999">
        <w:rPr>
          <w:rFonts w:eastAsia="Calibri" w:cstheme="minorHAnsi"/>
          <w:sz w:val="24"/>
          <w:szCs w:val="24"/>
        </w:rPr>
        <w:t>4; Merriam &amp; Tisdell, 2016)</w:t>
      </w:r>
      <w:r w:rsidR="00F53888">
        <w:rPr>
          <w:rFonts w:eastAsia="Calibri" w:cstheme="minorHAnsi"/>
          <w:sz w:val="24"/>
          <w:szCs w:val="24"/>
        </w:rPr>
        <w:t xml:space="preserve">. I </w:t>
      </w:r>
      <w:r w:rsidR="00A25010">
        <w:rPr>
          <w:rFonts w:eastAsia="Calibri" w:cstheme="minorHAnsi"/>
          <w:sz w:val="24"/>
          <w:szCs w:val="24"/>
        </w:rPr>
        <w:t xml:space="preserve">also </w:t>
      </w:r>
      <w:r w:rsidR="00F53888">
        <w:rPr>
          <w:rFonts w:eastAsia="Calibri" w:cstheme="minorHAnsi"/>
          <w:sz w:val="24"/>
          <w:szCs w:val="24"/>
        </w:rPr>
        <w:t>maintain</w:t>
      </w:r>
      <w:r w:rsidR="003F161F">
        <w:rPr>
          <w:rFonts w:eastAsia="Calibri" w:cstheme="minorHAnsi"/>
          <w:sz w:val="24"/>
          <w:szCs w:val="24"/>
        </w:rPr>
        <w:t>ed</w:t>
      </w:r>
      <w:r w:rsidR="00F53888" w:rsidRPr="009513A7">
        <w:rPr>
          <w:rFonts w:eastAsia="Calibri" w:cstheme="minorHAnsi"/>
          <w:sz w:val="24"/>
          <w:szCs w:val="24"/>
        </w:rPr>
        <w:t xml:space="preserve"> a clean copy of </w:t>
      </w:r>
      <w:r w:rsidR="00F53888">
        <w:rPr>
          <w:rFonts w:eastAsia="Calibri" w:cstheme="minorHAnsi"/>
          <w:sz w:val="24"/>
          <w:szCs w:val="24"/>
        </w:rPr>
        <w:t xml:space="preserve">all </w:t>
      </w:r>
      <w:r w:rsidR="00F53888" w:rsidRPr="009513A7">
        <w:rPr>
          <w:rFonts w:eastAsia="Calibri" w:cstheme="minorHAnsi"/>
          <w:sz w:val="24"/>
          <w:szCs w:val="24"/>
        </w:rPr>
        <w:t>transcripts and documents</w:t>
      </w:r>
      <w:r w:rsidR="00394999">
        <w:rPr>
          <w:rFonts w:eastAsia="Calibri" w:cstheme="minorHAnsi"/>
          <w:sz w:val="24"/>
          <w:szCs w:val="24"/>
        </w:rPr>
        <w:t xml:space="preserve">. </w:t>
      </w:r>
    </w:p>
    <w:p w14:paraId="23B0EE19" w14:textId="4ADA8B5B" w:rsidR="00D47B80" w:rsidRDefault="00394999" w:rsidP="00DD18AA">
      <w:pPr>
        <w:spacing w:after="0" w:line="480" w:lineRule="auto"/>
        <w:ind w:firstLine="720"/>
        <w:rPr>
          <w:rFonts w:eastAsia="Calibri" w:cstheme="minorHAnsi"/>
          <w:b/>
          <w:sz w:val="24"/>
          <w:szCs w:val="24"/>
        </w:rPr>
      </w:pPr>
      <w:r>
        <w:rPr>
          <w:rFonts w:eastAsia="Calibri" w:cstheme="minorHAnsi"/>
          <w:sz w:val="24"/>
          <w:szCs w:val="24"/>
        </w:rPr>
        <w:t>I use</w:t>
      </w:r>
      <w:r w:rsidR="003F161F">
        <w:rPr>
          <w:rFonts w:eastAsia="Calibri" w:cstheme="minorHAnsi"/>
          <w:sz w:val="24"/>
          <w:szCs w:val="24"/>
        </w:rPr>
        <w:t>d</w:t>
      </w:r>
      <w:r>
        <w:rPr>
          <w:rFonts w:eastAsia="Calibri" w:cstheme="minorHAnsi"/>
          <w:sz w:val="24"/>
          <w:szCs w:val="24"/>
        </w:rPr>
        <w:t xml:space="preserve"> open coding to code the data. Open</w:t>
      </w:r>
      <w:r w:rsidR="00EC0F4A">
        <w:rPr>
          <w:rFonts w:eastAsia="Calibri" w:cstheme="minorHAnsi"/>
          <w:sz w:val="24"/>
          <w:szCs w:val="24"/>
        </w:rPr>
        <w:t xml:space="preserve"> </w:t>
      </w:r>
      <w:r>
        <w:rPr>
          <w:rFonts w:eastAsia="Calibri" w:cstheme="minorHAnsi"/>
          <w:sz w:val="24"/>
          <w:szCs w:val="24"/>
        </w:rPr>
        <w:t xml:space="preserve">coding means that I am open to </w:t>
      </w:r>
      <w:r w:rsidR="00277E56">
        <w:rPr>
          <w:rFonts w:eastAsia="Calibri" w:cstheme="minorHAnsi"/>
          <w:sz w:val="24"/>
          <w:szCs w:val="24"/>
        </w:rPr>
        <w:t xml:space="preserve">anything that could </w:t>
      </w:r>
      <w:r w:rsidR="0065462A">
        <w:rPr>
          <w:rFonts w:eastAsia="Calibri" w:cstheme="minorHAnsi"/>
          <w:sz w:val="24"/>
          <w:szCs w:val="24"/>
        </w:rPr>
        <w:t>emerge</w:t>
      </w:r>
      <w:r w:rsidR="00277E56">
        <w:rPr>
          <w:rFonts w:eastAsia="Calibri" w:cstheme="minorHAnsi"/>
          <w:sz w:val="24"/>
          <w:szCs w:val="24"/>
        </w:rPr>
        <w:t xml:space="preserve"> from the data and will group similar open codes for more analytical coding </w:t>
      </w:r>
      <w:r w:rsidR="00277E56">
        <w:rPr>
          <w:rFonts w:eastAsia="Calibri" w:cstheme="minorHAnsi"/>
          <w:sz w:val="24"/>
          <w:szCs w:val="24"/>
        </w:rPr>
        <w:lastRenderedPageBreak/>
        <w:t>and meaning making (Charmaz, 2014; Merriam &amp; Tisdell, 2016).</w:t>
      </w:r>
      <w:r>
        <w:rPr>
          <w:rFonts w:eastAsia="Calibri" w:cstheme="minorHAnsi"/>
          <w:sz w:val="24"/>
          <w:szCs w:val="24"/>
        </w:rPr>
        <w:t xml:space="preserve"> </w:t>
      </w:r>
      <w:r w:rsidR="00F53888" w:rsidRPr="009513A7">
        <w:rPr>
          <w:rFonts w:eastAsia="Calibri" w:cstheme="minorHAnsi"/>
          <w:sz w:val="24"/>
          <w:szCs w:val="24"/>
        </w:rPr>
        <w:t>Open coding ensure</w:t>
      </w:r>
      <w:r w:rsidR="003F161F">
        <w:rPr>
          <w:rFonts w:eastAsia="Calibri" w:cstheme="minorHAnsi"/>
          <w:sz w:val="24"/>
          <w:szCs w:val="24"/>
        </w:rPr>
        <w:t>d</w:t>
      </w:r>
      <w:r w:rsidR="00F53888" w:rsidRPr="009513A7">
        <w:rPr>
          <w:rFonts w:eastAsia="Calibri" w:cstheme="minorHAnsi"/>
          <w:sz w:val="24"/>
          <w:szCs w:val="24"/>
        </w:rPr>
        <w:t xml:space="preserve"> I </w:t>
      </w:r>
      <w:r w:rsidR="003F161F">
        <w:rPr>
          <w:rFonts w:eastAsia="Calibri" w:cstheme="minorHAnsi"/>
          <w:sz w:val="24"/>
          <w:szCs w:val="24"/>
        </w:rPr>
        <w:t>was</w:t>
      </w:r>
      <w:r w:rsidR="003F161F" w:rsidRPr="009513A7">
        <w:rPr>
          <w:rFonts w:eastAsia="Calibri" w:cstheme="minorHAnsi"/>
          <w:sz w:val="24"/>
          <w:szCs w:val="24"/>
        </w:rPr>
        <w:t xml:space="preserve"> </w:t>
      </w:r>
      <w:r w:rsidR="00F53888" w:rsidRPr="009513A7">
        <w:rPr>
          <w:rFonts w:eastAsia="Calibri" w:cstheme="minorHAnsi"/>
          <w:sz w:val="24"/>
          <w:szCs w:val="24"/>
        </w:rPr>
        <w:t>open to categories or ideas as they emerge</w:t>
      </w:r>
      <w:r w:rsidR="003F161F">
        <w:rPr>
          <w:rFonts w:eastAsia="Calibri" w:cstheme="minorHAnsi"/>
          <w:sz w:val="24"/>
          <w:szCs w:val="24"/>
        </w:rPr>
        <w:t>d</w:t>
      </w:r>
      <w:r w:rsidR="00F53888" w:rsidRPr="009513A7">
        <w:rPr>
          <w:rFonts w:eastAsia="Calibri" w:cstheme="minorHAnsi"/>
          <w:sz w:val="24"/>
          <w:szCs w:val="24"/>
        </w:rPr>
        <w:t xml:space="preserve"> in addition to any </w:t>
      </w:r>
      <w:r w:rsidR="00277E56" w:rsidRPr="00A25010">
        <w:rPr>
          <w:rFonts w:eastAsia="Calibri" w:cstheme="minorHAnsi"/>
          <w:i/>
          <w:iCs/>
          <w:sz w:val="24"/>
          <w:szCs w:val="24"/>
        </w:rPr>
        <w:t>a priori</w:t>
      </w:r>
      <w:r w:rsidR="00F53888" w:rsidRPr="009513A7">
        <w:rPr>
          <w:rFonts w:eastAsia="Calibri" w:cstheme="minorHAnsi"/>
          <w:sz w:val="24"/>
          <w:szCs w:val="24"/>
        </w:rPr>
        <w:t xml:space="preserve"> codes. To keep </w:t>
      </w:r>
      <w:r w:rsidR="00277E56">
        <w:rPr>
          <w:rFonts w:eastAsia="Calibri" w:cstheme="minorHAnsi"/>
          <w:sz w:val="24"/>
          <w:szCs w:val="24"/>
        </w:rPr>
        <w:t xml:space="preserve">the open </w:t>
      </w:r>
      <w:r w:rsidR="00F53888" w:rsidRPr="009513A7">
        <w:rPr>
          <w:rFonts w:eastAsia="Calibri" w:cstheme="minorHAnsi"/>
          <w:sz w:val="24"/>
          <w:szCs w:val="24"/>
        </w:rPr>
        <w:t>codes manageable, I group</w:t>
      </w:r>
      <w:r w:rsidR="003F161F">
        <w:rPr>
          <w:rFonts w:eastAsia="Calibri" w:cstheme="minorHAnsi"/>
          <w:sz w:val="24"/>
          <w:szCs w:val="24"/>
        </w:rPr>
        <w:t>ed</w:t>
      </w:r>
      <w:r w:rsidR="00F53888" w:rsidRPr="009513A7">
        <w:rPr>
          <w:rFonts w:eastAsia="Calibri" w:cstheme="minorHAnsi"/>
          <w:sz w:val="24"/>
          <w:szCs w:val="24"/>
        </w:rPr>
        <w:t xml:space="preserve"> codes into larger categories, or themes, when appropriate </w:t>
      </w:r>
      <w:r w:rsidR="00277E56">
        <w:rPr>
          <w:rFonts w:eastAsia="Calibri" w:cstheme="minorHAnsi"/>
          <w:sz w:val="24"/>
          <w:szCs w:val="24"/>
        </w:rPr>
        <w:t>with</w:t>
      </w:r>
      <w:r w:rsidR="00F53888" w:rsidRPr="009513A7">
        <w:rPr>
          <w:rFonts w:eastAsia="Calibri" w:cstheme="minorHAnsi"/>
          <w:sz w:val="24"/>
          <w:szCs w:val="24"/>
        </w:rPr>
        <w:t xml:space="preserve"> axial coding (Charmaz, 2014; Jones et al., 2014). </w:t>
      </w:r>
      <w:r w:rsidR="0065462A" w:rsidRPr="009513A7">
        <w:rPr>
          <w:rFonts w:eastAsia="Calibri" w:cstheme="minorHAnsi"/>
          <w:sz w:val="24"/>
          <w:szCs w:val="24"/>
        </w:rPr>
        <w:t>All</w:t>
      </w:r>
      <w:r w:rsidR="00F53888" w:rsidRPr="009513A7">
        <w:rPr>
          <w:rFonts w:eastAsia="Calibri" w:cstheme="minorHAnsi"/>
          <w:sz w:val="24"/>
          <w:szCs w:val="24"/>
        </w:rPr>
        <w:t xml:space="preserve"> coded data </w:t>
      </w:r>
      <w:r w:rsidR="003F161F">
        <w:rPr>
          <w:rFonts w:eastAsia="Calibri" w:cstheme="minorHAnsi"/>
          <w:sz w:val="24"/>
          <w:szCs w:val="24"/>
        </w:rPr>
        <w:t>was</w:t>
      </w:r>
      <w:r w:rsidR="00F53888" w:rsidRPr="009513A7">
        <w:rPr>
          <w:rFonts w:eastAsia="Calibri" w:cstheme="minorHAnsi"/>
          <w:sz w:val="24"/>
          <w:szCs w:val="24"/>
        </w:rPr>
        <w:t xml:space="preserve"> placed in a new document called a case record and include</w:t>
      </w:r>
      <w:r w:rsidR="003F161F">
        <w:rPr>
          <w:rFonts w:eastAsia="Calibri" w:cstheme="minorHAnsi"/>
          <w:sz w:val="24"/>
          <w:szCs w:val="24"/>
        </w:rPr>
        <w:t>d</w:t>
      </w:r>
      <w:r w:rsidR="00F53888" w:rsidRPr="009513A7">
        <w:rPr>
          <w:rFonts w:eastAsia="Calibri" w:cstheme="minorHAnsi"/>
          <w:sz w:val="24"/>
          <w:szCs w:val="24"/>
        </w:rPr>
        <w:t xml:space="preserve"> the original codes, line numbers, pseudonyms, etc. for reference</w:t>
      </w:r>
      <w:r w:rsidR="00F53888">
        <w:rPr>
          <w:rFonts w:eastAsia="Calibri" w:cstheme="minorHAnsi"/>
          <w:sz w:val="24"/>
          <w:szCs w:val="24"/>
        </w:rPr>
        <w:t xml:space="preserve"> (</w:t>
      </w:r>
      <w:r w:rsidR="00151692">
        <w:rPr>
          <w:rFonts w:eastAsia="Calibri" w:cstheme="minorHAnsi"/>
          <w:sz w:val="24"/>
          <w:szCs w:val="24"/>
        </w:rPr>
        <w:t>Merriam &amp; Tisdell, 2016</w:t>
      </w:r>
      <w:r w:rsidR="00F53888">
        <w:rPr>
          <w:rFonts w:eastAsia="Calibri" w:cstheme="minorHAnsi"/>
          <w:sz w:val="24"/>
          <w:szCs w:val="24"/>
        </w:rPr>
        <w:t>). T</w:t>
      </w:r>
      <w:r w:rsidR="00F53888" w:rsidRPr="009513A7">
        <w:rPr>
          <w:rFonts w:eastAsia="Calibri" w:cstheme="minorHAnsi"/>
          <w:sz w:val="24"/>
          <w:szCs w:val="24"/>
        </w:rPr>
        <w:t xml:space="preserve">his </w:t>
      </w:r>
      <w:r w:rsidR="00F53888">
        <w:rPr>
          <w:rFonts w:eastAsia="Calibri" w:cstheme="minorHAnsi"/>
          <w:sz w:val="24"/>
          <w:szCs w:val="24"/>
        </w:rPr>
        <w:t>assist</w:t>
      </w:r>
      <w:r w:rsidR="003F161F">
        <w:rPr>
          <w:rFonts w:eastAsia="Calibri" w:cstheme="minorHAnsi"/>
          <w:sz w:val="24"/>
          <w:szCs w:val="24"/>
        </w:rPr>
        <w:t>ed</w:t>
      </w:r>
      <w:r w:rsidR="00F53888">
        <w:rPr>
          <w:rFonts w:eastAsia="Calibri" w:cstheme="minorHAnsi"/>
          <w:sz w:val="24"/>
          <w:szCs w:val="24"/>
        </w:rPr>
        <w:t xml:space="preserve"> </w:t>
      </w:r>
      <w:r w:rsidR="00343D60">
        <w:rPr>
          <w:rFonts w:eastAsia="Calibri" w:cstheme="minorHAnsi"/>
          <w:sz w:val="24"/>
          <w:szCs w:val="24"/>
        </w:rPr>
        <w:t>with</w:t>
      </w:r>
      <w:r w:rsidR="00F53888" w:rsidRPr="009513A7">
        <w:rPr>
          <w:rFonts w:eastAsia="Calibri" w:cstheme="minorHAnsi"/>
          <w:sz w:val="24"/>
          <w:szCs w:val="24"/>
        </w:rPr>
        <w:t xml:space="preserve"> meaning</w:t>
      </w:r>
      <w:r w:rsidR="00343D60">
        <w:rPr>
          <w:rFonts w:eastAsia="Calibri" w:cstheme="minorHAnsi"/>
          <w:sz w:val="24"/>
          <w:szCs w:val="24"/>
        </w:rPr>
        <w:t xml:space="preserve">-making </w:t>
      </w:r>
      <w:r w:rsidR="00F53888" w:rsidRPr="009513A7">
        <w:rPr>
          <w:rFonts w:eastAsia="Calibri" w:cstheme="minorHAnsi"/>
          <w:sz w:val="24"/>
          <w:szCs w:val="24"/>
        </w:rPr>
        <w:t>and synthesiz</w:t>
      </w:r>
      <w:r w:rsidR="00F53888">
        <w:rPr>
          <w:rFonts w:eastAsia="Calibri" w:cstheme="minorHAnsi"/>
          <w:sz w:val="24"/>
          <w:szCs w:val="24"/>
        </w:rPr>
        <w:t>ing the</w:t>
      </w:r>
      <w:r w:rsidR="00F53888" w:rsidRPr="009513A7">
        <w:rPr>
          <w:rFonts w:eastAsia="Calibri" w:cstheme="minorHAnsi"/>
          <w:sz w:val="24"/>
          <w:szCs w:val="24"/>
        </w:rPr>
        <w:t xml:space="preserve"> findings in an organized and inductive way (Merriam &amp; Tisdell, 2016; Patton, 2015; Yin, 2014). The number of categories </w:t>
      </w:r>
      <w:r w:rsidR="00F53888">
        <w:rPr>
          <w:rFonts w:eastAsia="Calibri" w:cstheme="minorHAnsi"/>
          <w:sz w:val="24"/>
          <w:szCs w:val="24"/>
        </w:rPr>
        <w:t>emerge</w:t>
      </w:r>
      <w:r w:rsidR="00572A23">
        <w:rPr>
          <w:rFonts w:eastAsia="Calibri" w:cstheme="minorHAnsi"/>
          <w:sz w:val="24"/>
          <w:szCs w:val="24"/>
        </w:rPr>
        <w:t>d</w:t>
      </w:r>
      <w:r w:rsidR="00F53888">
        <w:rPr>
          <w:rFonts w:eastAsia="Calibri" w:cstheme="minorHAnsi"/>
          <w:sz w:val="24"/>
          <w:szCs w:val="24"/>
        </w:rPr>
        <w:t xml:space="preserve"> from the data analysis process; </w:t>
      </w:r>
      <w:r w:rsidR="00F53888" w:rsidRPr="009513A7">
        <w:rPr>
          <w:rFonts w:eastAsia="Calibri" w:cstheme="minorHAnsi"/>
          <w:sz w:val="24"/>
          <w:szCs w:val="24"/>
        </w:rPr>
        <w:t xml:space="preserve">however, the goal </w:t>
      </w:r>
      <w:r w:rsidR="00572A23">
        <w:rPr>
          <w:rFonts w:eastAsia="Calibri" w:cstheme="minorHAnsi"/>
          <w:sz w:val="24"/>
          <w:szCs w:val="24"/>
        </w:rPr>
        <w:t>was</w:t>
      </w:r>
      <w:r w:rsidR="00F53888" w:rsidRPr="009513A7">
        <w:rPr>
          <w:rFonts w:eastAsia="Calibri" w:cstheme="minorHAnsi"/>
          <w:sz w:val="24"/>
          <w:szCs w:val="24"/>
        </w:rPr>
        <w:t xml:space="preserve"> to synthesize the data to reflect a smaller number of relevant themes for the findings (Creswell, 2014). </w:t>
      </w:r>
      <w:r w:rsidR="00151692">
        <w:rPr>
          <w:rFonts w:eastAsia="Calibri" w:cstheme="minorHAnsi"/>
          <w:sz w:val="24"/>
          <w:szCs w:val="24"/>
        </w:rPr>
        <w:t xml:space="preserve">I </w:t>
      </w:r>
      <w:r w:rsidR="00F53888" w:rsidRPr="009513A7">
        <w:rPr>
          <w:rFonts w:eastAsia="Calibri" w:cstheme="minorHAnsi"/>
          <w:sz w:val="24"/>
          <w:szCs w:val="24"/>
        </w:rPr>
        <w:t>inductively organize</w:t>
      </w:r>
      <w:r w:rsidR="00572A23">
        <w:rPr>
          <w:rFonts w:eastAsia="Calibri" w:cstheme="minorHAnsi"/>
          <w:sz w:val="24"/>
          <w:szCs w:val="24"/>
        </w:rPr>
        <w:t>d</w:t>
      </w:r>
      <w:r w:rsidR="00F53888" w:rsidRPr="009513A7">
        <w:rPr>
          <w:rFonts w:eastAsia="Calibri" w:cstheme="minorHAnsi"/>
          <w:sz w:val="24"/>
          <w:szCs w:val="24"/>
        </w:rPr>
        <w:t xml:space="preserve"> my data </w:t>
      </w:r>
      <w:r w:rsidR="004A75A3">
        <w:rPr>
          <w:rFonts w:eastAsia="Calibri" w:cstheme="minorHAnsi"/>
          <w:sz w:val="24"/>
          <w:szCs w:val="24"/>
        </w:rPr>
        <w:t xml:space="preserve">through coding </w:t>
      </w:r>
      <w:r w:rsidR="00F53888" w:rsidRPr="009513A7">
        <w:rPr>
          <w:rFonts w:eastAsia="Calibri" w:cstheme="minorHAnsi"/>
          <w:sz w:val="24"/>
          <w:szCs w:val="24"/>
        </w:rPr>
        <w:t>and deductively interpret</w:t>
      </w:r>
      <w:r w:rsidR="00572A23">
        <w:rPr>
          <w:rFonts w:eastAsia="Calibri" w:cstheme="minorHAnsi"/>
          <w:sz w:val="24"/>
          <w:szCs w:val="24"/>
        </w:rPr>
        <w:t>ed</w:t>
      </w:r>
      <w:r w:rsidR="00F53888" w:rsidRPr="009513A7">
        <w:rPr>
          <w:rFonts w:eastAsia="Calibri" w:cstheme="minorHAnsi"/>
          <w:sz w:val="24"/>
          <w:szCs w:val="24"/>
        </w:rPr>
        <w:t xml:space="preserve"> my findings </w:t>
      </w:r>
      <w:r w:rsidR="004A75A3">
        <w:rPr>
          <w:rFonts w:eastAsia="Calibri" w:cstheme="minorHAnsi"/>
          <w:sz w:val="24"/>
          <w:szCs w:val="24"/>
        </w:rPr>
        <w:t xml:space="preserve">using my theoretical framework </w:t>
      </w:r>
      <w:r w:rsidR="00F53888" w:rsidRPr="009513A7">
        <w:rPr>
          <w:rFonts w:eastAsia="Calibri" w:cstheme="minorHAnsi"/>
          <w:sz w:val="24"/>
          <w:szCs w:val="24"/>
        </w:rPr>
        <w:t xml:space="preserve">(Chinn, 2013; Creswell, </w:t>
      </w:r>
      <w:r w:rsidR="0016527E" w:rsidRPr="009513A7">
        <w:rPr>
          <w:rFonts w:eastAsia="Calibri" w:cstheme="minorHAnsi"/>
          <w:sz w:val="24"/>
          <w:szCs w:val="24"/>
        </w:rPr>
        <w:t>2014</w:t>
      </w:r>
      <w:r w:rsidR="00F53888" w:rsidRPr="009513A7">
        <w:rPr>
          <w:rFonts w:eastAsia="Calibri" w:cstheme="minorHAnsi"/>
          <w:sz w:val="24"/>
          <w:szCs w:val="24"/>
        </w:rPr>
        <w:t>).</w:t>
      </w:r>
    </w:p>
    <w:p w14:paraId="40AB1B9A" w14:textId="2199C896" w:rsidR="00821497" w:rsidRPr="009513A7" w:rsidRDefault="00821497" w:rsidP="00821497">
      <w:pPr>
        <w:spacing w:after="0" w:line="480" w:lineRule="auto"/>
        <w:jc w:val="center"/>
        <w:rPr>
          <w:rFonts w:eastAsia="Calibri" w:cstheme="minorHAnsi"/>
          <w:b/>
          <w:sz w:val="24"/>
          <w:szCs w:val="24"/>
        </w:rPr>
      </w:pPr>
      <w:r w:rsidRPr="009513A7">
        <w:rPr>
          <w:rFonts w:eastAsia="Calibri" w:cstheme="minorHAnsi"/>
          <w:b/>
          <w:sz w:val="24"/>
          <w:szCs w:val="24"/>
        </w:rPr>
        <w:t xml:space="preserve">Trustworthiness </w:t>
      </w:r>
    </w:p>
    <w:p w14:paraId="7F4EA94D" w14:textId="39DDAB62" w:rsidR="00821497" w:rsidRPr="00C42DD8" w:rsidRDefault="00821497" w:rsidP="00821497">
      <w:pPr>
        <w:spacing w:after="0" w:line="480" w:lineRule="auto"/>
        <w:ind w:firstLine="720"/>
        <w:rPr>
          <w:rFonts w:eastAsia="Calibri" w:cstheme="minorHAnsi"/>
          <w:sz w:val="24"/>
          <w:szCs w:val="24"/>
        </w:rPr>
      </w:pPr>
      <w:r w:rsidRPr="00C42DD8">
        <w:rPr>
          <w:rFonts w:cstheme="minorHAnsi"/>
          <w:sz w:val="24"/>
          <w:szCs w:val="24"/>
        </w:rPr>
        <w:t>Qualitative research achieves trustworthiness through thoughtful research design and establishing credibility (Given, 2016; Merriam &amp; Tisdell, 2016).</w:t>
      </w:r>
      <w:r w:rsidRPr="00C42DD8">
        <w:rPr>
          <w:rFonts w:eastAsia="Calibri" w:cstheme="minorHAnsi"/>
          <w:sz w:val="24"/>
          <w:szCs w:val="24"/>
        </w:rPr>
        <w:t xml:space="preserve"> I develop</w:t>
      </w:r>
      <w:r w:rsidR="00572A23">
        <w:rPr>
          <w:rFonts w:eastAsia="Calibri" w:cstheme="minorHAnsi"/>
          <w:sz w:val="24"/>
          <w:szCs w:val="24"/>
        </w:rPr>
        <w:t>ed</w:t>
      </w:r>
      <w:r w:rsidRPr="00C42DD8">
        <w:rPr>
          <w:rFonts w:eastAsia="Calibri" w:cstheme="minorHAnsi"/>
          <w:sz w:val="24"/>
          <w:szCs w:val="24"/>
        </w:rPr>
        <w:t xml:space="preserve"> trustworthiness through </w:t>
      </w:r>
      <w:r w:rsidR="00DF26BB">
        <w:rPr>
          <w:rFonts w:eastAsia="Calibri" w:cstheme="minorHAnsi"/>
          <w:sz w:val="24"/>
          <w:szCs w:val="24"/>
        </w:rPr>
        <w:t xml:space="preserve">journaling, </w:t>
      </w:r>
      <w:r w:rsidRPr="00C42DD8">
        <w:rPr>
          <w:rFonts w:eastAsia="Calibri" w:cstheme="minorHAnsi"/>
          <w:sz w:val="24"/>
          <w:szCs w:val="24"/>
        </w:rPr>
        <w:t xml:space="preserve">triangulation, member checking, rich description, and peer debriefing. Trustworthiness </w:t>
      </w:r>
      <w:r w:rsidR="00572A23">
        <w:rPr>
          <w:rFonts w:eastAsia="Calibri" w:cstheme="minorHAnsi"/>
          <w:sz w:val="24"/>
          <w:szCs w:val="24"/>
        </w:rPr>
        <w:t>was</w:t>
      </w:r>
      <w:r w:rsidRPr="00C42DD8">
        <w:rPr>
          <w:rFonts w:eastAsia="Calibri" w:cstheme="minorHAnsi"/>
          <w:sz w:val="24"/>
          <w:szCs w:val="24"/>
        </w:rPr>
        <w:t xml:space="preserve"> further established via ethical considerations (Merriam &amp; Tisdell, 2016).</w:t>
      </w:r>
      <w:r w:rsidR="00972825">
        <w:rPr>
          <w:rFonts w:eastAsia="Calibri" w:cstheme="minorHAnsi"/>
          <w:sz w:val="24"/>
          <w:szCs w:val="24"/>
        </w:rPr>
        <w:t xml:space="preserve"> </w:t>
      </w:r>
      <w:r w:rsidR="00A25010">
        <w:rPr>
          <w:rFonts w:eastAsia="Calibri" w:cstheme="minorHAnsi"/>
          <w:sz w:val="24"/>
          <w:szCs w:val="24"/>
        </w:rPr>
        <w:t xml:space="preserve">I </w:t>
      </w:r>
      <w:r w:rsidR="00572A23">
        <w:rPr>
          <w:rFonts w:eastAsia="Calibri" w:cstheme="minorHAnsi"/>
          <w:sz w:val="24"/>
          <w:szCs w:val="24"/>
        </w:rPr>
        <w:t>kept</w:t>
      </w:r>
      <w:r w:rsidR="00A25010">
        <w:rPr>
          <w:rFonts w:eastAsia="Calibri" w:cstheme="minorHAnsi"/>
          <w:sz w:val="24"/>
          <w:szCs w:val="24"/>
        </w:rPr>
        <w:t xml:space="preserve"> a</w:t>
      </w:r>
      <w:r w:rsidR="00972825" w:rsidRPr="009513A7">
        <w:rPr>
          <w:rFonts w:eastAsia="Calibri" w:cstheme="minorHAnsi"/>
          <w:sz w:val="24"/>
          <w:szCs w:val="24"/>
        </w:rPr>
        <w:t xml:space="preserve"> reflective daily journal throughout this study. </w:t>
      </w:r>
      <w:r w:rsidR="00A25010">
        <w:rPr>
          <w:rFonts w:eastAsia="Calibri" w:cstheme="minorHAnsi"/>
          <w:sz w:val="24"/>
          <w:szCs w:val="24"/>
        </w:rPr>
        <w:t xml:space="preserve">I </w:t>
      </w:r>
      <w:r w:rsidR="00572A23">
        <w:rPr>
          <w:rFonts w:eastAsia="Calibri" w:cstheme="minorHAnsi"/>
          <w:sz w:val="24"/>
          <w:szCs w:val="24"/>
        </w:rPr>
        <w:t>took</w:t>
      </w:r>
      <w:r w:rsidR="00A25010">
        <w:rPr>
          <w:rFonts w:eastAsia="Calibri" w:cstheme="minorHAnsi"/>
          <w:sz w:val="24"/>
          <w:szCs w:val="24"/>
        </w:rPr>
        <w:t xml:space="preserve"> n</w:t>
      </w:r>
      <w:r w:rsidR="00972825" w:rsidRPr="009513A7">
        <w:rPr>
          <w:rFonts w:eastAsia="Calibri" w:cstheme="minorHAnsi"/>
          <w:sz w:val="24"/>
          <w:szCs w:val="24"/>
        </w:rPr>
        <w:t xml:space="preserve">otes to capture my reflections as </w:t>
      </w:r>
      <w:r w:rsidR="00A25010">
        <w:rPr>
          <w:rFonts w:eastAsia="Calibri" w:cstheme="minorHAnsi"/>
          <w:sz w:val="24"/>
          <w:szCs w:val="24"/>
        </w:rPr>
        <w:t xml:space="preserve">the </w:t>
      </w:r>
      <w:r w:rsidR="00972825" w:rsidRPr="009513A7">
        <w:rPr>
          <w:rFonts w:eastAsia="Calibri" w:cstheme="minorHAnsi"/>
          <w:sz w:val="24"/>
          <w:szCs w:val="24"/>
        </w:rPr>
        <w:t xml:space="preserve">researcher, emerging themes, ideas, edits, and </w:t>
      </w:r>
      <w:r w:rsidR="00A25010">
        <w:rPr>
          <w:rFonts w:eastAsia="Calibri" w:cstheme="minorHAnsi"/>
          <w:sz w:val="24"/>
          <w:szCs w:val="24"/>
        </w:rPr>
        <w:t xml:space="preserve">modifications to the methods </w:t>
      </w:r>
      <w:r w:rsidR="00972825" w:rsidRPr="009513A7">
        <w:rPr>
          <w:rFonts w:eastAsia="Calibri" w:cstheme="minorHAnsi"/>
          <w:sz w:val="24"/>
          <w:szCs w:val="24"/>
        </w:rPr>
        <w:t xml:space="preserve">(Merriam &amp; Tisdell, 2016). The reflective journal </w:t>
      </w:r>
      <w:r w:rsidR="00A25010">
        <w:rPr>
          <w:rFonts w:eastAsia="Calibri" w:cstheme="minorHAnsi"/>
          <w:sz w:val="24"/>
          <w:szCs w:val="24"/>
        </w:rPr>
        <w:t xml:space="preserve">also </w:t>
      </w:r>
      <w:r w:rsidR="00972825" w:rsidRPr="009513A7">
        <w:rPr>
          <w:rFonts w:eastAsia="Calibri" w:cstheme="minorHAnsi"/>
          <w:sz w:val="24"/>
          <w:szCs w:val="24"/>
        </w:rPr>
        <w:t>help</w:t>
      </w:r>
      <w:r w:rsidR="00572A23">
        <w:rPr>
          <w:rFonts w:eastAsia="Calibri" w:cstheme="minorHAnsi"/>
          <w:sz w:val="24"/>
          <w:szCs w:val="24"/>
        </w:rPr>
        <w:t>ed</w:t>
      </w:r>
      <w:r w:rsidR="00972825" w:rsidRPr="009513A7">
        <w:rPr>
          <w:rFonts w:eastAsia="Calibri" w:cstheme="minorHAnsi"/>
          <w:sz w:val="24"/>
          <w:szCs w:val="24"/>
        </w:rPr>
        <w:t xml:space="preserve"> me reflect in real-time and make meaning of what I read and/or heard (Silverman, 2016). </w:t>
      </w:r>
      <w:r w:rsidR="00DF26BB">
        <w:rPr>
          <w:rFonts w:eastAsia="Calibri" w:cstheme="minorHAnsi"/>
          <w:sz w:val="24"/>
          <w:szCs w:val="24"/>
        </w:rPr>
        <w:t>The journal notes assist</w:t>
      </w:r>
      <w:r w:rsidR="00572A23">
        <w:rPr>
          <w:rFonts w:eastAsia="Calibri" w:cstheme="minorHAnsi"/>
          <w:sz w:val="24"/>
          <w:szCs w:val="24"/>
        </w:rPr>
        <w:t>ed</w:t>
      </w:r>
      <w:r w:rsidR="00DF26BB">
        <w:rPr>
          <w:rFonts w:eastAsia="Calibri" w:cstheme="minorHAnsi"/>
          <w:sz w:val="24"/>
          <w:szCs w:val="24"/>
        </w:rPr>
        <w:t xml:space="preserve"> with triangulation. </w:t>
      </w:r>
    </w:p>
    <w:p w14:paraId="07C1DE52" w14:textId="16B300C2" w:rsidR="00821497" w:rsidRPr="009513A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 xml:space="preserve">Triangulation </w:t>
      </w:r>
      <w:r>
        <w:rPr>
          <w:rFonts w:eastAsia="Calibri" w:cstheme="minorHAnsi"/>
          <w:sz w:val="24"/>
          <w:szCs w:val="24"/>
        </w:rPr>
        <w:t>is used to</w:t>
      </w:r>
      <w:r w:rsidRPr="009513A7">
        <w:rPr>
          <w:rFonts w:eastAsia="Calibri" w:cstheme="minorHAnsi"/>
          <w:sz w:val="24"/>
          <w:szCs w:val="24"/>
        </w:rPr>
        <w:t xml:space="preserve"> enhance the</w:t>
      </w:r>
      <w:sdt>
        <w:sdtPr>
          <w:rPr>
            <w:rFonts w:cstheme="minorHAnsi"/>
            <w:sz w:val="24"/>
            <w:szCs w:val="24"/>
          </w:rPr>
          <w:tag w:val="goog_rdk_49"/>
          <w:id w:val="393480227"/>
        </w:sdtPr>
        <w:sdtEndPr/>
        <w:sdtContent/>
      </w:sdt>
      <w:r w:rsidRPr="009513A7">
        <w:rPr>
          <w:rFonts w:eastAsia="Calibri" w:cstheme="minorHAnsi"/>
          <w:sz w:val="24"/>
          <w:szCs w:val="24"/>
        </w:rPr>
        <w:t xml:space="preserve"> credibility and trustworthiness of </w:t>
      </w:r>
      <w:r>
        <w:rPr>
          <w:rFonts w:eastAsia="Calibri" w:cstheme="minorHAnsi"/>
          <w:sz w:val="24"/>
          <w:szCs w:val="24"/>
        </w:rPr>
        <w:t xml:space="preserve">a </w:t>
      </w:r>
      <w:r w:rsidRPr="009513A7">
        <w:rPr>
          <w:rFonts w:eastAsia="Calibri" w:cstheme="minorHAnsi"/>
          <w:sz w:val="24"/>
          <w:szCs w:val="24"/>
        </w:rPr>
        <w:t xml:space="preserve">study. </w:t>
      </w:r>
      <w:r w:rsidR="00BD6B14">
        <w:rPr>
          <w:rFonts w:eastAsia="Calibri" w:cstheme="minorHAnsi"/>
          <w:sz w:val="24"/>
          <w:szCs w:val="24"/>
        </w:rPr>
        <w:t>I analyze</w:t>
      </w:r>
      <w:r w:rsidR="00572A23">
        <w:rPr>
          <w:rFonts w:eastAsia="Calibri" w:cstheme="minorHAnsi"/>
          <w:sz w:val="24"/>
          <w:szCs w:val="24"/>
        </w:rPr>
        <w:t>d</w:t>
      </w:r>
      <w:r w:rsidR="00BD6B14">
        <w:rPr>
          <w:rFonts w:eastAsia="Calibri" w:cstheme="minorHAnsi"/>
          <w:sz w:val="24"/>
          <w:szCs w:val="24"/>
        </w:rPr>
        <w:t xml:space="preserve"> </w:t>
      </w:r>
      <w:r w:rsidRPr="009513A7">
        <w:rPr>
          <w:rFonts w:eastAsia="Calibri" w:cstheme="minorHAnsi"/>
          <w:sz w:val="24"/>
          <w:szCs w:val="24"/>
        </w:rPr>
        <w:t xml:space="preserve">interview transcripts, observation notes, and documents to generate consistent </w:t>
      </w:r>
      <w:r w:rsidRPr="009513A7">
        <w:rPr>
          <w:rFonts w:eastAsia="Calibri" w:cstheme="minorHAnsi"/>
          <w:sz w:val="24"/>
          <w:szCs w:val="24"/>
        </w:rPr>
        <w:lastRenderedPageBreak/>
        <w:t>findings and reduce my bias (Merriam &amp; Tisdell, 2016; Yin, 2014).</w:t>
      </w:r>
      <w:r>
        <w:rPr>
          <w:rFonts w:eastAsia="Calibri" w:cstheme="minorHAnsi"/>
          <w:sz w:val="24"/>
          <w:szCs w:val="24"/>
        </w:rPr>
        <w:t xml:space="preserve"> T</w:t>
      </w:r>
      <w:r w:rsidRPr="009513A7">
        <w:rPr>
          <w:rFonts w:eastAsia="Calibri" w:cstheme="minorHAnsi"/>
          <w:sz w:val="24"/>
          <w:szCs w:val="24"/>
        </w:rPr>
        <w:t xml:space="preserve">he use of </w:t>
      </w:r>
      <w:r>
        <w:rPr>
          <w:rFonts w:eastAsia="Calibri" w:cstheme="minorHAnsi"/>
          <w:sz w:val="24"/>
          <w:szCs w:val="24"/>
        </w:rPr>
        <w:t xml:space="preserve">multiple data collection methods has been described </w:t>
      </w:r>
      <w:r w:rsidRPr="009513A7">
        <w:rPr>
          <w:rFonts w:eastAsia="Calibri" w:cstheme="minorHAnsi"/>
          <w:sz w:val="24"/>
          <w:szCs w:val="24"/>
        </w:rPr>
        <w:t>as multiple methods</w:t>
      </w:r>
      <w:r>
        <w:rPr>
          <w:rFonts w:eastAsia="Calibri" w:cstheme="minorHAnsi"/>
          <w:sz w:val="24"/>
          <w:szCs w:val="24"/>
        </w:rPr>
        <w:t xml:space="preserve"> </w:t>
      </w:r>
      <w:r w:rsidRPr="009513A7">
        <w:rPr>
          <w:rFonts w:eastAsia="Calibri" w:cstheme="minorHAnsi"/>
          <w:sz w:val="24"/>
          <w:szCs w:val="24"/>
        </w:rPr>
        <w:t>triangulation</w:t>
      </w:r>
      <w:r>
        <w:rPr>
          <w:rFonts w:eastAsia="Calibri" w:cstheme="minorHAnsi"/>
          <w:sz w:val="24"/>
          <w:szCs w:val="24"/>
        </w:rPr>
        <w:t xml:space="preserve"> (Denzin, 1978)</w:t>
      </w:r>
      <w:r w:rsidRPr="009513A7">
        <w:rPr>
          <w:rFonts w:eastAsia="Calibri" w:cstheme="minorHAnsi"/>
          <w:sz w:val="24"/>
          <w:szCs w:val="24"/>
        </w:rPr>
        <w:t xml:space="preserve">. </w:t>
      </w:r>
      <w:r w:rsidR="00BD6B14">
        <w:rPr>
          <w:rFonts w:eastAsia="Calibri" w:cstheme="minorHAnsi"/>
          <w:sz w:val="24"/>
          <w:szCs w:val="24"/>
        </w:rPr>
        <w:t>Comparing</w:t>
      </w:r>
      <w:r w:rsidR="00A25010">
        <w:rPr>
          <w:rFonts w:eastAsia="Calibri" w:cstheme="minorHAnsi"/>
          <w:sz w:val="24"/>
          <w:szCs w:val="24"/>
        </w:rPr>
        <w:t xml:space="preserve"> and analyzing the</w:t>
      </w:r>
      <w:r w:rsidRPr="009513A7">
        <w:rPr>
          <w:rFonts w:eastAsia="Calibri" w:cstheme="minorHAnsi"/>
          <w:sz w:val="24"/>
          <w:szCs w:val="24"/>
        </w:rPr>
        <w:t xml:space="preserve"> interview transcripts with documents ensure</w:t>
      </w:r>
      <w:r w:rsidR="00572A23">
        <w:rPr>
          <w:rFonts w:eastAsia="Calibri" w:cstheme="minorHAnsi"/>
          <w:sz w:val="24"/>
          <w:szCs w:val="24"/>
        </w:rPr>
        <w:t>d</w:t>
      </w:r>
      <w:r w:rsidRPr="009513A7">
        <w:rPr>
          <w:rFonts w:eastAsia="Calibri" w:cstheme="minorHAnsi"/>
          <w:sz w:val="24"/>
          <w:szCs w:val="24"/>
        </w:rPr>
        <w:t xml:space="preserve"> the findings </w:t>
      </w:r>
      <w:r w:rsidR="00572A23">
        <w:rPr>
          <w:rFonts w:eastAsia="Calibri" w:cstheme="minorHAnsi"/>
          <w:sz w:val="24"/>
          <w:szCs w:val="24"/>
        </w:rPr>
        <w:t>were</w:t>
      </w:r>
      <w:r w:rsidR="00572A23" w:rsidRPr="009513A7">
        <w:rPr>
          <w:rFonts w:eastAsia="Calibri" w:cstheme="minorHAnsi"/>
          <w:sz w:val="24"/>
          <w:szCs w:val="24"/>
        </w:rPr>
        <w:t xml:space="preserve"> </w:t>
      </w:r>
      <w:r w:rsidRPr="009513A7">
        <w:rPr>
          <w:rFonts w:eastAsia="Calibri" w:cstheme="minorHAnsi"/>
          <w:sz w:val="24"/>
          <w:szCs w:val="24"/>
        </w:rPr>
        <w:t>not based on a single method or source and confirm</w:t>
      </w:r>
      <w:r w:rsidR="00572A23">
        <w:rPr>
          <w:rFonts w:eastAsia="Calibri" w:cstheme="minorHAnsi"/>
          <w:sz w:val="24"/>
          <w:szCs w:val="24"/>
        </w:rPr>
        <w:t>ed</w:t>
      </w:r>
      <w:r w:rsidRPr="009513A7">
        <w:rPr>
          <w:rFonts w:eastAsia="Calibri" w:cstheme="minorHAnsi"/>
          <w:sz w:val="24"/>
          <w:szCs w:val="24"/>
        </w:rPr>
        <w:t xml:space="preserve"> information shared during interviews (Patton, 2015). </w:t>
      </w:r>
    </w:p>
    <w:p w14:paraId="337AA045" w14:textId="40199D4D"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I also engage</w:t>
      </w:r>
      <w:r w:rsidR="00572A23">
        <w:rPr>
          <w:rFonts w:eastAsia="Calibri" w:cstheme="minorHAnsi"/>
          <w:sz w:val="24"/>
          <w:szCs w:val="24"/>
        </w:rPr>
        <w:t>d</w:t>
      </w:r>
      <w:r>
        <w:rPr>
          <w:rFonts w:eastAsia="Calibri" w:cstheme="minorHAnsi"/>
          <w:sz w:val="24"/>
          <w:szCs w:val="24"/>
        </w:rPr>
        <w:t xml:space="preserve"> in </w:t>
      </w:r>
      <w:r w:rsidR="0016527E">
        <w:rPr>
          <w:rFonts w:eastAsia="Calibri" w:cstheme="minorHAnsi"/>
          <w:sz w:val="24"/>
          <w:szCs w:val="24"/>
        </w:rPr>
        <w:t>m</w:t>
      </w:r>
      <w:r w:rsidR="0016527E" w:rsidRPr="009513A7">
        <w:rPr>
          <w:rFonts w:eastAsia="Calibri" w:cstheme="minorHAnsi"/>
          <w:sz w:val="24"/>
          <w:szCs w:val="24"/>
        </w:rPr>
        <w:t xml:space="preserve">ember checking </w:t>
      </w:r>
      <w:r w:rsidRPr="009513A7">
        <w:rPr>
          <w:rFonts w:eastAsia="Calibri" w:cstheme="minorHAnsi"/>
          <w:sz w:val="24"/>
          <w:szCs w:val="24"/>
        </w:rPr>
        <w:t>to develop trustworthiness</w:t>
      </w:r>
      <w:r w:rsidR="00D833BF" w:rsidRPr="00D833BF">
        <w:rPr>
          <w:rFonts w:eastAsia="Calibri" w:cstheme="minorHAnsi"/>
          <w:sz w:val="24"/>
          <w:szCs w:val="24"/>
        </w:rPr>
        <w:t xml:space="preserve"> </w:t>
      </w:r>
      <w:r w:rsidR="00D833BF">
        <w:rPr>
          <w:rFonts w:eastAsia="Calibri" w:cstheme="minorHAnsi"/>
          <w:sz w:val="24"/>
          <w:szCs w:val="24"/>
        </w:rPr>
        <w:t xml:space="preserve">and </w:t>
      </w:r>
      <w:r w:rsidR="0065462A">
        <w:rPr>
          <w:rFonts w:eastAsia="Calibri" w:cstheme="minorHAnsi"/>
          <w:sz w:val="24"/>
          <w:szCs w:val="24"/>
        </w:rPr>
        <w:t>enhance</w:t>
      </w:r>
      <w:r w:rsidR="00D833BF" w:rsidRPr="00D833BF">
        <w:rPr>
          <w:rFonts w:eastAsia="Calibri" w:cstheme="minorHAnsi"/>
          <w:sz w:val="24"/>
          <w:szCs w:val="24"/>
        </w:rPr>
        <w:t xml:space="preserve"> the authenticity of my transcripts and interpretation (</w:t>
      </w:r>
      <w:r w:rsidR="004F37F0" w:rsidRPr="009513A7">
        <w:rPr>
          <w:rFonts w:eastAsia="Calibri" w:cstheme="minorHAnsi"/>
          <w:sz w:val="24"/>
          <w:szCs w:val="24"/>
        </w:rPr>
        <w:t>Creswell, 2014</w:t>
      </w:r>
      <w:r w:rsidR="004F37F0">
        <w:rPr>
          <w:rFonts w:eastAsia="Calibri" w:cstheme="minorHAnsi"/>
          <w:sz w:val="24"/>
          <w:szCs w:val="24"/>
        </w:rPr>
        <w:t xml:space="preserve">; </w:t>
      </w:r>
      <w:r w:rsidRPr="009513A7">
        <w:rPr>
          <w:rFonts w:eastAsia="Calibri" w:cstheme="minorHAnsi"/>
          <w:sz w:val="24"/>
          <w:szCs w:val="24"/>
        </w:rPr>
        <w:t xml:space="preserve">Lincoln &amp; Guba 1985; </w:t>
      </w:r>
      <w:r w:rsidR="004F37F0">
        <w:rPr>
          <w:rFonts w:eastAsia="Calibri" w:cstheme="minorHAnsi"/>
          <w:sz w:val="24"/>
          <w:szCs w:val="24"/>
        </w:rPr>
        <w:t xml:space="preserve">Maxwell, 2013; </w:t>
      </w:r>
      <w:r w:rsidRPr="009513A7">
        <w:rPr>
          <w:rFonts w:eastAsia="Calibri" w:cstheme="minorHAnsi"/>
          <w:sz w:val="24"/>
          <w:szCs w:val="24"/>
        </w:rPr>
        <w:t xml:space="preserve">Merriam &amp; Grenier, 2019). I </w:t>
      </w:r>
      <w:r w:rsidR="00572A23">
        <w:rPr>
          <w:rFonts w:eastAsia="Calibri" w:cstheme="minorHAnsi"/>
          <w:sz w:val="24"/>
          <w:szCs w:val="24"/>
        </w:rPr>
        <w:t>sent</w:t>
      </w:r>
      <w:r w:rsidRPr="009513A7">
        <w:rPr>
          <w:rFonts w:eastAsia="Calibri" w:cstheme="minorHAnsi"/>
          <w:sz w:val="24"/>
          <w:szCs w:val="24"/>
        </w:rPr>
        <w:t xml:space="preserve"> a copy of</w:t>
      </w:r>
      <w:r>
        <w:rPr>
          <w:rFonts w:eastAsia="Calibri" w:cstheme="minorHAnsi"/>
          <w:sz w:val="24"/>
          <w:szCs w:val="24"/>
        </w:rPr>
        <w:t xml:space="preserve"> the interview</w:t>
      </w:r>
      <w:r w:rsidRPr="009513A7">
        <w:rPr>
          <w:rFonts w:eastAsia="Calibri" w:cstheme="minorHAnsi"/>
          <w:sz w:val="24"/>
          <w:szCs w:val="24"/>
        </w:rPr>
        <w:t xml:space="preserve"> transcripts and my preliminary findings</w:t>
      </w:r>
      <w:r>
        <w:rPr>
          <w:rFonts w:eastAsia="Calibri" w:cstheme="minorHAnsi"/>
          <w:sz w:val="24"/>
          <w:szCs w:val="24"/>
        </w:rPr>
        <w:t xml:space="preserve"> and</w:t>
      </w:r>
      <w:r w:rsidRPr="009513A7">
        <w:rPr>
          <w:rFonts w:eastAsia="Calibri" w:cstheme="minorHAnsi"/>
          <w:sz w:val="24"/>
          <w:szCs w:val="24"/>
        </w:rPr>
        <w:t xml:space="preserve"> themes, to participants to </w:t>
      </w:r>
      <w:r w:rsidR="00BD6B14">
        <w:rPr>
          <w:rFonts w:eastAsia="Calibri" w:cstheme="minorHAnsi"/>
          <w:sz w:val="24"/>
          <w:szCs w:val="24"/>
        </w:rPr>
        <w:t xml:space="preserve">confirm their responses </w:t>
      </w:r>
      <w:r w:rsidR="00572A23">
        <w:rPr>
          <w:rFonts w:eastAsia="Calibri" w:cstheme="minorHAnsi"/>
          <w:sz w:val="24"/>
          <w:szCs w:val="24"/>
        </w:rPr>
        <w:t xml:space="preserve">were </w:t>
      </w:r>
      <w:r w:rsidR="00BD6B14">
        <w:rPr>
          <w:rFonts w:eastAsia="Calibri" w:cstheme="minorHAnsi"/>
          <w:sz w:val="24"/>
          <w:szCs w:val="24"/>
        </w:rPr>
        <w:t xml:space="preserve">accurately captured. </w:t>
      </w:r>
      <w:r w:rsidRPr="009513A7">
        <w:rPr>
          <w:rFonts w:eastAsia="Calibri" w:cstheme="minorHAnsi"/>
          <w:sz w:val="24"/>
          <w:szCs w:val="24"/>
        </w:rPr>
        <w:t xml:space="preserve">This </w:t>
      </w:r>
      <w:r w:rsidR="00572A23">
        <w:rPr>
          <w:rFonts w:eastAsia="Calibri" w:cstheme="minorHAnsi"/>
          <w:sz w:val="24"/>
          <w:szCs w:val="24"/>
        </w:rPr>
        <w:t>was</w:t>
      </w:r>
      <w:r w:rsidRPr="009513A7">
        <w:rPr>
          <w:rFonts w:eastAsia="Calibri" w:cstheme="minorHAnsi"/>
          <w:sz w:val="24"/>
          <w:szCs w:val="24"/>
        </w:rPr>
        <w:t xml:space="preserve"> done at various stages of the research process to ensure</w:t>
      </w:r>
      <w:r>
        <w:rPr>
          <w:rFonts w:eastAsia="Calibri" w:cstheme="minorHAnsi"/>
          <w:sz w:val="24"/>
          <w:szCs w:val="24"/>
        </w:rPr>
        <w:t xml:space="preserve"> accurate</w:t>
      </w:r>
      <w:r w:rsidRPr="009513A7">
        <w:rPr>
          <w:rFonts w:eastAsia="Calibri" w:cstheme="minorHAnsi"/>
          <w:sz w:val="24"/>
          <w:szCs w:val="24"/>
        </w:rPr>
        <w:t xml:space="preserve"> </w:t>
      </w:r>
      <w:r>
        <w:rPr>
          <w:rFonts w:eastAsia="Calibri" w:cstheme="minorHAnsi"/>
          <w:sz w:val="24"/>
          <w:szCs w:val="24"/>
        </w:rPr>
        <w:t>data</w:t>
      </w:r>
      <w:r w:rsidRPr="009513A7">
        <w:rPr>
          <w:rFonts w:eastAsia="Calibri" w:cstheme="minorHAnsi"/>
          <w:sz w:val="24"/>
          <w:szCs w:val="24"/>
        </w:rPr>
        <w:t xml:space="preserve"> collection and interpretation (Creswell, 2014)</w:t>
      </w:r>
      <w:r>
        <w:rPr>
          <w:rFonts w:eastAsia="Calibri" w:cstheme="minorHAnsi"/>
          <w:sz w:val="24"/>
          <w:szCs w:val="24"/>
        </w:rPr>
        <w:t xml:space="preserve">. </w:t>
      </w:r>
      <w:r w:rsidRPr="009513A7">
        <w:rPr>
          <w:rFonts w:eastAsia="Calibri" w:cstheme="minorHAnsi"/>
          <w:sz w:val="24"/>
          <w:szCs w:val="24"/>
        </w:rPr>
        <w:t>This decrease</w:t>
      </w:r>
      <w:r w:rsidR="00572A23">
        <w:rPr>
          <w:rFonts w:eastAsia="Calibri" w:cstheme="minorHAnsi"/>
          <w:sz w:val="24"/>
          <w:szCs w:val="24"/>
        </w:rPr>
        <w:t>d</w:t>
      </w:r>
      <w:r w:rsidRPr="009513A7">
        <w:rPr>
          <w:rFonts w:eastAsia="Calibri" w:cstheme="minorHAnsi"/>
          <w:sz w:val="24"/>
          <w:szCs w:val="24"/>
        </w:rPr>
        <w:t xml:space="preserve"> the </w:t>
      </w:r>
      <w:r>
        <w:rPr>
          <w:rFonts w:eastAsia="Calibri" w:cstheme="minorHAnsi"/>
          <w:sz w:val="24"/>
          <w:szCs w:val="24"/>
        </w:rPr>
        <w:t>chances</w:t>
      </w:r>
      <w:r w:rsidRPr="009513A7">
        <w:rPr>
          <w:rFonts w:eastAsia="Calibri" w:cstheme="minorHAnsi"/>
          <w:sz w:val="24"/>
          <w:szCs w:val="24"/>
        </w:rPr>
        <w:t xml:space="preserve"> I misinterpret</w:t>
      </w:r>
      <w:r w:rsidR="00572A23">
        <w:rPr>
          <w:rFonts w:eastAsia="Calibri" w:cstheme="minorHAnsi"/>
          <w:sz w:val="24"/>
          <w:szCs w:val="24"/>
        </w:rPr>
        <w:t>ed</w:t>
      </w:r>
      <w:r w:rsidRPr="009513A7">
        <w:rPr>
          <w:rFonts w:eastAsia="Calibri" w:cstheme="minorHAnsi"/>
          <w:sz w:val="24"/>
          <w:szCs w:val="24"/>
        </w:rPr>
        <w:t xml:space="preserve"> what was shared</w:t>
      </w:r>
      <w:r>
        <w:rPr>
          <w:rFonts w:eastAsia="Calibri" w:cstheme="minorHAnsi"/>
          <w:sz w:val="24"/>
          <w:szCs w:val="24"/>
        </w:rPr>
        <w:t xml:space="preserve"> and</w:t>
      </w:r>
      <w:r w:rsidRPr="009513A7">
        <w:rPr>
          <w:rFonts w:eastAsia="Calibri" w:cstheme="minorHAnsi"/>
          <w:sz w:val="24"/>
          <w:szCs w:val="24"/>
        </w:rPr>
        <w:t xml:space="preserve"> allow</w:t>
      </w:r>
      <w:r w:rsidR="00572A23">
        <w:rPr>
          <w:rFonts w:eastAsia="Calibri" w:cstheme="minorHAnsi"/>
          <w:sz w:val="24"/>
          <w:szCs w:val="24"/>
        </w:rPr>
        <w:t>ed</w:t>
      </w:r>
      <w:r w:rsidRPr="009513A7">
        <w:rPr>
          <w:rFonts w:eastAsia="Calibri" w:cstheme="minorHAnsi"/>
          <w:sz w:val="24"/>
          <w:szCs w:val="24"/>
        </w:rPr>
        <w:t xml:space="preserve"> for fact-checking and updating of </w:t>
      </w:r>
      <w:r>
        <w:rPr>
          <w:rFonts w:eastAsia="Calibri" w:cstheme="minorHAnsi"/>
          <w:sz w:val="24"/>
          <w:szCs w:val="24"/>
        </w:rPr>
        <w:t xml:space="preserve">data </w:t>
      </w:r>
      <w:r w:rsidRPr="009513A7">
        <w:rPr>
          <w:rFonts w:eastAsia="Calibri" w:cstheme="minorHAnsi"/>
          <w:sz w:val="24"/>
          <w:szCs w:val="24"/>
        </w:rPr>
        <w:t>by</w:t>
      </w:r>
      <w:r>
        <w:rPr>
          <w:rFonts w:eastAsia="Calibri" w:cstheme="minorHAnsi"/>
          <w:sz w:val="24"/>
          <w:szCs w:val="24"/>
        </w:rPr>
        <w:t xml:space="preserve"> the</w:t>
      </w:r>
      <w:r w:rsidRPr="009513A7">
        <w:rPr>
          <w:rFonts w:eastAsia="Calibri" w:cstheme="minorHAnsi"/>
          <w:sz w:val="24"/>
          <w:szCs w:val="24"/>
        </w:rPr>
        <w:t xml:space="preserve"> participants (Maxwell, 2013; Nobel &amp; Heale, 2019). </w:t>
      </w:r>
      <w:r w:rsidR="00243698" w:rsidRPr="009513A7">
        <w:rPr>
          <w:rFonts w:eastAsia="Calibri" w:cstheme="minorHAnsi"/>
          <w:sz w:val="24"/>
          <w:szCs w:val="24"/>
        </w:rPr>
        <w:t>I also adequately engage</w:t>
      </w:r>
      <w:r w:rsidR="00572A23">
        <w:rPr>
          <w:rFonts w:eastAsia="Calibri" w:cstheme="minorHAnsi"/>
          <w:sz w:val="24"/>
          <w:szCs w:val="24"/>
        </w:rPr>
        <w:t>d</w:t>
      </w:r>
      <w:r w:rsidR="00243698" w:rsidRPr="009513A7">
        <w:rPr>
          <w:rFonts w:eastAsia="Calibri" w:cstheme="minorHAnsi"/>
          <w:sz w:val="24"/>
          <w:szCs w:val="24"/>
        </w:rPr>
        <w:t xml:space="preserve"> in data collection until the point of saturation</w:t>
      </w:r>
      <w:r w:rsidR="00243698">
        <w:rPr>
          <w:rFonts w:eastAsia="Calibri" w:cstheme="minorHAnsi"/>
          <w:sz w:val="24"/>
          <w:szCs w:val="24"/>
        </w:rPr>
        <w:t xml:space="preserve"> and conduct</w:t>
      </w:r>
      <w:r w:rsidR="00572A23">
        <w:rPr>
          <w:rFonts w:eastAsia="Calibri" w:cstheme="minorHAnsi"/>
          <w:sz w:val="24"/>
          <w:szCs w:val="24"/>
        </w:rPr>
        <w:t>ed</w:t>
      </w:r>
      <w:r w:rsidR="00243698">
        <w:rPr>
          <w:rFonts w:eastAsia="Calibri" w:cstheme="minorHAnsi"/>
          <w:sz w:val="24"/>
          <w:szCs w:val="24"/>
        </w:rPr>
        <w:t xml:space="preserve"> a review for discrepant data to </w:t>
      </w:r>
      <w:r w:rsidR="00243698" w:rsidRPr="009513A7">
        <w:rPr>
          <w:rFonts w:eastAsia="Calibri" w:cstheme="minorHAnsi"/>
          <w:sz w:val="24"/>
          <w:szCs w:val="24"/>
        </w:rPr>
        <w:t>support alternate explanations (Patton, 2015).</w:t>
      </w:r>
    </w:p>
    <w:p w14:paraId="02633E8D" w14:textId="6EB15C69"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I provide</w:t>
      </w:r>
      <w:r w:rsidR="00572A23">
        <w:rPr>
          <w:rFonts w:eastAsia="Calibri" w:cstheme="minorHAnsi"/>
          <w:sz w:val="24"/>
          <w:szCs w:val="24"/>
        </w:rPr>
        <w:t>d</w:t>
      </w:r>
      <w:r>
        <w:rPr>
          <w:rFonts w:eastAsia="Calibri" w:cstheme="minorHAnsi"/>
          <w:sz w:val="24"/>
          <w:szCs w:val="24"/>
        </w:rPr>
        <w:t xml:space="preserve"> </w:t>
      </w:r>
      <w:r w:rsidRPr="009513A7">
        <w:rPr>
          <w:rFonts w:eastAsia="Calibri" w:cstheme="minorHAnsi"/>
          <w:sz w:val="24"/>
          <w:szCs w:val="24"/>
        </w:rPr>
        <w:t>rich description which facilitates transferability (</w:t>
      </w:r>
      <w:r w:rsidR="00BD6B14">
        <w:rPr>
          <w:rFonts w:eastAsia="Calibri" w:cstheme="minorHAnsi"/>
          <w:sz w:val="24"/>
          <w:szCs w:val="24"/>
        </w:rPr>
        <w:t xml:space="preserve">Creswell, 2014; </w:t>
      </w:r>
      <w:r w:rsidRPr="009513A7">
        <w:rPr>
          <w:rFonts w:eastAsia="Calibri" w:cstheme="minorHAnsi"/>
          <w:sz w:val="24"/>
          <w:szCs w:val="24"/>
        </w:rPr>
        <w:t>Lincoln &amp; Guba, 1985</w:t>
      </w:r>
      <w:r w:rsidR="00BD6B14">
        <w:rPr>
          <w:rFonts w:eastAsia="Calibri" w:cstheme="minorHAnsi"/>
          <w:sz w:val="24"/>
          <w:szCs w:val="24"/>
        </w:rPr>
        <w:t>; Merriam &amp; Tisdell, 2016</w:t>
      </w:r>
      <w:r w:rsidRPr="009513A7">
        <w:rPr>
          <w:rFonts w:eastAsia="Calibri" w:cstheme="minorHAnsi"/>
          <w:sz w:val="24"/>
          <w:szCs w:val="24"/>
        </w:rPr>
        <w:t>). Transferability is “the extent to which the findings of a qualitative study can be generalized or transferred to other situations” (Merriam and Tisdell, 2016, p. 265).</w:t>
      </w:r>
      <w:r>
        <w:rPr>
          <w:rFonts w:eastAsia="Calibri" w:cstheme="minorHAnsi"/>
          <w:sz w:val="24"/>
          <w:szCs w:val="24"/>
        </w:rPr>
        <w:t xml:space="preserve"> </w:t>
      </w:r>
      <w:r w:rsidRPr="009513A7">
        <w:rPr>
          <w:rFonts w:eastAsia="Calibri" w:cstheme="minorHAnsi"/>
          <w:sz w:val="24"/>
          <w:szCs w:val="24"/>
        </w:rPr>
        <w:t xml:space="preserve">I </w:t>
      </w:r>
      <w:r w:rsidR="00572A23">
        <w:rPr>
          <w:rFonts w:eastAsia="Calibri" w:cstheme="minorHAnsi"/>
          <w:sz w:val="24"/>
          <w:szCs w:val="24"/>
        </w:rPr>
        <w:t>attempted</w:t>
      </w:r>
      <w:r w:rsidRPr="009513A7">
        <w:rPr>
          <w:rFonts w:eastAsia="Calibri" w:cstheme="minorHAnsi"/>
          <w:sz w:val="24"/>
          <w:szCs w:val="24"/>
        </w:rPr>
        <w:t xml:space="preserve"> to collect sufficient, rich, descriptive data to generalize, or apply the findings </w:t>
      </w:r>
      <w:r>
        <w:rPr>
          <w:rFonts w:eastAsia="Calibri" w:cstheme="minorHAnsi"/>
          <w:sz w:val="24"/>
          <w:szCs w:val="24"/>
        </w:rPr>
        <w:t>more broadly</w:t>
      </w:r>
      <w:r w:rsidRPr="009513A7">
        <w:rPr>
          <w:rFonts w:eastAsia="Calibri" w:cstheme="minorHAnsi"/>
          <w:sz w:val="24"/>
          <w:szCs w:val="24"/>
        </w:rPr>
        <w:t xml:space="preserve"> (Lincoln &amp; Guba, 1985</w:t>
      </w:r>
      <w:r w:rsidR="00BD6B14">
        <w:rPr>
          <w:rFonts w:eastAsia="Calibri" w:cstheme="minorHAnsi"/>
          <w:sz w:val="24"/>
          <w:szCs w:val="24"/>
        </w:rPr>
        <w:t>; Merriam &amp; Tisdell, 2016</w:t>
      </w:r>
      <w:r w:rsidRPr="009513A7">
        <w:rPr>
          <w:rFonts w:eastAsia="Calibri" w:cstheme="minorHAnsi"/>
          <w:sz w:val="24"/>
          <w:szCs w:val="24"/>
        </w:rPr>
        <w:t>).</w:t>
      </w:r>
    </w:p>
    <w:p w14:paraId="346365A4" w14:textId="284CC4E8" w:rsidR="0082149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The reliability, or dependability, of qualitative research means the</w:t>
      </w:r>
      <w:r w:rsidR="00A25010">
        <w:rPr>
          <w:rFonts w:eastAsia="Calibri" w:cstheme="minorHAnsi"/>
          <w:sz w:val="24"/>
          <w:szCs w:val="24"/>
        </w:rPr>
        <w:t xml:space="preserve"> study</w:t>
      </w:r>
      <w:r w:rsidRPr="009513A7">
        <w:rPr>
          <w:rFonts w:eastAsia="Calibri" w:cstheme="minorHAnsi"/>
          <w:sz w:val="24"/>
          <w:szCs w:val="24"/>
        </w:rPr>
        <w:t xml:space="preserve"> findings are consistent with the data collected (Lincoln &amp; Guba, 1985, Merriam &amp; Tisdell, 2016). </w:t>
      </w:r>
      <w:r w:rsidR="004F37F0">
        <w:rPr>
          <w:rFonts w:eastAsia="Calibri" w:cstheme="minorHAnsi"/>
          <w:sz w:val="24"/>
          <w:szCs w:val="24"/>
        </w:rPr>
        <w:t>I use</w:t>
      </w:r>
      <w:r w:rsidR="00572A23">
        <w:rPr>
          <w:rFonts w:eastAsia="Calibri" w:cstheme="minorHAnsi"/>
          <w:sz w:val="24"/>
          <w:szCs w:val="24"/>
        </w:rPr>
        <w:t>d</w:t>
      </w:r>
      <w:r w:rsidR="004F37F0">
        <w:rPr>
          <w:rFonts w:eastAsia="Calibri" w:cstheme="minorHAnsi"/>
          <w:sz w:val="24"/>
          <w:szCs w:val="24"/>
        </w:rPr>
        <w:t xml:space="preserve"> p</w:t>
      </w:r>
      <w:r w:rsidRPr="009513A7">
        <w:rPr>
          <w:rFonts w:eastAsia="Calibri" w:cstheme="minorHAnsi"/>
          <w:sz w:val="24"/>
          <w:szCs w:val="24"/>
        </w:rPr>
        <w:t xml:space="preserve">eer </w:t>
      </w:r>
      <w:r w:rsidRPr="009513A7">
        <w:rPr>
          <w:rFonts w:eastAsia="Calibri" w:cstheme="minorHAnsi"/>
          <w:sz w:val="24"/>
          <w:szCs w:val="24"/>
        </w:rPr>
        <w:lastRenderedPageBreak/>
        <w:t xml:space="preserve">debriefing, another form of triangulation, </w:t>
      </w:r>
      <w:r w:rsidR="004F37F0">
        <w:rPr>
          <w:rFonts w:eastAsia="Calibri" w:cstheme="minorHAnsi"/>
          <w:sz w:val="24"/>
          <w:szCs w:val="24"/>
        </w:rPr>
        <w:t>to develop trustworthiness</w:t>
      </w:r>
      <w:r w:rsidRPr="009513A7">
        <w:rPr>
          <w:rFonts w:eastAsia="Calibri" w:cstheme="minorHAnsi"/>
          <w:sz w:val="24"/>
          <w:szCs w:val="24"/>
        </w:rPr>
        <w:t xml:space="preserve"> (Creswell, 2014). I </w:t>
      </w:r>
      <w:r w:rsidR="00572A23">
        <w:rPr>
          <w:rFonts w:eastAsia="Calibri" w:cstheme="minorHAnsi"/>
          <w:sz w:val="24"/>
          <w:szCs w:val="24"/>
        </w:rPr>
        <w:t>met</w:t>
      </w:r>
      <w:r w:rsidRPr="009513A7">
        <w:rPr>
          <w:rFonts w:eastAsia="Calibri" w:cstheme="minorHAnsi"/>
          <w:sz w:val="24"/>
          <w:szCs w:val="24"/>
        </w:rPr>
        <w:t xml:space="preserve"> periodically with my dissertation chair to review my work and discuss the </w:t>
      </w:r>
      <w:r>
        <w:rPr>
          <w:rFonts w:eastAsia="Calibri" w:cstheme="minorHAnsi"/>
          <w:sz w:val="24"/>
          <w:szCs w:val="24"/>
        </w:rPr>
        <w:t xml:space="preserve">data analysis </w:t>
      </w:r>
      <w:r w:rsidRPr="009513A7">
        <w:rPr>
          <w:rFonts w:eastAsia="Calibri" w:cstheme="minorHAnsi"/>
          <w:sz w:val="24"/>
          <w:szCs w:val="24"/>
        </w:rPr>
        <w:t>process</w:t>
      </w:r>
      <w:r>
        <w:rPr>
          <w:rFonts w:eastAsia="Calibri" w:cstheme="minorHAnsi"/>
          <w:sz w:val="24"/>
          <w:szCs w:val="24"/>
        </w:rPr>
        <w:t>,</w:t>
      </w:r>
      <w:r w:rsidRPr="009513A7">
        <w:rPr>
          <w:rFonts w:eastAsia="Calibri" w:cstheme="minorHAnsi"/>
          <w:sz w:val="24"/>
          <w:szCs w:val="24"/>
        </w:rPr>
        <w:t xml:space="preserve"> as well as</w:t>
      </w:r>
      <w:r>
        <w:rPr>
          <w:rFonts w:eastAsia="Calibri" w:cstheme="minorHAnsi"/>
          <w:sz w:val="24"/>
          <w:szCs w:val="24"/>
        </w:rPr>
        <w:t xml:space="preserve"> the</w:t>
      </w:r>
      <w:r w:rsidRPr="009513A7">
        <w:rPr>
          <w:rFonts w:eastAsia="Calibri" w:cstheme="minorHAnsi"/>
          <w:sz w:val="24"/>
          <w:szCs w:val="24"/>
        </w:rPr>
        <w:t xml:space="preserve"> findings.</w:t>
      </w:r>
      <w:r w:rsidR="00D833BF" w:rsidRPr="00D833BF">
        <w:t xml:space="preserve"> </w:t>
      </w:r>
      <w:r w:rsidR="00A25010">
        <w:rPr>
          <w:rFonts w:eastAsia="Calibri" w:cstheme="minorHAnsi"/>
          <w:sz w:val="24"/>
          <w:szCs w:val="24"/>
        </w:rPr>
        <w:t>P</w:t>
      </w:r>
      <w:r w:rsidR="00D833BF" w:rsidRPr="00D833BF">
        <w:rPr>
          <w:rFonts w:eastAsia="Calibri" w:cstheme="minorHAnsi"/>
          <w:sz w:val="24"/>
          <w:szCs w:val="24"/>
        </w:rPr>
        <w:t xml:space="preserve">eer review </w:t>
      </w:r>
      <w:r w:rsidR="00A25010">
        <w:rPr>
          <w:rFonts w:eastAsia="Calibri" w:cstheme="minorHAnsi"/>
          <w:sz w:val="24"/>
          <w:szCs w:val="24"/>
        </w:rPr>
        <w:t>with</w:t>
      </w:r>
      <w:r w:rsidR="00D833BF" w:rsidRPr="00D833BF">
        <w:rPr>
          <w:rFonts w:eastAsia="Calibri" w:cstheme="minorHAnsi"/>
          <w:sz w:val="24"/>
          <w:szCs w:val="24"/>
        </w:rPr>
        <w:t xml:space="preserve"> my dissertation committee is </w:t>
      </w:r>
      <w:r w:rsidR="00D833BF">
        <w:rPr>
          <w:rFonts w:eastAsia="Calibri" w:cstheme="minorHAnsi"/>
          <w:sz w:val="24"/>
          <w:szCs w:val="24"/>
        </w:rPr>
        <w:t>another</w:t>
      </w:r>
      <w:r w:rsidR="00D833BF" w:rsidRPr="00D833BF">
        <w:rPr>
          <w:rFonts w:eastAsia="Calibri" w:cstheme="minorHAnsi"/>
          <w:sz w:val="24"/>
          <w:szCs w:val="24"/>
        </w:rPr>
        <w:t xml:space="preserve"> way </w:t>
      </w:r>
      <w:r w:rsidR="004F37F0">
        <w:rPr>
          <w:rFonts w:eastAsia="Calibri" w:cstheme="minorHAnsi"/>
          <w:sz w:val="24"/>
          <w:szCs w:val="24"/>
        </w:rPr>
        <w:t>I ensure</w:t>
      </w:r>
      <w:r w:rsidR="00572A23">
        <w:rPr>
          <w:rFonts w:eastAsia="Calibri" w:cstheme="minorHAnsi"/>
          <w:sz w:val="24"/>
          <w:szCs w:val="24"/>
        </w:rPr>
        <w:t>d</w:t>
      </w:r>
      <w:r w:rsidR="00D833BF" w:rsidRPr="00D833BF">
        <w:rPr>
          <w:rFonts w:eastAsia="Calibri" w:cstheme="minorHAnsi"/>
          <w:sz w:val="24"/>
          <w:szCs w:val="24"/>
        </w:rPr>
        <w:t xml:space="preserve"> a knowledgeable review to </w:t>
      </w:r>
      <w:r w:rsidR="00D833BF">
        <w:rPr>
          <w:rFonts w:eastAsia="Calibri" w:cstheme="minorHAnsi"/>
          <w:sz w:val="24"/>
          <w:szCs w:val="24"/>
        </w:rPr>
        <w:t>enhance trustworthiness</w:t>
      </w:r>
      <w:r w:rsidR="00D833BF" w:rsidRPr="00D833BF">
        <w:rPr>
          <w:rFonts w:eastAsia="Calibri" w:cstheme="minorHAnsi"/>
          <w:sz w:val="24"/>
          <w:szCs w:val="24"/>
        </w:rPr>
        <w:t xml:space="preserve">. </w:t>
      </w:r>
      <w:r w:rsidR="004F37F0">
        <w:rPr>
          <w:rFonts w:eastAsia="Calibri" w:cstheme="minorHAnsi"/>
          <w:sz w:val="24"/>
          <w:szCs w:val="24"/>
        </w:rPr>
        <w:t>Throughout this study</w:t>
      </w:r>
      <w:r w:rsidR="00D833BF" w:rsidRPr="00D833BF">
        <w:rPr>
          <w:rFonts w:eastAsia="Calibri" w:cstheme="minorHAnsi"/>
          <w:sz w:val="24"/>
          <w:szCs w:val="24"/>
        </w:rPr>
        <w:t xml:space="preserve"> I maintain</w:t>
      </w:r>
      <w:r w:rsidR="00572A23">
        <w:rPr>
          <w:rFonts w:eastAsia="Calibri" w:cstheme="minorHAnsi"/>
          <w:sz w:val="24"/>
          <w:szCs w:val="24"/>
        </w:rPr>
        <w:t>ed</w:t>
      </w:r>
      <w:r w:rsidR="00D833BF" w:rsidRPr="00D833BF">
        <w:rPr>
          <w:rFonts w:eastAsia="Calibri" w:cstheme="minorHAnsi"/>
          <w:sz w:val="24"/>
          <w:szCs w:val="24"/>
        </w:rPr>
        <w:t xml:space="preserve"> an awareness of my </w:t>
      </w:r>
      <w:r w:rsidR="00EC3387" w:rsidRPr="00D833BF">
        <w:rPr>
          <w:rFonts w:eastAsia="Calibri" w:cstheme="minorHAnsi"/>
          <w:sz w:val="24"/>
          <w:szCs w:val="24"/>
        </w:rPr>
        <w:t>individual experiences</w:t>
      </w:r>
      <w:r w:rsidR="00D833BF" w:rsidRPr="00D833BF">
        <w:rPr>
          <w:rFonts w:eastAsia="Calibri" w:cstheme="minorHAnsi"/>
          <w:sz w:val="24"/>
          <w:szCs w:val="24"/>
        </w:rPr>
        <w:t xml:space="preserve"> as they could</w:t>
      </w:r>
      <w:r w:rsidR="00A25010">
        <w:rPr>
          <w:rFonts w:eastAsia="Calibri" w:cstheme="minorHAnsi"/>
          <w:sz w:val="24"/>
          <w:szCs w:val="24"/>
        </w:rPr>
        <w:t xml:space="preserve"> affect</w:t>
      </w:r>
      <w:r w:rsidR="00D833BF" w:rsidRPr="00D833BF">
        <w:rPr>
          <w:rFonts w:eastAsia="Calibri" w:cstheme="minorHAnsi"/>
          <w:sz w:val="24"/>
          <w:szCs w:val="24"/>
        </w:rPr>
        <w:t xml:space="preserve"> </w:t>
      </w:r>
      <w:r w:rsidR="00A25010">
        <w:rPr>
          <w:rFonts w:eastAsia="Calibri" w:cstheme="minorHAnsi"/>
          <w:sz w:val="24"/>
          <w:szCs w:val="24"/>
        </w:rPr>
        <w:t xml:space="preserve">the </w:t>
      </w:r>
      <w:r w:rsidR="00D833BF" w:rsidRPr="00D833BF">
        <w:rPr>
          <w:rFonts w:eastAsia="Calibri" w:cstheme="minorHAnsi"/>
          <w:sz w:val="24"/>
          <w:szCs w:val="24"/>
        </w:rPr>
        <w:t>data analysis and interpretations of others’ lived experiences</w:t>
      </w:r>
      <w:r w:rsidR="00EC3387">
        <w:rPr>
          <w:rFonts w:eastAsia="Calibri" w:cstheme="minorHAnsi"/>
          <w:sz w:val="24"/>
          <w:szCs w:val="24"/>
        </w:rPr>
        <w:t>.</w:t>
      </w:r>
      <w:r w:rsidR="00D833BF" w:rsidRPr="00D833BF">
        <w:rPr>
          <w:rFonts w:eastAsia="Calibri" w:cstheme="minorHAnsi"/>
          <w:sz w:val="24"/>
          <w:szCs w:val="24"/>
        </w:rPr>
        <w:t xml:space="preserve"> </w:t>
      </w:r>
    </w:p>
    <w:p w14:paraId="643F03D1" w14:textId="3A2FF666" w:rsidR="00821497" w:rsidRDefault="00821497" w:rsidP="00821497">
      <w:pPr>
        <w:spacing w:after="0" w:line="480" w:lineRule="auto"/>
        <w:ind w:firstLine="720"/>
        <w:rPr>
          <w:rFonts w:eastAsia="Calibri" w:cstheme="minorHAnsi"/>
          <w:sz w:val="24"/>
          <w:szCs w:val="24"/>
        </w:rPr>
      </w:pPr>
      <w:r>
        <w:rPr>
          <w:rFonts w:eastAsia="Calibri" w:cstheme="minorHAnsi"/>
          <w:sz w:val="24"/>
          <w:szCs w:val="24"/>
        </w:rPr>
        <w:t>Finally</w:t>
      </w:r>
      <w:r w:rsidRPr="009513A7">
        <w:rPr>
          <w:rFonts w:eastAsia="Calibri" w:cstheme="minorHAnsi"/>
          <w:sz w:val="24"/>
          <w:szCs w:val="24"/>
        </w:rPr>
        <w:t xml:space="preserve">, I </w:t>
      </w:r>
      <w:r w:rsidR="00572A23">
        <w:rPr>
          <w:rFonts w:eastAsia="Calibri" w:cstheme="minorHAnsi"/>
          <w:sz w:val="24"/>
          <w:szCs w:val="24"/>
        </w:rPr>
        <w:t>kept</w:t>
      </w:r>
      <w:r w:rsidRPr="009513A7">
        <w:rPr>
          <w:rFonts w:eastAsia="Calibri" w:cstheme="minorHAnsi"/>
          <w:sz w:val="24"/>
          <w:szCs w:val="24"/>
        </w:rPr>
        <w:t xml:space="preserve"> a </w:t>
      </w:r>
      <w:r>
        <w:rPr>
          <w:rFonts w:eastAsia="Calibri" w:cstheme="minorHAnsi"/>
          <w:sz w:val="24"/>
          <w:szCs w:val="24"/>
        </w:rPr>
        <w:t xml:space="preserve">reflexive </w:t>
      </w:r>
      <w:r w:rsidRPr="009513A7">
        <w:rPr>
          <w:rFonts w:eastAsia="Calibri" w:cstheme="minorHAnsi"/>
          <w:sz w:val="24"/>
          <w:szCs w:val="24"/>
        </w:rPr>
        <w:t>journal to establish an audit trail</w:t>
      </w:r>
      <w:r w:rsidR="004850EC">
        <w:rPr>
          <w:rFonts w:eastAsia="Calibri" w:cstheme="minorHAnsi"/>
          <w:sz w:val="24"/>
          <w:szCs w:val="24"/>
        </w:rPr>
        <w:t xml:space="preserve">. An audit trail in qualitative research provides details about data collection, interpretation, and how decisions </w:t>
      </w:r>
      <w:r w:rsidR="00EC0F4A">
        <w:rPr>
          <w:rFonts w:eastAsia="Calibri" w:cstheme="minorHAnsi"/>
          <w:sz w:val="24"/>
          <w:szCs w:val="24"/>
        </w:rPr>
        <w:t>are</w:t>
      </w:r>
      <w:r w:rsidR="004850EC">
        <w:rPr>
          <w:rFonts w:eastAsia="Calibri" w:cstheme="minorHAnsi"/>
          <w:sz w:val="24"/>
          <w:szCs w:val="24"/>
        </w:rPr>
        <w:t xml:space="preserve"> made (Merriam &amp; Tisdell, 2016). I use</w:t>
      </w:r>
      <w:r w:rsidR="00572A23">
        <w:rPr>
          <w:rFonts w:eastAsia="Calibri" w:cstheme="minorHAnsi"/>
          <w:sz w:val="24"/>
          <w:szCs w:val="24"/>
        </w:rPr>
        <w:t>d</w:t>
      </w:r>
      <w:r w:rsidR="004850EC">
        <w:rPr>
          <w:rFonts w:eastAsia="Calibri" w:cstheme="minorHAnsi"/>
          <w:sz w:val="24"/>
          <w:szCs w:val="24"/>
        </w:rPr>
        <w:t xml:space="preserve"> the audit trail to maintain my notes and “log” how I arrived at my </w:t>
      </w:r>
      <w:r w:rsidR="00EC0F4A">
        <w:rPr>
          <w:rFonts w:eastAsia="Calibri" w:cstheme="minorHAnsi"/>
          <w:sz w:val="24"/>
          <w:szCs w:val="24"/>
        </w:rPr>
        <w:t>finding</w:t>
      </w:r>
      <w:r w:rsidR="004850EC">
        <w:rPr>
          <w:rFonts w:eastAsia="Calibri" w:cstheme="minorHAnsi"/>
          <w:sz w:val="24"/>
          <w:szCs w:val="24"/>
        </w:rPr>
        <w:t xml:space="preserve">s </w:t>
      </w:r>
      <w:r w:rsidRPr="009513A7">
        <w:rPr>
          <w:rFonts w:eastAsia="Calibri" w:cstheme="minorHAnsi"/>
          <w:sz w:val="24"/>
          <w:szCs w:val="24"/>
        </w:rPr>
        <w:t>(Merriam &amp; Tisdell, 2016</w:t>
      </w:r>
      <w:r w:rsidR="004850EC">
        <w:rPr>
          <w:rFonts w:eastAsia="Calibri" w:cstheme="minorHAnsi"/>
          <w:sz w:val="24"/>
          <w:szCs w:val="24"/>
        </w:rPr>
        <w:t>, p. 252</w:t>
      </w:r>
      <w:r w:rsidRPr="009513A7">
        <w:rPr>
          <w:rFonts w:eastAsia="Calibri" w:cstheme="minorHAnsi"/>
          <w:sz w:val="24"/>
          <w:szCs w:val="24"/>
        </w:rPr>
        <w:t xml:space="preserve">). </w:t>
      </w:r>
      <w:sdt>
        <w:sdtPr>
          <w:rPr>
            <w:rFonts w:cstheme="minorHAnsi"/>
            <w:sz w:val="24"/>
            <w:szCs w:val="24"/>
          </w:rPr>
          <w:tag w:val="goog_rdk_50"/>
          <w:id w:val="1660356511"/>
        </w:sdtPr>
        <w:sdtEndPr/>
        <w:sdtContent/>
      </w:sdt>
      <w:r w:rsidRPr="009513A7">
        <w:rPr>
          <w:rFonts w:eastAsia="Calibri" w:cstheme="minorHAnsi"/>
          <w:sz w:val="24"/>
          <w:szCs w:val="24"/>
        </w:rPr>
        <w:t>An audit trail</w:t>
      </w:r>
      <w:r w:rsidR="00EC0F4A">
        <w:rPr>
          <w:rFonts w:eastAsia="Calibri" w:cstheme="minorHAnsi"/>
          <w:sz w:val="24"/>
          <w:szCs w:val="24"/>
        </w:rPr>
        <w:t xml:space="preserve"> </w:t>
      </w:r>
      <w:r w:rsidRPr="009513A7">
        <w:rPr>
          <w:rFonts w:eastAsia="Calibri" w:cstheme="minorHAnsi"/>
          <w:sz w:val="24"/>
          <w:szCs w:val="24"/>
        </w:rPr>
        <w:t xml:space="preserve">may help others </w:t>
      </w:r>
      <w:r>
        <w:rPr>
          <w:rFonts w:eastAsia="Calibri" w:cstheme="minorHAnsi"/>
          <w:sz w:val="24"/>
          <w:szCs w:val="24"/>
        </w:rPr>
        <w:t>replicate the study</w:t>
      </w:r>
      <w:r w:rsidR="00EC0F4A">
        <w:rPr>
          <w:rFonts w:eastAsia="Calibri" w:cstheme="minorHAnsi"/>
          <w:sz w:val="24"/>
          <w:szCs w:val="24"/>
        </w:rPr>
        <w:t xml:space="preserve"> and </w:t>
      </w:r>
      <w:r w:rsidRPr="009513A7">
        <w:rPr>
          <w:rFonts w:eastAsia="Calibri" w:cstheme="minorHAnsi"/>
          <w:sz w:val="24"/>
          <w:szCs w:val="24"/>
        </w:rPr>
        <w:t>help</w:t>
      </w:r>
      <w:r w:rsidR="00572A23">
        <w:rPr>
          <w:rFonts w:eastAsia="Calibri" w:cstheme="minorHAnsi"/>
          <w:sz w:val="24"/>
          <w:szCs w:val="24"/>
        </w:rPr>
        <w:t>ed</w:t>
      </w:r>
      <w:r w:rsidRPr="009513A7">
        <w:rPr>
          <w:rFonts w:eastAsia="Calibri" w:cstheme="minorHAnsi"/>
          <w:sz w:val="24"/>
          <w:szCs w:val="24"/>
        </w:rPr>
        <w:t xml:space="preserve"> me demonstrate how I arrived at </w:t>
      </w:r>
      <w:r>
        <w:rPr>
          <w:rFonts w:eastAsia="Calibri" w:cstheme="minorHAnsi"/>
          <w:sz w:val="24"/>
          <w:szCs w:val="24"/>
        </w:rPr>
        <w:t>the findings</w:t>
      </w:r>
      <w:r w:rsidRPr="009513A7">
        <w:rPr>
          <w:rFonts w:eastAsia="Calibri" w:cstheme="minorHAnsi"/>
          <w:sz w:val="24"/>
          <w:szCs w:val="24"/>
        </w:rPr>
        <w:t xml:space="preserve"> in the most effective way (</w:t>
      </w:r>
      <w:sdt>
        <w:sdtPr>
          <w:rPr>
            <w:rFonts w:cstheme="minorHAnsi"/>
            <w:sz w:val="24"/>
            <w:szCs w:val="24"/>
          </w:rPr>
          <w:tag w:val="goog_rdk_53"/>
          <w:id w:val="-1682198949"/>
        </w:sdtPr>
        <w:sdtEndPr/>
        <w:sdtContent/>
      </w:sdt>
      <w:r w:rsidRPr="009513A7">
        <w:rPr>
          <w:rFonts w:eastAsia="Calibri" w:cstheme="minorHAnsi"/>
          <w:sz w:val="24"/>
          <w:szCs w:val="24"/>
        </w:rPr>
        <w:t>Dey, 1993; Nobel &amp; Heale, 2019; Richards, 2015).</w:t>
      </w:r>
    </w:p>
    <w:p w14:paraId="161EF5BC" w14:textId="5DF1B739" w:rsidR="00EC0F4A" w:rsidRPr="00FE0F42" w:rsidRDefault="00EC0F4A" w:rsidP="00FE0F42">
      <w:pPr>
        <w:spacing w:after="0" w:line="480" w:lineRule="auto"/>
        <w:ind w:firstLine="720"/>
        <w:jc w:val="center"/>
        <w:rPr>
          <w:rFonts w:eastAsia="Calibri" w:cstheme="minorHAnsi"/>
          <w:b/>
          <w:bCs/>
          <w:sz w:val="24"/>
          <w:szCs w:val="24"/>
        </w:rPr>
      </w:pPr>
      <w:r>
        <w:rPr>
          <w:rFonts w:eastAsia="Calibri" w:cstheme="minorHAnsi"/>
          <w:b/>
          <w:bCs/>
          <w:sz w:val="24"/>
          <w:szCs w:val="24"/>
        </w:rPr>
        <w:t>Ethical Considerations</w:t>
      </w:r>
    </w:p>
    <w:p w14:paraId="03F1DAA8" w14:textId="5F1363F7" w:rsidR="00E22F19" w:rsidRDefault="00EC0F4A" w:rsidP="00FE0F42">
      <w:pPr>
        <w:spacing w:after="0" w:line="480" w:lineRule="auto"/>
        <w:rPr>
          <w:rFonts w:eastAsia="Calibri" w:cstheme="minorHAnsi"/>
          <w:sz w:val="24"/>
          <w:szCs w:val="24"/>
        </w:rPr>
      </w:pPr>
      <w:r>
        <w:rPr>
          <w:rFonts w:cstheme="minorHAnsi"/>
          <w:sz w:val="24"/>
          <w:szCs w:val="24"/>
        </w:rPr>
        <w:tab/>
      </w:r>
      <w:r w:rsidR="00821497" w:rsidRPr="009513A7">
        <w:rPr>
          <w:rFonts w:eastAsia="Calibri" w:cstheme="minorHAnsi"/>
          <w:sz w:val="24"/>
          <w:szCs w:val="24"/>
        </w:rPr>
        <w:t>Ethical considerations by the researcher</w:t>
      </w:r>
      <w:r w:rsidR="00894B74">
        <w:rPr>
          <w:rFonts w:eastAsia="Calibri" w:cstheme="minorHAnsi"/>
          <w:sz w:val="24"/>
          <w:szCs w:val="24"/>
        </w:rPr>
        <w:t xml:space="preserve"> </w:t>
      </w:r>
      <w:r w:rsidR="00821497" w:rsidRPr="009513A7">
        <w:rPr>
          <w:rFonts w:eastAsia="Calibri" w:cstheme="minorHAnsi"/>
          <w:sz w:val="24"/>
          <w:szCs w:val="24"/>
        </w:rPr>
        <w:t xml:space="preserve">foster the integrity of a study (Merriam &amp; Tisdell, 2016). The trustworthiness of a study can </w:t>
      </w:r>
      <w:r w:rsidR="0065462A" w:rsidRPr="009513A7">
        <w:rPr>
          <w:rFonts w:eastAsia="Calibri" w:cstheme="minorHAnsi"/>
          <w:sz w:val="24"/>
          <w:szCs w:val="24"/>
        </w:rPr>
        <w:t>be</w:t>
      </w:r>
      <w:r w:rsidR="00821497" w:rsidRPr="009513A7">
        <w:rPr>
          <w:rFonts w:eastAsia="Calibri" w:cstheme="minorHAnsi"/>
          <w:sz w:val="24"/>
          <w:szCs w:val="24"/>
        </w:rPr>
        <w:t xml:space="preserve"> connected to the trustworthiness of the researcher (Patton, 2015). For documents I obtain</w:t>
      </w:r>
      <w:r w:rsidR="00572A23">
        <w:rPr>
          <w:rFonts w:eastAsia="Calibri" w:cstheme="minorHAnsi"/>
          <w:sz w:val="24"/>
          <w:szCs w:val="24"/>
        </w:rPr>
        <w:t>ed</w:t>
      </w:r>
      <w:r w:rsidR="00821497" w:rsidRPr="009513A7">
        <w:rPr>
          <w:rFonts w:eastAsia="Calibri" w:cstheme="minorHAnsi"/>
          <w:sz w:val="24"/>
          <w:szCs w:val="24"/>
        </w:rPr>
        <w:t xml:space="preserve"> public, institutional documents such as policy or documents submitted by gatekeepers or interview participants such as </w:t>
      </w:r>
      <w:r w:rsidR="00821497" w:rsidRPr="009513A7">
        <w:rPr>
          <w:rFonts w:cstheme="minorHAnsi"/>
          <w:sz w:val="24"/>
          <w:szCs w:val="24"/>
        </w:rPr>
        <w:t>TA</w:t>
      </w:r>
      <w:r w:rsidR="00821497">
        <w:rPr>
          <w:rFonts w:cstheme="minorHAnsi"/>
          <w:sz w:val="24"/>
          <w:szCs w:val="24"/>
        </w:rPr>
        <w:t>T</w:t>
      </w:r>
      <w:r w:rsidR="00821497" w:rsidRPr="009513A7">
        <w:rPr>
          <w:rFonts w:eastAsia="Calibri" w:cstheme="minorHAnsi"/>
          <w:sz w:val="24"/>
          <w:szCs w:val="24"/>
        </w:rPr>
        <w:t xml:space="preserve"> protocol and other forms. The assumption</w:t>
      </w:r>
      <w:r w:rsidR="00572A23">
        <w:rPr>
          <w:rFonts w:eastAsia="Calibri" w:cstheme="minorHAnsi"/>
          <w:sz w:val="24"/>
          <w:szCs w:val="24"/>
        </w:rPr>
        <w:t>was</w:t>
      </w:r>
      <w:r w:rsidR="00821497" w:rsidRPr="009513A7">
        <w:rPr>
          <w:rFonts w:eastAsia="Calibri" w:cstheme="minorHAnsi"/>
          <w:sz w:val="24"/>
          <w:szCs w:val="24"/>
        </w:rPr>
        <w:t xml:space="preserve"> that much of the documentation </w:t>
      </w:r>
      <w:r w:rsidR="00572A23">
        <w:rPr>
          <w:rFonts w:eastAsia="Calibri" w:cstheme="minorHAnsi"/>
          <w:sz w:val="24"/>
          <w:szCs w:val="24"/>
        </w:rPr>
        <w:t>was</w:t>
      </w:r>
      <w:r w:rsidR="00572A23" w:rsidRPr="009513A7">
        <w:rPr>
          <w:rFonts w:eastAsia="Calibri" w:cstheme="minorHAnsi"/>
          <w:sz w:val="24"/>
          <w:szCs w:val="24"/>
        </w:rPr>
        <w:t xml:space="preserve"> </w:t>
      </w:r>
      <w:r w:rsidR="00821497" w:rsidRPr="009513A7">
        <w:rPr>
          <w:rFonts w:eastAsia="Calibri" w:cstheme="minorHAnsi"/>
          <w:sz w:val="24"/>
          <w:szCs w:val="24"/>
        </w:rPr>
        <w:t xml:space="preserve">either publicly posted or willingly submitted for research purposes; thus, minimizing ethical issues such as authenticity or accuracy of the document. </w:t>
      </w:r>
      <w:r w:rsidR="00E22F19">
        <w:rPr>
          <w:rFonts w:eastAsia="Calibri" w:cstheme="minorHAnsi"/>
          <w:sz w:val="24"/>
          <w:szCs w:val="24"/>
        </w:rPr>
        <w:t>A</w:t>
      </w:r>
      <w:r w:rsidR="00E22F19" w:rsidRPr="009513A7">
        <w:rPr>
          <w:rFonts w:eastAsia="Calibri" w:cstheme="minorHAnsi"/>
          <w:sz w:val="24"/>
          <w:szCs w:val="24"/>
        </w:rPr>
        <w:t xml:space="preserve">s a precaution, </w:t>
      </w:r>
      <w:r w:rsidR="00E22F19">
        <w:rPr>
          <w:rFonts w:eastAsia="Calibri" w:cstheme="minorHAnsi"/>
          <w:sz w:val="24"/>
          <w:szCs w:val="24"/>
        </w:rPr>
        <w:t xml:space="preserve">documents and </w:t>
      </w:r>
      <w:r w:rsidR="00E22F19" w:rsidRPr="009513A7">
        <w:rPr>
          <w:rFonts w:eastAsia="Calibri" w:cstheme="minorHAnsi"/>
          <w:sz w:val="24"/>
          <w:szCs w:val="24"/>
        </w:rPr>
        <w:t xml:space="preserve">data </w:t>
      </w:r>
      <w:r w:rsidR="00572A23">
        <w:rPr>
          <w:rFonts w:eastAsia="Calibri" w:cstheme="minorHAnsi"/>
          <w:sz w:val="24"/>
          <w:szCs w:val="24"/>
        </w:rPr>
        <w:t>was</w:t>
      </w:r>
      <w:r w:rsidR="00E22F19" w:rsidRPr="009513A7">
        <w:rPr>
          <w:rFonts w:eastAsia="Calibri" w:cstheme="minorHAnsi"/>
          <w:sz w:val="24"/>
          <w:szCs w:val="24"/>
        </w:rPr>
        <w:t xml:space="preserve"> stored in multiple places (i.e., on a laptop and jump drive). Sources will be saved in a reference manager system (i.e., Mendeley) and stored on a </w:t>
      </w:r>
      <w:r w:rsidR="00572A23">
        <w:rPr>
          <w:rFonts w:eastAsia="Calibri" w:cstheme="minorHAnsi"/>
          <w:sz w:val="24"/>
          <w:szCs w:val="24"/>
        </w:rPr>
        <w:t xml:space="preserve">secure, </w:t>
      </w:r>
      <w:r w:rsidR="00E22F19" w:rsidRPr="009513A7">
        <w:rPr>
          <w:rFonts w:eastAsia="Calibri" w:cstheme="minorHAnsi"/>
          <w:sz w:val="24"/>
          <w:szCs w:val="24"/>
        </w:rPr>
        <w:t xml:space="preserve">cloud to be easily </w:t>
      </w:r>
      <w:r w:rsidR="0065462A" w:rsidRPr="009513A7">
        <w:rPr>
          <w:rFonts w:eastAsia="Calibri" w:cstheme="minorHAnsi"/>
          <w:sz w:val="24"/>
          <w:szCs w:val="24"/>
        </w:rPr>
        <w:t>synchronized</w:t>
      </w:r>
      <w:r w:rsidR="00E22F19" w:rsidRPr="009513A7">
        <w:rPr>
          <w:rFonts w:eastAsia="Calibri" w:cstheme="minorHAnsi"/>
          <w:sz w:val="24"/>
          <w:szCs w:val="24"/>
        </w:rPr>
        <w:t xml:space="preserve"> and retrieved. </w:t>
      </w:r>
    </w:p>
    <w:p w14:paraId="057B0F00" w14:textId="35D19126" w:rsidR="0082149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lastRenderedPageBreak/>
        <w:t>IRB approval, informed consent, and the use of pseudonyms safeguard</w:t>
      </w:r>
      <w:r w:rsidR="00572A23">
        <w:rPr>
          <w:rFonts w:eastAsia="Calibri" w:cstheme="minorHAnsi"/>
          <w:sz w:val="24"/>
          <w:szCs w:val="24"/>
        </w:rPr>
        <w:t>ed</w:t>
      </w:r>
      <w:r w:rsidRPr="009513A7">
        <w:rPr>
          <w:rFonts w:eastAsia="Calibri" w:cstheme="minorHAnsi"/>
          <w:sz w:val="24"/>
          <w:szCs w:val="24"/>
        </w:rPr>
        <w:t xml:space="preserve"> against ethical issues for this study which involves human subjects. Throughout this study I provide</w:t>
      </w:r>
      <w:r w:rsidR="00572A23">
        <w:rPr>
          <w:rFonts w:eastAsia="Calibri" w:cstheme="minorHAnsi"/>
          <w:sz w:val="24"/>
          <w:szCs w:val="24"/>
        </w:rPr>
        <w:t>d</w:t>
      </w:r>
      <w:r w:rsidRPr="009513A7">
        <w:rPr>
          <w:rFonts w:eastAsia="Calibri" w:cstheme="minorHAnsi"/>
          <w:sz w:val="24"/>
          <w:szCs w:val="24"/>
        </w:rPr>
        <w:t xml:space="preserve"> clear research objectives, transcripts, and preliminary findings to participants. By doing so, I </w:t>
      </w:r>
      <w:r w:rsidR="00572A23">
        <w:rPr>
          <w:rFonts w:eastAsia="Calibri" w:cstheme="minorHAnsi"/>
          <w:sz w:val="24"/>
          <w:szCs w:val="24"/>
        </w:rPr>
        <w:t>built</w:t>
      </w:r>
      <w:r w:rsidRPr="009513A7">
        <w:rPr>
          <w:rFonts w:eastAsia="Calibri" w:cstheme="minorHAnsi"/>
          <w:sz w:val="24"/>
          <w:szCs w:val="24"/>
        </w:rPr>
        <w:t xml:space="preserve"> rapport, trust, and even check</w:t>
      </w:r>
      <w:r w:rsidR="00572A23">
        <w:rPr>
          <w:rFonts w:eastAsia="Calibri" w:cstheme="minorHAnsi"/>
          <w:sz w:val="24"/>
          <w:szCs w:val="24"/>
        </w:rPr>
        <w:t>ed</w:t>
      </w:r>
      <w:r w:rsidRPr="009513A7">
        <w:rPr>
          <w:rFonts w:eastAsia="Calibri" w:cstheme="minorHAnsi"/>
          <w:sz w:val="24"/>
          <w:szCs w:val="24"/>
        </w:rPr>
        <w:t xml:space="preserve"> my work. These efforts address</w:t>
      </w:r>
      <w:r w:rsidR="00572A23">
        <w:rPr>
          <w:rFonts w:eastAsia="Calibri" w:cstheme="minorHAnsi"/>
          <w:sz w:val="24"/>
          <w:szCs w:val="24"/>
        </w:rPr>
        <w:t>ed</w:t>
      </w:r>
      <w:r w:rsidRPr="009513A7">
        <w:rPr>
          <w:rFonts w:eastAsia="Calibri" w:cstheme="minorHAnsi"/>
          <w:sz w:val="24"/>
          <w:szCs w:val="24"/>
        </w:rPr>
        <w:t xml:space="preserve"> the rights, needs, and privacy of voluntary participants (Creswell, 2014). Further, I </w:t>
      </w:r>
      <w:r w:rsidR="00572A23">
        <w:rPr>
          <w:rFonts w:eastAsia="Calibri" w:cstheme="minorHAnsi"/>
          <w:sz w:val="24"/>
          <w:szCs w:val="24"/>
        </w:rPr>
        <w:t>remained</w:t>
      </w:r>
      <w:r w:rsidRPr="009513A7">
        <w:rPr>
          <w:rFonts w:eastAsia="Calibri" w:cstheme="minorHAnsi"/>
          <w:sz w:val="24"/>
          <w:szCs w:val="24"/>
        </w:rPr>
        <w:t xml:space="preserve"> aware of my own role, biases, and how that might impact relationships of the people, not simply subjects, of this study (Tracy, 2013). While interviewing participants about their lived experiences serving on </w:t>
      </w:r>
      <w:r w:rsidRPr="009513A7">
        <w:rPr>
          <w:rFonts w:cstheme="minorHAnsi"/>
          <w:sz w:val="24"/>
          <w:szCs w:val="24"/>
        </w:rPr>
        <w:t>TA</w:t>
      </w:r>
      <w:r>
        <w:rPr>
          <w:rFonts w:cstheme="minorHAnsi"/>
          <w:sz w:val="24"/>
          <w:szCs w:val="24"/>
        </w:rPr>
        <w:t>Ts</w:t>
      </w:r>
      <w:r w:rsidRPr="009513A7">
        <w:rPr>
          <w:rFonts w:eastAsia="Calibri" w:cstheme="minorHAnsi"/>
          <w:sz w:val="24"/>
          <w:szCs w:val="24"/>
        </w:rPr>
        <w:t xml:space="preserve">, I </w:t>
      </w:r>
      <w:r w:rsidR="00572A23">
        <w:rPr>
          <w:rFonts w:eastAsia="Calibri" w:cstheme="minorHAnsi"/>
          <w:sz w:val="24"/>
          <w:szCs w:val="24"/>
        </w:rPr>
        <w:t>used</w:t>
      </w:r>
      <w:r w:rsidRPr="009513A7">
        <w:rPr>
          <w:rFonts w:eastAsia="Calibri" w:cstheme="minorHAnsi"/>
          <w:sz w:val="24"/>
          <w:szCs w:val="24"/>
        </w:rPr>
        <w:t xml:space="preserve"> good manners and ethics (Stake, 2005). Threat assessment and prevention can be challenging and emotional. This study require</w:t>
      </w:r>
      <w:r w:rsidR="00572A23">
        <w:rPr>
          <w:rFonts w:eastAsia="Calibri" w:cstheme="minorHAnsi"/>
          <w:sz w:val="24"/>
          <w:szCs w:val="24"/>
        </w:rPr>
        <w:t>d</w:t>
      </w:r>
      <w:r w:rsidRPr="009513A7">
        <w:rPr>
          <w:rFonts w:eastAsia="Calibri" w:cstheme="minorHAnsi"/>
          <w:sz w:val="24"/>
          <w:szCs w:val="24"/>
        </w:rPr>
        <w:t xml:space="preserve"> me to ask participants probing questions about sensitive topics related to their work (Spradley, 1980). Therefore, </w:t>
      </w:r>
      <w:r w:rsidR="00572A23">
        <w:rPr>
          <w:rFonts w:eastAsia="Calibri" w:cstheme="minorHAnsi"/>
          <w:sz w:val="24"/>
          <w:szCs w:val="24"/>
        </w:rPr>
        <w:t xml:space="preserve">I acknowledged that </w:t>
      </w:r>
      <w:r w:rsidRPr="005063A3">
        <w:rPr>
          <w:rFonts w:eastAsia="Calibri" w:cstheme="minorHAnsi"/>
          <w:sz w:val="24"/>
          <w:szCs w:val="24"/>
        </w:rPr>
        <w:t>my insider/outsider issues and reflexivity are also</w:t>
      </w:r>
      <w:r w:rsidRPr="009513A7">
        <w:rPr>
          <w:rFonts w:eastAsia="Calibri" w:cstheme="minorHAnsi"/>
          <w:sz w:val="24"/>
          <w:szCs w:val="24"/>
        </w:rPr>
        <w:t xml:space="preserve"> important to note for the integrity of this study.</w:t>
      </w:r>
    </w:p>
    <w:p w14:paraId="5CFB3024" w14:textId="77777777" w:rsidR="00821497" w:rsidRDefault="00821497" w:rsidP="00821497">
      <w:pPr>
        <w:spacing w:after="0" w:line="480" w:lineRule="auto"/>
        <w:jc w:val="center"/>
        <w:rPr>
          <w:rFonts w:eastAsia="Calibri" w:cstheme="minorHAnsi"/>
          <w:b/>
          <w:bCs/>
          <w:sz w:val="24"/>
          <w:szCs w:val="24"/>
        </w:rPr>
      </w:pPr>
      <w:r>
        <w:rPr>
          <w:rFonts w:eastAsia="Calibri" w:cstheme="minorHAnsi"/>
          <w:b/>
          <w:bCs/>
          <w:sz w:val="24"/>
          <w:szCs w:val="24"/>
        </w:rPr>
        <w:t>Insider/Outsider Status and Reflexivity</w:t>
      </w:r>
    </w:p>
    <w:p w14:paraId="2B72B750" w14:textId="27C9ACE0" w:rsidR="0082149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 xml:space="preserve">The integrity of any study can be affected by </w:t>
      </w:r>
      <w:r>
        <w:rPr>
          <w:rFonts w:eastAsia="Calibri" w:cstheme="minorHAnsi"/>
          <w:sz w:val="24"/>
          <w:szCs w:val="24"/>
        </w:rPr>
        <w:t xml:space="preserve">the relationship the researcher has with the participants </w:t>
      </w:r>
      <w:r w:rsidRPr="009513A7">
        <w:rPr>
          <w:rFonts w:eastAsia="Calibri" w:cstheme="minorHAnsi"/>
          <w:sz w:val="24"/>
          <w:szCs w:val="24"/>
        </w:rPr>
        <w:t>(Merriam &amp; Tisdell, 2016)</w:t>
      </w:r>
      <w:r>
        <w:rPr>
          <w:rFonts w:eastAsia="Calibri" w:cstheme="minorHAnsi"/>
          <w:sz w:val="24"/>
          <w:szCs w:val="24"/>
        </w:rPr>
        <w:t>. For me, this include</w:t>
      </w:r>
      <w:r w:rsidR="00572A23">
        <w:rPr>
          <w:rFonts w:eastAsia="Calibri" w:cstheme="minorHAnsi"/>
          <w:sz w:val="24"/>
          <w:szCs w:val="24"/>
        </w:rPr>
        <w:t>d</w:t>
      </w:r>
      <w:r>
        <w:rPr>
          <w:rFonts w:eastAsia="Calibri" w:cstheme="minorHAnsi"/>
          <w:sz w:val="24"/>
          <w:szCs w:val="24"/>
        </w:rPr>
        <w:t xml:space="preserve"> the possible impact of insider/outsider issues</w:t>
      </w:r>
      <w:r w:rsidR="0016527E">
        <w:rPr>
          <w:rFonts w:eastAsia="Calibri" w:cstheme="minorHAnsi"/>
          <w:sz w:val="24"/>
          <w:szCs w:val="24"/>
        </w:rPr>
        <w:t xml:space="preserve">, my leadership role on a TAT, my professional experiences with threat assessment, and personal experiences with gun violence. My reflexivity </w:t>
      </w:r>
      <w:r>
        <w:rPr>
          <w:rFonts w:eastAsia="Calibri" w:cstheme="minorHAnsi"/>
          <w:sz w:val="24"/>
          <w:szCs w:val="24"/>
        </w:rPr>
        <w:t>help</w:t>
      </w:r>
      <w:r w:rsidR="00572A23">
        <w:rPr>
          <w:rFonts w:eastAsia="Calibri" w:cstheme="minorHAnsi"/>
          <w:sz w:val="24"/>
          <w:szCs w:val="24"/>
        </w:rPr>
        <w:t>ed</w:t>
      </w:r>
      <w:r>
        <w:rPr>
          <w:rFonts w:eastAsia="Calibri" w:cstheme="minorHAnsi"/>
          <w:sz w:val="24"/>
          <w:szCs w:val="24"/>
        </w:rPr>
        <w:t xml:space="preserve"> me acknowledge </w:t>
      </w:r>
      <w:r w:rsidR="0016527E">
        <w:rPr>
          <w:rFonts w:eastAsia="Calibri" w:cstheme="minorHAnsi"/>
          <w:sz w:val="24"/>
          <w:szCs w:val="24"/>
        </w:rPr>
        <w:t>m</w:t>
      </w:r>
      <w:r w:rsidR="0016527E" w:rsidRPr="00CC3155">
        <w:rPr>
          <w:rFonts w:eastAsia="Calibri" w:cstheme="minorHAnsi"/>
          <w:sz w:val="24"/>
          <w:szCs w:val="24"/>
        </w:rPr>
        <w:t xml:space="preserve">y status, perspective, biases, and </w:t>
      </w:r>
      <w:r w:rsidR="0016527E">
        <w:rPr>
          <w:rFonts w:eastAsia="Calibri" w:cstheme="minorHAnsi"/>
          <w:sz w:val="24"/>
          <w:szCs w:val="24"/>
        </w:rPr>
        <w:t xml:space="preserve">any </w:t>
      </w:r>
      <w:r w:rsidR="0016527E" w:rsidRPr="00CC3155">
        <w:rPr>
          <w:rFonts w:eastAsia="Calibri" w:cstheme="minorHAnsi"/>
          <w:sz w:val="24"/>
          <w:szCs w:val="24"/>
        </w:rPr>
        <w:t xml:space="preserve">assumptions </w:t>
      </w:r>
      <w:r>
        <w:rPr>
          <w:rFonts w:eastAsia="Calibri" w:cstheme="minorHAnsi"/>
          <w:sz w:val="24"/>
          <w:szCs w:val="24"/>
        </w:rPr>
        <w:t>that may</w:t>
      </w:r>
      <w:r w:rsidRPr="00CC3155">
        <w:rPr>
          <w:rFonts w:eastAsia="Calibri" w:cstheme="minorHAnsi"/>
          <w:sz w:val="24"/>
          <w:szCs w:val="24"/>
        </w:rPr>
        <w:t xml:space="preserve"> </w:t>
      </w:r>
      <w:sdt>
        <w:sdtPr>
          <w:rPr>
            <w:rFonts w:eastAsia="Calibri" w:cstheme="minorHAnsi"/>
            <w:sz w:val="24"/>
            <w:szCs w:val="24"/>
          </w:rPr>
          <w:tag w:val="goog_rdk_61"/>
          <w:id w:val="-1029025482"/>
        </w:sdtPr>
        <w:sdtEndPr/>
        <w:sdtContent/>
      </w:sdt>
      <w:r w:rsidRPr="00CC3155">
        <w:rPr>
          <w:rFonts w:eastAsia="Calibri" w:cstheme="minorHAnsi"/>
          <w:sz w:val="24"/>
          <w:szCs w:val="24"/>
        </w:rPr>
        <w:t xml:space="preserve">affect the study </w:t>
      </w:r>
      <w:r>
        <w:rPr>
          <w:rFonts w:eastAsia="Calibri" w:cstheme="minorHAnsi"/>
          <w:sz w:val="24"/>
          <w:szCs w:val="24"/>
        </w:rPr>
        <w:t xml:space="preserve">or me as the researcher </w:t>
      </w:r>
      <w:r w:rsidRPr="00CC3155">
        <w:rPr>
          <w:rFonts w:eastAsia="Calibri" w:cstheme="minorHAnsi"/>
          <w:sz w:val="24"/>
          <w:szCs w:val="24"/>
        </w:rPr>
        <w:t>(Maxwell, 2013).</w:t>
      </w:r>
    </w:p>
    <w:p w14:paraId="6AEF308E" w14:textId="1B098EB0" w:rsidR="00821497" w:rsidRPr="009513A7" w:rsidRDefault="00821497" w:rsidP="00821497">
      <w:pPr>
        <w:spacing w:after="0" w:line="480" w:lineRule="auto"/>
        <w:ind w:firstLine="720"/>
        <w:rPr>
          <w:rFonts w:eastAsia="Calibri" w:cstheme="minorHAnsi"/>
          <w:sz w:val="24"/>
          <w:szCs w:val="24"/>
        </w:rPr>
      </w:pPr>
      <w:r>
        <w:rPr>
          <w:rFonts w:eastAsia="Calibri" w:cstheme="minorHAnsi"/>
          <w:sz w:val="24"/>
          <w:szCs w:val="24"/>
        </w:rPr>
        <w:t>My role as a current leader of a TAT</w:t>
      </w:r>
      <w:r w:rsidRPr="009513A7">
        <w:rPr>
          <w:rFonts w:eastAsia="Calibri" w:cstheme="minorHAnsi"/>
          <w:sz w:val="24"/>
          <w:szCs w:val="24"/>
        </w:rPr>
        <w:t xml:space="preserve"> </w:t>
      </w:r>
      <w:r>
        <w:rPr>
          <w:rFonts w:eastAsia="Calibri" w:cstheme="minorHAnsi"/>
          <w:sz w:val="24"/>
          <w:szCs w:val="24"/>
        </w:rPr>
        <w:t>makes me</w:t>
      </w:r>
      <w:r w:rsidRPr="009513A7">
        <w:rPr>
          <w:rFonts w:eastAsia="Calibri" w:cstheme="minorHAnsi"/>
          <w:sz w:val="24"/>
          <w:szCs w:val="24"/>
        </w:rPr>
        <w:t xml:space="preserve"> an </w:t>
      </w:r>
      <w:r>
        <w:rPr>
          <w:rFonts w:eastAsia="Calibri" w:cstheme="minorHAnsi"/>
          <w:sz w:val="24"/>
          <w:szCs w:val="24"/>
        </w:rPr>
        <w:t>“</w:t>
      </w:r>
      <w:r w:rsidRPr="009513A7">
        <w:rPr>
          <w:rFonts w:eastAsia="Calibri" w:cstheme="minorHAnsi"/>
          <w:sz w:val="24"/>
          <w:szCs w:val="24"/>
        </w:rPr>
        <w:t>insider</w:t>
      </w:r>
      <w:r>
        <w:rPr>
          <w:rFonts w:eastAsia="Calibri" w:cstheme="minorHAnsi"/>
          <w:sz w:val="24"/>
          <w:szCs w:val="24"/>
        </w:rPr>
        <w:t>”</w:t>
      </w:r>
      <w:r w:rsidRPr="009513A7">
        <w:rPr>
          <w:rFonts w:eastAsia="Calibri" w:cstheme="minorHAnsi"/>
          <w:sz w:val="24"/>
          <w:szCs w:val="24"/>
        </w:rPr>
        <w:t xml:space="preserve"> in terms of threat assessment and case management within </w:t>
      </w:r>
      <w:r w:rsidR="00BF18E0">
        <w:rPr>
          <w:rFonts w:eastAsia="Calibri" w:cstheme="minorHAnsi"/>
          <w:sz w:val="24"/>
          <w:szCs w:val="24"/>
        </w:rPr>
        <w:t xml:space="preserve">threat assessment in </w:t>
      </w:r>
      <w:r w:rsidRPr="009513A7">
        <w:rPr>
          <w:rFonts w:eastAsia="Calibri" w:cstheme="minorHAnsi"/>
          <w:sz w:val="24"/>
          <w:szCs w:val="24"/>
        </w:rPr>
        <w:t>the SEC</w:t>
      </w:r>
      <w:r>
        <w:rPr>
          <w:rFonts w:eastAsia="Calibri" w:cstheme="minorHAnsi"/>
          <w:sz w:val="24"/>
          <w:szCs w:val="24"/>
        </w:rPr>
        <w:t xml:space="preserve"> </w:t>
      </w:r>
      <w:r w:rsidRPr="009513A7">
        <w:rPr>
          <w:rFonts w:eastAsia="Calibri" w:cstheme="minorHAnsi"/>
          <w:sz w:val="24"/>
          <w:szCs w:val="24"/>
        </w:rPr>
        <w:t xml:space="preserve">(Merriam &amp; Tisdell, 2016). However, I </w:t>
      </w:r>
      <w:r>
        <w:rPr>
          <w:rFonts w:eastAsia="Calibri" w:cstheme="minorHAnsi"/>
          <w:sz w:val="24"/>
          <w:szCs w:val="24"/>
        </w:rPr>
        <w:t>am</w:t>
      </w:r>
      <w:r w:rsidRPr="009513A7">
        <w:rPr>
          <w:rFonts w:eastAsia="Calibri" w:cstheme="minorHAnsi"/>
          <w:sz w:val="24"/>
          <w:szCs w:val="24"/>
        </w:rPr>
        <w:t xml:space="preserve"> an outside</w:t>
      </w:r>
      <w:sdt>
        <w:sdtPr>
          <w:rPr>
            <w:rFonts w:cstheme="minorHAnsi"/>
            <w:sz w:val="24"/>
            <w:szCs w:val="24"/>
          </w:rPr>
          <w:tag w:val="goog_rdk_70"/>
          <w:id w:val="-841539997"/>
        </w:sdtPr>
        <w:sdtEndPr/>
        <w:sdtContent>
          <w:r w:rsidRPr="009513A7">
            <w:rPr>
              <w:rFonts w:eastAsia="Calibri" w:cstheme="minorHAnsi"/>
              <w:sz w:val="24"/>
              <w:szCs w:val="24"/>
            </w:rPr>
            <w:t>r</w:t>
          </w:r>
        </w:sdtContent>
      </w:sdt>
      <w:r w:rsidRPr="009513A7">
        <w:rPr>
          <w:rFonts w:eastAsia="Calibri" w:cstheme="minorHAnsi"/>
          <w:sz w:val="24"/>
          <w:szCs w:val="24"/>
        </w:rPr>
        <w:t xml:space="preserve"> to specific institutions or teams</w:t>
      </w:r>
      <w:r>
        <w:rPr>
          <w:rFonts w:eastAsia="Calibri" w:cstheme="minorHAnsi"/>
          <w:sz w:val="24"/>
          <w:szCs w:val="24"/>
        </w:rPr>
        <w:t>.</w:t>
      </w:r>
      <w:r w:rsidRPr="009513A7">
        <w:rPr>
          <w:rFonts w:eastAsia="Calibri" w:cstheme="minorHAnsi"/>
          <w:sz w:val="24"/>
          <w:szCs w:val="24"/>
        </w:rPr>
        <w:t xml:space="preserve"> </w:t>
      </w:r>
      <w:r>
        <w:rPr>
          <w:rFonts w:eastAsia="Calibri" w:cstheme="minorHAnsi"/>
          <w:sz w:val="24"/>
          <w:szCs w:val="24"/>
        </w:rPr>
        <w:t>I use</w:t>
      </w:r>
      <w:r w:rsidR="00BF18E0">
        <w:rPr>
          <w:rFonts w:eastAsia="Calibri" w:cstheme="minorHAnsi"/>
          <w:sz w:val="24"/>
          <w:szCs w:val="24"/>
        </w:rPr>
        <w:t>d</w:t>
      </w:r>
      <w:r>
        <w:rPr>
          <w:rFonts w:eastAsia="Calibri" w:cstheme="minorHAnsi"/>
          <w:sz w:val="24"/>
          <w:szCs w:val="24"/>
        </w:rPr>
        <w:t xml:space="preserve"> my leadership role on a TAT and professional experiences with threat assessment </w:t>
      </w:r>
      <w:r w:rsidRPr="009513A7">
        <w:rPr>
          <w:rFonts w:eastAsia="Calibri" w:cstheme="minorHAnsi"/>
          <w:sz w:val="24"/>
          <w:szCs w:val="24"/>
        </w:rPr>
        <w:t xml:space="preserve">to examine and interpret the data. </w:t>
      </w:r>
      <w:r w:rsidRPr="009513A7">
        <w:rPr>
          <w:rFonts w:eastAsia="Calibri" w:cstheme="minorHAnsi"/>
          <w:sz w:val="24"/>
          <w:szCs w:val="24"/>
        </w:rPr>
        <w:lastRenderedPageBreak/>
        <w:t xml:space="preserve">This lens </w:t>
      </w:r>
      <w:r>
        <w:rPr>
          <w:rFonts w:eastAsia="Calibri" w:cstheme="minorHAnsi"/>
          <w:sz w:val="24"/>
          <w:szCs w:val="24"/>
        </w:rPr>
        <w:t xml:space="preserve">also </w:t>
      </w:r>
      <w:r w:rsidRPr="009513A7">
        <w:rPr>
          <w:rFonts w:eastAsia="Calibri" w:cstheme="minorHAnsi"/>
          <w:sz w:val="24"/>
          <w:szCs w:val="24"/>
        </w:rPr>
        <w:t>inform</w:t>
      </w:r>
      <w:r w:rsidR="00BF18E0">
        <w:rPr>
          <w:rFonts w:eastAsia="Calibri" w:cstheme="minorHAnsi"/>
          <w:sz w:val="24"/>
          <w:szCs w:val="24"/>
        </w:rPr>
        <w:t>ed</w:t>
      </w:r>
      <w:r w:rsidRPr="009513A7">
        <w:rPr>
          <w:rFonts w:eastAsia="Calibri" w:cstheme="minorHAnsi"/>
          <w:sz w:val="24"/>
          <w:szCs w:val="24"/>
        </w:rPr>
        <w:t xml:space="preserve"> data collection and analysis (Creswell, 2014</w:t>
      </w:r>
      <w:r>
        <w:rPr>
          <w:rFonts w:eastAsia="Calibri" w:cstheme="minorHAnsi"/>
          <w:sz w:val="24"/>
          <w:szCs w:val="24"/>
        </w:rPr>
        <w:t xml:space="preserve">; </w:t>
      </w:r>
      <w:r w:rsidR="00D833BF">
        <w:rPr>
          <w:rFonts w:eastAsia="Calibri" w:cstheme="minorHAnsi"/>
          <w:sz w:val="24"/>
          <w:szCs w:val="24"/>
        </w:rPr>
        <w:t>Merriam &amp; Tisdell, 2016)</w:t>
      </w:r>
      <w:r>
        <w:rPr>
          <w:rFonts w:eastAsia="Calibri" w:cstheme="minorHAnsi"/>
          <w:sz w:val="24"/>
          <w:szCs w:val="24"/>
        </w:rPr>
        <w:t>.</w:t>
      </w:r>
      <w:r w:rsidRPr="009513A7">
        <w:rPr>
          <w:rFonts w:eastAsia="Calibri" w:cstheme="minorHAnsi"/>
          <w:sz w:val="24"/>
          <w:szCs w:val="24"/>
        </w:rPr>
        <w:t xml:space="preserve"> I have served on a TA</w:t>
      </w:r>
      <w:r>
        <w:rPr>
          <w:rFonts w:eastAsia="Calibri" w:cstheme="minorHAnsi"/>
          <w:sz w:val="24"/>
          <w:szCs w:val="24"/>
        </w:rPr>
        <w:t>T</w:t>
      </w:r>
      <w:r w:rsidRPr="009513A7">
        <w:rPr>
          <w:rFonts w:eastAsia="Calibri" w:cstheme="minorHAnsi"/>
          <w:sz w:val="24"/>
          <w:szCs w:val="24"/>
        </w:rPr>
        <w:t xml:space="preserve"> for </w:t>
      </w:r>
      <w:r>
        <w:rPr>
          <w:rFonts w:eastAsia="Calibri" w:cstheme="minorHAnsi"/>
          <w:sz w:val="24"/>
          <w:szCs w:val="24"/>
        </w:rPr>
        <w:t>much of my</w:t>
      </w:r>
      <w:r w:rsidRPr="009513A7">
        <w:rPr>
          <w:rFonts w:eastAsia="Calibri" w:cstheme="minorHAnsi"/>
          <w:sz w:val="24"/>
          <w:szCs w:val="24"/>
        </w:rPr>
        <w:t xml:space="preserve"> career and by extension view threat </w:t>
      </w:r>
      <w:r>
        <w:rPr>
          <w:rFonts w:eastAsia="Calibri" w:cstheme="minorHAnsi"/>
          <w:sz w:val="24"/>
          <w:szCs w:val="24"/>
        </w:rPr>
        <w:t xml:space="preserve">assessment </w:t>
      </w:r>
      <w:r w:rsidRPr="009513A7">
        <w:rPr>
          <w:rFonts w:eastAsia="Calibri" w:cstheme="minorHAnsi"/>
          <w:sz w:val="24"/>
          <w:szCs w:val="24"/>
        </w:rPr>
        <w:t xml:space="preserve">as valuable work for the safety and well-being of a campus community. I </w:t>
      </w:r>
      <w:r w:rsidR="00BF18E0">
        <w:rPr>
          <w:rFonts w:eastAsia="Calibri" w:cstheme="minorHAnsi"/>
          <w:sz w:val="24"/>
          <w:szCs w:val="24"/>
        </w:rPr>
        <w:t>was</w:t>
      </w:r>
      <w:r w:rsidRPr="009513A7">
        <w:rPr>
          <w:rFonts w:eastAsia="Calibri" w:cstheme="minorHAnsi"/>
          <w:sz w:val="24"/>
          <w:szCs w:val="24"/>
        </w:rPr>
        <w:t xml:space="preserve"> mindful of this potential bias during interviews and read transcripts multiple times so the participants</w:t>
      </w:r>
      <w:r>
        <w:rPr>
          <w:rFonts w:eastAsia="Calibri" w:cstheme="minorHAnsi"/>
          <w:sz w:val="24"/>
          <w:szCs w:val="24"/>
        </w:rPr>
        <w:t>’</w:t>
      </w:r>
      <w:r w:rsidRPr="009513A7">
        <w:rPr>
          <w:rFonts w:eastAsia="Calibri" w:cstheme="minorHAnsi"/>
          <w:sz w:val="24"/>
          <w:szCs w:val="24"/>
        </w:rPr>
        <w:t xml:space="preserve"> voice</w:t>
      </w:r>
      <w:r>
        <w:rPr>
          <w:rFonts w:eastAsia="Calibri" w:cstheme="minorHAnsi"/>
          <w:sz w:val="24"/>
          <w:szCs w:val="24"/>
        </w:rPr>
        <w:t>s</w:t>
      </w:r>
      <w:r w:rsidRPr="009513A7">
        <w:rPr>
          <w:rFonts w:eastAsia="Calibri" w:cstheme="minorHAnsi"/>
          <w:sz w:val="24"/>
          <w:szCs w:val="24"/>
        </w:rPr>
        <w:t xml:space="preserve"> </w:t>
      </w:r>
      <w:r w:rsidR="002D5C7E" w:rsidRPr="009513A7">
        <w:rPr>
          <w:rFonts w:eastAsia="Calibri" w:cstheme="minorHAnsi"/>
          <w:sz w:val="24"/>
          <w:szCs w:val="24"/>
        </w:rPr>
        <w:t>exceed</w:t>
      </w:r>
      <w:r w:rsidR="00BF18E0">
        <w:rPr>
          <w:rFonts w:eastAsia="Calibri" w:cstheme="minorHAnsi"/>
          <w:sz w:val="24"/>
          <w:szCs w:val="24"/>
        </w:rPr>
        <w:t>ed</w:t>
      </w:r>
      <w:r w:rsidR="002D5C7E" w:rsidRPr="009513A7">
        <w:rPr>
          <w:rFonts w:eastAsia="Calibri" w:cstheme="minorHAnsi"/>
          <w:sz w:val="24"/>
          <w:szCs w:val="24"/>
        </w:rPr>
        <w:t xml:space="preserve"> mine</w:t>
      </w:r>
      <w:r w:rsidRPr="009513A7">
        <w:rPr>
          <w:rFonts w:eastAsia="Calibri" w:cstheme="minorHAnsi"/>
          <w:sz w:val="24"/>
          <w:szCs w:val="24"/>
        </w:rPr>
        <w:t xml:space="preserve">. </w:t>
      </w:r>
      <w:r>
        <w:rPr>
          <w:rFonts w:eastAsia="Calibri" w:cstheme="minorHAnsi"/>
          <w:sz w:val="24"/>
          <w:szCs w:val="24"/>
        </w:rPr>
        <w:t xml:space="preserve">While insider status and my role can build rapport with other threat assessment professionals (study participants), it may also affect their responses to questions. </w:t>
      </w:r>
      <w:sdt>
        <w:sdtPr>
          <w:rPr>
            <w:rFonts w:cstheme="minorHAnsi"/>
            <w:sz w:val="24"/>
            <w:szCs w:val="24"/>
          </w:rPr>
          <w:tag w:val="goog_rdk_72"/>
          <w:id w:val="407271638"/>
        </w:sdtPr>
        <w:sdtEndPr/>
        <w:sdtContent/>
      </w:sdt>
      <w:r w:rsidRPr="009513A7">
        <w:rPr>
          <w:rFonts w:eastAsia="Calibri" w:cstheme="minorHAnsi"/>
          <w:sz w:val="24"/>
          <w:szCs w:val="24"/>
        </w:rPr>
        <w:t xml:space="preserve">I </w:t>
      </w:r>
      <w:r w:rsidR="00BF18E0">
        <w:rPr>
          <w:rFonts w:eastAsia="Calibri" w:cstheme="minorHAnsi"/>
          <w:sz w:val="24"/>
          <w:szCs w:val="24"/>
        </w:rPr>
        <w:t>was</w:t>
      </w:r>
      <w:r w:rsidRPr="009513A7">
        <w:rPr>
          <w:rFonts w:eastAsia="Calibri" w:cstheme="minorHAnsi"/>
          <w:sz w:val="24"/>
          <w:szCs w:val="24"/>
        </w:rPr>
        <w:t xml:space="preserve"> clear about my research objectives throughout </w:t>
      </w:r>
      <w:r>
        <w:rPr>
          <w:rFonts w:eastAsia="Calibri" w:cstheme="minorHAnsi"/>
          <w:sz w:val="24"/>
          <w:szCs w:val="24"/>
        </w:rPr>
        <w:t>the</w:t>
      </w:r>
      <w:r w:rsidRPr="009513A7">
        <w:rPr>
          <w:rFonts w:eastAsia="Calibri" w:cstheme="minorHAnsi"/>
          <w:sz w:val="24"/>
          <w:szCs w:val="24"/>
        </w:rPr>
        <w:t xml:space="preserve"> study to minimize questions</w:t>
      </w:r>
      <w:r>
        <w:rPr>
          <w:rFonts w:eastAsia="Calibri" w:cstheme="minorHAnsi"/>
          <w:sz w:val="24"/>
          <w:szCs w:val="24"/>
        </w:rPr>
        <w:t xml:space="preserve"> and maximize transparency. </w:t>
      </w:r>
      <w:r>
        <w:rPr>
          <w:rFonts w:cstheme="minorHAnsi"/>
          <w:sz w:val="24"/>
          <w:szCs w:val="24"/>
        </w:rPr>
        <w:t>I want</w:t>
      </w:r>
      <w:r w:rsidR="00BF18E0">
        <w:rPr>
          <w:rFonts w:cstheme="minorHAnsi"/>
          <w:sz w:val="24"/>
          <w:szCs w:val="24"/>
        </w:rPr>
        <w:t>ed</w:t>
      </w:r>
      <w:r>
        <w:rPr>
          <w:rFonts w:cstheme="minorHAnsi"/>
          <w:sz w:val="24"/>
          <w:szCs w:val="24"/>
        </w:rPr>
        <w:t xml:space="preserve"> to honor the nature of qualitative research and do research with people, not on people (</w:t>
      </w:r>
      <w:r w:rsidRPr="009513A7">
        <w:rPr>
          <w:rFonts w:eastAsia="Calibri" w:cstheme="minorHAnsi"/>
          <w:sz w:val="24"/>
          <w:szCs w:val="24"/>
        </w:rPr>
        <w:t>Merriam</w:t>
      </w:r>
      <w:r>
        <w:rPr>
          <w:rFonts w:eastAsia="Calibri" w:cstheme="minorHAnsi"/>
          <w:sz w:val="24"/>
          <w:szCs w:val="24"/>
        </w:rPr>
        <w:t xml:space="preserve"> &amp;</w:t>
      </w:r>
      <w:r w:rsidRPr="009513A7">
        <w:rPr>
          <w:rFonts w:eastAsia="Calibri" w:cstheme="minorHAnsi"/>
          <w:sz w:val="24"/>
          <w:szCs w:val="24"/>
        </w:rPr>
        <w:t xml:space="preserve"> Tisdell</w:t>
      </w:r>
      <w:r>
        <w:rPr>
          <w:rFonts w:eastAsia="Calibri" w:cstheme="minorHAnsi"/>
          <w:sz w:val="24"/>
          <w:szCs w:val="24"/>
        </w:rPr>
        <w:t xml:space="preserve">, 2016). </w:t>
      </w:r>
    </w:p>
    <w:p w14:paraId="7526B623" w14:textId="7724E0D6" w:rsidR="00821497" w:rsidRPr="009513A7" w:rsidRDefault="00821497" w:rsidP="00821497">
      <w:pPr>
        <w:spacing w:after="0" w:line="480" w:lineRule="auto"/>
        <w:ind w:firstLine="720"/>
        <w:rPr>
          <w:rFonts w:eastAsia="Calibri" w:cstheme="minorHAnsi"/>
          <w:b/>
          <w:sz w:val="24"/>
          <w:szCs w:val="24"/>
        </w:rPr>
      </w:pPr>
      <w:r w:rsidRPr="009513A7">
        <w:rPr>
          <w:rFonts w:eastAsia="Calibri" w:cstheme="minorHAnsi"/>
          <w:sz w:val="24"/>
          <w:szCs w:val="24"/>
        </w:rPr>
        <w:t xml:space="preserve">Reflexivity is how the researcher and the research process affect each other (Probst &amp; Berenson, </w:t>
      </w:r>
      <w:sdt>
        <w:sdtPr>
          <w:rPr>
            <w:rFonts w:cstheme="minorHAnsi"/>
            <w:sz w:val="24"/>
            <w:szCs w:val="24"/>
          </w:rPr>
          <w:tag w:val="goog_rdk_59"/>
          <w:id w:val="211539178"/>
        </w:sdtPr>
        <w:sdtEndPr/>
        <w:sdtContent/>
      </w:sdt>
      <w:r w:rsidRPr="009513A7">
        <w:rPr>
          <w:rFonts w:eastAsia="Calibri" w:cstheme="minorHAnsi"/>
          <w:sz w:val="24"/>
          <w:szCs w:val="24"/>
        </w:rPr>
        <w:t>2014). One purpose of threat assessment is to mitigate risk and prevent tragedy such as an active shooter.</w:t>
      </w:r>
      <w:r>
        <w:rPr>
          <w:rFonts w:eastAsia="Calibri" w:cstheme="minorHAnsi"/>
          <w:sz w:val="24"/>
          <w:szCs w:val="24"/>
        </w:rPr>
        <w:t xml:space="preserve"> </w:t>
      </w:r>
      <w:r w:rsidRPr="009513A7">
        <w:rPr>
          <w:rFonts w:eastAsia="Calibri" w:cstheme="minorHAnsi"/>
          <w:sz w:val="24"/>
          <w:szCs w:val="24"/>
        </w:rPr>
        <w:t>Questions about the work of the teams could evoke emotions from participants who may have personally experienced trauma or distress in the workplace or otherwise</w:t>
      </w:r>
      <w:r w:rsidR="004F37F0">
        <w:rPr>
          <w:rFonts w:eastAsia="Calibri" w:cstheme="minorHAnsi"/>
          <w:sz w:val="24"/>
          <w:szCs w:val="24"/>
        </w:rPr>
        <w:t>.</w:t>
      </w:r>
      <w:r>
        <w:rPr>
          <w:rFonts w:eastAsia="Calibri" w:cstheme="minorHAnsi"/>
          <w:sz w:val="24"/>
          <w:szCs w:val="24"/>
        </w:rPr>
        <w:t xml:space="preserve"> </w:t>
      </w:r>
      <w:r w:rsidRPr="009513A7">
        <w:rPr>
          <w:rFonts w:eastAsia="Calibri" w:cstheme="minorHAnsi"/>
          <w:sz w:val="24"/>
          <w:szCs w:val="24"/>
        </w:rPr>
        <w:t>Outside of work, I have been threatened with a weapon where an attacker aimed and fired a</w:t>
      </w:r>
      <w:r>
        <w:rPr>
          <w:rFonts w:eastAsia="Calibri" w:cstheme="minorHAnsi"/>
          <w:sz w:val="24"/>
          <w:szCs w:val="24"/>
        </w:rPr>
        <w:t xml:space="preserve"> firearm</w:t>
      </w:r>
      <w:r w:rsidRPr="009513A7">
        <w:rPr>
          <w:rFonts w:eastAsia="Calibri" w:cstheme="minorHAnsi"/>
          <w:sz w:val="24"/>
          <w:szCs w:val="24"/>
        </w:rPr>
        <w:t xml:space="preserve"> at me. Participants may not know th</w:t>
      </w:r>
      <w:r>
        <w:rPr>
          <w:rFonts w:eastAsia="Calibri" w:cstheme="minorHAnsi"/>
          <w:sz w:val="24"/>
          <w:szCs w:val="24"/>
        </w:rPr>
        <w:t xml:space="preserve">at I have direct experience with gun violence. While it </w:t>
      </w:r>
      <w:r w:rsidR="00BF18E0">
        <w:rPr>
          <w:rFonts w:eastAsia="Calibri" w:cstheme="minorHAnsi"/>
          <w:sz w:val="24"/>
          <w:szCs w:val="24"/>
        </w:rPr>
        <w:t xml:space="preserve">was </w:t>
      </w:r>
      <w:r>
        <w:rPr>
          <w:rFonts w:eastAsia="Calibri" w:cstheme="minorHAnsi"/>
          <w:sz w:val="24"/>
          <w:szCs w:val="24"/>
        </w:rPr>
        <w:t xml:space="preserve">not a </w:t>
      </w:r>
      <w:r w:rsidRPr="009513A7">
        <w:rPr>
          <w:rFonts w:eastAsia="Calibri" w:cstheme="minorHAnsi"/>
          <w:sz w:val="24"/>
          <w:szCs w:val="24"/>
        </w:rPr>
        <w:t>driving factor for my interest in this study</w:t>
      </w:r>
      <w:r w:rsidR="00BF18E0">
        <w:rPr>
          <w:rFonts w:eastAsia="Calibri" w:cstheme="minorHAnsi"/>
          <w:sz w:val="24"/>
          <w:szCs w:val="24"/>
        </w:rPr>
        <w:t>, I was aware</w:t>
      </w:r>
      <w:r>
        <w:rPr>
          <w:rFonts w:eastAsia="Calibri" w:cstheme="minorHAnsi"/>
          <w:sz w:val="24"/>
          <w:szCs w:val="24"/>
        </w:rPr>
        <w:t xml:space="preserve"> it</w:t>
      </w:r>
      <w:r w:rsidRPr="009513A7">
        <w:rPr>
          <w:rFonts w:eastAsia="Calibri" w:cstheme="minorHAnsi"/>
          <w:sz w:val="24"/>
          <w:szCs w:val="24"/>
        </w:rPr>
        <w:t xml:space="preserve"> could </w:t>
      </w:r>
      <w:r>
        <w:rPr>
          <w:rFonts w:eastAsia="Calibri" w:cstheme="minorHAnsi"/>
          <w:sz w:val="24"/>
          <w:szCs w:val="24"/>
        </w:rPr>
        <w:t>affect</w:t>
      </w:r>
      <w:r w:rsidRPr="009513A7">
        <w:rPr>
          <w:rFonts w:eastAsia="Calibri" w:cstheme="minorHAnsi"/>
          <w:sz w:val="24"/>
          <w:szCs w:val="24"/>
        </w:rPr>
        <w:t xml:space="preserve"> my reactions to </w:t>
      </w:r>
      <w:r>
        <w:rPr>
          <w:rFonts w:eastAsia="Calibri" w:cstheme="minorHAnsi"/>
          <w:sz w:val="24"/>
          <w:szCs w:val="24"/>
        </w:rPr>
        <w:t xml:space="preserve">participant </w:t>
      </w:r>
      <w:r w:rsidRPr="009513A7">
        <w:rPr>
          <w:rFonts w:eastAsia="Calibri" w:cstheme="minorHAnsi"/>
          <w:sz w:val="24"/>
          <w:szCs w:val="24"/>
        </w:rPr>
        <w:t>responses</w:t>
      </w:r>
      <w:r>
        <w:rPr>
          <w:rFonts w:eastAsia="Calibri" w:cstheme="minorHAnsi"/>
          <w:sz w:val="24"/>
          <w:szCs w:val="24"/>
        </w:rPr>
        <w:t>. T</w:t>
      </w:r>
      <w:r w:rsidRPr="009513A7">
        <w:rPr>
          <w:rFonts w:eastAsia="Calibri" w:cstheme="minorHAnsi"/>
          <w:sz w:val="24"/>
          <w:szCs w:val="24"/>
        </w:rPr>
        <w:t>herefore</w:t>
      </w:r>
      <w:r>
        <w:rPr>
          <w:rFonts w:eastAsia="Calibri" w:cstheme="minorHAnsi"/>
          <w:sz w:val="24"/>
          <w:szCs w:val="24"/>
        </w:rPr>
        <w:t>,</w:t>
      </w:r>
      <w:r w:rsidRPr="009513A7">
        <w:rPr>
          <w:rFonts w:eastAsia="Calibri" w:cstheme="minorHAnsi"/>
          <w:sz w:val="24"/>
          <w:szCs w:val="24"/>
        </w:rPr>
        <w:t xml:space="preserve"> I </w:t>
      </w:r>
      <w:r w:rsidR="00BF18E0">
        <w:rPr>
          <w:rFonts w:eastAsia="Calibri" w:cstheme="minorHAnsi"/>
          <w:sz w:val="24"/>
          <w:szCs w:val="24"/>
        </w:rPr>
        <w:t>was</w:t>
      </w:r>
      <w:r w:rsidRPr="009513A7">
        <w:rPr>
          <w:rFonts w:eastAsia="Calibri" w:cstheme="minorHAnsi"/>
          <w:sz w:val="24"/>
          <w:szCs w:val="24"/>
        </w:rPr>
        <w:t xml:space="preserve"> mindful of this </w:t>
      </w:r>
      <w:r>
        <w:rPr>
          <w:rFonts w:eastAsia="Calibri" w:cstheme="minorHAnsi"/>
          <w:sz w:val="24"/>
          <w:szCs w:val="24"/>
        </w:rPr>
        <w:t>possibility entering</w:t>
      </w:r>
      <w:r w:rsidRPr="009513A7">
        <w:rPr>
          <w:rFonts w:eastAsia="Calibri" w:cstheme="minorHAnsi"/>
          <w:sz w:val="24"/>
          <w:szCs w:val="24"/>
        </w:rPr>
        <w:t xml:space="preserve"> each interview. </w:t>
      </w:r>
      <w:r>
        <w:rPr>
          <w:rFonts w:eastAsia="Calibri" w:cstheme="minorHAnsi"/>
          <w:sz w:val="24"/>
          <w:szCs w:val="24"/>
        </w:rPr>
        <w:t xml:space="preserve">By acknowledging my status, experiences, and opinions throughout the study I </w:t>
      </w:r>
      <w:r w:rsidR="00BF18E0">
        <w:rPr>
          <w:rFonts w:eastAsia="Calibri" w:cstheme="minorHAnsi"/>
          <w:sz w:val="24"/>
          <w:szCs w:val="24"/>
        </w:rPr>
        <w:t>took</w:t>
      </w:r>
      <w:r>
        <w:rPr>
          <w:rFonts w:eastAsia="Calibri" w:cstheme="minorHAnsi"/>
          <w:sz w:val="24"/>
          <w:szCs w:val="24"/>
        </w:rPr>
        <w:t xml:space="preserve"> a better analytical approach to developing the findings. </w:t>
      </w:r>
    </w:p>
    <w:p w14:paraId="692654F9" w14:textId="77777777" w:rsidR="00821497" w:rsidRDefault="00821497" w:rsidP="00821497">
      <w:pPr>
        <w:spacing w:after="0" w:line="480" w:lineRule="auto"/>
        <w:jc w:val="center"/>
        <w:rPr>
          <w:rFonts w:eastAsia="Calibri" w:cstheme="minorHAnsi"/>
          <w:b/>
          <w:sz w:val="24"/>
          <w:szCs w:val="24"/>
        </w:rPr>
      </w:pPr>
      <w:r w:rsidRPr="009513A7">
        <w:rPr>
          <w:rFonts w:eastAsia="Calibri" w:cstheme="minorHAnsi"/>
          <w:b/>
          <w:sz w:val="24"/>
          <w:szCs w:val="24"/>
        </w:rPr>
        <w:t xml:space="preserve">Summary </w:t>
      </w:r>
    </w:p>
    <w:p w14:paraId="2A812107" w14:textId="53E85BCA" w:rsidR="00A25010" w:rsidRDefault="00821497" w:rsidP="00FE0F42">
      <w:pPr>
        <w:spacing w:after="0" w:line="480" w:lineRule="auto"/>
        <w:ind w:firstLine="720"/>
        <w:rPr>
          <w:rFonts w:eastAsia="Calibri" w:cstheme="minorHAnsi"/>
          <w:b/>
          <w:sz w:val="24"/>
          <w:szCs w:val="24"/>
        </w:rPr>
      </w:pPr>
      <w:r w:rsidRPr="009513A7">
        <w:rPr>
          <w:rFonts w:cstheme="minorHAnsi"/>
          <w:sz w:val="24"/>
          <w:szCs w:val="24"/>
        </w:rPr>
        <w:t>In Chapter 3</w:t>
      </w:r>
      <w:r>
        <w:rPr>
          <w:rFonts w:cstheme="minorHAnsi"/>
          <w:sz w:val="24"/>
          <w:szCs w:val="24"/>
        </w:rPr>
        <w:t>,</w:t>
      </w:r>
      <w:r w:rsidRPr="009513A7">
        <w:rPr>
          <w:rFonts w:cstheme="minorHAnsi"/>
          <w:sz w:val="24"/>
          <w:szCs w:val="24"/>
        </w:rPr>
        <w:t xml:space="preserve"> I </w:t>
      </w:r>
      <w:bookmarkStart w:id="14" w:name="_Hlk149662821"/>
      <w:r>
        <w:rPr>
          <w:rFonts w:cstheme="minorHAnsi"/>
          <w:sz w:val="24"/>
          <w:szCs w:val="24"/>
        </w:rPr>
        <w:t>presented the research question that guide</w:t>
      </w:r>
      <w:r w:rsidR="00BF18E0">
        <w:rPr>
          <w:rFonts w:cstheme="minorHAnsi"/>
          <w:sz w:val="24"/>
          <w:szCs w:val="24"/>
        </w:rPr>
        <w:t>d</w:t>
      </w:r>
      <w:r>
        <w:rPr>
          <w:rFonts w:cstheme="minorHAnsi"/>
          <w:sz w:val="24"/>
          <w:szCs w:val="24"/>
        </w:rPr>
        <w:t xml:space="preserve"> this study</w:t>
      </w:r>
      <w:r w:rsidR="00BF18E0">
        <w:rPr>
          <w:rFonts w:cstheme="minorHAnsi"/>
          <w:sz w:val="24"/>
          <w:szCs w:val="24"/>
        </w:rPr>
        <w:t xml:space="preserve">. I also </w:t>
      </w:r>
      <w:r>
        <w:rPr>
          <w:rFonts w:cstheme="minorHAnsi"/>
          <w:sz w:val="24"/>
          <w:szCs w:val="24"/>
        </w:rPr>
        <w:t xml:space="preserve">discussed the </w:t>
      </w:r>
      <w:r w:rsidR="00BF18E0">
        <w:rPr>
          <w:rFonts w:cstheme="minorHAnsi"/>
          <w:sz w:val="24"/>
          <w:szCs w:val="24"/>
        </w:rPr>
        <w:t xml:space="preserve">rationale for </w:t>
      </w:r>
      <w:r w:rsidRPr="009513A7">
        <w:rPr>
          <w:rFonts w:cstheme="minorHAnsi"/>
          <w:sz w:val="24"/>
          <w:szCs w:val="24"/>
        </w:rPr>
        <w:t xml:space="preserve">this </w:t>
      </w:r>
      <w:r w:rsidR="00BF18E0">
        <w:rPr>
          <w:rFonts w:cstheme="minorHAnsi"/>
          <w:sz w:val="24"/>
          <w:szCs w:val="24"/>
        </w:rPr>
        <w:t xml:space="preserve">basic </w:t>
      </w:r>
      <w:r>
        <w:rPr>
          <w:rFonts w:cstheme="minorHAnsi"/>
          <w:sz w:val="24"/>
          <w:szCs w:val="24"/>
        </w:rPr>
        <w:t xml:space="preserve">qualitative </w:t>
      </w:r>
      <w:r w:rsidR="00BF18E0">
        <w:rPr>
          <w:rFonts w:cstheme="minorHAnsi"/>
          <w:sz w:val="24"/>
          <w:szCs w:val="24"/>
        </w:rPr>
        <w:t>research</w:t>
      </w:r>
      <w:r>
        <w:rPr>
          <w:rFonts w:cstheme="minorHAnsi"/>
          <w:sz w:val="24"/>
          <w:szCs w:val="24"/>
        </w:rPr>
        <w:t xml:space="preserve"> study. </w:t>
      </w:r>
      <w:r w:rsidR="00BF18E0">
        <w:rPr>
          <w:rFonts w:cstheme="minorHAnsi"/>
          <w:sz w:val="24"/>
          <w:szCs w:val="24"/>
        </w:rPr>
        <w:t xml:space="preserve">I </w:t>
      </w:r>
      <w:r w:rsidR="00F43188">
        <w:rPr>
          <w:rFonts w:cstheme="minorHAnsi"/>
          <w:sz w:val="24"/>
          <w:szCs w:val="24"/>
        </w:rPr>
        <w:t>outlined the research</w:t>
      </w:r>
      <w:r w:rsidR="00BF18E0" w:rsidRPr="00BF18E0">
        <w:rPr>
          <w:rFonts w:cstheme="minorHAnsi"/>
          <w:sz w:val="24"/>
          <w:szCs w:val="24"/>
        </w:rPr>
        <w:t xml:space="preserve"> design, </w:t>
      </w:r>
      <w:r w:rsidR="00BF18E0" w:rsidRPr="00BF18E0">
        <w:rPr>
          <w:rFonts w:cstheme="minorHAnsi"/>
          <w:sz w:val="24"/>
          <w:szCs w:val="24"/>
        </w:rPr>
        <w:lastRenderedPageBreak/>
        <w:t xml:space="preserve">participants, trustworthiness, ethical considerations, insider/outsider status, and my reflexivity. </w:t>
      </w:r>
      <w:r w:rsidR="00F43188">
        <w:rPr>
          <w:rFonts w:cstheme="minorHAnsi"/>
          <w:sz w:val="24"/>
          <w:szCs w:val="24"/>
        </w:rPr>
        <w:t xml:space="preserve">Data collection and analysis explored how TAT leaders operationalize and define success. </w:t>
      </w:r>
      <w:bookmarkEnd w:id="14"/>
    </w:p>
    <w:p w14:paraId="78BD07D8" w14:textId="3681BECA" w:rsidR="00821497" w:rsidRPr="009513A7" w:rsidRDefault="00821497" w:rsidP="00821497">
      <w:pPr>
        <w:spacing w:after="0" w:line="480" w:lineRule="auto"/>
        <w:jc w:val="center"/>
        <w:rPr>
          <w:rFonts w:eastAsia="Calibri" w:cstheme="minorHAnsi"/>
          <w:b/>
          <w:sz w:val="24"/>
          <w:szCs w:val="24"/>
        </w:rPr>
      </w:pPr>
      <w:r w:rsidRPr="009513A7">
        <w:rPr>
          <w:rFonts w:eastAsia="Calibri" w:cstheme="minorHAnsi"/>
          <w:b/>
          <w:sz w:val="24"/>
          <w:szCs w:val="24"/>
        </w:rPr>
        <w:t>Conclusion</w:t>
      </w:r>
    </w:p>
    <w:p w14:paraId="06E2D897" w14:textId="4FC3DC86" w:rsidR="00821497" w:rsidRDefault="00821497" w:rsidP="00821497">
      <w:pPr>
        <w:spacing w:after="0" w:line="480" w:lineRule="auto"/>
        <w:ind w:firstLine="720"/>
        <w:rPr>
          <w:rFonts w:eastAsia="Calibri" w:cstheme="minorHAnsi"/>
          <w:sz w:val="24"/>
          <w:szCs w:val="24"/>
        </w:rPr>
      </w:pPr>
      <w:r w:rsidRPr="009513A7">
        <w:rPr>
          <w:rFonts w:eastAsia="Calibri" w:cstheme="minorHAnsi"/>
          <w:sz w:val="24"/>
          <w:szCs w:val="24"/>
        </w:rPr>
        <w:t>Threat assessment</w:t>
      </w:r>
      <w:r>
        <w:rPr>
          <w:rFonts w:eastAsia="Calibri" w:cstheme="minorHAnsi"/>
          <w:sz w:val="24"/>
          <w:szCs w:val="24"/>
        </w:rPr>
        <w:t xml:space="preserve"> and </w:t>
      </w:r>
      <w:r w:rsidRPr="009513A7">
        <w:rPr>
          <w:rFonts w:eastAsia="Calibri" w:cstheme="minorHAnsi"/>
          <w:sz w:val="24"/>
          <w:szCs w:val="24"/>
        </w:rPr>
        <w:t>prevention in higher education is imperative to the health, safety, and well-being of every campus community (</w:t>
      </w:r>
      <w:sdt>
        <w:sdtPr>
          <w:rPr>
            <w:rFonts w:cstheme="minorHAnsi"/>
            <w:sz w:val="24"/>
            <w:szCs w:val="24"/>
          </w:rPr>
          <w:tag w:val="goog_rdk_77"/>
          <w:id w:val="1938942965"/>
        </w:sdtPr>
        <w:sdtEndPr/>
        <w:sdtContent/>
      </w:sdt>
      <w:r w:rsidRPr="009513A7">
        <w:rPr>
          <w:rFonts w:eastAsia="Calibri" w:cstheme="minorHAnsi"/>
          <w:sz w:val="24"/>
          <w:szCs w:val="24"/>
        </w:rPr>
        <w:t xml:space="preserve">Bennett &amp; Bates, 2015; </w:t>
      </w:r>
      <w:r w:rsidRPr="009513A7">
        <w:rPr>
          <w:rFonts w:cstheme="minorHAnsi"/>
          <w:sz w:val="24"/>
          <w:szCs w:val="24"/>
        </w:rPr>
        <w:t>Deisinger et al., 2008</w:t>
      </w:r>
      <w:r>
        <w:rPr>
          <w:rFonts w:cstheme="minorHAnsi"/>
          <w:bCs/>
          <w:iCs/>
          <w:sz w:val="24"/>
          <w:szCs w:val="24"/>
        </w:rPr>
        <w:t xml:space="preserve">; Meloy &amp; Hoffmann, 2021; </w:t>
      </w:r>
      <w:r w:rsidRPr="009513A7">
        <w:rPr>
          <w:rFonts w:eastAsia="Calibri" w:cstheme="minorHAnsi"/>
          <w:sz w:val="24"/>
          <w:szCs w:val="24"/>
        </w:rPr>
        <w:t xml:space="preserve">Randazzo &amp; Cameron, 2012). This research is important to understand the lived experiences of those </w:t>
      </w:r>
      <w:r>
        <w:rPr>
          <w:rFonts w:eastAsia="Calibri" w:cstheme="minorHAnsi"/>
          <w:sz w:val="24"/>
          <w:szCs w:val="24"/>
        </w:rPr>
        <w:t>leading</w:t>
      </w:r>
      <w:r w:rsidRPr="009513A7">
        <w:rPr>
          <w:rFonts w:eastAsia="Calibri" w:cstheme="minorHAnsi"/>
          <w:sz w:val="24"/>
          <w:szCs w:val="24"/>
        </w:rPr>
        <w:t xml:space="preserve"> threat </w:t>
      </w:r>
      <w:r>
        <w:rPr>
          <w:rFonts w:eastAsia="Calibri" w:cstheme="minorHAnsi"/>
          <w:sz w:val="24"/>
          <w:szCs w:val="24"/>
        </w:rPr>
        <w:t xml:space="preserve">assessment </w:t>
      </w:r>
      <w:r w:rsidRPr="009513A7">
        <w:rPr>
          <w:rFonts w:eastAsia="Calibri" w:cstheme="minorHAnsi"/>
          <w:sz w:val="24"/>
          <w:szCs w:val="24"/>
        </w:rPr>
        <w:t>in higher education as they have first-hand knowledge of receiving and responding to threat(s). In this study</w:t>
      </w:r>
      <w:r>
        <w:rPr>
          <w:rFonts w:eastAsia="Calibri" w:cstheme="minorHAnsi"/>
          <w:sz w:val="24"/>
          <w:szCs w:val="24"/>
        </w:rPr>
        <w:t>,</w:t>
      </w:r>
      <w:r w:rsidRPr="009513A7">
        <w:rPr>
          <w:rFonts w:eastAsia="Calibri" w:cstheme="minorHAnsi"/>
          <w:sz w:val="24"/>
          <w:szCs w:val="24"/>
        </w:rPr>
        <w:t xml:space="preserve"> I </w:t>
      </w:r>
      <w:r w:rsidR="00BF18E0">
        <w:rPr>
          <w:rFonts w:eastAsia="Calibri" w:cstheme="minorHAnsi"/>
          <w:sz w:val="24"/>
          <w:szCs w:val="24"/>
        </w:rPr>
        <w:t>sought</w:t>
      </w:r>
      <w:r w:rsidR="00BF18E0" w:rsidRPr="009513A7">
        <w:rPr>
          <w:rFonts w:eastAsia="Calibri" w:cstheme="minorHAnsi"/>
          <w:sz w:val="24"/>
          <w:szCs w:val="24"/>
        </w:rPr>
        <w:t xml:space="preserve"> </w:t>
      </w:r>
      <w:r w:rsidRPr="009513A7">
        <w:rPr>
          <w:rFonts w:eastAsia="Calibri" w:cstheme="minorHAnsi"/>
          <w:sz w:val="24"/>
          <w:szCs w:val="24"/>
        </w:rPr>
        <w:t xml:space="preserve">to understand how </w:t>
      </w:r>
      <w:r w:rsidR="00BF18E0">
        <w:rPr>
          <w:rFonts w:eastAsia="Calibri" w:cstheme="minorHAnsi"/>
          <w:sz w:val="24"/>
          <w:szCs w:val="24"/>
        </w:rPr>
        <w:t xml:space="preserve">those who lead threat assessment team operationalize and define success. </w:t>
      </w:r>
      <w:r w:rsidRPr="009513A7">
        <w:rPr>
          <w:rFonts w:eastAsia="Calibri" w:cstheme="minorHAnsi"/>
          <w:sz w:val="24"/>
          <w:szCs w:val="24"/>
        </w:rPr>
        <w:t xml:space="preserve">Understanding the experiences of those </w:t>
      </w:r>
      <w:r>
        <w:rPr>
          <w:rFonts w:eastAsia="Calibri" w:cstheme="minorHAnsi"/>
          <w:sz w:val="24"/>
          <w:szCs w:val="24"/>
        </w:rPr>
        <w:t>leading the work</w:t>
      </w:r>
      <w:r w:rsidRPr="009513A7">
        <w:rPr>
          <w:rFonts w:eastAsia="Calibri" w:cstheme="minorHAnsi"/>
          <w:sz w:val="24"/>
          <w:szCs w:val="24"/>
        </w:rPr>
        <w:t xml:space="preserve"> may explain engagement, inform protocol, </w:t>
      </w:r>
      <w:r>
        <w:rPr>
          <w:rFonts w:eastAsia="Calibri" w:cstheme="minorHAnsi"/>
          <w:sz w:val="24"/>
          <w:szCs w:val="24"/>
        </w:rPr>
        <w:t>impact</w:t>
      </w:r>
      <w:r w:rsidRPr="009513A7">
        <w:rPr>
          <w:rFonts w:eastAsia="Calibri" w:cstheme="minorHAnsi"/>
          <w:sz w:val="24"/>
          <w:szCs w:val="24"/>
        </w:rPr>
        <w:t xml:space="preserve"> communications, or provide an </w:t>
      </w:r>
      <w:sdt>
        <w:sdtPr>
          <w:rPr>
            <w:rFonts w:cstheme="minorHAnsi"/>
            <w:sz w:val="24"/>
            <w:szCs w:val="24"/>
          </w:rPr>
          <w:tag w:val="goog_rdk_83"/>
          <w:id w:val="56368832"/>
        </w:sdtPr>
        <w:sdtEndPr/>
        <w:sdtContent>
          <w:r w:rsidRPr="009513A7">
            <w:rPr>
              <w:rFonts w:eastAsia="Calibri" w:cstheme="minorHAnsi"/>
              <w:sz w:val="24"/>
              <w:szCs w:val="24"/>
            </w:rPr>
            <w:t>enhanced</w:t>
          </w:r>
        </w:sdtContent>
      </w:sdt>
      <w:r w:rsidRPr="009513A7">
        <w:rPr>
          <w:rFonts w:eastAsia="Calibri" w:cstheme="minorHAnsi"/>
          <w:sz w:val="24"/>
          <w:szCs w:val="24"/>
        </w:rPr>
        <w:t xml:space="preserve"> understanding of why team responses </w:t>
      </w:r>
      <w:sdt>
        <w:sdtPr>
          <w:rPr>
            <w:rFonts w:cstheme="minorHAnsi"/>
            <w:sz w:val="24"/>
            <w:szCs w:val="24"/>
          </w:rPr>
          <w:tag w:val="goog_rdk_85"/>
          <w:id w:val="-298075131"/>
        </w:sdtPr>
        <w:sdtEndPr/>
        <w:sdtContent>
          <w:r w:rsidRPr="009513A7">
            <w:rPr>
              <w:rFonts w:eastAsia="Calibri" w:cstheme="minorHAnsi"/>
              <w:sz w:val="24"/>
              <w:szCs w:val="24"/>
            </w:rPr>
            <w:t>are</w:t>
          </w:r>
        </w:sdtContent>
      </w:sdt>
      <w:r w:rsidRPr="009513A7">
        <w:rPr>
          <w:rFonts w:eastAsia="Calibri" w:cstheme="minorHAnsi"/>
          <w:sz w:val="24"/>
          <w:szCs w:val="24"/>
        </w:rPr>
        <w:t xml:space="preserve"> a success or failure. </w:t>
      </w:r>
      <w:r w:rsidR="0065462A">
        <w:rPr>
          <w:rFonts w:eastAsia="Calibri" w:cstheme="minorHAnsi"/>
          <w:sz w:val="24"/>
          <w:szCs w:val="24"/>
        </w:rPr>
        <w:t>Threat</w:t>
      </w:r>
      <w:r w:rsidRPr="009513A7">
        <w:rPr>
          <w:rFonts w:eastAsia="Calibri" w:cstheme="minorHAnsi"/>
          <w:sz w:val="24"/>
          <w:szCs w:val="24"/>
        </w:rPr>
        <w:t xml:space="preserve"> assessment</w:t>
      </w:r>
      <w:r>
        <w:rPr>
          <w:rFonts w:eastAsia="Calibri" w:cstheme="minorHAnsi"/>
          <w:sz w:val="24"/>
          <w:szCs w:val="24"/>
        </w:rPr>
        <w:t xml:space="preserve"> </w:t>
      </w:r>
      <w:r w:rsidRPr="009513A7">
        <w:rPr>
          <w:rFonts w:eastAsia="Calibri" w:cstheme="minorHAnsi"/>
          <w:sz w:val="24"/>
          <w:szCs w:val="24"/>
        </w:rPr>
        <w:t>involve</w:t>
      </w:r>
      <w:r>
        <w:rPr>
          <w:rFonts w:eastAsia="Calibri" w:cstheme="minorHAnsi"/>
          <w:sz w:val="24"/>
          <w:szCs w:val="24"/>
        </w:rPr>
        <w:t>s</w:t>
      </w:r>
      <w:r w:rsidRPr="009513A7">
        <w:rPr>
          <w:rFonts w:eastAsia="Calibri" w:cstheme="minorHAnsi"/>
          <w:sz w:val="24"/>
          <w:szCs w:val="24"/>
        </w:rPr>
        <w:t xml:space="preserve"> several steps</w:t>
      </w:r>
      <w:r>
        <w:rPr>
          <w:rFonts w:eastAsia="Calibri" w:cstheme="minorHAnsi"/>
          <w:sz w:val="24"/>
          <w:szCs w:val="24"/>
        </w:rPr>
        <w:t xml:space="preserve"> including case management</w:t>
      </w:r>
      <w:r w:rsidRPr="009513A7">
        <w:rPr>
          <w:rFonts w:eastAsia="Calibri" w:cstheme="minorHAnsi"/>
          <w:sz w:val="24"/>
          <w:szCs w:val="24"/>
        </w:rPr>
        <w:t>, but the human element is essential for those steps to successfull</w:t>
      </w:r>
      <w:r>
        <w:rPr>
          <w:rFonts w:cstheme="minorHAnsi"/>
          <w:sz w:val="24"/>
          <w:szCs w:val="24"/>
        </w:rPr>
        <w:t>y</w:t>
      </w:r>
      <w:r w:rsidRPr="009513A7">
        <w:rPr>
          <w:rFonts w:eastAsia="Calibri" w:cstheme="minorHAnsi"/>
          <w:sz w:val="24"/>
          <w:szCs w:val="24"/>
        </w:rPr>
        <w:t xml:space="preserve"> coalesce</w:t>
      </w:r>
      <w:r>
        <w:rPr>
          <w:rFonts w:eastAsia="Calibri" w:cstheme="minorHAnsi"/>
          <w:sz w:val="24"/>
          <w:szCs w:val="24"/>
        </w:rPr>
        <w:t xml:space="preserve"> (Bolman &amp; Deal, 2021; Meloy &amp; Hoffmann, 2021)</w:t>
      </w:r>
      <w:r w:rsidRPr="009513A7">
        <w:rPr>
          <w:rFonts w:eastAsia="Calibri" w:cstheme="minorHAnsi"/>
          <w:sz w:val="24"/>
          <w:szCs w:val="24"/>
        </w:rPr>
        <w:t xml:space="preserve">. </w:t>
      </w:r>
    </w:p>
    <w:p w14:paraId="0053ECC2" w14:textId="5982D278" w:rsidR="00001AAB" w:rsidRDefault="00001AAB" w:rsidP="00001AAB">
      <w:pPr>
        <w:jc w:val="center"/>
        <w:rPr>
          <w:rFonts w:eastAsia="Calibri" w:cstheme="minorHAnsi"/>
          <w:b/>
          <w:bCs/>
          <w:sz w:val="24"/>
          <w:szCs w:val="24"/>
        </w:rPr>
      </w:pPr>
      <w:r>
        <w:rPr>
          <w:rFonts w:eastAsia="Calibri" w:cstheme="minorHAnsi"/>
          <w:sz w:val="24"/>
          <w:szCs w:val="24"/>
        </w:rPr>
        <w:br w:type="page"/>
      </w:r>
      <w:r>
        <w:rPr>
          <w:rFonts w:eastAsia="Calibri" w:cstheme="minorHAnsi"/>
          <w:b/>
          <w:bCs/>
          <w:sz w:val="24"/>
          <w:szCs w:val="24"/>
        </w:rPr>
        <w:lastRenderedPageBreak/>
        <w:t>CHAPTER 4</w:t>
      </w:r>
    </w:p>
    <w:p w14:paraId="567E1625" w14:textId="5BCD9500" w:rsidR="00001AAB" w:rsidRDefault="00001AAB" w:rsidP="00001AAB">
      <w:pPr>
        <w:jc w:val="center"/>
        <w:rPr>
          <w:rFonts w:eastAsia="Calibri" w:cstheme="minorHAnsi"/>
          <w:b/>
          <w:bCs/>
          <w:sz w:val="24"/>
          <w:szCs w:val="24"/>
        </w:rPr>
      </w:pPr>
      <w:r>
        <w:rPr>
          <w:rFonts w:eastAsia="Calibri" w:cstheme="minorHAnsi"/>
          <w:b/>
          <w:bCs/>
          <w:sz w:val="24"/>
          <w:szCs w:val="24"/>
        </w:rPr>
        <w:t>Findings</w:t>
      </w:r>
    </w:p>
    <w:p w14:paraId="1B920169" w14:textId="11EA7EA2" w:rsidR="00001AAB" w:rsidRDefault="00001AAB">
      <w:pPr>
        <w:rPr>
          <w:rFonts w:eastAsia="Calibri" w:cstheme="minorHAnsi"/>
          <w:b/>
          <w:bCs/>
          <w:sz w:val="24"/>
          <w:szCs w:val="24"/>
        </w:rPr>
      </w:pPr>
      <w:r>
        <w:rPr>
          <w:rFonts w:eastAsia="Calibri" w:cstheme="minorHAnsi"/>
          <w:b/>
          <w:bCs/>
          <w:sz w:val="24"/>
          <w:szCs w:val="24"/>
        </w:rPr>
        <w:br w:type="page"/>
      </w:r>
    </w:p>
    <w:p w14:paraId="6C08B769" w14:textId="36852FBE" w:rsidR="00001AAB" w:rsidRDefault="00001AAB" w:rsidP="00001AAB">
      <w:pPr>
        <w:jc w:val="center"/>
        <w:rPr>
          <w:rFonts w:eastAsia="Calibri" w:cstheme="minorHAnsi"/>
          <w:b/>
          <w:bCs/>
          <w:sz w:val="24"/>
          <w:szCs w:val="24"/>
        </w:rPr>
      </w:pPr>
      <w:r>
        <w:rPr>
          <w:rFonts w:eastAsia="Calibri" w:cstheme="minorHAnsi"/>
          <w:b/>
          <w:bCs/>
          <w:sz w:val="24"/>
          <w:szCs w:val="24"/>
        </w:rPr>
        <w:lastRenderedPageBreak/>
        <w:t>CHAPTER 5</w:t>
      </w:r>
    </w:p>
    <w:p w14:paraId="11501437" w14:textId="6A71E88E" w:rsidR="00001AAB" w:rsidRDefault="00001AAB" w:rsidP="00001AAB">
      <w:pPr>
        <w:jc w:val="center"/>
        <w:rPr>
          <w:rFonts w:eastAsia="Calibri" w:cstheme="minorHAnsi"/>
          <w:b/>
          <w:bCs/>
          <w:sz w:val="24"/>
          <w:szCs w:val="24"/>
        </w:rPr>
      </w:pPr>
      <w:r>
        <w:rPr>
          <w:rFonts w:eastAsia="Calibri" w:cstheme="minorHAnsi"/>
          <w:b/>
          <w:bCs/>
          <w:sz w:val="24"/>
          <w:szCs w:val="24"/>
        </w:rPr>
        <w:t>Discussion and Recommendations</w:t>
      </w:r>
    </w:p>
    <w:p w14:paraId="64945F9C" w14:textId="77777777" w:rsidR="00001AAB" w:rsidRPr="00441F01" w:rsidRDefault="00001AAB" w:rsidP="00441F01">
      <w:pPr>
        <w:jc w:val="center"/>
        <w:rPr>
          <w:rFonts w:eastAsia="Calibri" w:cstheme="minorHAnsi"/>
          <w:b/>
          <w:bCs/>
          <w:sz w:val="24"/>
          <w:szCs w:val="24"/>
        </w:rPr>
      </w:pPr>
    </w:p>
    <w:p w14:paraId="5FDE7DC4" w14:textId="77777777" w:rsidR="00821497" w:rsidRDefault="00821497" w:rsidP="00EA57C1">
      <w:pPr>
        <w:spacing w:after="0" w:line="480" w:lineRule="auto"/>
        <w:ind w:firstLine="720"/>
        <w:rPr>
          <w:rFonts w:eastAsia="Calibri" w:cstheme="minorHAnsi"/>
          <w:sz w:val="24"/>
          <w:szCs w:val="24"/>
        </w:rPr>
      </w:pPr>
    </w:p>
    <w:p w14:paraId="7090B6CC" w14:textId="77777777" w:rsidR="008856F9" w:rsidRDefault="008856F9" w:rsidP="00EA5B81">
      <w:pPr>
        <w:spacing w:line="240" w:lineRule="auto"/>
        <w:jc w:val="center"/>
        <w:rPr>
          <w:rFonts w:cstheme="minorHAnsi"/>
          <w:b/>
          <w:bCs/>
          <w:sz w:val="24"/>
          <w:szCs w:val="24"/>
        </w:rPr>
      </w:pPr>
    </w:p>
    <w:p w14:paraId="7128DABE" w14:textId="77777777" w:rsidR="008856F9" w:rsidRDefault="008856F9" w:rsidP="00EA5B81">
      <w:pPr>
        <w:spacing w:line="240" w:lineRule="auto"/>
        <w:jc w:val="center"/>
        <w:rPr>
          <w:rFonts w:cstheme="minorHAnsi"/>
          <w:b/>
          <w:bCs/>
          <w:sz w:val="24"/>
          <w:szCs w:val="24"/>
        </w:rPr>
      </w:pPr>
    </w:p>
    <w:p w14:paraId="02A3ADAB" w14:textId="77777777" w:rsidR="008856F9" w:rsidRDefault="008856F9" w:rsidP="00EA5B81">
      <w:pPr>
        <w:spacing w:line="240" w:lineRule="auto"/>
        <w:jc w:val="center"/>
        <w:rPr>
          <w:rFonts w:cstheme="minorHAnsi"/>
          <w:b/>
          <w:bCs/>
          <w:sz w:val="24"/>
          <w:szCs w:val="24"/>
        </w:rPr>
      </w:pPr>
    </w:p>
    <w:p w14:paraId="48720CBD" w14:textId="77777777" w:rsidR="008856F9" w:rsidRDefault="008856F9" w:rsidP="00EA5B81">
      <w:pPr>
        <w:spacing w:line="240" w:lineRule="auto"/>
        <w:jc w:val="center"/>
        <w:rPr>
          <w:rFonts w:cstheme="minorHAnsi"/>
          <w:b/>
          <w:bCs/>
          <w:sz w:val="24"/>
          <w:szCs w:val="24"/>
        </w:rPr>
      </w:pPr>
    </w:p>
    <w:p w14:paraId="1E1E4703" w14:textId="0A96F265" w:rsidR="008856F9" w:rsidRDefault="008856F9">
      <w:pPr>
        <w:rPr>
          <w:rFonts w:cstheme="minorHAnsi"/>
          <w:b/>
          <w:bCs/>
          <w:sz w:val="24"/>
          <w:szCs w:val="24"/>
        </w:rPr>
      </w:pPr>
      <w:r>
        <w:rPr>
          <w:rFonts w:cstheme="minorHAnsi"/>
          <w:b/>
          <w:bCs/>
          <w:sz w:val="24"/>
          <w:szCs w:val="24"/>
        </w:rPr>
        <w:br w:type="page"/>
      </w:r>
    </w:p>
    <w:p w14:paraId="32CAAE77" w14:textId="5A5F892C" w:rsidR="00501548" w:rsidRDefault="001E77F8" w:rsidP="00EA5B81">
      <w:pPr>
        <w:spacing w:line="240" w:lineRule="auto"/>
        <w:jc w:val="center"/>
        <w:rPr>
          <w:rFonts w:cstheme="minorHAnsi"/>
          <w:b/>
          <w:bCs/>
          <w:sz w:val="24"/>
          <w:szCs w:val="24"/>
        </w:rPr>
      </w:pPr>
      <w:r>
        <w:rPr>
          <w:rFonts w:cstheme="minorHAnsi"/>
          <w:b/>
          <w:bCs/>
          <w:sz w:val="24"/>
          <w:szCs w:val="24"/>
        </w:rPr>
        <w:lastRenderedPageBreak/>
        <w:t>References</w:t>
      </w:r>
    </w:p>
    <w:p w14:paraId="17A65356" w14:textId="65BBFFA6" w:rsidR="00921328" w:rsidRPr="00921328" w:rsidRDefault="00921328" w:rsidP="00EA5B81">
      <w:pPr>
        <w:spacing w:before="100" w:beforeAutospacing="1" w:after="100" w:afterAutospacing="1" w:line="240" w:lineRule="auto"/>
        <w:ind w:left="720" w:hanging="720"/>
        <w:rPr>
          <w:rFonts w:eastAsia="Times New Roman" w:cstheme="minorHAnsi"/>
          <w:sz w:val="24"/>
          <w:szCs w:val="24"/>
        </w:rPr>
      </w:pPr>
      <w:bookmarkStart w:id="15" w:name="_Hlk84845906"/>
      <w:r w:rsidRPr="00921328">
        <w:rPr>
          <w:rFonts w:eastAsia="Times New Roman" w:cstheme="minorHAnsi"/>
          <w:sz w:val="24"/>
          <w:szCs w:val="24"/>
        </w:rPr>
        <w:t xml:space="preserve">Alathari, L. (2018). </w:t>
      </w:r>
      <w:r w:rsidRPr="00921328">
        <w:rPr>
          <w:rFonts w:eastAsia="Times New Roman" w:cstheme="minorHAnsi"/>
          <w:i/>
          <w:iCs/>
          <w:sz w:val="24"/>
          <w:szCs w:val="24"/>
        </w:rPr>
        <w:t>Written testimony of USSS national threat assessment center protective intelligence &amp; assessment division chief Lina Alathari for senate committee on the judiciary.</w:t>
      </w:r>
      <w:r w:rsidRPr="00921328">
        <w:rPr>
          <w:rFonts w:eastAsia="Times New Roman" w:cstheme="minorHAnsi"/>
          <w:sz w:val="24"/>
          <w:szCs w:val="24"/>
        </w:rPr>
        <w:t xml:space="preserve"> Hearing titled “See something, say something: Oversight of the parkland shooting and legislative proposals to improve school safety.” </w:t>
      </w:r>
      <w:hyperlink r:id="rId8" w:history="1">
        <w:r w:rsidR="007C7D5B" w:rsidRPr="00B506BE">
          <w:rPr>
            <w:rStyle w:val="Hyperlink"/>
            <w:rFonts w:eastAsia="Times New Roman" w:cstheme="minorHAnsi"/>
            <w:sz w:val="24"/>
            <w:szCs w:val="24"/>
          </w:rPr>
          <w:t>https://www.dhs.gov/news/2018/03/14/written-testimony-usss-senate-committee-judiciary-hearing-titled-see-something-say</w:t>
        </w:r>
      </w:hyperlink>
      <w:r w:rsidR="007C7D5B">
        <w:rPr>
          <w:rFonts w:eastAsia="Times New Roman" w:cstheme="minorHAnsi"/>
          <w:sz w:val="24"/>
          <w:szCs w:val="24"/>
        </w:rPr>
        <w:t xml:space="preserve"> </w:t>
      </w:r>
    </w:p>
    <w:p w14:paraId="7245C454" w14:textId="70C277A9"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t xml:space="preserve">Albrecht, S. (2010). Campus safety: Threat assessment teams strive to prevent or manage violence at schools and workplaces. </w:t>
      </w:r>
      <w:r w:rsidRPr="008D6938">
        <w:rPr>
          <w:rFonts w:eastAsia="Times New Roman" w:cstheme="minorHAnsi"/>
          <w:i/>
          <w:iCs/>
          <w:sz w:val="24"/>
          <w:szCs w:val="24"/>
        </w:rPr>
        <w:t>FBI Law Enforcement Bulletin, 79</w:t>
      </w:r>
      <w:r w:rsidRPr="008D6938">
        <w:rPr>
          <w:rFonts w:eastAsia="Times New Roman" w:cstheme="minorHAnsi"/>
          <w:sz w:val="24"/>
          <w:szCs w:val="24"/>
        </w:rPr>
        <w:t xml:space="preserve">(2), 15–24. </w:t>
      </w:r>
      <w:hyperlink r:id="rId9" w:history="1">
        <w:r w:rsidR="007C7D5B" w:rsidRPr="00B506BE">
          <w:rPr>
            <w:rStyle w:val="Hyperlink"/>
            <w:rFonts w:eastAsia="Times New Roman" w:cstheme="minorHAnsi"/>
            <w:sz w:val="24"/>
            <w:szCs w:val="24"/>
          </w:rPr>
          <w:t>http://leb.fbi.gov/2010/february/leb-february-2010</w:t>
        </w:r>
      </w:hyperlink>
      <w:r w:rsidR="007C7D5B">
        <w:rPr>
          <w:rFonts w:eastAsia="Times New Roman" w:cstheme="minorHAnsi"/>
          <w:sz w:val="24"/>
          <w:szCs w:val="24"/>
        </w:rPr>
        <w:t xml:space="preserve"> </w:t>
      </w:r>
    </w:p>
    <w:p w14:paraId="206416A2" w14:textId="41ADFB98" w:rsidR="000C4FEE" w:rsidRDefault="00921328" w:rsidP="000C4FEE">
      <w:pPr>
        <w:spacing w:after="0" w:line="240" w:lineRule="auto"/>
        <w:ind w:left="720" w:hanging="720"/>
        <w:rPr>
          <w:rFonts w:eastAsia="Times New Roman" w:cstheme="minorHAnsi"/>
          <w:sz w:val="24"/>
          <w:szCs w:val="24"/>
        </w:rPr>
      </w:pPr>
      <w:r w:rsidRPr="00921328">
        <w:rPr>
          <w:rFonts w:eastAsia="Times New Roman" w:cstheme="minorHAnsi"/>
          <w:sz w:val="24"/>
          <w:szCs w:val="24"/>
        </w:rPr>
        <w:t xml:space="preserve">Allen, K., Cornell, D., Lorek, E., &amp; Sheras, P. (2008). Response of school personnel to student threat assessment training. </w:t>
      </w:r>
      <w:r w:rsidRPr="00921328">
        <w:rPr>
          <w:rFonts w:eastAsia="Times New Roman" w:cstheme="minorHAnsi"/>
          <w:i/>
          <w:iCs/>
          <w:sz w:val="24"/>
          <w:szCs w:val="24"/>
        </w:rPr>
        <w:t>School Effectiveness and School Improvement, 19(</w:t>
      </w:r>
      <w:r w:rsidRPr="00921328">
        <w:rPr>
          <w:rFonts w:eastAsia="Times New Roman" w:cstheme="minorHAnsi"/>
          <w:sz w:val="24"/>
          <w:szCs w:val="24"/>
        </w:rPr>
        <w:t>3), 319–322.</w:t>
      </w:r>
      <w:r w:rsidR="00346CE9">
        <w:rPr>
          <w:rFonts w:eastAsia="Times New Roman" w:cstheme="minorHAnsi"/>
          <w:sz w:val="24"/>
          <w:szCs w:val="24"/>
        </w:rPr>
        <w:t xml:space="preserve"> </w:t>
      </w:r>
      <w:hyperlink r:id="rId10" w:history="1">
        <w:r w:rsidR="007C7D5B" w:rsidRPr="00B506BE">
          <w:rPr>
            <w:rStyle w:val="Hyperlink"/>
            <w:rFonts w:eastAsia="Times New Roman" w:cstheme="minorHAnsi"/>
            <w:sz w:val="24"/>
            <w:szCs w:val="24"/>
          </w:rPr>
          <w:t>https://doi.org/10.1080/09243450802332184</w:t>
        </w:r>
      </w:hyperlink>
      <w:r w:rsidR="007C7D5B">
        <w:rPr>
          <w:rFonts w:eastAsia="Times New Roman" w:cstheme="minorHAnsi"/>
          <w:sz w:val="24"/>
          <w:szCs w:val="24"/>
        </w:rPr>
        <w:t xml:space="preserve"> </w:t>
      </w:r>
    </w:p>
    <w:p w14:paraId="5DA792DD" w14:textId="77777777" w:rsidR="00921328" w:rsidRDefault="00921328" w:rsidP="008D6938">
      <w:pPr>
        <w:spacing w:after="0" w:line="240" w:lineRule="auto"/>
        <w:ind w:left="720" w:hanging="720"/>
        <w:rPr>
          <w:rFonts w:eastAsia="Times New Roman" w:cstheme="minorHAnsi"/>
          <w:sz w:val="24"/>
          <w:szCs w:val="24"/>
        </w:rPr>
      </w:pPr>
    </w:p>
    <w:p w14:paraId="7989B775" w14:textId="00BC6BF4" w:rsidR="008D6938" w:rsidRPr="008D6938" w:rsidRDefault="008D6938" w:rsidP="008D6938">
      <w:pPr>
        <w:spacing w:after="0" w:line="240" w:lineRule="auto"/>
        <w:ind w:left="720" w:hanging="720"/>
        <w:rPr>
          <w:rFonts w:eastAsia="Times New Roman" w:cstheme="minorHAnsi"/>
          <w:sz w:val="24"/>
          <w:szCs w:val="24"/>
        </w:rPr>
      </w:pPr>
      <w:r w:rsidRPr="008D6938">
        <w:rPr>
          <w:rFonts w:eastAsia="Times New Roman" w:cstheme="minorHAnsi"/>
          <w:sz w:val="24"/>
          <w:szCs w:val="24"/>
        </w:rPr>
        <w:t xml:space="preserve">Allen, T. J., &amp; Lengfellner, L. G. (2016). Campus violence: Improving safety in a university setting. </w:t>
      </w:r>
      <w:r w:rsidRPr="008D6938">
        <w:rPr>
          <w:rFonts w:eastAsia="Times New Roman" w:cstheme="minorHAnsi"/>
          <w:i/>
          <w:iCs/>
          <w:sz w:val="24"/>
          <w:szCs w:val="24"/>
        </w:rPr>
        <w:t>Professional Safety</w:t>
      </w:r>
      <w:r w:rsidRPr="008D6938">
        <w:rPr>
          <w:rFonts w:eastAsia="Times New Roman" w:cstheme="minorHAnsi"/>
          <w:sz w:val="24"/>
          <w:szCs w:val="24"/>
        </w:rPr>
        <w:t xml:space="preserve">, </w:t>
      </w:r>
      <w:r w:rsidRPr="008D6938">
        <w:rPr>
          <w:rFonts w:eastAsia="Times New Roman" w:cstheme="minorHAnsi"/>
          <w:i/>
          <w:iCs/>
          <w:sz w:val="24"/>
          <w:szCs w:val="24"/>
        </w:rPr>
        <w:t>61</w:t>
      </w:r>
      <w:r w:rsidRPr="008D6938">
        <w:rPr>
          <w:rFonts w:eastAsia="Times New Roman" w:cstheme="minorHAnsi"/>
          <w:sz w:val="24"/>
          <w:szCs w:val="24"/>
        </w:rPr>
        <w:t xml:space="preserve">(02), 28-32. </w:t>
      </w:r>
      <w:hyperlink r:id="rId11" w:history="1">
        <w:r w:rsidRPr="004C028F">
          <w:rPr>
            <w:rStyle w:val="Hyperlink"/>
            <w:rFonts w:eastAsia="Times New Roman" w:cstheme="minorHAnsi"/>
            <w:sz w:val="24"/>
            <w:szCs w:val="24"/>
          </w:rPr>
          <w:t>http://www.asse.org/assets/1/7/F1Allen_0216.pdf</w:t>
        </w:r>
      </w:hyperlink>
    </w:p>
    <w:p w14:paraId="5E0C446C" w14:textId="36041D02" w:rsidR="007F102D" w:rsidRDefault="000C4FEE" w:rsidP="000C4FEE">
      <w:pPr>
        <w:spacing w:before="100" w:beforeAutospacing="1" w:after="100" w:afterAutospacing="1" w:line="240" w:lineRule="auto"/>
        <w:ind w:left="720" w:hanging="720"/>
        <w:rPr>
          <w:rFonts w:eastAsia="Times New Roman" w:cstheme="minorHAnsi"/>
          <w:sz w:val="24"/>
          <w:szCs w:val="24"/>
        </w:rPr>
      </w:pPr>
      <w:bookmarkStart w:id="16" w:name="_Hlk83415411"/>
      <w:r w:rsidRPr="000C4FEE">
        <w:rPr>
          <w:rFonts w:eastAsia="Times New Roman" w:cstheme="minorHAnsi"/>
          <w:sz w:val="24"/>
          <w:szCs w:val="24"/>
        </w:rPr>
        <w:t>Alrazeeni, D. (2015). Saudi EMS students' perception of and attitudes toward their preparedness for disaster management. </w:t>
      </w:r>
      <w:r w:rsidRPr="000C4FEE">
        <w:rPr>
          <w:rFonts w:eastAsia="Times New Roman" w:cstheme="minorHAnsi"/>
          <w:i/>
          <w:iCs/>
          <w:sz w:val="24"/>
          <w:szCs w:val="24"/>
        </w:rPr>
        <w:t xml:space="preserve">Journal of </w:t>
      </w:r>
      <w:r w:rsidR="00F1491A">
        <w:rPr>
          <w:rFonts w:eastAsia="Times New Roman" w:cstheme="minorHAnsi"/>
          <w:i/>
          <w:iCs/>
          <w:sz w:val="24"/>
          <w:szCs w:val="24"/>
        </w:rPr>
        <w:t>E</w:t>
      </w:r>
      <w:r w:rsidRPr="000C4FEE">
        <w:rPr>
          <w:rFonts w:eastAsia="Times New Roman" w:cstheme="minorHAnsi"/>
          <w:i/>
          <w:iCs/>
          <w:sz w:val="24"/>
          <w:szCs w:val="24"/>
        </w:rPr>
        <w:t xml:space="preserve">ducation and </w:t>
      </w:r>
      <w:r w:rsidR="00F1491A">
        <w:rPr>
          <w:rFonts w:eastAsia="Times New Roman" w:cstheme="minorHAnsi"/>
          <w:i/>
          <w:iCs/>
          <w:sz w:val="24"/>
          <w:szCs w:val="24"/>
        </w:rPr>
        <w:t>P</w:t>
      </w:r>
      <w:r w:rsidRPr="000C4FEE">
        <w:rPr>
          <w:rFonts w:eastAsia="Times New Roman" w:cstheme="minorHAnsi"/>
          <w:i/>
          <w:iCs/>
          <w:sz w:val="24"/>
          <w:szCs w:val="24"/>
        </w:rPr>
        <w:t>ractice</w:t>
      </w:r>
      <w:r w:rsidRPr="000C4FEE">
        <w:rPr>
          <w:rFonts w:eastAsia="Times New Roman" w:cstheme="minorHAnsi"/>
          <w:sz w:val="24"/>
          <w:szCs w:val="24"/>
        </w:rPr>
        <w:t>, </w:t>
      </w:r>
      <w:r w:rsidRPr="000C4FEE">
        <w:rPr>
          <w:rFonts w:eastAsia="Times New Roman" w:cstheme="minorHAnsi"/>
          <w:i/>
          <w:iCs/>
          <w:sz w:val="24"/>
          <w:szCs w:val="24"/>
        </w:rPr>
        <w:t>6</w:t>
      </w:r>
      <w:r w:rsidRPr="000C4FEE">
        <w:rPr>
          <w:rFonts w:eastAsia="Times New Roman" w:cstheme="minorHAnsi"/>
          <w:sz w:val="24"/>
          <w:szCs w:val="24"/>
        </w:rPr>
        <w:t>(35), 110–116.</w:t>
      </w:r>
      <w:r w:rsidR="007F102D">
        <w:rPr>
          <w:rFonts w:eastAsia="Times New Roman" w:cstheme="minorHAnsi"/>
          <w:sz w:val="24"/>
          <w:szCs w:val="24"/>
        </w:rPr>
        <w:t xml:space="preserve"> </w:t>
      </w:r>
      <w:hyperlink r:id="rId12" w:history="1">
        <w:r w:rsidR="007F102D" w:rsidRPr="004C028F">
          <w:rPr>
            <w:rStyle w:val="Hyperlink"/>
            <w:rFonts w:eastAsia="Times New Roman" w:cstheme="minorHAnsi"/>
            <w:sz w:val="24"/>
            <w:szCs w:val="24"/>
          </w:rPr>
          <w:t>https://search-ebscohost-com.utk.idm.oclc.org/login.aspx?direct=true&amp;db=eric&amp;AN=EJ1086390&amp;scope=site.</w:t>
        </w:r>
      </w:hyperlink>
    </w:p>
    <w:bookmarkEnd w:id="16"/>
    <w:p w14:paraId="0C57E92F" w14:textId="6D1AB27A" w:rsidR="000C4FEE" w:rsidRPr="000C4FEE" w:rsidRDefault="000C4FEE" w:rsidP="000C4FEE">
      <w:pPr>
        <w:spacing w:before="100" w:beforeAutospacing="1" w:after="100" w:afterAutospacing="1" w:line="240" w:lineRule="auto"/>
        <w:ind w:left="720" w:hanging="720"/>
        <w:rPr>
          <w:rFonts w:eastAsia="Times New Roman" w:cstheme="minorHAnsi"/>
          <w:sz w:val="24"/>
          <w:szCs w:val="24"/>
        </w:rPr>
      </w:pPr>
      <w:r w:rsidRPr="000C4FEE">
        <w:rPr>
          <w:rFonts w:eastAsia="Times New Roman" w:cstheme="minorHAnsi"/>
          <w:sz w:val="24"/>
          <w:szCs w:val="24"/>
        </w:rPr>
        <w:t xml:space="preserve">Amada, G. (2007). The massacre at Virginia Polytechnic Institute and State University. </w:t>
      </w:r>
      <w:r w:rsidRPr="000C4FEE">
        <w:rPr>
          <w:rFonts w:eastAsia="Times New Roman" w:cstheme="minorHAnsi"/>
          <w:i/>
          <w:iCs/>
          <w:sz w:val="24"/>
          <w:szCs w:val="24"/>
        </w:rPr>
        <w:t>Journal of College Student Psychotherapy, 22</w:t>
      </w:r>
      <w:r w:rsidRPr="000C4FEE">
        <w:rPr>
          <w:rFonts w:eastAsia="Times New Roman" w:cstheme="minorHAnsi"/>
          <w:sz w:val="24"/>
          <w:szCs w:val="24"/>
        </w:rPr>
        <w:t xml:space="preserve">(2), 3–11. </w:t>
      </w:r>
      <w:hyperlink r:id="rId13" w:history="1">
        <w:r w:rsidRPr="004C028F">
          <w:rPr>
            <w:rStyle w:val="Hyperlink"/>
            <w:rFonts w:eastAsia="Times New Roman" w:cstheme="minorHAnsi"/>
            <w:sz w:val="24"/>
            <w:szCs w:val="24"/>
          </w:rPr>
          <w:t>http://dx.doi.org/10.1300/J035v22n02_02</w:t>
        </w:r>
      </w:hyperlink>
    </w:p>
    <w:p w14:paraId="51ED9009" w14:textId="158E6001" w:rsidR="00B23E01" w:rsidRDefault="00B23E01" w:rsidP="000C4FEE">
      <w:pPr>
        <w:spacing w:after="0" w:line="240" w:lineRule="auto"/>
        <w:ind w:left="720" w:hanging="720"/>
        <w:rPr>
          <w:rFonts w:ascii="Calibri" w:eastAsia="Calibri" w:hAnsi="Calibri" w:cs="Times New Roman"/>
          <w:sz w:val="24"/>
          <w:szCs w:val="24"/>
        </w:rPr>
      </w:pPr>
      <w:r>
        <w:rPr>
          <w:rFonts w:ascii="Calibri" w:eastAsia="Calibri" w:hAnsi="Calibri" w:cs="Times New Roman"/>
          <w:sz w:val="24"/>
          <w:szCs w:val="24"/>
        </w:rPr>
        <w:t xml:space="preserve">Anfara, V., &amp; Mertz, N. (2015). </w:t>
      </w:r>
      <w:r w:rsidRPr="00B23E01">
        <w:rPr>
          <w:rFonts w:ascii="Calibri" w:eastAsia="Calibri" w:hAnsi="Calibri" w:cs="Times New Roman"/>
          <w:i/>
          <w:iCs/>
          <w:sz w:val="24"/>
          <w:szCs w:val="24"/>
        </w:rPr>
        <w:t>Theoretical Frameworks in Qualitative Research.</w:t>
      </w:r>
      <w:r>
        <w:rPr>
          <w:rFonts w:ascii="Calibri" w:eastAsia="Calibri" w:hAnsi="Calibri" w:cs="Times New Roman"/>
          <w:sz w:val="24"/>
          <w:szCs w:val="24"/>
        </w:rPr>
        <w:t xml:space="preserve"> (2</w:t>
      </w:r>
      <w:r w:rsidRPr="00B23E01">
        <w:rPr>
          <w:rFonts w:ascii="Calibri" w:eastAsia="Calibri" w:hAnsi="Calibri" w:cs="Times New Roman"/>
          <w:sz w:val="24"/>
          <w:szCs w:val="24"/>
          <w:vertAlign w:val="superscript"/>
        </w:rPr>
        <w:t>nd</w:t>
      </w:r>
      <w:r>
        <w:rPr>
          <w:rFonts w:ascii="Calibri" w:eastAsia="Calibri" w:hAnsi="Calibri" w:cs="Times New Roman"/>
          <w:sz w:val="24"/>
          <w:szCs w:val="24"/>
        </w:rPr>
        <w:t xml:space="preserve"> ed.). Sage.</w:t>
      </w:r>
    </w:p>
    <w:p w14:paraId="3100A216" w14:textId="77777777" w:rsidR="00B23E01" w:rsidRDefault="00B23E01" w:rsidP="000C4FEE">
      <w:pPr>
        <w:spacing w:after="0" w:line="240" w:lineRule="auto"/>
        <w:ind w:left="720" w:hanging="720"/>
        <w:rPr>
          <w:rFonts w:ascii="Calibri" w:eastAsia="Calibri" w:hAnsi="Calibri" w:cs="Times New Roman"/>
          <w:sz w:val="24"/>
          <w:szCs w:val="24"/>
        </w:rPr>
      </w:pPr>
    </w:p>
    <w:p w14:paraId="0973CF36" w14:textId="21BB7EEA" w:rsidR="00452BE3" w:rsidRDefault="00452BE3" w:rsidP="000C4FEE">
      <w:pPr>
        <w:spacing w:after="0" w:line="240" w:lineRule="auto"/>
        <w:ind w:left="720" w:hanging="720"/>
        <w:rPr>
          <w:rFonts w:ascii="Calibri" w:eastAsia="Calibri" w:hAnsi="Calibri" w:cs="Times New Roman"/>
          <w:sz w:val="24"/>
          <w:szCs w:val="24"/>
        </w:rPr>
      </w:pPr>
      <w:r w:rsidRPr="00452BE3">
        <w:rPr>
          <w:rFonts w:ascii="Calibri" w:eastAsia="Calibri" w:hAnsi="Calibri" w:cs="Times New Roman"/>
          <w:sz w:val="24"/>
          <w:szCs w:val="24"/>
        </w:rPr>
        <w:t>Argyris, C., &amp; Schon, D. A. (1974). </w:t>
      </w:r>
      <w:r w:rsidRPr="00452BE3">
        <w:rPr>
          <w:rFonts w:ascii="Calibri" w:eastAsia="Calibri" w:hAnsi="Calibri" w:cs="Times New Roman"/>
          <w:i/>
          <w:iCs/>
          <w:sz w:val="24"/>
          <w:szCs w:val="24"/>
        </w:rPr>
        <w:t>Theory In Practice: Increasing Professional Effectiveness. A Joint Publication in The Jossey-Bass Higher and Adult Education Series and the Jossey-Bass Management Series</w:t>
      </w:r>
      <w:r w:rsidRPr="00452BE3">
        <w:rPr>
          <w:rFonts w:ascii="Calibri" w:eastAsia="Calibri" w:hAnsi="Calibri" w:cs="Times New Roman"/>
          <w:sz w:val="24"/>
          <w:szCs w:val="24"/>
        </w:rPr>
        <w:t>.</w:t>
      </w:r>
      <w:r>
        <w:rPr>
          <w:rFonts w:ascii="Calibri" w:eastAsia="Calibri" w:hAnsi="Calibri" w:cs="Times New Roman"/>
          <w:sz w:val="24"/>
          <w:szCs w:val="24"/>
        </w:rPr>
        <w:t xml:space="preserve"> Jossey-Bass.</w:t>
      </w:r>
    </w:p>
    <w:p w14:paraId="6322002B" w14:textId="77777777" w:rsidR="00452BE3" w:rsidRDefault="00452BE3" w:rsidP="000C4FEE">
      <w:pPr>
        <w:spacing w:after="0" w:line="240" w:lineRule="auto"/>
        <w:ind w:left="720" w:hanging="720"/>
        <w:rPr>
          <w:rFonts w:ascii="Calibri" w:eastAsia="Calibri" w:hAnsi="Calibri" w:cs="Times New Roman"/>
          <w:sz w:val="24"/>
          <w:szCs w:val="24"/>
        </w:rPr>
      </w:pPr>
    </w:p>
    <w:p w14:paraId="132775F1" w14:textId="3AE0F4F4" w:rsidR="000C4FEE" w:rsidRPr="000C4FEE" w:rsidRDefault="000C4FEE" w:rsidP="000C4FEE">
      <w:pPr>
        <w:spacing w:after="0" w:line="240" w:lineRule="auto"/>
        <w:ind w:left="720" w:hanging="720"/>
        <w:rPr>
          <w:rFonts w:ascii="Calibri" w:eastAsia="Calibri" w:hAnsi="Calibri" w:cs="Times New Roman"/>
          <w:sz w:val="24"/>
          <w:szCs w:val="24"/>
        </w:rPr>
      </w:pPr>
      <w:r w:rsidRPr="000C4FEE">
        <w:rPr>
          <w:rFonts w:ascii="Calibri" w:eastAsia="Calibri" w:hAnsi="Calibri" w:cs="Times New Roman"/>
          <w:sz w:val="24"/>
          <w:szCs w:val="24"/>
        </w:rPr>
        <w:t xml:space="preserve">Barker, G., &amp; Yoder, M. E. (2012). The Virginia tech shootings: Implications for crisis </w:t>
      </w:r>
    </w:p>
    <w:p w14:paraId="6BE44BF4" w14:textId="3B3C5412" w:rsidR="000C4FEE" w:rsidRPr="000C4FEE" w:rsidRDefault="000C4FEE" w:rsidP="000C4FEE">
      <w:pPr>
        <w:spacing w:after="0" w:line="240" w:lineRule="auto"/>
        <w:ind w:left="720"/>
        <w:rPr>
          <w:rFonts w:ascii="Calibri" w:eastAsia="Calibri" w:hAnsi="Calibri" w:cs="Times New Roman"/>
          <w:sz w:val="24"/>
          <w:szCs w:val="24"/>
        </w:rPr>
      </w:pPr>
      <w:r w:rsidRPr="000C4FEE">
        <w:rPr>
          <w:rFonts w:ascii="Calibri" w:eastAsia="Calibri" w:hAnsi="Calibri" w:cs="Times New Roman"/>
          <w:sz w:val="24"/>
          <w:szCs w:val="24"/>
        </w:rPr>
        <w:t xml:space="preserve">communication in educational settings. </w:t>
      </w:r>
      <w:r w:rsidRPr="000C4FEE">
        <w:rPr>
          <w:rFonts w:ascii="Calibri" w:eastAsia="Calibri" w:hAnsi="Calibri" w:cs="Times New Roman"/>
          <w:i/>
          <w:sz w:val="24"/>
          <w:szCs w:val="24"/>
        </w:rPr>
        <w:t>Journal of School Public Relations, 33</w:t>
      </w:r>
      <w:r w:rsidRPr="000C4FEE">
        <w:rPr>
          <w:rFonts w:ascii="Calibri" w:eastAsia="Calibri" w:hAnsi="Calibri" w:cs="Times New Roman"/>
          <w:sz w:val="24"/>
          <w:szCs w:val="24"/>
        </w:rPr>
        <w:t>(2), 78</w:t>
      </w:r>
      <w:r w:rsidRPr="000C4FEE">
        <w:rPr>
          <w:rFonts w:cstheme="minorHAnsi"/>
          <w:sz w:val="24"/>
        </w:rPr>
        <w:t>–</w:t>
      </w:r>
      <w:r w:rsidRPr="000C4FEE">
        <w:rPr>
          <w:rFonts w:ascii="Calibri" w:eastAsia="Calibri" w:hAnsi="Calibri" w:cs="Times New Roman"/>
          <w:sz w:val="24"/>
          <w:szCs w:val="24"/>
        </w:rPr>
        <w:t xml:space="preserve">101. </w:t>
      </w:r>
      <w:hyperlink r:id="rId14" w:history="1">
        <w:r w:rsidR="007F102D" w:rsidRPr="004C028F">
          <w:rPr>
            <w:rStyle w:val="Hyperlink"/>
            <w:rFonts w:ascii="Calibri" w:eastAsia="Calibri" w:hAnsi="Calibri" w:cs="Times New Roman"/>
            <w:sz w:val="24"/>
            <w:szCs w:val="24"/>
          </w:rPr>
          <w:t>https://doi.org/10.3138/jspr.33.2.78</w:t>
        </w:r>
      </w:hyperlink>
    </w:p>
    <w:p w14:paraId="3042D2B1" w14:textId="77777777" w:rsidR="000C4FEE" w:rsidRPr="000C4FEE" w:rsidRDefault="000C4FEE" w:rsidP="000C4FEE">
      <w:pPr>
        <w:spacing w:after="0" w:line="240" w:lineRule="auto"/>
        <w:ind w:left="720" w:hanging="720"/>
        <w:rPr>
          <w:rFonts w:ascii="Calibri" w:eastAsia="Calibri" w:hAnsi="Calibri" w:cs="Times New Roman"/>
          <w:sz w:val="24"/>
          <w:szCs w:val="24"/>
        </w:rPr>
      </w:pPr>
    </w:p>
    <w:p w14:paraId="56977CA0" w14:textId="3346E8BB" w:rsidR="0073690A" w:rsidRDefault="0073690A" w:rsidP="000C4FEE">
      <w:pPr>
        <w:spacing w:after="0" w:line="240" w:lineRule="auto"/>
        <w:ind w:left="720" w:hanging="720"/>
        <w:rPr>
          <w:rFonts w:ascii="Calibri" w:eastAsia="Calibri" w:hAnsi="Calibri" w:cs="Times New Roman"/>
          <w:sz w:val="24"/>
          <w:szCs w:val="24"/>
        </w:rPr>
      </w:pPr>
      <w:r w:rsidRPr="0073690A">
        <w:rPr>
          <w:rFonts w:ascii="Calibri" w:eastAsia="Calibri" w:hAnsi="Calibri" w:cs="Times New Roman"/>
          <w:sz w:val="24"/>
          <w:szCs w:val="24"/>
        </w:rPr>
        <w:t xml:space="preserve">Bakioglu, A., Keser, S., Korumaz, M., &amp; Didin Ala, S. (2022). A </w:t>
      </w:r>
      <w:r w:rsidR="002240FA">
        <w:rPr>
          <w:rFonts w:ascii="Calibri" w:eastAsia="Calibri" w:hAnsi="Calibri" w:cs="Times New Roman"/>
          <w:sz w:val="24"/>
          <w:szCs w:val="24"/>
        </w:rPr>
        <w:t>p</w:t>
      </w:r>
      <w:r w:rsidRPr="0073690A">
        <w:rPr>
          <w:rFonts w:ascii="Calibri" w:eastAsia="Calibri" w:hAnsi="Calibri" w:cs="Times New Roman"/>
          <w:sz w:val="24"/>
          <w:szCs w:val="24"/>
        </w:rPr>
        <w:t xml:space="preserve">henomenological </w:t>
      </w:r>
      <w:r w:rsidR="002240FA">
        <w:rPr>
          <w:rFonts w:ascii="Calibri" w:eastAsia="Calibri" w:hAnsi="Calibri" w:cs="Times New Roman"/>
          <w:sz w:val="24"/>
          <w:szCs w:val="24"/>
        </w:rPr>
        <w:t>r</w:t>
      </w:r>
      <w:r w:rsidRPr="0073690A">
        <w:rPr>
          <w:rFonts w:ascii="Calibri" w:eastAsia="Calibri" w:hAnsi="Calibri" w:cs="Times New Roman"/>
          <w:sz w:val="24"/>
          <w:szCs w:val="24"/>
        </w:rPr>
        <w:t xml:space="preserve">esearch on the </w:t>
      </w:r>
      <w:r w:rsidR="002240FA">
        <w:rPr>
          <w:rFonts w:ascii="Calibri" w:eastAsia="Calibri" w:hAnsi="Calibri" w:cs="Times New Roman"/>
          <w:sz w:val="24"/>
          <w:szCs w:val="24"/>
        </w:rPr>
        <w:t>r</w:t>
      </w:r>
      <w:r w:rsidRPr="0073690A">
        <w:rPr>
          <w:rFonts w:ascii="Calibri" w:eastAsia="Calibri" w:hAnsi="Calibri" w:cs="Times New Roman"/>
          <w:sz w:val="24"/>
          <w:szCs w:val="24"/>
        </w:rPr>
        <w:t xml:space="preserve">ole of </w:t>
      </w:r>
      <w:r w:rsidR="002240FA">
        <w:rPr>
          <w:rFonts w:ascii="Calibri" w:eastAsia="Calibri" w:hAnsi="Calibri" w:cs="Times New Roman"/>
          <w:sz w:val="24"/>
          <w:szCs w:val="24"/>
        </w:rPr>
        <w:t>e</w:t>
      </w:r>
      <w:r w:rsidRPr="0073690A">
        <w:rPr>
          <w:rFonts w:ascii="Calibri" w:eastAsia="Calibri" w:hAnsi="Calibri" w:cs="Times New Roman"/>
          <w:sz w:val="24"/>
          <w:szCs w:val="24"/>
        </w:rPr>
        <w:t xml:space="preserve">motional </w:t>
      </w:r>
      <w:r w:rsidR="002240FA">
        <w:rPr>
          <w:rFonts w:ascii="Calibri" w:eastAsia="Calibri" w:hAnsi="Calibri" w:cs="Times New Roman"/>
          <w:sz w:val="24"/>
          <w:szCs w:val="24"/>
        </w:rPr>
        <w:t>o</w:t>
      </w:r>
      <w:r w:rsidRPr="0073690A">
        <w:rPr>
          <w:rFonts w:ascii="Calibri" w:eastAsia="Calibri" w:hAnsi="Calibri" w:cs="Times New Roman"/>
          <w:sz w:val="24"/>
          <w:szCs w:val="24"/>
        </w:rPr>
        <w:t xml:space="preserve">rientation in </w:t>
      </w:r>
      <w:r w:rsidR="002240FA">
        <w:rPr>
          <w:rFonts w:ascii="Calibri" w:eastAsia="Calibri" w:hAnsi="Calibri" w:cs="Times New Roman"/>
          <w:sz w:val="24"/>
          <w:szCs w:val="24"/>
        </w:rPr>
        <w:t>a</w:t>
      </w:r>
      <w:r w:rsidRPr="0073690A">
        <w:rPr>
          <w:rFonts w:ascii="Calibri" w:eastAsia="Calibri" w:hAnsi="Calibri" w:cs="Times New Roman"/>
          <w:sz w:val="24"/>
          <w:szCs w:val="24"/>
        </w:rPr>
        <w:t xml:space="preserve">cademics’ </w:t>
      </w:r>
      <w:r w:rsidR="002240FA">
        <w:rPr>
          <w:rFonts w:ascii="Calibri" w:eastAsia="Calibri" w:hAnsi="Calibri" w:cs="Times New Roman"/>
          <w:sz w:val="24"/>
          <w:szCs w:val="24"/>
        </w:rPr>
        <w:t>p</w:t>
      </w:r>
      <w:r w:rsidRPr="0073690A">
        <w:rPr>
          <w:rFonts w:ascii="Calibri" w:eastAsia="Calibri" w:hAnsi="Calibri" w:cs="Times New Roman"/>
          <w:sz w:val="24"/>
          <w:szCs w:val="24"/>
        </w:rPr>
        <w:t xml:space="preserve">rofessional </w:t>
      </w:r>
      <w:r w:rsidR="002240FA">
        <w:rPr>
          <w:rFonts w:ascii="Calibri" w:eastAsia="Calibri" w:hAnsi="Calibri" w:cs="Times New Roman"/>
          <w:sz w:val="24"/>
          <w:szCs w:val="24"/>
        </w:rPr>
        <w:t>l</w:t>
      </w:r>
      <w:r w:rsidRPr="0073690A">
        <w:rPr>
          <w:rFonts w:ascii="Calibri" w:eastAsia="Calibri" w:hAnsi="Calibri" w:cs="Times New Roman"/>
          <w:sz w:val="24"/>
          <w:szCs w:val="24"/>
        </w:rPr>
        <w:t xml:space="preserve">ives. </w:t>
      </w:r>
      <w:r w:rsidRPr="00501ED9">
        <w:rPr>
          <w:rFonts w:ascii="Calibri" w:eastAsia="Calibri" w:hAnsi="Calibri" w:cs="Times New Roman"/>
          <w:i/>
          <w:iCs/>
          <w:sz w:val="24"/>
          <w:szCs w:val="24"/>
        </w:rPr>
        <w:t>Journal of Pedagogical Research, 6</w:t>
      </w:r>
      <w:r w:rsidRPr="0073690A">
        <w:rPr>
          <w:rFonts w:ascii="Calibri" w:eastAsia="Calibri" w:hAnsi="Calibri" w:cs="Times New Roman"/>
          <w:sz w:val="24"/>
          <w:szCs w:val="24"/>
        </w:rPr>
        <w:t>(1), 196–213.</w:t>
      </w:r>
    </w:p>
    <w:p w14:paraId="643E7E85" w14:textId="498B5A14" w:rsidR="002240FA" w:rsidRPr="00C61DE6" w:rsidRDefault="002240FA" w:rsidP="000C4FEE">
      <w:pPr>
        <w:spacing w:after="0" w:line="240" w:lineRule="auto"/>
        <w:ind w:left="720" w:hanging="720"/>
        <w:rPr>
          <w:rFonts w:eastAsia="Calibri" w:cstheme="minorHAnsi"/>
          <w:sz w:val="24"/>
          <w:szCs w:val="24"/>
        </w:rPr>
      </w:pPr>
      <w:r>
        <w:rPr>
          <w:rFonts w:ascii="Calibri" w:eastAsia="Calibri" w:hAnsi="Calibri" w:cs="Times New Roman"/>
          <w:sz w:val="24"/>
          <w:szCs w:val="24"/>
        </w:rPr>
        <w:tab/>
      </w:r>
      <w:hyperlink r:id="rId15" w:history="1">
        <w:r w:rsidRPr="00C61DE6">
          <w:rPr>
            <w:rStyle w:val="Hyperlink"/>
            <w:rFonts w:cstheme="minorHAnsi"/>
            <w:sz w:val="24"/>
            <w:szCs w:val="24"/>
            <w:shd w:val="clear" w:color="auto" w:fill="FFFFFF"/>
          </w:rPr>
          <w:t>https://doi.org/10.33902/JPR.2022175848</w:t>
        </w:r>
      </w:hyperlink>
      <w:r w:rsidRPr="00C61DE6">
        <w:rPr>
          <w:rStyle w:val="Emphasis"/>
          <w:rFonts w:cstheme="minorHAnsi"/>
          <w:i w:val="0"/>
          <w:iCs w:val="0"/>
          <w:color w:val="5F6368"/>
          <w:sz w:val="24"/>
          <w:szCs w:val="24"/>
          <w:shd w:val="clear" w:color="auto" w:fill="FFFFFF"/>
        </w:rPr>
        <w:t xml:space="preserve"> </w:t>
      </w:r>
      <w:r w:rsidRPr="00C61DE6">
        <w:rPr>
          <w:rFonts w:eastAsia="Calibri" w:cstheme="minorHAnsi"/>
          <w:sz w:val="24"/>
          <w:szCs w:val="24"/>
        </w:rPr>
        <w:t xml:space="preserve"> </w:t>
      </w:r>
    </w:p>
    <w:p w14:paraId="760C854F" w14:textId="77777777" w:rsidR="0073690A" w:rsidRDefault="0073690A" w:rsidP="000C4FEE">
      <w:pPr>
        <w:spacing w:after="0" w:line="240" w:lineRule="auto"/>
        <w:ind w:left="720" w:hanging="720"/>
        <w:rPr>
          <w:rFonts w:ascii="Calibri" w:eastAsia="Calibri" w:hAnsi="Calibri" w:cs="Times New Roman"/>
          <w:sz w:val="24"/>
          <w:szCs w:val="24"/>
        </w:rPr>
      </w:pPr>
    </w:p>
    <w:p w14:paraId="0E999E4E" w14:textId="2E6BBBB3" w:rsidR="000C4FEE" w:rsidRPr="000C4FEE" w:rsidRDefault="000C4FEE" w:rsidP="000C4FEE">
      <w:pPr>
        <w:spacing w:after="0" w:line="240" w:lineRule="auto"/>
        <w:ind w:left="720" w:hanging="720"/>
        <w:rPr>
          <w:rFonts w:ascii="Calibri" w:eastAsia="Calibri" w:hAnsi="Calibri" w:cs="Times New Roman"/>
          <w:sz w:val="24"/>
          <w:szCs w:val="24"/>
        </w:rPr>
      </w:pPr>
      <w:r w:rsidRPr="000C4FEE">
        <w:rPr>
          <w:rFonts w:ascii="Calibri" w:eastAsia="Calibri" w:hAnsi="Calibri" w:cs="Times New Roman"/>
          <w:sz w:val="24"/>
          <w:szCs w:val="24"/>
        </w:rPr>
        <w:lastRenderedPageBreak/>
        <w:t>Balancing student privacy and safety: A guide to the Family Educational Rights and Privacy Act for colleges and universities [Pamphlet]. (2007). U.S. Department of Education.</w:t>
      </w:r>
    </w:p>
    <w:p w14:paraId="365ACD2F" w14:textId="6A8995A4" w:rsidR="000C4FEE" w:rsidRPr="000C4FEE" w:rsidRDefault="000C4FEE" w:rsidP="000C4FEE">
      <w:pPr>
        <w:spacing w:after="0" w:line="240" w:lineRule="auto"/>
        <w:ind w:left="720" w:hanging="720"/>
        <w:rPr>
          <w:rFonts w:ascii="Calibri" w:eastAsia="Calibri" w:hAnsi="Calibri" w:cs="Times New Roman"/>
          <w:sz w:val="24"/>
          <w:szCs w:val="24"/>
        </w:rPr>
      </w:pPr>
      <w:r w:rsidRPr="000C4FEE">
        <w:rPr>
          <w:rFonts w:ascii="Calibri" w:eastAsia="Calibri" w:hAnsi="Calibri" w:cs="Times New Roman"/>
          <w:sz w:val="24"/>
          <w:szCs w:val="24"/>
        </w:rPr>
        <w:tab/>
      </w:r>
      <w:hyperlink r:id="rId16" w:history="1">
        <w:r w:rsidRPr="004C028F">
          <w:rPr>
            <w:rStyle w:val="Hyperlink"/>
            <w:rFonts w:ascii="Calibri" w:eastAsia="Calibri" w:hAnsi="Calibri" w:cs="Times New Roman"/>
            <w:sz w:val="24"/>
            <w:szCs w:val="24"/>
          </w:rPr>
          <w:t>https://nces.ed.gov/forum/dataethicscourse/additional-materials/family-educational-rights.pdf</w:t>
        </w:r>
      </w:hyperlink>
    </w:p>
    <w:p w14:paraId="335007E7" w14:textId="5F4836E6"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t xml:space="preserve">Bennett, L., &amp; Bates, M. (2015). </w:t>
      </w:r>
      <w:r w:rsidRPr="008D6938">
        <w:rPr>
          <w:rFonts w:eastAsia="Times New Roman" w:cstheme="minorHAnsi"/>
          <w:iCs/>
          <w:sz w:val="24"/>
          <w:szCs w:val="24"/>
        </w:rPr>
        <w:t xml:space="preserve">Threat </w:t>
      </w:r>
      <w:r w:rsidR="002E42D8">
        <w:rPr>
          <w:rFonts w:eastAsia="Times New Roman" w:cstheme="minorHAnsi"/>
          <w:iCs/>
          <w:sz w:val="24"/>
          <w:szCs w:val="24"/>
        </w:rPr>
        <w:t>A</w:t>
      </w:r>
      <w:r w:rsidRPr="008D6938">
        <w:rPr>
          <w:rFonts w:eastAsia="Times New Roman" w:cstheme="minorHAnsi"/>
          <w:iCs/>
          <w:sz w:val="24"/>
          <w:szCs w:val="24"/>
        </w:rPr>
        <w:t>ssessment and</w:t>
      </w:r>
      <w:r w:rsidR="002E42D8">
        <w:rPr>
          <w:rFonts w:eastAsia="Times New Roman" w:cstheme="minorHAnsi"/>
          <w:iCs/>
          <w:sz w:val="24"/>
          <w:szCs w:val="24"/>
        </w:rPr>
        <w:t xml:space="preserve"> T</w:t>
      </w:r>
      <w:r w:rsidRPr="008D6938">
        <w:rPr>
          <w:rFonts w:eastAsia="Times New Roman" w:cstheme="minorHAnsi"/>
          <w:iCs/>
          <w:sz w:val="24"/>
          <w:szCs w:val="24"/>
        </w:rPr>
        <w:t xml:space="preserve">argeted </w:t>
      </w:r>
      <w:r w:rsidR="002E42D8">
        <w:rPr>
          <w:rFonts w:eastAsia="Times New Roman" w:cstheme="minorHAnsi"/>
          <w:iCs/>
          <w:sz w:val="24"/>
          <w:szCs w:val="24"/>
        </w:rPr>
        <w:t>V</w:t>
      </w:r>
      <w:r w:rsidRPr="008D6938">
        <w:rPr>
          <w:rFonts w:eastAsia="Times New Roman" w:cstheme="minorHAnsi"/>
          <w:iCs/>
          <w:sz w:val="24"/>
          <w:szCs w:val="24"/>
        </w:rPr>
        <w:t xml:space="preserve">iolence at </w:t>
      </w:r>
      <w:r w:rsidR="002E42D8">
        <w:rPr>
          <w:rFonts w:eastAsia="Times New Roman" w:cstheme="minorHAnsi"/>
          <w:iCs/>
          <w:sz w:val="24"/>
          <w:szCs w:val="24"/>
        </w:rPr>
        <w:t>I</w:t>
      </w:r>
      <w:r w:rsidRPr="008D6938">
        <w:rPr>
          <w:rFonts w:eastAsia="Times New Roman" w:cstheme="minorHAnsi"/>
          <w:iCs/>
          <w:sz w:val="24"/>
          <w:szCs w:val="24"/>
        </w:rPr>
        <w:t xml:space="preserve">nstitutions of </w:t>
      </w:r>
      <w:r w:rsidR="002E42D8">
        <w:rPr>
          <w:rFonts w:eastAsia="Times New Roman" w:cstheme="minorHAnsi"/>
          <w:iCs/>
          <w:sz w:val="24"/>
          <w:szCs w:val="24"/>
        </w:rPr>
        <w:t>H</w:t>
      </w:r>
      <w:r w:rsidRPr="008D6938">
        <w:rPr>
          <w:rFonts w:eastAsia="Times New Roman" w:cstheme="minorHAnsi"/>
          <w:iCs/>
          <w:sz w:val="24"/>
          <w:szCs w:val="24"/>
        </w:rPr>
        <w:t xml:space="preserve">igher </w:t>
      </w:r>
      <w:r w:rsidRPr="008D6938">
        <w:rPr>
          <w:rFonts w:eastAsia="Times New Roman" w:cstheme="minorHAnsi"/>
          <w:iCs/>
          <w:sz w:val="24"/>
          <w:szCs w:val="24"/>
        </w:rPr>
        <w:tab/>
      </w:r>
      <w:r w:rsidR="002E42D8">
        <w:rPr>
          <w:rFonts w:eastAsia="Times New Roman" w:cstheme="minorHAnsi"/>
          <w:iCs/>
          <w:sz w:val="24"/>
          <w:szCs w:val="24"/>
        </w:rPr>
        <w:t>E</w:t>
      </w:r>
      <w:r w:rsidRPr="008D6938">
        <w:rPr>
          <w:rFonts w:eastAsia="Times New Roman" w:cstheme="minorHAnsi"/>
          <w:iCs/>
          <w:sz w:val="24"/>
          <w:szCs w:val="24"/>
        </w:rPr>
        <w:t xml:space="preserve">ducation: Implications for </w:t>
      </w:r>
      <w:r w:rsidR="002E42D8">
        <w:rPr>
          <w:rFonts w:eastAsia="Times New Roman" w:cstheme="minorHAnsi"/>
          <w:iCs/>
          <w:sz w:val="24"/>
          <w:szCs w:val="24"/>
        </w:rPr>
        <w:t>P</w:t>
      </w:r>
      <w:r w:rsidRPr="008D6938">
        <w:rPr>
          <w:rFonts w:eastAsia="Times New Roman" w:cstheme="minorHAnsi"/>
          <w:iCs/>
          <w:sz w:val="24"/>
          <w:szCs w:val="24"/>
        </w:rPr>
        <w:t xml:space="preserve">olicy and </w:t>
      </w:r>
      <w:r w:rsidR="002E42D8">
        <w:rPr>
          <w:rFonts w:eastAsia="Times New Roman" w:cstheme="minorHAnsi"/>
          <w:iCs/>
          <w:sz w:val="24"/>
          <w:szCs w:val="24"/>
        </w:rPr>
        <w:t>P</w:t>
      </w:r>
      <w:r w:rsidRPr="008D6938">
        <w:rPr>
          <w:rFonts w:eastAsia="Times New Roman" w:cstheme="minorHAnsi"/>
          <w:iCs/>
          <w:sz w:val="24"/>
          <w:szCs w:val="24"/>
        </w:rPr>
        <w:t xml:space="preserve">ractice </w:t>
      </w:r>
      <w:r w:rsidR="002E42D8">
        <w:rPr>
          <w:rFonts w:eastAsia="Times New Roman" w:cstheme="minorHAnsi"/>
          <w:iCs/>
          <w:sz w:val="24"/>
          <w:szCs w:val="24"/>
        </w:rPr>
        <w:t>I</w:t>
      </w:r>
      <w:r w:rsidRPr="008D6938">
        <w:rPr>
          <w:rFonts w:eastAsia="Times New Roman" w:cstheme="minorHAnsi"/>
          <w:iCs/>
          <w:sz w:val="24"/>
          <w:szCs w:val="24"/>
        </w:rPr>
        <w:t xml:space="preserve">ncluding </w:t>
      </w:r>
      <w:r w:rsidR="002E42D8">
        <w:rPr>
          <w:rFonts w:eastAsia="Times New Roman" w:cstheme="minorHAnsi"/>
          <w:iCs/>
          <w:sz w:val="24"/>
          <w:szCs w:val="24"/>
        </w:rPr>
        <w:t>U</w:t>
      </w:r>
      <w:r w:rsidRPr="008D6938">
        <w:rPr>
          <w:rFonts w:eastAsia="Times New Roman" w:cstheme="minorHAnsi"/>
          <w:iCs/>
          <w:sz w:val="24"/>
          <w:szCs w:val="24"/>
        </w:rPr>
        <w:t xml:space="preserve">nique </w:t>
      </w:r>
      <w:r w:rsidR="002E42D8">
        <w:rPr>
          <w:rFonts w:eastAsia="Times New Roman" w:cstheme="minorHAnsi"/>
          <w:iCs/>
          <w:sz w:val="24"/>
          <w:szCs w:val="24"/>
        </w:rPr>
        <w:t>C</w:t>
      </w:r>
      <w:r w:rsidRPr="008D6938">
        <w:rPr>
          <w:rFonts w:eastAsia="Times New Roman" w:cstheme="minorHAnsi"/>
          <w:iCs/>
          <w:sz w:val="24"/>
          <w:szCs w:val="24"/>
        </w:rPr>
        <w:t xml:space="preserve">onsiderations for </w:t>
      </w:r>
      <w:r w:rsidR="002E42D8">
        <w:rPr>
          <w:rFonts w:eastAsia="Times New Roman" w:cstheme="minorHAnsi"/>
          <w:iCs/>
          <w:sz w:val="24"/>
          <w:szCs w:val="24"/>
        </w:rPr>
        <w:t>C</w:t>
      </w:r>
      <w:r w:rsidRPr="008D6938">
        <w:rPr>
          <w:rFonts w:eastAsia="Times New Roman" w:cstheme="minorHAnsi"/>
          <w:iCs/>
          <w:sz w:val="24"/>
          <w:szCs w:val="24"/>
        </w:rPr>
        <w:t xml:space="preserve">ommunity </w:t>
      </w:r>
      <w:r w:rsidR="002E42D8">
        <w:rPr>
          <w:rFonts w:eastAsia="Times New Roman" w:cstheme="minorHAnsi"/>
          <w:iCs/>
          <w:sz w:val="24"/>
          <w:szCs w:val="24"/>
        </w:rPr>
        <w:t>C</w:t>
      </w:r>
      <w:r w:rsidRPr="008D6938">
        <w:rPr>
          <w:rFonts w:eastAsia="Times New Roman" w:cstheme="minorHAnsi"/>
          <w:iCs/>
          <w:sz w:val="24"/>
          <w:szCs w:val="24"/>
        </w:rPr>
        <w:t xml:space="preserve">olleges. </w:t>
      </w:r>
      <w:r w:rsidRPr="008D6938">
        <w:rPr>
          <w:rFonts w:eastAsia="Times New Roman" w:cstheme="minorHAnsi"/>
          <w:i/>
          <w:sz w:val="24"/>
          <w:szCs w:val="24"/>
        </w:rPr>
        <w:t>EJEP: Ejournal of Education Policy</w:t>
      </w:r>
      <w:r w:rsidRPr="008D6938">
        <w:rPr>
          <w:rFonts w:eastAsia="Times New Roman" w:cstheme="minorHAnsi"/>
          <w:sz w:val="24"/>
          <w:szCs w:val="24"/>
        </w:rPr>
        <w:t>, 1–16.</w:t>
      </w:r>
      <w:r w:rsidR="00285F7A">
        <w:rPr>
          <w:rFonts w:eastAsia="Times New Roman" w:cstheme="minorHAnsi"/>
          <w:sz w:val="24"/>
          <w:szCs w:val="24"/>
        </w:rPr>
        <w:t xml:space="preserve"> </w:t>
      </w:r>
      <w:hyperlink r:id="rId17" w:history="1">
        <w:r w:rsidR="00285F7A" w:rsidRPr="004C028F">
          <w:rPr>
            <w:rStyle w:val="Hyperlink"/>
            <w:rFonts w:eastAsia="Times New Roman" w:cstheme="minorHAnsi"/>
            <w:sz w:val="24"/>
            <w:szCs w:val="24"/>
          </w:rPr>
          <w:t>http://nau.edu/COE/eJournal/</w:t>
        </w:r>
      </w:hyperlink>
    </w:p>
    <w:p w14:paraId="43DC1387" w14:textId="128B1957" w:rsidR="001D0C48" w:rsidRPr="001D0C48" w:rsidRDefault="001D0C48" w:rsidP="001D0C48">
      <w:pPr>
        <w:spacing w:after="0" w:line="240" w:lineRule="auto"/>
        <w:ind w:left="720" w:hanging="720"/>
        <w:rPr>
          <w:rFonts w:ascii="Calibri" w:eastAsia="Calibri" w:hAnsi="Calibri" w:cs="Times New Roman"/>
          <w:sz w:val="24"/>
          <w:szCs w:val="24"/>
        </w:rPr>
      </w:pPr>
      <w:r w:rsidRPr="001D0C48">
        <w:rPr>
          <w:rFonts w:ascii="Calibri" w:eastAsia="Calibri" w:hAnsi="Calibri" w:cs="Times New Roman"/>
          <w:sz w:val="24"/>
          <w:szCs w:val="24"/>
        </w:rPr>
        <w:t xml:space="preserve">Binder, D. (2015). Can we save these hallowed halls of academe? </w:t>
      </w:r>
      <w:r w:rsidRPr="001D0C48">
        <w:rPr>
          <w:rFonts w:ascii="Calibri" w:eastAsia="Calibri" w:hAnsi="Calibri" w:cs="Times New Roman"/>
          <w:i/>
          <w:sz w:val="24"/>
          <w:szCs w:val="24"/>
        </w:rPr>
        <w:t>Regent University Law Review</w:t>
      </w:r>
      <w:r w:rsidRPr="001D0C48">
        <w:rPr>
          <w:rFonts w:ascii="Calibri" w:eastAsia="Calibri" w:hAnsi="Calibri" w:cs="Times New Roman"/>
          <w:sz w:val="24"/>
          <w:szCs w:val="24"/>
        </w:rPr>
        <w:t xml:space="preserve">, </w:t>
      </w:r>
      <w:r w:rsidRPr="001D0C48">
        <w:rPr>
          <w:rFonts w:ascii="Calibri" w:eastAsia="Calibri" w:hAnsi="Calibri" w:cs="Times New Roman"/>
          <w:i/>
          <w:iCs/>
          <w:sz w:val="24"/>
          <w:szCs w:val="24"/>
        </w:rPr>
        <w:t>28</w:t>
      </w:r>
      <w:r w:rsidRPr="001D0C48">
        <w:rPr>
          <w:rFonts w:ascii="Calibri" w:eastAsia="Calibri" w:hAnsi="Calibri" w:cs="Times New Roman"/>
          <w:sz w:val="24"/>
          <w:szCs w:val="24"/>
        </w:rPr>
        <w:t>(2), 253–298.</w:t>
      </w:r>
      <w:r w:rsidR="00F11E49">
        <w:rPr>
          <w:rFonts w:ascii="Calibri" w:eastAsia="Calibri" w:hAnsi="Calibri" w:cs="Times New Roman"/>
          <w:sz w:val="24"/>
          <w:szCs w:val="24"/>
        </w:rPr>
        <w:t xml:space="preserve"> </w:t>
      </w:r>
      <w:hyperlink r:id="rId18" w:history="1">
        <w:r w:rsidR="00F11E49" w:rsidRPr="004C028F">
          <w:rPr>
            <w:rStyle w:val="Hyperlink"/>
            <w:rFonts w:ascii="Calibri" w:eastAsia="Calibri" w:hAnsi="Calibri" w:cs="Times New Roman"/>
            <w:sz w:val="24"/>
            <w:szCs w:val="24"/>
          </w:rPr>
          <w:t>https://doi.org/10.2139/ssrn.1010710</w:t>
        </w:r>
      </w:hyperlink>
    </w:p>
    <w:p w14:paraId="5F7B233F" w14:textId="77777777" w:rsidR="001D0C48" w:rsidRDefault="001D0C48" w:rsidP="008D6938">
      <w:pPr>
        <w:spacing w:after="0" w:line="240" w:lineRule="auto"/>
        <w:ind w:left="720" w:hanging="720"/>
        <w:rPr>
          <w:rFonts w:ascii="Calibri" w:eastAsia="Calibri" w:hAnsi="Calibri" w:cs="Times New Roman"/>
          <w:sz w:val="24"/>
          <w:szCs w:val="24"/>
        </w:rPr>
      </w:pPr>
    </w:p>
    <w:p w14:paraId="204C0143" w14:textId="3A8A1004" w:rsidR="008D6938" w:rsidRPr="008D6938" w:rsidRDefault="008D6938" w:rsidP="008D6938">
      <w:pPr>
        <w:spacing w:after="0" w:line="240" w:lineRule="auto"/>
        <w:ind w:left="720" w:hanging="720"/>
        <w:rPr>
          <w:rFonts w:ascii="Calibri" w:eastAsia="Calibri" w:hAnsi="Calibri" w:cs="Times New Roman"/>
          <w:sz w:val="24"/>
          <w:szCs w:val="24"/>
        </w:rPr>
      </w:pPr>
      <w:r w:rsidRPr="008D6938">
        <w:rPr>
          <w:rFonts w:ascii="Calibri" w:eastAsia="Calibri" w:hAnsi="Calibri" w:cs="Times New Roman"/>
          <w:sz w:val="24"/>
          <w:szCs w:val="24"/>
        </w:rPr>
        <w:t>Birnbaum, R. (2013). Ready, fire, aim: The college campus gun fight. </w:t>
      </w:r>
      <w:r w:rsidRPr="008D6938">
        <w:rPr>
          <w:rFonts w:ascii="Calibri" w:eastAsia="Calibri" w:hAnsi="Calibri" w:cs="Times New Roman"/>
          <w:i/>
          <w:iCs/>
          <w:sz w:val="24"/>
          <w:szCs w:val="24"/>
        </w:rPr>
        <w:t>Change: The Magazine of Higher Learning</w:t>
      </w:r>
      <w:r w:rsidRPr="008D6938">
        <w:rPr>
          <w:rFonts w:ascii="Calibri" w:eastAsia="Calibri" w:hAnsi="Calibri" w:cs="Times New Roman"/>
          <w:sz w:val="24"/>
          <w:szCs w:val="24"/>
        </w:rPr>
        <w:t>, </w:t>
      </w:r>
      <w:r w:rsidRPr="008D6938">
        <w:rPr>
          <w:rFonts w:ascii="Calibri" w:eastAsia="Calibri" w:hAnsi="Calibri" w:cs="Times New Roman"/>
          <w:i/>
          <w:iCs/>
          <w:sz w:val="24"/>
          <w:szCs w:val="24"/>
        </w:rPr>
        <w:t>45</w:t>
      </w:r>
      <w:r w:rsidRPr="008D6938">
        <w:rPr>
          <w:rFonts w:ascii="Calibri" w:eastAsia="Calibri" w:hAnsi="Calibri" w:cs="Times New Roman"/>
          <w:sz w:val="24"/>
          <w:szCs w:val="24"/>
        </w:rPr>
        <w:t>(5), 6–14.</w:t>
      </w:r>
      <w:r w:rsidR="00AE4ADA">
        <w:rPr>
          <w:rFonts w:ascii="Calibri" w:eastAsia="Calibri" w:hAnsi="Calibri" w:cs="Times New Roman"/>
          <w:sz w:val="24"/>
          <w:szCs w:val="24"/>
        </w:rPr>
        <w:t xml:space="preserve"> </w:t>
      </w:r>
      <w:hyperlink r:id="rId19" w:history="1">
        <w:r w:rsidR="00AE4ADA" w:rsidRPr="004C028F">
          <w:rPr>
            <w:rStyle w:val="Hyperlink"/>
            <w:rFonts w:ascii="Calibri" w:eastAsia="Calibri" w:hAnsi="Calibri" w:cs="Times New Roman"/>
            <w:sz w:val="24"/>
            <w:szCs w:val="24"/>
          </w:rPr>
          <w:t>https://doi.org/10.1080/00091383.2013.812462</w:t>
        </w:r>
      </w:hyperlink>
    </w:p>
    <w:p w14:paraId="1ED920BD" w14:textId="1B215E1C"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t xml:space="preserve">Blair, J., &amp; Schweit, K. W. (2014). </w:t>
      </w:r>
      <w:r w:rsidRPr="008D6938">
        <w:rPr>
          <w:rFonts w:eastAsia="Times New Roman" w:cstheme="minorHAnsi"/>
          <w:iCs/>
          <w:sz w:val="24"/>
          <w:szCs w:val="24"/>
        </w:rPr>
        <w:t>A study of active shooter incidents, 2000-2013.</w:t>
      </w:r>
      <w:r w:rsidRPr="008D6938">
        <w:rPr>
          <w:rFonts w:eastAsia="Times New Roman" w:cstheme="minorHAnsi"/>
          <w:sz w:val="24"/>
          <w:szCs w:val="24"/>
        </w:rPr>
        <w:t xml:space="preserve"> Texas State University and Federal Bureau of Investigation, U.S. Department of Justice, Washington, D.C. </w:t>
      </w:r>
      <w:hyperlink r:id="rId20" w:history="1">
        <w:r w:rsidRPr="004C028F">
          <w:rPr>
            <w:rStyle w:val="Hyperlink"/>
            <w:rFonts w:eastAsia="Times New Roman" w:cstheme="minorHAnsi"/>
            <w:sz w:val="24"/>
            <w:szCs w:val="24"/>
          </w:rPr>
          <w:t>https://www.fbi.gov/file-repository/active-shooter-study-2000-2013-1.pdf/view</w:t>
        </w:r>
      </w:hyperlink>
      <w:r w:rsidRPr="008D6938">
        <w:rPr>
          <w:rFonts w:eastAsia="Times New Roman" w:cstheme="minorHAnsi"/>
          <w:sz w:val="24"/>
          <w:szCs w:val="24"/>
        </w:rPr>
        <w:t xml:space="preserve"> </w:t>
      </w:r>
    </w:p>
    <w:p w14:paraId="04FE118C" w14:textId="77777777" w:rsidR="001D0C48" w:rsidRDefault="001D0C48" w:rsidP="001D0C48">
      <w:pPr>
        <w:pStyle w:val="NormalWeb"/>
        <w:spacing w:before="0" w:beforeAutospacing="0" w:after="0" w:afterAutospacing="0"/>
        <w:ind w:left="720" w:hanging="720"/>
        <w:rPr>
          <w:rFonts w:asciiTheme="minorHAnsi" w:hAnsiTheme="minorHAnsi" w:cstheme="minorHAnsi"/>
        </w:rPr>
      </w:pPr>
      <w:r w:rsidRPr="00663997">
        <w:rPr>
          <w:rFonts w:asciiTheme="minorHAnsi" w:hAnsiTheme="minorHAnsi" w:cstheme="minorHAnsi"/>
        </w:rPr>
        <w:t xml:space="preserve">Blanchard, J. (2007). University tort liability and student suicide: Case review and implications for practice. </w:t>
      </w:r>
      <w:r w:rsidRPr="00663997">
        <w:rPr>
          <w:rFonts w:asciiTheme="minorHAnsi" w:hAnsiTheme="minorHAnsi" w:cstheme="minorHAnsi"/>
          <w:i/>
          <w:iCs/>
        </w:rPr>
        <w:t>Journal of Law as Education, 36</w:t>
      </w:r>
      <w:r w:rsidRPr="00663997">
        <w:rPr>
          <w:rFonts w:asciiTheme="minorHAnsi" w:hAnsiTheme="minorHAnsi" w:cstheme="minorHAnsi"/>
        </w:rPr>
        <w:t>(4), 461–77.</w:t>
      </w:r>
    </w:p>
    <w:p w14:paraId="0AC9AB62" w14:textId="2E889569"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t xml:space="preserve">Blumenstyk, G. (2015). </w:t>
      </w:r>
      <w:r w:rsidRPr="008D6938">
        <w:rPr>
          <w:rFonts w:eastAsia="Times New Roman" w:cstheme="minorHAnsi"/>
          <w:i/>
          <w:iCs/>
          <w:sz w:val="24"/>
          <w:szCs w:val="24"/>
        </w:rPr>
        <w:t>American higher education in crisis? What everyone needs to know</w:t>
      </w:r>
      <w:r w:rsidRPr="008D6938">
        <w:rPr>
          <w:rFonts w:eastAsia="Times New Roman" w:cstheme="minorHAnsi"/>
          <w:sz w:val="24"/>
          <w:szCs w:val="24"/>
        </w:rPr>
        <w:t xml:space="preserve">. Oxford University Press. </w:t>
      </w:r>
    </w:p>
    <w:p w14:paraId="78009F99" w14:textId="77777777" w:rsidR="001D0C48" w:rsidRPr="001D0C48" w:rsidRDefault="001D0C48" w:rsidP="001D0C48">
      <w:pPr>
        <w:spacing w:before="100" w:beforeAutospacing="1" w:after="100" w:afterAutospacing="1" w:line="240" w:lineRule="auto"/>
        <w:ind w:left="720" w:hanging="720"/>
        <w:rPr>
          <w:rFonts w:eastAsia="Times New Roman" w:cstheme="minorHAnsi"/>
          <w:sz w:val="24"/>
          <w:szCs w:val="24"/>
        </w:rPr>
      </w:pPr>
      <w:r w:rsidRPr="001D0C48">
        <w:rPr>
          <w:rFonts w:eastAsia="Times New Roman" w:cstheme="minorHAnsi"/>
          <w:sz w:val="24"/>
          <w:szCs w:val="24"/>
        </w:rPr>
        <w:t xml:space="preserve">Bockler, N., Seeger, T., Sitzer, P., &amp; Heitmeyer, W. (2013). </w:t>
      </w:r>
      <w:r w:rsidRPr="001D0C48">
        <w:rPr>
          <w:rFonts w:eastAsia="Times New Roman" w:cstheme="minorHAnsi"/>
          <w:i/>
          <w:iCs/>
          <w:sz w:val="24"/>
          <w:szCs w:val="24"/>
        </w:rPr>
        <w:t xml:space="preserve">School shootings: International research, case studies, and concepts for prevention. </w:t>
      </w:r>
      <w:r w:rsidRPr="001D0C48">
        <w:rPr>
          <w:rFonts w:eastAsia="Times New Roman" w:cstheme="minorHAnsi"/>
          <w:sz w:val="24"/>
          <w:szCs w:val="24"/>
        </w:rPr>
        <w:t>Springer.</w:t>
      </w:r>
    </w:p>
    <w:p w14:paraId="2FBA6184" w14:textId="2663AB11" w:rsidR="002E42D8" w:rsidRPr="002E42D8" w:rsidRDefault="002E42D8" w:rsidP="002E42D8">
      <w:pPr>
        <w:spacing w:before="100" w:beforeAutospacing="1" w:after="100" w:afterAutospacing="1" w:line="240" w:lineRule="auto"/>
        <w:ind w:left="720" w:hanging="720"/>
        <w:rPr>
          <w:rFonts w:eastAsia="Times New Roman" w:cstheme="minorHAnsi"/>
          <w:sz w:val="24"/>
          <w:szCs w:val="24"/>
        </w:rPr>
      </w:pPr>
      <w:r w:rsidRPr="002E42D8">
        <w:rPr>
          <w:rFonts w:eastAsia="Times New Roman" w:cstheme="minorHAnsi"/>
          <w:sz w:val="24"/>
          <w:szCs w:val="24"/>
        </w:rPr>
        <w:t xml:space="preserve">Bogdan, R. C., &amp; Biklen, S. K. (2011). </w:t>
      </w:r>
      <w:r w:rsidRPr="002E42D8">
        <w:rPr>
          <w:rFonts w:eastAsia="Times New Roman" w:cstheme="minorHAnsi"/>
          <w:i/>
          <w:sz w:val="24"/>
          <w:szCs w:val="24"/>
        </w:rPr>
        <w:t xml:space="preserve">Qualitative research for education: An introduction to theories and methods </w:t>
      </w:r>
      <w:r w:rsidRPr="002E42D8">
        <w:rPr>
          <w:rFonts w:eastAsia="Times New Roman" w:cstheme="minorHAnsi"/>
          <w:sz w:val="24"/>
          <w:szCs w:val="24"/>
        </w:rPr>
        <w:t>(5</w:t>
      </w:r>
      <w:r w:rsidR="004245F2" w:rsidRPr="004245F2">
        <w:rPr>
          <w:rFonts w:eastAsia="Times New Roman" w:cstheme="minorHAnsi"/>
          <w:sz w:val="24"/>
          <w:szCs w:val="24"/>
          <w:vertAlign w:val="superscript"/>
        </w:rPr>
        <w:t>th</w:t>
      </w:r>
      <w:r w:rsidRPr="002E42D8">
        <w:rPr>
          <w:rFonts w:eastAsia="Times New Roman" w:cstheme="minorHAnsi"/>
          <w:sz w:val="24"/>
          <w:szCs w:val="24"/>
        </w:rPr>
        <w:t xml:space="preserve"> ed.). Pearson.</w:t>
      </w:r>
    </w:p>
    <w:p w14:paraId="4100E62A" w14:textId="5BE9CA2A" w:rsidR="001D0C48" w:rsidRPr="001D0C48" w:rsidRDefault="001D0C48" w:rsidP="001D0C48">
      <w:pPr>
        <w:spacing w:before="100" w:beforeAutospacing="1" w:after="100" w:afterAutospacing="1" w:line="240" w:lineRule="auto"/>
        <w:ind w:left="720" w:hanging="720"/>
        <w:rPr>
          <w:rFonts w:eastAsia="Times New Roman" w:cstheme="minorHAnsi"/>
          <w:sz w:val="24"/>
          <w:szCs w:val="24"/>
        </w:rPr>
      </w:pPr>
      <w:r w:rsidRPr="008B7EE0">
        <w:rPr>
          <w:rFonts w:eastAsia="Times New Roman" w:cstheme="minorHAnsi"/>
          <w:sz w:val="24"/>
          <w:szCs w:val="24"/>
        </w:rPr>
        <w:t>Bolante, R.</w:t>
      </w:r>
      <w:r w:rsidR="000F451C" w:rsidRPr="008B7EE0">
        <w:rPr>
          <w:rFonts w:eastAsia="Times New Roman" w:cstheme="minorHAnsi"/>
          <w:sz w:val="24"/>
          <w:szCs w:val="24"/>
        </w:rPr>
        <w:t>, &amp; Dykeman, C.</w:t>
      </w:r>
      <w:r w:rsidRPr="001D0C48">
        <w:rPr>
          <w:rFonts w:eastAsia="Times New Roman" w:cstheme="minorHAnsi"/>
          <w:sz w:val="24"/>
          <w:szCs w:val="24"/>
        </w:rPr>
        <w:t xml:space="preserve"> (2015). Threat assessment in community colleges. </w:t>
      </w:r>
      <w:r w:rsidRPr="001D0C48">
        <w:rPr>
          <w:rFonts w:eastAsia="Times New Roman" w:cstheme="minorHAnsi"/>
          <w:i/>
          <w:iCs/>
          <w:sz w:val="24"/>
          <w:szCs w:val="24"/>
        </w:rPr>
        <w:t>Journal of Threat Assessment and Management, 2</w:t>
      </w:r>
      <w:r w:rsidRPr="001D0C48">
        <w:rPr>
          <w:rFonts w:eastAsia="Times New Roman" w:cstheme="minorHAnsi"/>
          <w:sz w:val="24"/>
          <w:szCs w:val="24"/>
        </w:rPr>
        <w:t>(1), 23-32.</w:t>
      </w:r>
      <w:r w:rsidR="000F451C">
        <w:rPr>
          <w:rFonts w:eastAsia="Times New Roman" w:cstheme="minorHAnsi"/>
          <w:sz w:val="24"/>
          <w:szCs w:val="24"/>
        </w:rPr>
        <w:t xml:space="preserve"> </w:t>
      </w:r>
      <w:hyperlink r:id="rId21" w:history="1">
        <w:r w:rsidR="000F451C" w:rsidRPr="004C028F">
          <w:rPr>
            <w:rStyle w:val="Hyperlink"/>
            <w:rFonts w:eastAsia="Times New Roman" w:cstheme="minorHAnsi"/>
            <w:sz w:val="24"/>
            <w:szCs w:val="24"/>
          </w:rPr>
          <w:t>https://doi.org/10.31234/osf.io/us4vn</w:t>
        </w:r>
      </w:hyperlink>
    </w:p>
    <w:p w14:paraId="75C09555" w14:textId="0CA83967"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t xml:space="preserve">Bolante, R., &amp; Dykeman C. (2017). Threat assessment teams for institutions of higher education: A review of key ideas and practices for professional counselors. </w:t>
      </w:r>
      <w:r w:rsidRPr="008D6938">
        <w:rPr>
          <w:rFonts w:eastAsia="Times New Roman" w:cstheme="minorHAnsi"/>
          <w:i/>
          <w:iCs/>
          <w:sz w:val="24"/>
          <w:szCs w:val="24"/>
        </w:rPr>
        <w:t>American Counseling Association, VISTAS Online</w:t>
      </w:r>
      <w:r w:rsidRPr="008D6938">
        <w:rPr>
          <w:rFonts w:eastAsia="Times New Roman" w:cstheme="minorHAnsi"/>
          <w:sz w:val="24"/>
          <w:szCs w:val="24"/>
        </w:rPr>
        <w:t xml:space="preserve">, Article 29. </w:t>
      </w:r>
      <w:hyperlink r:id="rId22" w:history="1">
        <w:r w:rsidRPr="004C028F">
          <w:rPr>
            <w:rStyle w:val="Hyperlink"/>
            <w:rFonts w:eastAsia="Times New Roman" w:cstheme="minorHAnsi"/>
            <w:sz w:val="24"/>
            <w:szCs w:val="24"/>
          </w:rPr>
          <w:t>https://www.counseling.org/docs/defaultsource/vistas/Threat_Assessment_Teams.pdf?sfvrsn=10c24a2c_4</w:t>
        </w:r>
      </w:hyperlink>
    </w:p>
    <w:p w14:paraId="782DC9B3" w14:textId="0BA87C9E" w:rsidR="008D6938" w:rsidRPr="008D6938" w:rsidRDefault="008D6938" w:rsidP="008D6938">
      <w:pPr>
        <w:spacing w:after="0" w:line="240" w:lineRule="auto"/>
        <w:ind w:left="720" w:hanging="720"/>
        <w:rPr>
          <w:rFonts w:eastAsia="Calibri" w:cstheme="minorHAnsi"/>
          <w:sz w:val="24"/>
          <w:szCs w:val="24"/>
        </w:rPr>
      </w:pPr>
      <w:bookmarkStart w:id="17" w:name="_Hlk84883022"/>
      <w:r w:rsidRPr="008D6938">
        <w:rPr>
          <w:rFonts w:eastAsia="Calibri" w:cstheme="minorHAnsi"/>
          <w:sz w:val="24"/>
          <w:szCs w:val="24"/>
        </w:rPr>
        <w:t>Bolman, L. G., &amp; Deal, T. E. (2</w:t>
      </w:r>
      <w:r w:rsidR="004245F2">
        <w:rPr>
          <w:rFonts w:eastAsia="Calibri" w:cstheme="minorHAnsi"/>
          <w:sz w:val="24"/>
          <w:szCs w:val="24"/>
        </w:rPr>
        <w:t>021</w:t>
      </w:r>
      <w:r w:rsidRPr="008D6938">
        <w:rPr>
          <w:rFonts w:eastAsia="Calibri" w:cstheme="minorHAnsi"/>
          <w:sz w:val="24"/>
          <w:szCs w:val="24"/>
        </w:rPr>
        <w:t xml:space="preserve">). </w:t>
      </w:r>
      <w:r w:rsidRPr="008D6938">
        <w:rPr>
          <w:rFonts w:eastAsia="Calibri" w:cstheme="minorHAnsi"/>
          <w:i/>
          <w:iCs/>
          <w:sz w:val="24"/>
          <w:szCs w:val="24"/>
        </w:rPr>
        <w:t>Reframing organizations: Artistry, choice, and leadership</w:t>
      </w:r>
      <w:r w:rsidRPr="008D6938">
        <w:rPr>
          <w:rFonts w:eastAsia="Calibri" w:cstheme="minorHAnsi"/>
          <w:sz w:val="24"/>
          <w:szCs w:val="24"/>
        </w:rPr>
        <w:t xml:space="preserve"> (</w:t>
      </w:r>
      <w:r w:rsidR="004245F2">
        <w:rPr>
          <w:rFonts w:eastAsia="Calibri" w:cstheme="minorHAnsi"/>
          <w:sz w:val="24"/>
          <w:szCs w:val="24"/>
        </w:rPr>
        <w:t>7</w:t>
      </w:r>
      <w:r w:rsidR="004245F2">
        <w:rPr>
          <w:rFonts w:eastAsia="Calibri" w:cstheme="minorHAnsi"/>
          <w:sz w:val="24"/>
          <w:szCs w:val="24"/>
          <w:vertAlign w:val="superscript"/>
        </w:rPr>
        <w:t>th</w:t>
      </w:r>
      <w:r w:rsidRPr="008D6938">
        <w:rPr>
          <w:rFonts w:eastAsia="Calibri" w:cstheme="minorHAnsi"/>
          <w:sz w:val="24"/>
          <w:szCs w:val="24"/>
        </w:rPr>
        <w:t xml:space="preserve"> ed.). Jossey-Bass.</w:t>
      </w:r>
    </w:p>
    <w:p w14:paraId="0F9FC08E" w14:textId="77777777" w:rsidR="008D6938" w:rsidRPr="008D6938" w:rsidRDefault="008D6938" w:rsidP="008D6938">
      <w:pPr>
        <w:spacing w:after="0" w:line="240" w:lineRule="auto"/>
        <w:ind w:left="720" w:hanging="720"/>
        <w:rPr>
          <w:rFonts w:cstheme="minorHAnsi"/>
          <w:sz w:val="24"/>
          <w:szCs w:val="24"/>
        </w:rPr>
      </w:pPr>
    </w:p>
    <w:bookmarkEnd w:id="17"/>
    <w:p w14:paraId="067CCA16" w14:textId="1E04BE00" w:rsidR="00E64F0C" w:rsidRDefault="00E64F0C" w:rsidP="001D0C48">
      <w:pPr>
        <w:spacing w:after="200" w:line="240" w:lineRule="auto"/>
        <w:ind w:left="720" w:hanging="720"/>
        <w:rPr>
          <w:rFonts w:cstheme="minorHAnsi"/>
          <w:sz w:val="24"/>
          <w:szCs w:val="24"/>
        </w:rPr>
      </w:pPr>
      <w:r>
        <w:rPr>
          <w:rFonts w:cstheme="minorHAnsi"/>
          <w:sz w:val="24"/>
          <w:szCs w:val="24"/>
        </w:rPr>
        <w:lastRenderedPageBreak/>
        <w:t xml:space="preserve">Bolman, L. G., &amp; Gallos, J. V. (2011). </w:t>
      </w:r>
      <w:r w:rsidRPr="00E64F0C">
        <w:rPr>
          <w:rFonts w:cstheme="minorHAnsi"/>
          <w:i/>
          <w:iCs/>
          <w:sz w:val="24"/>
          <w:szCs w:val="24"/>
        </w:rPr>
        <w:t>Reframing academic leadership</w:t>
      </w:r>
      <w:r>
        <w:rPr>
          <w:rFonts w:cstheme="minorHAnsi"/>
          <w:sz w:val="24"/>
          <w:szCs w:val="24"/>
        </w:rPr>
        <w:t>. Jossey-Bass.</w:t>
      </w:r>
    </w:p>
    <w:p w14:paraId="1CE9FAB0" w14:textId="5A155B97" w:rsidR="001D0C48" w:rsidRPr="001D0C48" w:rsidRDefault="001D0C48" w:rsidP="001D0C48">
      <w:pPr>
        <w:spacing w:after="200" w:line="240" w:lineRule="auto"/>
        <w:ind w:left="720" w:hanging="720"/>
        <w:rPr>
          <w:rFonts w:cstheme="minorHAnsi"/>
          <w:sz w:val="24"/>
          <w:szCs w:val="24"/>
        </w:rPr>
      </w:pPr>
      <w:r w:rsidRPr="001D0C48">
        <w:rPr>
          <w:rFonts w:cstheme="minorHAnsi"/>
          <w:sz w:val="24"/>
          <w:szCs w:val="24"/>
        </w:rPr>
        <w:t xml:space="preserve">Borum, R., Cornell, D., Modzeleski, W., &amp; Jimerson, S. (2010). What can be done about school shootings? A review of the evidence. </w:t>
      </w:r>
      <w:r w:rsidRPr="001D0C48">
        <w:rPr>
          <w:rFonts w:cstheme="minorHAnsi"/>
          <w:i/>
          <w:iCs/>
          <w:sz w:val="24"/>
          <w:szCs w:val="24"/>
        </w:rPr>
        <w:t>Education Researcher, 39</w:t>
      </w:r>
      <w:r w:rsidRPr="001D0C48">
        <w:rPr>
          <w:rFonts w:cstheme="minorHAnsi"/>
          <w:sz w:val="24"/>
          <w:szCs w:val="24"/>
        </w:rPr>
        <w:t>(1), 27.</w:t>
      </w:r>
      <w:r w:rsidR="002049F3">
        <w:rPr>
          <w:rFonts w:cstheme="minorHAnsi"/>
          <w:sz w:val="24"/>
          <w:szCs w:val="24"/>
        </w:rPr>
        <w:t xml:space="preserve">  </w:t>
      </w:r>
      <w:hyperlink r:id="rId23" w:history="1">
        <w:r w:rsidR="002049F3" w:rsidRPr="004C028F">
          <w:rPr>
            <w:rStyle w:val="Hyperlink"/>
            <w:rFonts w:cstheme="minorHAnsi"/>
            <w:sz w:val="24"/>
            <w:szCs w:val="24"/>
          </w:rPr>
          <w:t>https://doi.org/10.3102/0013189x09357620</w:t>
        </w:r>
      </w:hyperlink>
    </w:p>
    <w:p w14:paraId="19A03563" w14:textId="52D60E68" w:rsidR="00CB5F94" w:rsidRPr="00CB5F94" w:rsidRDefault="00CB5F94" w:rsidP="00CB5F94">
      <w:pPr>
        <w:spacing w:after="200" w:line="240" w:lineRule="auto"/>
        <w:ind w:left="720" w:hanging="720"/>
        <w:rPr>
          <w:rFonts w:cstheme="minorHAnsi"/>
          <w:sz w:val="24"/>
          <w:szCs w:val="24"/>
        </w:rPr>
      </w:pPr>
      <w:r w:rsidRPr="00CB5F94">
        <w:rPr>
          <w:rFonts w:cstheme="minorHAnsi"/>
          <w:sz w:val="24"/>
          <w:szCs w:val="24"/>
        </w:rPr>
        <w:t xml:space="preserve">Boynton, A. (2003). Securing college campuses in the face of terrorism. </w:t>
      </w:r>
      <w:r w:rsidRPr="00CB5F94">
        <w:rPr>
          <w:rFonts w:cstheme="minorHAnsi"/>
          <w:i/>
          <w:iCs/>
          <w:sz w:val="24"/>
          <w:szCs w:val="24"/>
        </w:rPr>
        <w:t>Campus Law Enforcement Journal, 33</w:t>
      </w:r>
      <w:r w:rsidRPr="00CB5F94">
        <w:rPr>
          <w:rFonts w:cstheme="minorHAnsi"/>
          <w:sz w:val="24"/>
          <w:szCs w:val="24"/>
        </w:rPr>
        <w:t xml:space="preserve">, 15–17. </w:t>
      </w:r>
      <w:hyperlink r:id="rId24" w:history="1">
        <w:r w:rsidRPr="004C028F">
          <w:rPr>
            <w:rStyle w:val="Hyperlink"/>
            <w:rFonts w:cstheme="minorHAnsi"/>
            <w:sz w:val="24"/>
            <w:szCs w:val="24"/>
          </w:rPr>
          <w:t>http://www.ncjrs.gov/App/publications/abstract.aspx?ID=203626</w:t>
        </w:r>
      </w:hyperlink>
    </w:p>
    <w:p w14:paraId="51C02A56" w14:textId="77777777" w:rsidR="00CB5F94" w:rsidRPr="00CB5F94" w:rsidRDefault="00CB5F94" w:rsidP="00CB5F94">
      <w:pPr>
        <w:spacing w:after="200" w:line="240" w:lineRule="auto"/>
        <w:ind w:left="720" w:hanging="720"/>
        <w:rPr>
          <w:rFonts w:cstheme="minorHAnsi"/>
          <w:sz w:val="24"/>
          <w:szCs w:val="24"/>
        </w:rPr>
      </w:pPr>
      <w:r w:rsidRPr="00CB5F94">
        <w:rPr>
          <w:rFonts w:cstheme="minorHAnsi"/>
          <w:sz w:val="24"/>
          <w:szCs w:val="24"/>
        </w:rPr>
        <w:t xml:space="preserve">Broadhurst, C., (2010). We didn't fire a shot, we didn't burn a building: The student reaction at North Carolina State University to the Kent State Shootings, May 1970. </w:t>
      </w:r>
      <w:r w:rsidRPr="00CB5F94">
        <w:rPr>
          <w:rFonts w:cstheme="minorHAnsi"/>
          <w:i/>
          <w:iCs/>
          <w:sz w:val="24"/>
          <w:szCs w:val="24"/>
        </w:rPr>
        <w:t>North Carolina Historical Review 87</w:t>
      </w:r>
      <w:r w:rsidRPr="00CB5F94">
        <w:rPr>
          <w:rFonts w:cstheme="minorHAnsi"/>
          <w:sz w:val="24"/>
          <w:szCs w:val="24"/>
        </w:rPr>
        <w:t>(3), 283–309.</w:t>
      </w:r>
    </w:p>
    <w:p w14:paraId="29B3E1CE" w14:textId="6DC55624" w:rsidR="00CB5F94" w:rsidRPr="00CB5F94" w:rsidRDefault="00CB5F94" w:rsidP="00CB5F94">
      <w:pPr>
        <w:spacing w:after="200" w:line="240" w:lineRule="auto"/>
        <w:ind w:left="720" w:hanging="720"/>
        <w:rPr>
          <w:rFonts w:cstheme="minorHAnsi"/>
          <w:sz w:val="24"/>
          <w:szCs w:val="24"/>
        </w:rPr>
      </w:pPr>
      <w:r w:rsidRPr="00CB5F94">
        <w:rPr>
          <w:rFonts w:cstheme="minorHAnsi"/>
          <w:sz w:val="24"/>
          <w:szCs w:val="24"/>
        </w:rPr>
        <w:t xml:space="preserve">Bryant, L. (2021). </w:t>
      </w:r>
      <w:r w:rsidRPr="00CB5F94">
        <w:rPr>
          <w:rFonts w:cstheme="minorHAnsi"/>
          <w:i/>
          <w:iCs/>
          <w:sz w:val="24"/>
          <w:szCs w:val="24"/>
        </w:rPr>
        <w:t>A Narrative Inquiry on Experiences of Title IX Coordinators in the Southeastern Conference</w:t>
      </w:r>
      <w:r w:rsidRPr="00CB5F94">
        <w:rPr>
          <w:rFonts w:cstheme="minorHAnsi"/>
          <w:sz w:val="24"/>
          <w:szCs w:val="24"/>
        </w:rPr>
        <w:t xml:space="preserve"> [Doctoral Dissertation, University of Tennessee]. Trace. </w:t>
      </w:r>
      <w:hyperlink r:id="rId25" w:history="1">
        <w:r w:rsidRPr="004C028F">
          <w:rPr>
            <w:rStyle w:val="Hyperlink"/>
            <w:rFonts w:cstheme="minorHAnsi"/>
            <w:sz w:val="24"/>
            <w:szCs w:val="24"/>
          </w:rPr>
          <w:t>https://trace.tennessee.edu/utk_graddiss/6676</w:t>
        </w:r>
      </w:hyperlink>
    </w:p>
    <w:p w14:paraId="7619C39D" w14:textId="0B6B92E3" w:rsidR="001D0C48" w:rsidRDefault="00CB5F94" w:rsidP="00CB5F94">
      <w:pPr>
        <w:spacing w:after="200" w:line="240" w:lineRule="auto"/>
        <w:ind w:left="720" w:hanging="720"/>
        <w:rPr>
          <w:rFonts w:cstheme="minorHAnsi"/>
          <w:sz w:val="24"/>
          <w:szCs w:val="24"/>
        </w:rPr>
      </w:pPr>
      <w:r w:rsidRPr="00CB5F94">
        <w:rPr>
          <w:rFonts w:cstheme="minorHAnsi"/>
          <w:sz w:val="24"/>
          <w:szCs w:val="24"/>
        </w:rPr>
        <w:t xml:space="preserve">Cacialli, D. O. (2019). The unique role and special considerations of mental health professionals on threat assessment teams at institutions of higher education. </w:t>
      </w:r>
      <w:r w:rsidRPr="00CB5F94">
        <w:rPr>
          <w:rFonts w:cstheme="minorHAnsi"/>
          <w:i/>
          <w:iCs/>
          <w:sz w:val="24"/>
          <w:szCs w:val="24"/>
        </w:rPr>
        <w:t>International Journal of Law and Psychiatry</w:t>
      </w:r>
      <w:r w:rsidRPr="00CB5F94">
        <w:rPr>
          <w:rFonts w:cstheme="minorHAnsi"/>
          <w:sz w:val="24"/>
          <w:szCs w:val="24"/>
        </w:rPr>
        <w:t xml:space="preserve">, </w:t>
      </w:r>
      <w:r w:rsidRPr="00CB5F94">
        <w:rPr>
          <w:rFonts w:cstheme="minorHAnsi"/>
          <w:i/>
          <w:iCs/>
          <w:sz w:val="24"/>
          <w:szCs w:val="24"/>
        </w:rPr>
        <w:t>62</w:t>
      </w:r>
      <w:r w:rsidRPr="00CB5F94">
        <w:rPr>
          <w:rFonts w:cstheme="minorHAnsi"/>
          <w:sz w:val="24"/>
          <w:szCs w:val="24"/>
        </w:rPr>
        <w:t xml:space="preserve">, 32–44. </w:t>
      </w:r>
      <w:hyperlink r:id="rId26" w:history="1">
        <w:r w:rsidRPr="004C028F">
          <w:rPr>
            <w:rStyle w:val="Hyperlink"/>
            <w:rFonts w:cstheme="minorHAnsi"/>
            <w:sz w:val="24"/>
            <w:szCs w:val="24"/>
          </w:rPr>
          <w:t>https://doi.org/10.1016/j.ijlp.2018.10.005</w:t>
        </w:r>
      </w:hyperlink>
    </w:p>
    <w:p w14:paraId="050CD958" w14:textId="7C5C258E" w:rsidR="000D44DF" w:rsidRPr="000D44DF" w:rsidRDefault="000D44DF" w:rsidP="000D44DF">
      <w:pPr>
        <w:spacing w:after="200" w:line="240" w:lineRule="auto"/>
        <w:ind w:left="720" w:hanging="720"/>
        <w:rPr>
          <w:rFonts w:cstheme="minorHAnsi"/>
          <w:sz w:val="24"/>
          <w:szCs w:val="24"/>
        </w:rPr>
      </w:pPr>
      <w:r w:rsidRPr="000D44DF">
        <w:rPr>
          <w:rFonts w:cstheme="minorHAnsi"/>
          <w:sz w:val="24"/>
          <w:szCs w:val="24"/>
        </w:rPr>
        <w:t xml:space="preserve">Charmaz, K. (2014). </w:t>
      </w:r>
      <w:r w:rsidRPr="000D44DF">
        <w:rPr>
          <w:rFonts w:cstheme="minorHAnsi"/>
          <w:i/>
          <w:sz w:val="24"/>
          <w:szCs w:val="24"/>
        </w:rPr>
        <w:t>Constructing grounded theory</w:t>
      </w:r>
      <w:r w:rsidRPr="000D44DF">
        <w:rPr>
          <w:rFonts w:cstheme="minorHAnsi"/>
          <w:sz w:val="24"/>
          <w:szCs w:val="24"/>
        </w:rPr>
        <w:t xml:space="preserve"> (2</w:t>
      </w:r>
      <w:r w:rsidRPr="000D44DF">
        <w:rPr>
          <w:rFonts w:cstheme="minorHAnsi"/>
          <w:sz w:val="24"/>
          <w:szCs w:val="24"/>
          <w:vertAlign w:val="superscript"/>
        </w:rPr>
        <w:t>nd</w:t>
      </w:r>
      <w:r w:rsidRPr="000D44DF">
        <w:rPr>
          <w:rFonts w:cstheme="minorHAnsi"/>
          <w:sz w:val="24"/>
          <w:szCs w:val="24"/>
        </w:rPr>
        <w:t xml:space="preserve"> ed.). Sage. </w:t>
      </w:r>
    </w:p>
    <w:p w14:paraId="7412FAD0" w14:textId="7829BDBE" w:rsidR="000D44DF" w:rsidRPr="000D44DF" w:rsidRDefault="000D44DF" w:rsidP="000D44DF">
      <w:pPr>
        <w:spacing w:after="200" w:line="240" w:lineRule="auto"/>
        <w:ind w:left="720" w:hanging="720"/>
        <w:rPr>
          <w:rFonts w:cstheme="minorHAnsi"/>
          <w:sz w:val="24"/>
          <w:szCs w:val="24"/>
        </w:rPr>
      </w:pPr>
      <w:r w:rsidRPr="000D44DF">
        <w:rPr>
          <w:rFonts w:cstheme="minorHAnsi"/>
          <w:sz w:val="24"/>
          <w:szCs w:val="24"/>
        </w:rPr>
        <w:t xml:space="preserve">Chein, I. (1981). Appendix: An introduction to sampling. In L. H. Kidder (Ed.), </w:t>
      </w:r>
      <w:r w:rsidRPr="000D44DF">
        <w:rPr>
          <w:rFonts w:cstheme="minorHAnsi"/>
          <w:i/>
          <w:sz w:val="24"/>
          <w:szCs w:val="24"/>
        </w:rPr>
        <w:t xml:space="preserve">Selltiz, Wrightsman &amp; Cook’s research methods in social relations </w:t>
      </w:r>
      <w:r w:rsidRPr="000D44DF">
        <w:rPr>
          <w:rFonts w:cstheme="minorHAnsi"/>
          <w:sz w:val="24"/>
          <w:szCs w:val="24"/>
        </w:rPr>
        <w:t>(4</w:t>
      </w:r>
      <w:r w:rsidRPr="000D44DF">
        <w:rPr>
          <w:rFonts w:cstheme="minorHAnsi"/>
          <w:sz w:val="24"/>
          <w:szCs w:val="24"/>
          <w:vertAlign w:val="superscript"/>
        </w:rPr>
        <w:t>th</w:t>
      </w:r>
      <w:r w:rsidRPr="000D44DF">
        <w:rPr>
          <w:rFonts w:cstheme="minorHAnsi"/>
          <w:sz w:val="24"/>
          <w:szCs w:val="24"/>
        </w:rPr>
        <w:t xml:space="preserve"> ed.). (418–441). Holt, Rinehart, and Winston.</w:t>
      </w:r>
    </w:p>
    <w:p w14:paraId="74543CAC" w14:textId="2D80BF6C" w:rsidR="00CB5F94" w:rsidRPr="00CB5F94" w:rsidRDefault="00CB5F94" w:rsidP="00CB5F94">
      <w:pPr>
        <w:spacing w:after="200" w:line="240" w:lineRule="auto"/>
        <w:ind w:left="720" w:hanging="720"/>
        <w:rPr>
          <w:rFonts w:cstheme="minorHAnsi"/>
          <w:sz w:val="24"/>
          <w:szCs w:val="24"/>
        </w:rPr>
      </w:pPr>
      <w:r w:rsidRPr="00CB5F94">
        <w:rPr>
          <w:rFonts w:cstheme="minorHAnsi"/>
          <w:sz w:val="24"/>
          <w:szCs w:val="24"/>
        </w:rPr>
        <w:t>Chekwa, C., Thomas, E. J., &amp; Jones, V. J. (2013). What are college students' perceptions about campus safety? </w:t>
      </w:r>
      <w:r w:rsidRPr="00CB5F94">
        <w:rPr>
          <w:rFonts w:cstheme="minorHAnsi"/>
          <w:i/>
          <w:iCs/>
          <w:sz w:val="24"/>
          <w:szCs w:val="24"/>
        </w:rPr>
        <w:t>Contemporary issues in education research</w:t>
      </w:r>
      <w:r w:rsidRPr="00CB5F94">
        <w:rPr>
          <w:rFonts w:cstheme="minorHAnsi"/>
          <w:sz w:val="24"/>
          <w:szCs w:val="24"/>
        </w:rPr>
        <w:t>, </w:t>
      </w:r>
      <w:r w:rsidRPr="00CB5F94">
        <w:rPr>
          <w:rFonts w:cstheme="minorHAnsi"/>
          <w:i/>
          <w:iCs/>
          <w:sz w:val="24"/>
          <w:szCs w:val="24"/>
        </w:rPr>
        <w:t>6</w:t>
      </w:r>
      <w:r w:rsidRPr="00CB5F94">
        <w:rPr>
          <w:rFonts w:cstheme="minorHAnsi"/>
          <w:sz w:val="24"/>
          <w:szCs w:val="24"/>
        </w:rPr>
        <w:t>(3), 325–332.</w:t>
      </w:r>
      <w:r w:rsidR="00E34942">
        <w:rPr>
          <w:rFonts w:cstheme="minorHAnsi"/>
          <w:sz w:val="24"/>
          <w:szCs w:val="24"/>
        </w:rPr>
        <w:t xml:space="preserve"> </w:t>
      </w:r>
      <w:hyperlink r:id="rId27" w:history="1">
        <w:r w:rsidR="00E34942" w:rsidRPr="004C028F">
          <w:rPr>
            <w:rStyle w:val="Hyperlink"/>
            <w:rFonts w:cstheme="minorHAnsi"/>
            <w:sz w:val="24"/>
            <w:szCs w:val="24"/>
          </w:rPr>
          <w:t>https://doi.org/10.19030/cier.v6i3.7903</w:t>
        </w:r>
      </w:hyperlink>
    </w:p>
    <w:p w14:paraId="172D0483" w14:textId="59C30052" w:rsidR="000D44DF" w:rsidRPr="000D44DF" w:rsidRDefault="000D44DF" w:rsidP="000D44DF">
      <w:pPr>
        <w:spacing w:after="200" w:line="240" w:lineRule="auto"/>
        <w:ind w:left="720" w:hanging="720"/>
        <w:rPr>
          <w:rFonts w:cstheme="minorHAnsi"/>
          <w:sz w:val="24"/>
          <w:szCs w:val="24"/>
        </w:rPr>
      </w:pPr>
      <w:r w:rsidRPr="000D44DF">
        <w:rPr>
          <w:rFonts w:cstheme="minorHAnsi"/>
          <w:sz w:val="24"/>
          <w:szCs w:val="24"/>
        </w:rPr>
        <w:t>Chinn, M. N. (2013). </w:t>
      </w:r>
      <w:r w:rsidRPr="000D44DF">
        <w:rPr>
          <w:rFonts w:cstheme="minorHAnsi"/>
          <w:i/>
          <w:sz w:val="24"/>
          <w:szCs w:val="24"/>
        </w:rPr>
        <w:t>Managing threats: Examining intra-organizational collaboration between academic and student affairs divisions </w:t>
      </w:r>
      <w:r w:rsidRPr="000D44DF">
        <w:rPr>
          <w:rFonts w:cstheme="minorHAnsi"/>
          <w:sz w:val="24"/>
          <w:szCs w:val="24"/>
        </w:rPr>
        <w:t xml:space="preserve">(Order No. 3595507). ProQuest Dissertations &amp; Theses Global. (1444307670). </w:t>
      </w:r>
      <w:hyperlink r:id="rId28" w:history="1">
        <w:r w:rsidRPr="004C028F">
          <w:rPr>
            <w:rStyle w:val="Hyperlink"/>
            <w:rFonts w:cstheme="minorHAnsi"/>
            <w:sz w:val="24"/>
            <w:szCs w:val="24"/>
          </w:rPr>
          <w:t>https://utk.idm.oclc.org/login?url=https://www-roquest-com.utk.idm.oclc.org/dissertations-theses/managing-threats-examining-intra-organizational/docview/1444307670/se-2?accountid=14766</w:t>
        </w:r>
      </w:hyperlink>
    </w:p>
    <w:p w14:paraId="5ABB0D75" w14:textId="3AE7413D" w:rsidR="00CB5F94" w:rsidRPr="00CB5F94" w:rsidRDefault="00CB5F94" w:rsidP="00CB5F94">
      <w:pPr>
        <w:spacing w:after="200" w:line="240" w:lineRule="auto"/>
        <w:ind w:left="720" w:hanging="720"/>
        <w:rPr>
          <w:rFonts w:cstheme="minorHAnsi"/>
          <w:sz w:val="24"/>
          <w:szCs w:val="24"/>
        </w:rPr>
      </w:pPr>
      <w:r w:rsidRPr="00CB5F94">
        <w:rPr>
          <w:rFonts w:cstheme="minorHAnsi"/>
          <w:sz w:val="24"/>
          <w:szCs w:val="24"/>
        </w:rPr>
        <w:t xml:space="preserve">Colloff, P. (2006). 96 Minutes. </w:t>
      </w:r>
      <w:r w:rsidRPr="00CB5F94">
        <w:rPr>
          <w:rFonts w:cstheme="minorHAnsi"/>
          <w:i/>
          <w:iCs/>
          <w:sz w:val="24"/>
          <w:szCs w:val="24"/>
        </w:rPr>
        <w:t xml:space="preserve">Texas Monthly Magazine website. </w:t>
      </w:r>
      <w:hyperlink r:id="rId29" w:history="1">
        <w:r w:rsidRPr="004C028F">
          <w:rPr>
            <w:rStyle w:val="Hyperlink"/>
            <w:rFonts w:cstheme="minorHAnsi"/>
            <w:sz w:val="24"/>
            <w:szCs w:val="24"/>
          </w:rPr>
          <w:t>http://www.texasmonthly.com/articles/96-minutes/</w:t>
        </w:r>
      </w:hyperlink>
    </w:p>
    <w:p w14:paraId="7EAACA0B" w14:textId="38A6D64B" w:rsidR="008D6938" w:rsidRPr="008D6938" w:rsidRDefault="008D6938" w:rsidP="008D6938">
      <w:pPr>
        <w:spacing w:after="200" w:line="240" w:lineRule="auto"/>
        <w:ind w:left="720" w:hanging="720"/>
        <w:rPr>
          <w:rFonts w:cstheme="minorHAnsi"/>
          <w:sz w:val="24"/>
          <w:szCs w:val="24"/>
        </w:rPr>
      </w:pPr>
      <w:r w:rsidRPr="008D6938">
        <w:rPr>
          <w:rFonts w:cstheme="minorHAnsi"/>
          <w:sz w:val="24"/>
          <w:szCs w:val="24"/>
        </w:rPr>
        <w:t>Cornell, D. (2010). Threat assessment in college settings. </w:t>
      </w:r>
      <w:r w:rsidRPr="008D6938">
        <w:rPr>
          <w:rFonts w:cstheme="minorHAnsi"/>
          <w:i/>
          <w:iCs/>
          <w:sz w:val="24"/>
          <w:szCs w:val="24"/>
        </w:rPr>
        <w:t>Change: The magazine of higher learning</w:t>
      </w:r>
      <w:r w:rsidRPr="008D6938">
        <w:rPr>
          <w:rFonts w:cstheme="minorHAnsi"/>
          <w:sz w:val="24"/>
          <w:szCs w:val="24"/>
        </w:rPr>
        <w:t>, </w:t>
      </w:r>
      <w:r w:rsidRPr="008D6938">
        <w:rPr>
          <w:rFonts w:cstheme="minorHAnsi"/>
          <w:i/>
          <w:iCs/>
          <w:sz w:val="24"/>
          <w:szCs w:val="24"/>
        </w:rPr>
        <w:t>42</w:t>
      </w:r>
      <w:r w:rsidRPr="008D6938">
        <w:rPr>
          <w:rFonts w:cstheme="minorHAnsi"/>
          <w:sz w:val="24"/>
          <w:szCs w:val="24"/>
        </w:rPr>
        <w:t>(1), 8.</w:t>
      </w:r>
      <w:r w:rsidR="00E34942">
        <w:rPr>
          <w:rFonts w:cstheme="minorHAnsi"/>
          <w:sz w:val="24"/>
          <w:szCs w:val="24"/>
        </w:rPr>
        <w:t xml:space="preserve"> </w:t>
      </w:r>
      <w:hyperlink r:id="rId30" w:history="1">
        <w:r w:rsidR="00E34942" w:rsidRPr="004C028F">
          <w:rPr>
            <w:rStyle w:val="Hyperlink"/>
            <w:rFonts w:cstheme="minorHAnsi"/>
            <w:sz w:val="24"/>
            <w:szCs w:val="24"/>
          </w:rPr>
          <w:t>https://doi.org/10.1080/00091380903448997</w:t>
        </w:r>
      </w:hyperlink>
    </w:p>
    <w:p w14:paraId="79160C9E" w14:textId="5DBA0C34"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Cornell, D. G. (2020). Threat assessment as a school violence prevention strategy. </w:t>
      </w:r>
      <w:r w:rsidRPr="008D6938">
        <w:rPr>
          <w:rFonts w:cstheme="minorHAnsi"/>
          <w:i/>
          <w:iCs/>
          <w:sz w:val="24"/>
          <w:szCs w:val="24"/>
        </w:rPr>
        <w:t>Criminology &amp; Public Policy</w:t>
      </w:r>
      <w:r w:rsidRPr="008D6938">
        <w:rPr>
          <w:rFonts w:cstheme="minorHAnsi"/>
          <w:sz w:val="24"/>
          <w:szCs w:val="24"/>
        </w:rPr>
        <w:t xml:space="preserve">, </w:t>
      </w:r>
      <w:r w:rsidRPr="008D6938">
        <w:rPr>
          <w:rFonts w:cstheme="minorHAnsi"/>
          <w:i/>
          <w:iCs/>
          <w:sz w:val="24"/>
          <w:szCs w:val="24"/>
        </w:rPr>
        <w:t>19</w:t>
      </w:r>
      <w:r w:rsidRPr="008D6938">
        <w:rPr>
          <w:rFonts w:cstheme="minorHAnsi"/>
          <w:sz w:val="24"/>
          <w:szCs w:val="24"/>
        </w:rPr>
        <w:t xml:space="preserve">(1), 235–252. </w:t>
      </w:r>
      <w:hyperlink r:id="rId31" w:history="1">
        <w:r w:rsidRPr="004C028F">
          <w:rPr>
            <w:rStyle w:val="Hyperlink"/>
            <w:rFonts w:cstheme="minorHAnsi"/>
            <w:sz w:val="24"/>
            <w:szCs w:val="24"/>
          </w:rPr>
          <w:t>https://doi.org/10.1111/1745-9133.12471</w:t>
        </w:r>
      </w:hyperlink>
      <w:r w:rsidRPr="008D6938">
        <w:rPr>
          <w:rFonts w:cstheme="minorHAnsi"/>
          <w:sz w:val="24"/>
          <w:szCs w:val="24"/>
        </w:rPr>
        <w:t xml:space="preserve"> </w:t>
      </w:r>
    </w:p>
    <w:p w14:paraId="5DEEF6B8" w14:textId="77777777" w:rsidR="008D6938" w:rsidRPr="008D6938" w:rsidRDefault="008D6938" w:rsidP="008D6938">
      <w:pPr>
        <w:spacing w:after="0" w:line="240" w:lineRule="auto"/>
        <w:ind w:left="720" w:hanging="720"/>
        <w:rPr>
          <w:rFonts w:cstheme="minorHAnsi"/>
          <w:sz w:val="24"/>
          <w:szCs w:val="24"/>
        </w:rPr>
      </w:pPr>
    </w:p>
    <w:p w14:paraId="337BCB49" w14:textId="49B6FBF1"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lastRenderedPageBreak/>
        <w:t>Cornell, D., &amp; Allen, K. (2011). Development, Evaluation, and Future Directions of the Virginia Student Threat Assessment Guidelines. </w:t>
      </w:r>
      <w:r w:rsidRPr="008D6938">
        <w:rPr>
          <w:rFonts w:cstheme="minorHAnsi"/>
          <w:i/>
          <w:iCs/>
          <w:sz w:val="24"/>
          <w:szCs w:val="24"/>
        </w:rPr>
        <w:t>Journal of School Violence</w:t>
      </w:r>
      <w:r w:rsidRPr="008D6938">
        <w:rPr>
          <w:rFonts w:cstheme="minorHAnsi"/>
          <w:sz w:val="24"/>
          <w:szCs w:val="24"/>
        </w:rPr>
        <w:t>, </w:t>
      </w:r>
      <w:r w:rsidRPr="008D6938">
        <w:rPr>
          <w:rFonts w:cstheme="minorHAnsi"/>
          <w:i/>
          <w:iCs/>
          <w:sz w:val="24"/>
          <w:szCs w:val="24"/>
        </w:rPr>
        <w:t>10</w:t>
      </w:r>
      <w:r w:rsidRPr="008D6938">
        <w:rPr>
          <w:rFonts w:cstheme="minorHAnsi"/>
          <w:sz w:val="24"/>
          <w:szCs w:val="24"/>
        </w:rPr>
        <w:t>(1), 88–106.</w:t>
      </w:r>
      <w:r w:rsidR="00E34942">
        <w:rPr>
          <w:rFonts w:cstheme="minorHAnsi"/>
          <w:sz w:val="24"/>
          <w:szCs w:val="24"/>
        </w:rPr>
        <w:t xml:space="preserve"> </w:t>
      </w:r>
      <w:hyperlink r:id="rId32" w:history="1">
        <w:r w:rsidR="00E34942" w:rsidRPr="004C028F">
          <w:rPr>
            <w:rStyle w:val="Hyperlink"/>
            <w:rFonts w:cstheme="minorHAnsi"/>
            <w:sz w:val="24"/>
            <w:szCs w:val="24"/>
          </w:rPr>
          <w:t>https://doi.org/10.1080/15388220.2010.519432</w:t>
        </w:r>
      </w:hyperlink>
    </w:p>
    <w:p w14:paraId="2F326C36" w14:textId="77777777" w:rsidR="008D6938" w:rsidRPr="008D6938" w:rsidRDefault="008D6938" w:rsidP="008D6938">
      <w:pPr>
        <w:spacing w:after="0" w:line="240" w:lineRule="auto"/>
        <w:ind w:left="720" w:hanging="720"/>
        <w:rPr>
          <w:rFonts w:cstheme="minorHAnsi"/>
          <w:sz w:val="24"/>
          <w:szCs w:val="24"/>
        </w:rPr>
      </w:pPr>
    </w:p>
    <w:p w14:paraId="3C6E3267" w14:textId="6479BB85"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Cornell, D. G., Mayer, M. J., &amp; Sulkowski, M. L. (2021). History and future of school safety research. </w:t>
      </w:r>
      <w:r w:rsidRPr="008D6938">
        <w:rPr>
          <w:rFonts w:cstheme="minorHAnsi"/>
          <w:i/>
          <w:iCs/>
          <w:sz w:val="24"/>
          <w:szCs w:val="24"/>
        </w:rPr>
        <w:t>School Psychology Review, 50</w:t>
      </w:r>
      <w:r w:rsidRPr="008D6938">
        <w:rPr>
          <w:rFonts w:cstheme="minorHAnsi"/>
          <w:sz w:val="24"/>
          <w:szCs w:val="24"/>
        </w:rPr>
        <w:t xml:space="preserve">(2-3), 143–157. </w:t>
      </w:r>
      <w:hyperlink r:id="rId33" w:history="1">
        <w:r w:rsidRPr="004C028F">
          <w:rPr>
            <w:rStyle w:val="Hyperlink"/>
            <w:rFonts w:cstheme="minorHAnsi"/>
            <w:sz w:val="24"/>
            <w:szCs w:val="24"/>
          </w:rPr>
          <w:t>https://doi.org/10.1080/2372966X.2020.1857212</w:t>
        </w:r>
      </w:hyperlink>
    </w:p>
    <w:p w14:paraId="6A906AA3" w14:textId="77777777" w:rsidR="008D6938" w:rsidRPr="008D6938" w:rsidRDefault="008D6938" w:rsidP="008D6938">
      <w:pPr>
        <w:spacing w:after="0" w:line="240" w:lineRule="auto"/>
        <w:ind w:left="720" w:hanging="720"/>
        <w:rPr>
          <w:rFonts w:cstheme="minorHAnsi"/>
          <w:sz w:val="24"/>
          <w:szCs w:val="24"/>
        </w:rPr>
      </w:pPr>
    </w:p>
    <w:p w14:paraId="7BF1257F" w14:textId="23C7F58F" w:rsidR="00CB5F94" w:rsidRPr="00CB5F94" w:rsidRDefault="00CB5F94" w:rsidP="00CB5F94">
      <w:pPr>
        <w:spacing w:after="0" w:line="240" w:lineRule="auto"/>
        <w:ind w:left="720" w:hanging="720"/>
        <w:rPr>
          <w:rFonts w:eastAsia="Calibri" w:cstheme="minorHAnsi"/>
          <w:sz w:val="24"/>
          <w:szCs w:val="24"/>
        </w:rPr>
      </w:pPr>
      <w:bookmarkStart w:id="18" w:name="_Hlk84882906"/>
      <w:r w:rsidRPr="00CB5F94">
        <w:rPr>
          <w:rFonts w:eastAsia="Calibri" w:cstheme="minorHAnsi"/>
          <w:sz w:val="24"/>
          <w:szCs w:val="24"/>
        </w:rPr>
        <w:t>Covington &amp; Burling</w:t>
      </w:r>
      <w:r w:rsidR="00755453">
        <w:rPr>
          <w:rFonts w:eastAsia="Calibri" w:cstheme="minorHAnsi"/>
          <w:sz w:val="24"/>
          <w:szCs w:val="24"/>
        </w:rPr>
        <w:t>,</w:t>
      </w:r>
      <w:r w:rsidRPr="00CB5F94">
        <w:rPr>
          <w:rFonts w:eastAsia="Calibri" w:cstheme="minorHAnsi"/>
          <w:sz w:val="24"/>
          <w:szCs w:val="24"/>
        </w:rPr>
        <w:t xml:space="preserve"> (1971). Constitutional amendment lowering the voting age to eighteen: 26th Amendment: Joint Resolution proposed by Congress, March 23, 1971: amendment certified by Administrator of General Services, July 5, 1971.</w:t>
      </w:r>
    </w:p>
    <w:p w14:paraId="1542B3B6" w14:textId="77777777" w:rsidR="00CB5F94" w:rsidRDefault="00CB5F94" w:rsidP="008D6938">
      <w:pPr>
        <w:spacing w:after="0" w:line="240" w:lineRule="auto"/>
        <w:ind w:left="720" w:hanging="720"/>
        <w:rPr>
          <w:rFonts w:eastAsia="Calibri" w:cstheme="minorHAnsi"/>
          <w:sz w:val="24"/>
          <w:szCs w:val="24"/>
        </w:rPr>
      </w:pPr>
    </w:p>
    <w:p w14:paraId="4157EB85" w14:textId="3AF50EFB" w:rsidR="008D6938" w:rsidRPr="008D6938" w:rsidRDefault="008D6938" w:rsidP="00D62B8E">
      <w:pPr>
        <w:spacing w:after="0" w:line="240" w:lineRule="auto"/>
        <w:rPr>
          <w:rFonts w:eastAsia="Calibri" w:cstheme="minorHAnsi"/>
          <w:i/>
          <w:sz w:val="24"/>
          <w:szCs w:val="24"/>
        </w:rPr>
      </w:pPr>
      <w:r w:rsidRPr="008D6938">
        <w:rPr>
          <w:rFonts w:eastAsia="Calibri" w:cstheme="minorHAnsi"/>
          <w:sz w:val="24"/>
          <w:szCs w:val="24"/>
        </w:rPr>
        <w:t xml:space="preserve">Creswell, J. W. (2014). </w:t>
      </w:r>
      <w:r w:rsidRPr="008D6938">
        <w:rPr>
          <w:rFonts w:eastAsia="Calibri" w:cstheme="minorHAnsi"/>
          <w:i/>
          <w:sz w:val="24"/>
          <w:szCs w:val="24"/>
        </w:rPr>
        <w:t xml:space="preserve">Research design. Qualitative, quantitative, and mixed methods </w:t>
      </w:r>
    </w:p>
    <w:p w14:paraId="64F33444" w14:textId="77777777" w:rsidR="008D6938" w:rsidRPr="008D6938" w:rsidRDefault="008D6938" w:rsidP="00D62B8E">
      <w:pPr>
        <w:spacing w:after="0" w:line="240" w:lineRule="auto"/>
        <w:ind w:left="1440" w:hanging="720"/>
        <w:rPr>
          <w:rFonts w:eastAsia="Calibri" w:cstheme="minorHAnsi"/>
          <w:sz w:val="24"/>
          <w:szCs w:val="24"/>
        </w:rPr>
      </w:pPr>
      <w:r w:rsidRPr="008D6938">
        <w:rPr>
          <w:rFonts w:eastAsia="Calibri" w:cstheme="minorHAnsi"/>
          <w:i/>
          <w:sz w:val="24"/>
          <w:szCs w:val="24"/>
        </w:rPr>
        <w:t>approaches.</w:t>
      </w:r>
      <w:r w:rsidRPr="008D6938">
        <w:rPr>
          <w:rFonts w:eastAsia="Calibri" w:cstheme="minorHAnsi"/>
          <w:sz w:val="24"/>
          <w:szCs w:val="24"/>
        </w:rPr>
        <w:t xml:space="preserve"> (4</w:t>
      </w:r>
      <w:r w:rsidRPr="008D6938">
        <w:rPr>
          <w:rFonts w:eastAsia="Calibri" w:cstheme="minorHAnsi"/>
          <w:sz w:val="24"/>
          <w:szCs w:val="24"/>
          <w:vertAlign w:val="superscript"/>
        </w:rPr>
        <w:t>th</w:t>
      </w:r>
      <w:r w:rsidRPr="008D6938">
        <w:rPr>
          <w:rFonts w:eastAsia="Calibri" w:cstheme="minorHAnsi"/>
          <w:sz w:val="24"/>
          <w:szCs w:val="24"/>
        </w:rPr>
        <w:t xml:space="preserve"> ed.). Sage.</w:t>
      </w:r>
    </w:p>
    <w:p w14:paraId="61290492" w14:textId="77777777" w:rsidR="008D6938" w:rsidRPr="008D6938" w:rsidRDefault="008D6938" w:rsidP="008D6938">
      <w:pPr>
        <w:spacing w:after="0" w:line="240" w:lineRule="auto"/>
        <w:ind w:left="720" w:hanging="720"/>
        <w:rPr>
          <w:rFonts w:ascii="Calibri" w:eastAsia="Calibri" w:hAnsi="Calibri" w:cs="Times New Roman"/>
          <w:sz w:val="24"/>
          <w:szCs w:val="24"/>
        </w:rPr>
      </w:pPr>
    </w:p>
    <w:p w14:paraId="6CC2299B" w14:textId="77777777" w:rsidR="00D62B8E" w:rsidRPr="00D62B8E" w:rsidRDefault="00D62B8E" w:rsidP="00D62B8E">
      <w:pPr>
        <w:spacing w:after="0" w:line="240" w:lineRule="auto"/>
        <w:ind w:left="720" w:hanging="720"/>
        <w:rPr>
          <w:rFonts w:ascii="Calibri" w:eastAsia="Calibri" w:hAnsi="Calibri" w:cs="Times New Roman"/>
          <w:sz w:val="24"/>
          <w:szCs w:val="24"/>
        </w:rPr>
      </w:pPr>
      <w:r w:rsidRPr="00D62B8E">
        <w:rPr>
          <w:rFonts w:ascii="Calibri" w:eastAsia="Calibri" w:hAnsi="Calibri" w:cs="Times New Roman"/>
          <w:sz w:val="24"/>
          <w:szCs w:val="24"/>
        </w:rPr>
        <w:t xml:space="preserve">Crotty, M. (1998). </w:t>
      </w:r>
      <w:r w:rsidRPr="00D62B8E">
        <w:rPr>
          <w:rFonts w:ascii="Calibri" w:eastAsia="Calibri" w:hAnsi="Calibri" w:cs="Times New Roman"/>
          <w:i/>
          <w:iCs/>
          <w:sz w:val="24"/>
          <w:szCs w:val="24"/>
        </w:rPr>
        <w:t xml:space="preserve">The foundations of social research: Meaning and perspective in the </w:t>
      </w:r>
    </w:p>
    <w:p w14:paraId="1EBBD17D" w14:textId="3C13102F" w:rsidR="00D62B8E" w:rsidRDefault="00D62B8E" w:rsidP="00D62B8E">
      <w:pPr>
        <w:spacing w:after="0" w:line="240" w:lineRule="auto"/>
        <w:ind w:left="720"/>
        <w:rPr>
          <w:rFonts w:ascii="Calibri" w:eastAsia="Calibri" w:hAnsi="Calibri" w:cs="Times New Roman"/>
          <w:sz w:val="24"/>
          <w:szCs w:val="24"/>
        </w:rPr>
      </w:pPr>
      <w:r w:rsidRPr="00D62B8E">
        <w:rPr>
          <w:rFonts w:ascii="Calibri" w:eastAsia="Calibri" w:hAnsi="Calibri" w:cs="Times New Roman"/>
          <w:i/>
          <w:iCs/>
          <w:sz w:val="24"/>
          <w:szCs w:val="24"/>
        </w:rPr>
        <w:t xml:space="preserve">Research process. </w:t>
      </w:r>
      <w:r w:rsidRPr="00D62B8E">
        <w:rPr>
          <w:rFonts w:ascii="Calibri" w:eastAsia="Calibri" w:hAnsi="Calibri" w:cs="Times New Roman"/>
          <w:sz w:val="24"/>
          <w:szCs w:val="24"/>
        </w:rPr>
        <w:t>Sage.</w:t>
      </w:r>
    </w:p>
    <w:p w14:paraId="5E0D32F5" w14:textId="77777777" w:rsidR="00D62B8E" w:rsidRDefault="00D62B8E" w:rsidP="00755453">
      <w:pPr>
        <w:spacing w:after="0" w:line="240" w:lineRule="auto"/>
        <w:ind w:left="720" w:hanging="720"/>
        <w:rPr>
          <w:rFonts w:ascii="Calibri" w:eastAsia="Calibri" w:hAnsi="Calibri" w:cs="Times New Roman"/>
          <w:sz w:val="24"/>
          <w:szCs w:val="24"/>
        </w:rPr>
      </w:pPr>
    </w:p>
    <w:p w14:paraId="32D5A816" w14:textId="2D017C57" w:rsidR="00755453" w:rsidRPr="00755453" w:rsidRDefault="00755453" w:rsidP="00755453">
      <w:pPr>
        <w:spacing w:after="0" w:line="240" w:lineRule="auto"/>
        <w:ind w:left="720" w:hanging="720"/>
        <w:rPr>
          <w:rFonts w:ascii="Calibri" w:eastAsia="Calibri" w:hAnsi="Calibri" w:cs="Times New Roman"/>
          <w:sz w:val="24"/>
          <w:szCs w:val="24"/>
        </w:rPr>
      </w:pPr>
      <w:r w:rsidRPr="00755453">
        <w:rPr>
          <w:rFonts w:ascii="Calibri" w:eastAsia="Calibri" w:hAnsi="Calibri" w:cs="Times New Roman"/>
          <w:sz w:val="24"/>
          <w:szCs w:val="24"/>
        </w:rPr>
        <w:t>Curran, F. C., Fisher, B. W., &amp; Viano, S. L. (2020). Mass school shootings and the short-run impacts on use of school security measures and practices: National evidence from the Columbine tragedy. </w:t>
      </w:r>
      <w:r w:rsidRPr="00755453">
        <w:rPr>
          <w:rFonts w:ascii="Calibri" w:eastAsia="Calibri" w:hAnsi="Calibri" w:cs="Times New Roman"/>
          <w:i/>
          <w:iCs/>
          <w:sz w:val="24"/>
          <w:szCs w:val="24"/>
        </w:rPr>
        <w:t>Journal of School Violence</w:t>
      </w:r>
      <w:r w:rsidRPr="00755453">
        <w:rPr>
          <w:rFonts w:ascii="Calibri" w:eastAsia="Calibri" w:hAnsi="Calibri" w:cs="Times New Roman"/>
          <w:sz w:val="24"/>
          <w:szCs w:val="24"/>
        </w:rPr>
        <w:t>, </w:t>
      </w:r>
      <w:r w:rsidRPr="00755453">
        <w:rPr>
          <w:rFonts w:ascii="Calibri" w:eastAsia="Calibri" w:hAnsi="Calibri" w:cs="Times New Roman"/>
          <w:i/>
          <w:iCs/>
          <w:sz w:val="24"/>
          <w:szCs w:val="24"/>
        </w:rPr>
        <w:t>19</w:t>
      </w:r>
      <w:r w:rsidRPr="00755453">
        <w:rPr>
          <w:rFonts w:ascii="Calibri" w:eastAsia="Calibri" w:hAnsi="Calibri" w:cs="Times New Roman"/>
          <w:sz w:val="24"/>
          <w:szCs w:val="24"/>
        </w:rPr>
        <w:t>(1), 6–19.</w:t>
      </w:r>
      <w:r w:rsidR="00E34942">
        <w:rPr>
          <w:rFonts w:ascii="Calibri" w:eastAsia="Calibri" w:hAnsi="Calibri" w:cs="Times New Roman"/>
          <w:sz w:val="24"/>
          <w:szCs w:val="24"/>
        </w:rPr>
        <w:t xml:space="preserve"> </w:t>
      </w:r>
      <w:hyperlink r:id="rId34" w:history="1">
        <w:r w:rsidR="00E34942" w:rsidRPr="004C028F">
          <w:rPr>
            <w:rStyle w:val="Hyperlink"/>
            <w:rFonts w:ascii="Calibri" w:eastAsia="Calibri" w:hAnsi="Calibri" w:cs="Times New Roman"/>
            <w:sz w:val="24"/>
            <w:szCs w:val="24"/>
          </w:rPr>
          <w:t>https://doi.org/10.1080/15388220.2019.1703713</w:t>
        </w:r>
      </w:hyperlink>
    </w:p>
    <w:p w14:paraId="6B35B5DE" w14:textId="77777777" w:rsidR="00755453" w:rsidRDefault="00755453" w:rsidP="008D6938">
      <w:pPr>
        <w:spacing w:after="0" w:line="240" w:lineRule="auto"/>
        <w:ind w:left="720" w:hanging="720"/>
        <w:rPr>
          <w:rFonts w:ascii="Calibri" w:eastAsia="Calibri" w:hAnsi="Calibri" w:cs="Times New Roman"/>
          <w:sz w:val="24"/>
          <w:szCs w:val="24"/>
        </w:rPr>
      </w:pPr>
    </w:p>
    <w:p w14:paraId="4BB1EBB2" w14:textId="775CE8D7" w:rsidR="00725169" w:rsidRDefault="00725169" w:rsidP="008D6938">
      <w:pPr>
        <w:spacing w:after="0" w:line="240" w:lineRule="auto"/>
        <w:ind w:left="720" w:hanging="720"/>
        <w:rPr>
          <w:rFonts w:ascii="Calibri" w:eastAsia="Calibri" w:hAnsi="Calibri" w:cs="Times New Roman"/>
          <w:sz w:val="24"/>
          <w:szCs w:val="24"/>
        </w:rPr>
      </w:pPr>
      <w:r>
        <w:rPr>
          <w:rFonts w:ascii="Calibri" w:eastAsia="Calibri" w:hAnsi="Calibri" w:cs="Times New Roman"/>
          <w:sz w:val="24"/>
          <w:szCs w:val="24"/>
        </w:rPr>
        <w:t xml:space="preserve">Cyert, R. M., &amp; March J. G. (1963). </w:t>
      </w:r>
      <w:r w:rsidRPr="00725169">
        <w:rPr>
          <w:rFonts w:ascii="Calibri" w:eastAsia="Calibri" w:hAnsi="Calibri" w:cs="Times New Roman"/>
          <w:i/>
          <w:iCs/>
          <w:sz w:val="24"/>
          <w:szCs w:val="24"/>
        </w:rPr>
        <w:t>A behavioral theory of the firm</w:t>
      </w:r>
      <w:r>
        <w:rPr>
          <w:rFonts w:ascii="Calibri" w:eastAsia="Calibri" w:hAnsi="Calibri" w:cs="Times New Roman"/>
          <w:sz w:val="24"/>
          <w:szCs w:val="24"/>
        </w:rPr>
        <w:t>. Prentice Hall.</w:t>
      </w:r>
    </w:p>
    <w:p w14:paraId="75E94803" w14:textId="77777777" w:rsidR="00725169" w:rsidRDefault="00725169" w:rsidP="008D6938">
      <w:pPr>
        <w:spacing w:after="0" w:line="240" w:lineRule="auto"/>
        <w:ind w:left="720" w:hanging="720"/>
        <w:rPr>
          <w:rFonts w:ascii="Calibri" w:eastAsia="Calibri" w:hAnsi="Calibri" w:cs="Times New Roman"/>
          <w:sz w:val="24"/>
          <w:szCs w:val="24"/>
        </w:rPr>
      </w:pPr>
    </w:p>
    <w:p w14:paraId="7DA13625" w14:textId="03ABEE80" w:rsidR="008D6938" w:rsidRPr="008D6938" w:rsidRDefault="008D6938" w:rsidP="008D6938">
      <w:pPr>
        <w:spacing w:after="0" w:line="240" w:lineRule="auto"/>
        <w:ind w:left="720" w:hanging="720"/>
        <w:rPr>
          <w:rFonts w:ascii="Calibri" w:eastAsia="Calibri" w:hAnsi="Calibri" w:cs="Times New Roman"/>
          <w:sz w:val="24"/>
          <w:szCs w:val="24"/>
        </w:rPr>
      </w:pPr>
      <w:r w:rsidRPr="008D6938">
        <w:rPr>
          <w:rFonts w:ascii="Calibri" w:eastAsia="Calibri" w:hAnsi="Calibri" w:cs="Times New Roman"/>
          <w:sz w:val="24"/>
          <w:szCs w:val="24"/>
        </w:rPr>
        <w:t xml:space="preserve">De Haven, H. (2009). The elephant in the ivory tower: rampages in higher education and the case for institutional liability. </w:t>
      </w:r>
      <w:r w:rsidRPr="008D6938">
        <w:rPr>
          <w:rFonts w:ascii="Calibri" w:eastAsia="Calibri" w:hAnsi="Calibri" w:cs="Times New Roman"/>
          <w:i/>
          <w:sz w:val="24"/>
          <w:szCs w:val="24"/>
        </w:rPr>
        <w:t>Journal of College and University Law</w:t>
      </w:r>
      <w:r w:rsidRPr="008D6938">
        <w:rPr>
          <w:rFonts w:ascii="Calibri" w:eastAsia="Calibri" w:hAnsi="Calibri" w:cs="Times New Roman"/>
          <w:sz w:val="24"/>
          <w:szCs w:val="24"/>
        </w:rPr>
        <w:t xml:space="preserve">, </w:t>
      </w:r>
      <w:r w:rsidRPr="008D6938">
        <w:rPr>
          <w:rFonts w:ascii="Calibri" w:eastAsia="Calibri" w:hAnsi="Calibri" w:cs="Times New Roman"/>
          <w:i/>
          <w:iCs/>
          <w:sz w:val="24"/>
          <w:szCs w:val="24"/>
        </w:rPr>
        <w:t>35</w:t>
      </w:r>
      <w:r w:rsidRPr="008D6938">
        <w:rPr>
          <w:rFonts w:ascii="Calibri" w:eastAsia="Calibri" w:hAnsi="Calibri" w:cs="Times New Roman"/>
          <w:sz w:val="24"/>
          <w:szCs w:val="24"/>
        </w:rPr>
        <w:t>(3), 503–612.</w:t>
      </w:r>
    </w:p>
    <w:bookmarkEnd w:id="18"/>
    <w:p w14:paraId="2CA712DE" w14:textId="77777777" w:rsidR="008D6938" w:rsidRPr="008D6938" w:rsidRDefault="008D6938" w:rsidP="008D6938">
      <w:pPr>
        <w:spacing w:after="0" w:line="240" w:lineRule="auto"/>
        <w:ind w:left="720" w:hanging="720"/>
        <w:rPr>
          <w:rFonts w:cstheme="minorHAnsi"/>
          <w:sz w:val="24"/>
          <w:szCs w:val="24"/>
        </w:rPr>
      </w:pPr>
    </w:p>
    <w:p w14:paraId="208B9801" w14:textId="77777777" w:rsidR="008D6938" w:rsidRPr="008D6938" w:rsidRDefault="008D6938" w:rsidP="008D6938">
      <w:pPr>
        <w:spacing w:after="0" w:line="240" w:lineRule="auto"/>
        <w:ind w:left="720" w:hanging="720"/>
        <w:rPr>
          <w:rFonts w:ascii="Calibri" w:eastAsia="Calibri" w:hAnsi="Calibri" w:cs="Times New Roman"/>
          <w:sz w:val="24"/>
          <w:szCs w:val="24"/>
        </w:rPr>
      </w:pPr>
      <w:bookmarkStart w:id="19" w:name="_Hlk84882922"/>
      <w:r w:rsidRPr="008D6938">
        <w:rPr>
          <w:rFonts w:ascii="Calibri" w:eastAsia="Calibri" w:hAnsi="Calibri" w:cs="Times New Roman"/>
          <w:sz w:val="24"/>
          <w:szCs w:val="24"/>
        </w:rPr>
        <w:t xml:space="preserve">Deisinger, G., Randazzo, M. R., O’Neill, D., &amp; Savage, J. (2008). </w:t>
      </w:r>
      <w:r w:rsidRPr="008D6938">
        <w:rPr>
          <w:rFonts w:ascii="Calibri" w:eastAsia="Calibri" w:hAnsi="Calibri" w:cs="Times New Roman"/>
          <w:i/>
          <w:sz w:val="24"/>
          <w:szCs w:val="24"/>
        </w:rPr>
        <w:t xml:space="preserve">The handbook for campus threat assessment &amp; management teams. </w:t>
      </w:r>
      <w:r w:rsidRPr="008D6938">
        <w:rPr>
          <w:rFonts w:ascii="Calibri" w:eastAsia="Calibri" w:hAnsi="Calibri" w:cs="Times New Roman"/>
          <w:sz w:val="24"/>
          <w:szCs w:val="24"/>
        </w:rPr>
        <w:t>Applied Risk Management, LLC.</w:t>
      </w:r>
    </w:p>
    <w:bookmarkEnd w:id="19"/>
    <w:p w14:paraId="1FAB11DC" w14:textId="77777777" w:rsidR="000D44DF" w:rsidRPr="000D44DF" w:rsidRDefault="000D44DF" w:rsidP="000D44DF">
      <w:pPr>
        <w:spacing w:before="100" w:beforeAutospacing="1" w:after="100" w:afterAutospacing="1" w:line="240" w:lineRule="auto"/>
        <w:ind w:left="720" w:hanging="720"/>
        <w:rPr>
          <w:rFonts w:eastAsia="Times New Roman" w:cstheme="minorHAnsi"/>
          <w:sz w:val="24"/>
          <w:szCs w:val="24"/>
        </w:rPr>
      </w:pPr>
      <w:r w:rsidRPr="000D44DF">
        <w:rPr>
          <w:rFonts w:eastAsia="Times New Roman" w:cstheme="minorHAnsi"/>
          <w:sz w:val="24"/>
          <w:szCs w:val="24"/>
        </w:rPr>
        <w:t xml:space="preserve">Denzin, N. K. (1978). </w:t>
      </w:r>
      <w:r w:rsidRPr="000D44DF">
        <w:rPr>
          <w:rFonts w:eastAsia="Times New Roman" w:cstheme="minorHAnsi"/>
          <w:i/>
          <w:sz w:val="24"/>
          <w:szCs w:val="24"/>
        </w:rPr>
        <w:t>The research act: A theoretical introduction to sociological methods</w:t>
      </w:r>
      <w:r w:rsidRPr="000D44DF">
        <w:rPr>
          <w:rFonts w:eastAsia="Times New Roman" w:cstheme="minorHAnsi"/>
          <w:sz w:val="24"/>
          <w:szCs w:val="24"/>
        </w:rPr>
        <w:t xml:space="preserve"> (2</w:t>
      </w:r>
      <w:r w:rsidRPr="000D44DF">
        <w:rPr>
          <w:rFonts w:eastAsia="Times New Roman" w:cstheme="minorHAnsi"/>
          <w:sz w:val="24"/>
          <w:szCs w:val="24"/>
          <w:vertAlign w:val="superscript"/>
        </w:rPr>
        <w:t>nd</w:t>
      </w:r>
      <w:r w:rsidRPr="000D44DF">
        <w:rPr>
          <w:rFonts w:eastAsia="Times New Roman" w:cstheme="minorHAnsi"/>
          <w:sz w:val="24"/>
          <w:szCs w:val="24"/>
        </w:rPr>
        <w:t xml:space="preserve"> ed.). McGraw-Hill.</w:t>
      </w:r>
    </w:p>
    <w:p w14:paraId="1AE288D9" w14:textId="77777777" w:rsidR="003123F8" w:rsidRPr="003123F8" w:rsidRDefault="003123F8" w:rsidP="003123F8">
      <w:pPr>
        <w:spacing w:before="100" w:beforeAutospacing="1" w:after="100" w:afterAutospacing="1" w:line="240" w:lineRule="auto"/>
        <w:ind w:left="720" w:hanging="720"/>
        <w:rPr>
          <w:rFonts w:eastAsia="Times New Roman" w:cstheme="minorHAnsi"/>
          <w:sz w:val="24"/>
          <w:szCs w:val="24"/>
        </w:rPr>
      </w:pPr>
      <w:r w:rsidRPr="003123F8">
        <w:rPr>
          <w:rFonts w:eastAsia="Times New Roman" w:cstheme="minorHAnsi"/>
          <w:sz w:val="24"/>
          <w:szCs w:val="24"/>
        </w:rPr>
        <w:t>Department of Justice. (2010). Americans with Disabilities Act Title II regulations: Nondiscrimination on the basis of disability in state and local government services.</w:t>
      </w:r>
    </w:p>
    <w:p w14:paraId="00D8DAF3" w14:textId="55D7AEE6" w:rsidR="000D44DF" w:rsidRPr="000D44DF" w:rsidRDefault="000D44DF" w:rsidP="000D44DF">
      <w:pPr>
        <w:spacing w:before="100" w:beforeAutospacing="1" w:after="100" w:afterAutospacing="1" w:line="240" w:lineRule="auto"/>
        <w:ind w:left="720" w:hanging="720"/>
        <w:rPr>
          <w:rFonts w:eastAsia="Times New Roman" w:cstheme="minorHAnsi"/>
          <w:sz w:val="24"/>
          <w:szCs w:val="24"/>
        </w:rPr>
      </w:pPr>
      <w:r w:rsidRPr="000D44DF">
        <w:rPr>
          <w:rFonts w:eastAsia="Times New Roman" w:cstheme="minorHAnsi"/>
          <w:sz w:val="24"/>
          <w:szCs w:val="24"/>
        </w:rPr>
        <w:t xml:space="preserve">Dexter, L. A. (1970). </w:t>
      </w:r>
      <w:r w:rsidRPr="000D44DF">
        <w:rPr>
          <w:rFonts w:eastAsia="Times New Roman" w:cstheme="minorHAnsi"/>
          <w:i/>
          <w:sz w:val="24"/>
          <w:szCs w:val="24"/>
        </w:rPr>
        <w:t>Elite and specialized interviewing.</w:t>
      </w:r>
      <w:r w:rsidRPr="000D44DF">
        <w:rPr>
          <w:rFonts w:eastAsia="Times New Roman" w:cstheme="minorHAnsi"/>
          <w:sz w:val="24"/>
          <w:szCs w:val="24"/>
        </w:rPr>
        <w:t xml:space="preserve"> Northwestern University Press. </w:t>
      </w:r>
    </w:p>
    <w:p w14:paraId="1A544E55" w14:textId="77777777" w:rsidR="000D44DF" w:rsidRPr="000D44DF" w:rsidRDefault="000D44DF" w:rsidP="000D44DF">
      <w:pPr>
        <w:spacing w:before="100" w:beforeAutospacing="1" w:after="100" w:afterAutospacing="1" w:line="240" w:lineRule="auto"/>
        <w:ind w:left="720" w:hanging="720"/>
        <w:rPr>
          <w:rFonts w:eastAsia="Times New Roman" w:cstheme="minorHAnsi"/>
          <w:sz w:val="24"/>
          <w:szCs w:val="24"/>
        </w:rPr>
      </w:pPr>
      <w:r w:rsidRPr="000D44DF">
        <w:rPr>
          <w:rFonts w:eastAsia="Times New Roman" w:cstheme="minorHAnsi"/>
          <w:sz w:val="24"/>
          <w:szCs w:val="24"/>
        </w:rPr>
        <w:t xml:space="preserve">Dey, I. (1993). </w:t>
      </w:r>
      <w:r w:rsidRPr="000D44DF">
        <w:rPr>
          <w:rFonts w:eastAsia="Times New Roman" w:cstheme="minorHAnsi"/>
          <w:i/>
          <w:sz w:val="24"/>
          <w:szCs w:val="24"/>
        </w:rPr>
        <w:t>Qualitative data analysis: A user friendly guide for social scientists.</w:t>
      </w:r>
      <w:r w:rsidRPr="000D44DF">
        <w:rPr>
          <w:rFonts w:eastAsia="Times New Roman" w:cstheme="minorHAnsi"/>
          <w:sz w:val="24"/>
          <w:szCs w:val="24"/>
        </w:rPr>
        <w:t xml:space="preserve"> Routledge.</w:t>
      </w:r>
    </w:p>
    <w:p w14:paraId="5EDB734A" w14:textId="77777777" w:rsidR="003123F8" w:rsidRPr="003123F8" w:rsidRDefault="003123F8" w:rsidP="003123F8">
      <w:pPr>
        <w:spacing w:before="100" w:beforeAutospacing="1" w:after="100" w:afterAutospacing="1" w:line="240" w:lineRule="auto"/>
        <w:ind w:left="720" w:hanging="720"/>
        <w:rPr>
          <w:rFonts w:eastAsia="Times New Roman" w:cstheme="minorHAnsi"/>
          <w:sz w:val="24"/>
          <w:szCs w:val="24"/>
        </w:rPr>
      </w:pPr>
      <w:r w:rsidRPr="003123F8">
        <w:rPr>
          <w:rFonts w:eastAsia="Times New Roman" w:cstheme="minorHAnsi"/>
          <w:sz w:val="24"/>
          <w:szCs w:val="24"/>
        </w:rPr>
        <w:t xml:space="preserve">Drysdale, D. A., Modzeleski, W., &amp; Simons, A. B. (2010). </w:t>
      </w:r>
      <w:r w:rsidRPr="003123F8">
        <w:rPr>
          <w:rFonts w:eastAsia="Times New Roman" w:cstheme="minorHAnsi"/>
          <w:i/>
          <w:iCs/>
          <w:sz w:val="24"/>
          <w:szCs w:val="24"/>
        </w:rPr>
        <w:t>Campus attacks targeted violence affecting institutions of higher education</w:t>
      </w:r>
      <w:r w:rsidRPr="003123F8">
        <w:rPr>
          <w:rFonts w:eastAsia="Times New Roman" w:cstheme="minorHAnsi"/>
          <w:sz w:val="24"/>
          <w:szCs w:val="24"/>
        </w:rPr>
        <w:t xml:space="preserve">. ERIC Clearinghouse. </w:t>
      </w:r>
    </w:p>
    <w:p w14:paraId="26533189" w14:textId="02C8E7F4" w:rsidR="008D6938" w:rsidRPr="008D6938" w:rsidRDefault="008D6938" w:rsidP="008D6938">
      <w:pPr>
        <w:spacing w:before="100" w:beforeAutospacing="1" w:after="100" w:afterAutospacing="1" w:line="240" w:lineRule="auto"/>
        <w:ind w:left="720" w:hanging="720"/>
        <w:rPr>
          <w:rFonts w:eastAsia="Times New Roman" w:cstheme="minorHAnsi"/>
          <w:sz w:val="24"/>
          <w:szCs w:val="24"/>
        </w:rPr>
      </w:pPr>
      <w:r w:rsidRPr="008D6938">
        <w:rPr>
          <w:rFonts w:eastAsia="Times New Roman" w:cstheme="minorHAnsi"/>
          <w:sz w:val="24"/>
          <w:szCs w:val="24"/>
        </w:rPr>
        <w:lastRenderedPageBreak/>
        <w:t xml:space="preserve">Dunkle, J. H., Silverstein, Z. B., &amp; Warner, S. L. (2008). Managing violent and other troubling students: The role of threat assessment teams on campus. </w:t>
      </w:r>
      <w:r w:rsidRPr="008D6938">
        <w:rPr>
          <w:rFonts w:eastAsia="Times New Roman" w:cstheme="minorHAnsi"/>
          <w:i/>
          <w:iCs/>
          <w:sz w:val="24"/>
          <w:szCs w:val="24"/>
        </w:rPr>
        <w:t>Journal of College and University Law.</w:t>
      </w:r>
      <w:r w:rsidR="004B26C8">
        <w:rPr>
          <w:rFonts w:eastAsia="Times New Roman" w:cstheme="minorHAnsi"/>
          <w:i/>
          <w:iCs/>
          <w:sz w:val="24"/>
          <w:szCs w:val="24"/>
        </w:rPr>
        <w:t xml:space="preserve"> </w:t>
      </w:r>
      <w:r w:rsidR="004B26C8" w:rsidRPr="004B26C8">
        <w:rPr>
          <w:rFonts w:eastAsia="Times New Roman" w:cstheme="minorHAnsi"/>
          <w:i/>
          <w:iCs/>
          <w:sz w:val="24"/>
          <w:szCs w:val="24"/>
        </w:rPr>
        <w:t>34</w:t>
      </w:r>
      <w:r w:rsidR="004B26C8" w:rsidRPr="004B26C8">
        <w:rPr>
          <w:rFonts w:eastAsia="Times New Roman" w:cstheme="minorHAnsi"/>
          <w:sz w:val="24"/>
          <w:szCs w:val="24"/>
        </w:rPr>
        <w:t>(3)</w:t>
      </w:r>
      <w:r w:rsidR="00B54BAA">
        <w:rPr>
          <w:rFonts w:eastAsia="Times New Roman" w:cstheme="minorHAnsi"/>
          <w:sz w:val="24"/>
          <w:szCs w:val="24"/>
        </w:rPr>
        <w:t xml:space="preserve">, </w:t>
      </w:r>
      <w:r w:rsidR="00B54BAA" w:rsidRPr="00B54BAA">
        <w:rPr>
          <w:rFonts w:eastAsia="Times New Roman" w:cstheme="minorHAnsi"/>
          <w:sz w:val="24"/>
          <w:szCs w:val="24"/>
        </w:rPr>
        <w:t>585–636</w:t>
      </w:r>
      <w:r w:rsidR="00B54BAA">
        <w:rPr>
          <w:rFonts w:eastAsia="Times New Roman" w:cstheme="minorHAnsi"/>
          <w:sz w:val="24"/>
          <w:szCs w:val="24"/>
        </w:rPr>
        <w:t>.</w:t>
      </w:r>
    </w:p>
    <w:p w14:paraId="0FCD2B67" w14:textId="78A5CEC7" w:rsidR="003123F8" w:rsidRPr="003123F8" w:rsidRDefault="003123F8" w:rsidP="003123F8">
      <w:pPr>
        <w:spacing w:after="0" w:line="240" w:lineRule="auto"/>
        <w:ind w:left="720" w:hanging="720"/>
        <w:rPr>
          <w:rFonts w:cstheme="minorHAnsi"/>
          <w:sz w:val="24"/>
          <w:szCs w:val="24"/>
        </w:rPr>
      </w:pPr>
      <w:r w:rsidRPr="003123F8">
        <w:rPr>
          <w:rFonts w:cstheme="minorHAnsi"/>
          <w:sz w:val="24"/>
          <w:szCs w:val="24"/>
        </w:rPr>
        <w:t>Eells, G. T., &amp; Rockland-Miller, H. S. (201</w:t>
      </w:r>
      <w:r w:rsidR="00B54BAA">
        <w:rPr>
          <w:rFonts w:cstheme="minorHAnsi"/>
          <w:sz w:val="24"/>
          <w:szCs w:val="24"/>
        </w:rPr>
        <w:t>0</w:t>
      </w:r>
      <w:r w:rsidRPr="003123F8">
        <w:rPr>
          <w:rFonts w:cstheme="minorHAnsi"/>
          <w:sz w:val="24"/>
          <w:szCs w:val="24"/>
        </w:rPr>
        <w:t xml:space="preserve">). Assessing and responding to disturbed and disturbing students: understanding the role of administrative teams in institutions of higher education. </w:t>
      </w:r>
      <w:r w:rsidRPr="003123F8">
        <w:rPr>
          <w:rFonts w:cstheme="minorHAnsi"/>
          <w:i/>
          <w:sz w:val="24"/>
          <w:szCs w:val="24"/>
        </w:rPr>
        <w:t>Journal of College Student Psychotherapy</w:t>
      </w:r>
      <w:r w:rsidRPr="003123F8">
        <w:rPr>
          <w:rFonts w:cstheme="minorHAnsi"/>
          <w:sz w:val="24"/>
          <w:szCs w:val="24"/>
        </w:rPr>
        <w:t xml:space="preserve">, </w:t>
      </w:r>
      <w:r w:rsidRPr="003123F8">
        <w:rPr>
          <w:rFonts w:cstheme="minorHAnsi"/>
          <w:i/>
          <w:iCs/>
          <w:sz w:val="24"/>
          <w:szCs w:val="24"/>
        </w:rPr>
        <w:t>25</w:t>
      </w:r>
      <w:r w:rsidRPr="003123F8">
        <w:rPr>
          <w:rFonts w:cstheme="minorHAnsi"/>
          <w:sz w:val="24"/>
          <w:szCs w:val="24"/>
        </w:rPr>
        <w:t>(1), 8–23.</w:t>
      </w:r>
      <w:r w:rsidR="00B54BAA">
        <w:rPr>
          <w:rFonts w:cstheme="minorHAnsi"/>
          <w:sz w:val="24"/>
          <w:szCs w:val="24"/>
        </w:rPr>
        <w:t xml:space="preserve"> </w:t>
      </w:r>
      <w:hyperlink r:id="rId35" w:history="1">
        <w:r w:rsidR="00B54BAA" w:rsidRPr="004C028F">
          <w:rPr>
            <w:rStyle w:val="Hyperlink"/>
            <w:rFonts w:cstheme="minorHAnsi"/>
            <w:sz w:val="24"/>
            <w:szCs w:val="24"/>
          </w:rPr>
          <w:t>https://doi.org/10.1080/87568225.2011.532470</w:t>
        </w:r>
      </w:hyperlink>
    </w:p>
    <w:p w14:paraId="4D06CC4F" w14:textId="77777777" w:rsidR="003123F8" w:rsidRPr="003123F8" w:rsidRDefault="003123F8" w:rsidP="003123F8">
      <w:pPr>
        <w:spacing w:after="0" w:line="240" w:lineRule="auto"/>
        <w:ind w:left="720" w:hanging="720"/>
        <w:rPr>
          <w:rFonts w:cstheme="minorHAnsi"/>
          <w:sz w:val="24"/>
          <w:szCs w:val="24"/>
        </w:rPr>
      </w:pPr>
    </w:p>
    <w:p w14:paraId="18D8CDE4" w14:textId="50F8735E" w:rsidR="003123F8" w:rsidRPr="003123F8" w:rsidRDefault="003123F8" w:rsidP="003123F8">
      <w:pPr>
        <w:spacing w:after="0" w:line="240" w:lineRule="auto"/>
        <w:ind w:left="720" w:hanging="720"/>
        <w:rPr>
          <w:rFonts w:cstheme="minorHAnsi"/>
          <w:sz w:val="24"/>
          <w:szCs w:val="24"/>
        </w:rPr>
      </w:pPr>
      <w:r w:rsidRPr="003123F8">
        <w:rPr>
          <w:rFonts w:cstheme="minorHAnsi"/>
          <w:sz w:val="24"/>
          <w:szCs w:val="24"/>
        </w:rPr>
        <w:t xml:space="preserve">Executive summary. (2008). </w:t>
      </w:r>
      <w:r w:rsidRPr="003123F8">
        <w:rPr>
          <w:rFonts w:cstheme="minorHAnsi"/>
          <w:i/>
          <w:iCs/>
          <w:sz w:val="24"/>
          <w:szCs w:val="24"/>
        </w:rPr>
        <w:t>New directions for student services, supplement.</w:t>
      </w:r>
      <w:r w:rsidRPr="003123F8">
        <w:rPr>
          <w:rFonts w:cstheme="minorHAnsi"/>
          <w:sz w:val="24"/>
          <w:szCs w:val="24"/>
        </w:rPr>
        <w:t xml:space="preserve"> </w:t>
      </w:r>
      <w:hyperlink r:id="rId36" w:history="1">
        <w:r w:rsidRPr="004C028F">
          <w:rPr>
            <w:rStyle w:val="Hyperlink"/>
            <w:rFonts w:cstheme="minorHAnsi"/>
            <w:sz w:val="24"/>
            <w:szCs w:val="24"/>
          </w:rPr>
          <w:t>https://cra20.humansci.msstate.edu/fulltext.pdf</w:t>
        </w:r>
      </w:hyperlink>
    </w:p>
    <w:p w14:paraId="505F597A" w14:textId="77777777" w:rsidR="003123F8" w:rsidRPr="003123F8" w:rsidRDefault="003123F8" w:rsidP="003123F8">
      <w:pPr>
        <w:spacing w:after="0" w:line="240" w:lineRule="auto"/>
        <w:ind w:left="720" w:hanging="720"/>
        <w:rPr>
          <w:rFonts w:cstheme="minorHAnsi"/>
          <w:sz w:val="24"/>
          <w:szCs w:val="24"/>
        </w:rPr>
      </w:pPr>
      <w:r w:rsidRPr="003123F8">
        <w:rPr>
          <w:rFonts w:cstheme="minorHAnsi"/>
          <w:sz w:val="24"/>
          <w:szCs w:val="24"/>
        </w:rPr>
        <w:tab/>
      </w:r>
    </w:p>
    <w:p w14:paraId="74F87941" w14:textId="42C271B4" w:rsidR="003123F8" w:rsidRPr="003123F8" w:rsidRDefault="003123F8" w:rsidP="003123F8">
      <w:pPr>
        <w:spacing w:after="0" w:line="240" w:lineRule="auto"/>
        <w:ind w:left="720" w:hanging="720"/>
        <w:rPr>
          <w:rFonts w:cstheme="minorHAnsi"/>
          <w:sz w:val="24"/>
          <w:szCs w:val="24"/>
        </w:rPr>
      </w:pPr>
      <w:r w:rsidRPr="003123F8">
        <w:rPr>
          <w:rFonts w:cstheme="minorHAnsi"/>
          <w:sz w:val="24"/>
          <w:szCs w:val="24"/>
        </w:rPr>
        <w:t>Fallahi, C. R., Austad, C. S., Fallon, M., &amp; Leishman, L. (2009). A survey of perceptions of the Virginia tech tragedy. </w:t>
      </w:r>
      <w:r w:rsidRPr="003123F8">
        <w:rPr>
          <w:rFonts w:cstheme="minorHAnsi"/>
          <w:i/>
          <w:iCs/>
          <w:sz w:val="24"/>
          <w:szCs w:val="24"/>
        </w:rPr>
        <w:t xml:space="preserve">Journal of </w:t>
      </w:r>
      <w:r w:rsidR="00B57EBD">
        <w:rPr>
          <w:rFonts w:cstheme="minorHAnsi"/>
          <w:i/>
          <w:iCs/>
          <w:sz w:val="24"/>
          <w:szCs w:val="24"/>
        </w:rPr>
        <w:t>S</w:t>
      </w:r>
      <w:r w:rsidRPr="003123F8">
        <w:rPr>
          <w:rFonts w:cstheme="minorHAnsi"/>
          <w:i/>
          <w:iCs/>
          <w:sz w:val="24"/>
          <w:szCs w:val="24"/>
        </w:rPr>
        <w:t xml:space="preserve">chool </w:t>
      </w:r>
      <w:r w:rsidR="00B57EBD">
        <w:rPr>
          <w:rFonts w:cstheme="minorHAnsi"/>
          <w:i/>
          <w:iCs/>
          <w:sz w:val="24"/>
          <w:szCs w:val="24"/>
        </w:rPr>
        <w:t>V</w:t>
      </w:r>
      <w:r w:rsidRPr="003123F8">
        <w:rPr>
          <w:rFonts w:cstheme="minorHAnsi"/>
          <w:i/>
          <w:iCs/>
          <w:sz w:val="24"/>
          <w:szCs w:val="24"/>
        </w:rPr>
        <w:t>iolence</w:t>
      </w:r>
      <w:r w:rsidRPr="003123F8">
        <w:rPr>
          <w:rFonts w:cstheme="minorHAnsi"/>
          <w:sz w:val="24"/>
          <w:szCs w:val="24"/>
        </w:rPr>
        <w:t>, </w:t>
      </w:r>
      <w:r w:rsidRPr="003123F8">
        <w:rPr>
          <w:rFonts w:cstheme="minorHAnsi"/>
          <w:i/>
          <w:iCs/>
          <w:sz w:val="24"/>
          <w:szCs w:val="24"/>
        </w:rPr>
        <w:t>8</w:t>
      </w:r>
      <w:r w:rsidRPr="003123F8">
        <w:rPr>
          <w:rFonts w:cstheme="minorHAnsi"/>
          <w:sz w:val="24"/>
          <w:szCs w:val="24"/>
        </w:rPr>
        <w:t>(2), 120–135.</w:t>
      </w:r>
      <w:r w:rsidR="00B54BAA">
        <w:rPr>
          <w:rFonts w:cstheme="minorHAnsi"/>
          <w:sz w:val="24"/>
          <w:szCs w:val="24"/>
        </w:rPr>
        <w:t xml:space="preserve"> </w:t>
      </w:r>
      <w:hyperlink r:id="rId37" w:history="1">
        <w:r w:rsidR="00B54BAA" w:rsidRPr="004C028F">
          <w:rPr>
            <w:rStyle w:val="Hyperlink"/>
            <w:rFonts w:cstheme="minorHAnsi"/>
            <w:sz w:val="24"/>
            <w:szCs w:val="24"/>
          </w:rPr>
          <w:t>https://doi.org/10.1080/15388220802074017</w:t>
        </w:r>
      </w:hyperlink>
    </w:p>
    <w:p w14:paraId="43F32149" w14:textId="77777777" w:rsidR="003123F8" w:rsidRDefault="003123F8" w:rsidP="008D6938">
      <w:pPr>
        <w:spacing w:after="0" w:line="240" w:lineRule="auto"/>
        <w:ind w:left="720" w:hanging="720"/>
        <w:rPr>
          <w:rFonts w:cstheme="minorHAnsi"/>
          <w:sz w:val="24"/>
          <w:szCs w:val="24"/>
        </w:rPr>
      </w:pPr>
    </w:p>
    <w:p w14:paraId="79FB416E" w14:textId="60B18CA7"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Fast, J. (2008). </w:t>
      </w:r>
      <w:r w:rsidRPr="008D6938">
        <w:rPr>
          <w:rFonts w:cstheme="minorHAnsi"/>
          <w:i/>
          <w:iCs/>
          <w:sz w:val="24"/>
          <w:szCs w:val="24"/>
        </w:rPr>
        <w:t xml:space="preserve">Ceremonial violence: A psychological explanation of school shootings. </w:t>
      </w:r>
      <w:r w:rsidRPr="008D6938">
        <w:rPr>
          <w:rFonts w:cstheme="minorHAnsi"/>
          <w:sz w:val="24"/>
          <w:szCs w:val="24"/>
        </w:rPr>
        <w:t>Overlook Press.</w:t>
      </w:r>
    </w:p>
    <w:p w14:paraId="370A1292" w14:textId="77777777" w:rsidR="008D6938" w:rsidRPr="008D6938" w:rsidRDefault="008D6938" w:rsidP="008D6938">
      <w:pPr>
        <w:spacing w:after="0" w:line="240" w:lineRule="auto"/>
        <w:ind w:left="720" w:hanging="720"/>
        <w:rPr>
          <w:rFonts w:cstheme="minorHAnsi"/>
          <w:sz w:val="24"/>
          <w:szCs w:val="24"/>
        </w:rPr>
      </w:pPr>
    </w:p>
    <w:p w14:paraId="65DCAAB9" w14:textId="0C3E92FD" w:rsidR="00A026B0" w:rsidRDefault="00A026B0" w:rsidP="003A148B">
      <w:pPr>
        <w:spacing w:after="0" w:line="240" w:lineRule="auto"/>
        <w:ind w:left="720" w:hanging="720"/>
        <w:rPr>
          <w:rFonts w:cstheme="minorHAnsi"/>
          <w:sz w:val="24"/>
          <w:szCs w:val="24"/>
        </w:rPr>
      </w:pPr>
      <w:r w:rsidRPr="00A026B0">
        <w:rPr>
          <w:rFonts w:cstheme="minorHAnsi"/>
          <w:sz w:val="24"/>
          <w:szCs w:val="24"/>
        </w:rPr>
        <w:t>Federal Bureau of Investigation, U.S. Department</w:t>
      </w:r>
      <w:r>
        <w:rPr>
          <w:rFonts w:cstheme="minorHAnsi"/>
          <w:sz w:val="24"/>
          <w:szCs w:val="24"/>
        </w:rPr>
        <w:t xml:space="preserve"> </w:t>
      </w:r>
      <w:r w:rsidRPr="00A026B0">
        <w:rPr>
          <w:rFonts w:cstheme="minorHAnsi"/>
          <w:sz w:val="24"/>
          <w:szCs w:val="24"/>
        </w:rPr>
        <w:t>of Justice, Washington, D.C., and the Advanced Law Enforcement Rapid Response</w:t>
      </w:r>
      <w:r w:rsidR="001A59F7">
        <w:rPr>
          <w:rFonts w:cstheme="minorHAnsi"/>
          <w:sz w:val="24"/>
          <w:szCs w:val="24"/>
        </w:rPr>
        <w:t xml:space="preserve"> </w:t>
      </w:r>
      <w:r w:rsidRPr="00A026B0">
        <w:rPr>
          <w:rFonts w:cstheme="minorHAnsi"/>
          <w:sz w:val="24"/>
          <w:szCs w:val="24"/>
        </w:rPr>
        <w:t>Training (ALERRT) Center at Texas State University</w:t>
      </w:r>
      <w:r>
        <w:rPr>
          <w:rFonts w:cstheme="minorHAnsi"/>
          <w:sz w:val="24"/>
          <w:szCs w:val="24"/>
        </w:rPr>
        <w:t xml:space="preserve"> (</w:t>
      </w:r>
      <w:r w:rsidRPr="00A026B0">
        <w:rPr>
          <w:rFonts w:cstheme="minorHAnsi"/>
          <w:sz w:val="24"/>
          <w:szCs w:val="24"/>
        </w:rPr>
        <w:t>2022</w:t>
      </w:r>
      <w:r>
        <w:rPr>
          <w:rFonts w:cstheme="minorHAnsi"/>
          <w:sz w:val="24"/>
          <w:szCs w:val="24"/>
        </w:rPr>
        <w:t>)</w:t>
      </w:r>
      <w:r w:rsidRPr="00A026B0">
        <w:rPr>
          <w:rFonts w:cstheme="minorHAnsi"/>
          <w:sz w:val="24"/>
          <w:szCs w:val="24"/>
        </w:rPr>
        <w:t>.</w:t>
      </w:r>
      <w:r>
        <w:rPr>
          <w:rFonts w:cstheme="minorHAnsi"/>
          <w:sz w:val="24"/>
          <w:szCs w:val="24"/>
        </w:rPr>
        <w:t xml:space="preserve"> </w:t>
      </w:r>
      <w:r w:rsidRPr="00501ED9">
        <w:rPr>
          <w:rFonts w:cstheme="minorHAnsi"/>
          <w:i/>
          <w:iCs/>
          <w:sz w:val="24"/>
          <w:szCs w:val="24"/>
        </w:rPr>
        <w:t xml:space="preserve">Active </w:t>
      </w:r>
      <w:r w:rsidR="001A59F7">
        <w:rPr>
          <w:rFonts w:cstheme="minorHAnsi"/>
          <w:i/>
          <w:iCs/>
          <w:sz w:val="24"/>
          <w:szCs w:val="24"/>
        </w:rPr>
        <w:t>s</w:t>
      </w:r>
      <w:r w:rsidRPr="00501ED9">
        <w:rPr>
          <w:rFonts w:cstheme="minorHAnsi"/>
          <w:i/>
          <w:iCs/>
          <w:sz w:val="24"/>
          <w:szCs w:val="24"/>
        </w:rPr>
        <w:t>hooter</w:t>
      </w:r>
      <w:r w:rsidR="001A59F7" w:rsidRPr="00501ED9">
        <w:rPr>
          <w:rFonts w:cstheme="minorHAnsi"/>
          <w:i/>
          <w:iCs/>
          <w:sz w:val="24"/>
          <w:szCs w:val="24"/>
        </w:rPr>
        <w:t xml:space="preserve"> </w:t>
      </w:r>
      <w:r w:rsidR="001A59F7">
        <w:rPr>
          <w:rFonts w:cstheme="minorHAnsi"/>
          <w:i/>
          <w:iCs/>
          <w:sz w:val="24"/>
          <w:szCs w:val="24"/>
        </w:rPr>
        <w:t>i</w:t>
      </w:r>
      <w:r w:rsidRPr="00501ED9">
        <w:rPr>
          <w:rFonts w:cstheme="minorHAnsi"/>
          <w:i/>
          <w:iCs/>
          <w:sz w:val="24"/>
          <w:szCs w:val="24"/>
        </w:rPr>
        <w:t>ncidents in the United States in 2021</w:t>
      </w:r>
      <w:r w:rsidR="001A59F7" w:rsidRPr="00501ED9">
        <w:rPr>
          <w:rFonts w:cstheme="minorHAnsi"/>
          <w:i/>
          <w:iCs/>
          <w:sz w:val="24"/>
          <w:szCs w:val="24"/>
        </w:rPr>
        <w:t>.</w:t>
      </w:r>
    </w:p>
    <w:p w14:paraId="45105DD2" w14:textId="191AE6B8" w:rsidR="001A59F7" w:rsidRDefault="001A59F7" w:rsidP="003A148B">
      <w:pPr>
        <w:spacing w:after="0" w:line="240" w:lineRule="auto"/>
        <w:ind w:left="720" w:hanging="720"/>
        <w:rPr>
          <w:rFonts w:cstheme="minorHAnsi"/>
          <w:sz w:val="24"/>
          <w:szCs w:val="24"/>
        </w:rPr>
      </w:pPr>
      <w:r>
        <w:rPr>
          <w:rFonts w:cstheme="minorHAnsi"/>
          <w:sz w:val="24"/>
          <w:szCs w:val="24"/>
        </w:rPr>
        <w:tab/>
      </w:r>
      <w:hyperlink r:id="rId38" w:history="1">
        <w:r w:rsidRPr="00135914">
          <w:rPr>
            <w:rStyle w:val="Hyperlink"/>
            <w:rFonts w:cstheme="minorHAnsi"/>
            <w:sz w:val="24"/>
            <w:szCs w:val="24"/>
          </w:rPr>
          <w:t>https://www.fbi.gov/file-repository/active-shooter-incidents-in-the-us-2021-052422.pdf/view</w:t>
        </w:r>
      </w:hyperlink>
      <w:r>
        <w:rPr>
          <w:rFonts w:cstheme="minorHAnsi"/>
          <w:sz w:val="24"/>
          <w:szCs w:val="24"/>
        </w:rPr>
        <w:t xml:space="preserve"> </w:t>
      </w:r>
    </w:p>
    <w:p w14:paraId="20B2C297" w14:textId="77777777" w:rsidR="001A59F7" w:rsidRDefault="001A59F7" w:rsidP="003A148B">
      <w:pPr>
        <w:spacing w:after="0" w:line="240" w:lineRule="auto"/>
        <w:ind w:left="720" w:hanging="720"/>
        <w:rPr>
          <w:rFonts w:cstheme="minorHAnsi"/>
          <w:sz w:val="24"/>
          <w:szCs w:val="24"/>
        </w:rPr>
      </w:pPr>
    </w:p>
    <w:p w14:paraId="10626087" w14:textId="77777777" w:rsidR="0016527E" w:rsidRPr="003A148B" w:rsidRDefault="0016527E" w:rsidP="0016527E">
      <w:pPr>
        <w:spacing w:after="0" w:line="240" w:lineRule="auto"/>
        <w:ind w:left="720" w:hanging="720"/>
        <w:rPr>
          <w:rFonts w:cstheme="minorHAnsi"/>
          <w:sz w:val="24"/>
          <w:szCs w:val="24"/>
        </w:rPr>
      </w:pPr>
      <w:r w:rsidRPr="00393A9D">
        <w:rPr>
          <w:rFonts w:cstheme="minorHAnsi"/>
          <w:sz w:val="24"/>
          <w:szCs w:val="24"/>
          <w:lang w:val="de-DE"/>
        </w:rPr>
        <w:t xml:space="preserve">Fein, R.A., &amp; Vossekuil, B. (2000). </w:t>
      </w:r>
      <w:r w:rsidRPr="003A148B">
        <w:rPr>
          <w:rFonts w:cstheme="minorHAnsi"/>
          <w:i/>
          <w:iCs/>
          <w:sz w:val="24"/>
          <w:szCs w:val="24"/>
        </w:rPr>
        <w:t>Protective intelligence and threat assessment investigations: A guide for state and local law enforcement officials.</w:t>
      </w:r>
      <w:r w:rsidRPr="003A148B">
        <w:rPr>
          <w:rFonts w:cstheme="minorHAnsi"/>
          <w:sz w:val="24"/>
          <w:szCs w:val="24"/>
        </w:rPr>
        <w:t xml:space="preserve"> National Institute of Justice.</w:t>
      </w:r>
    </w:p>
    <w:p w14:paraId="7D45C6F1" w14:textId="77777777" w:rsidR="003A148B" w:rsidRPr="003A148B" w:rsidRDefault="003A148B" w:rsidP="003A148B">
      <w:pPr>
        <w:spacing w:after="0" w:line="240" w:lineRule="auto"/>
        <w:ind w:left="720" w:hanging="720"/>
        <w:rPr>
          <w:rFonts w:cstheme="minorHAnsi"/>
          <w:sz w:val="24"/>
          <w:szCs w:val="24"/>
        </w:rPr>
      </w:pPr>
    </w:p>
    <w:p w14:paraId="78EDFA37" w14:textId="77777777" w:rsidR="003A148B" w:rsidRPr="003A148B" w:rsidRDefault="003A148B" w:rsidP="003A148B">
      <w:pPr>
        <w:spacing w:after="0" w:line="240" w:lineRule="auto"/>
        <w:ind w:left="720" w:hanging="720"/>
        <w:rPr>
          <w:rFonts w:cstheme="minorHAnsi"/>
          <w:sz w:val="24"/>
          <w:szCs w:val="24"/>
        </w:rPr>
      </w:pPr>
      <w:r w:rsidRPr="003A148B">
        <w:rPr>
          <w:rFonts w:cstheme="minorHAnsi"/>
          <w:sz w:val="24"/>
          <w:szCs w:val="24"/>
        </w:rPr>
        <w:t xml:space="preserve">Fein, R. A., Vossekuil, B., &amp; Holden, G.A. (1995). </w:t>
      </w:r>
      <w:r w:rsidRPr="003A148B">
        <w:rPr>
          <w:rFonts w:cstheme="minorHAnsi"/>
          <w:i/>
          <w:iCs/>
          <w:sz w:val="24"/>
          <w:szCs w:val="24"/>
        </w:rPr>
        <w:t xml:space="preserve">Threat assessment: An approach to prevent targeted violence. </w:t>
      </w:r>
      <w:r w:rsidRPr="003A148B">
        <w:rPr>
          <w:rFonts w:cstheme="minorHAnsi"/>
          <w:sz w:val="24"/>
          <w:szCs w:val="24"/>
        </w:rPr>
        <w:t>National Institute of Justice: Research in Action, 1–7.</w:t>
      </w:r>
    </w:p>
    <w:p w14:paraId="5CA51B1F" w14:textId="77777777" w:rsidR="003A148B" w:rsidRPr="003A148B" w:rsidRDefault="003A148B" w:rsidP="003A148B">
      <w:pPr>
        <w:spacing w:after="0" w:line="240" w:lineRule="auto"/>
        <w:ind w:left="720" w:hanging="720"/>
        <w:rPr>
          <w:rFonts w:cstheme="minorHAnsi"/>
          <w:sz w:val="24"/>
          <w:szCs w:val="24"/>
        </w:rPr>
      </w:pPr>
    </w:p>
    <w:p w14:paraId="450E59F0" w14:textId="77777777" w:rsidR="003A148B" w:rsidRPr="003A148B" w:rsidRDefault="003A148B" w:rsidP="003A148B">
      <w:pPr>
        <w:spacing w:after="0" w:line="240" w:lineRule="auto"/>
        <w:ind w:left="720" w:hanging="720"/>
        <w:rPr>
          <w:rFonts w:cstheme="minorHAnsi"/>
          <w:sz w:val="24"/>
          <w:szCs w:val="24"/>
        </w:rPr>
      </w:pPr>
      <w:r w:rsidRPr="003A148B">
        <w:rPr>
          <w:rFonts w:cstheme="minorHAnsi"/>
          <w:sz w:val="24"/>
          <w:szCs w:val="24"/>
        </w:rPr>
        <w:t>Fein, R. A., Vossekuil, B., Pollack, W. S., Borum, R., Modzeleski, W., Reddy, M., United States Secret Service, &amp; Office of Safe and Drug-Free Schools (ED). (2004). </w:t>
      </w:r>
      <w:r w:rsidRPr="003A148B">
        <w:rPr>
          <w:rFonts w:cstheme="minorHAnsi"/>
          <w:i/>
          <w:iCs/>
          <w:sz w:val="24"/>
          <w:szCs w:val="24"/>
        </w:rPr>
        <w:t>Threat assessment in schools: A guide to managing threatening situations and to creating safe school climates. Revised</w:t>
      </w:r>
      <w:r w:rsidRPr="003A148B">
        <w:rPr>
          <w:rFonts w:cstheme="minorHAnsi"/>
          <w:sz w:val="24"/>
          <w:szCs w:val="24"/>
        </w:rPr>
        <w:t>. US Department of Education.</w:t>
      </w:r>
    </w:p>
    <w:p w14:paraId="529D38AF" w14:textId="77777777" w:rsidR="003A148B" w:rsidRPr="003A148B" w:rsidRDefault="003A148B" w:rsidP="003A148B">
      <w:pPr>
        <w:spacing w:after="0" w:line="240" w:lineRule="auto"/>
        <w:ind w:left="720" w:hanging="720"/>
        <w:rPr>
          <w:rFonts w:cstheme="minorHAnsi"/>
          <w:sz w:val="24"/>
          <w:szCs w:val="24"/>
        </w:rPr>
      </w:pPr>
    </w:p>
    <w:p w14:paraId="74946C03" w14:textId="77777777" w:rsidR="003A148B" w:rsidRPr="003A148B" w:rsidRDefault="003A148B" w:rsidP="003A148B">
      <w:pPr>
        <w:spacing w:after="0" w:line="240" w:lineRule="auto"/>
        <w:ind w:left="720" w:hanging="720"/>
        <w:rPr>
          <w:rFonts w:cstheme="minorHAnsi"/>
          <w:sz w:val="24"/>
          <w:szCs w:val="24"/>
        </w:rPr>
      </w:pPr>
      <w:r w:rsidRPr="003A148B">
        <w:rPr>
          <w:rFonts w:cstheme="minorHAnsi"/>
          <w:sz w:val="24"/>
          <w:szCs w:val="24"/>
        </w:rPr>
        <w:t xml:space="preserve">Finkel, E. (2016). Tangled up in blue: Boosting mental health services at community colleges. </w:t>
      </w:r>
      <w:r w:rsidRPr="003A148B">
        <w:rPr>
          <w:rFonts w:cstheme="minorHAnsi"/>
          <w:i/>
          <w:iCs/>
          <w:sz w:val="24"/>
          <w:szCs w:val="24"/>
        </w:rPr>
        <w:t>Community College Journal, 86</w:t>
      </w:r>
      <w:r w:rsidRPr="003A148B">
        <w:rPr>
          <w:rFonts w:cstheme="minorHAnsi"/>
          <w:sz w:val="24"/>
          <w:szCs w:val="24"/>
        </w:rPr>
        <w:t>(5), 39–42.</w:t>
      </w:r>
    </w:p>
    <w:p w14:paraId="1439A178" w14:textId="77777777" w:rsidR="003A148B" w:rsidRDefault="003A148B" w:rsidP="000D44DF">
      <w:pPr>
        <w:spacing w:after="0" w:line="240" w:lineRule="auto"/>
        <w:ind w:left="720" w:hanging="720"/>
        <w:rPr>
          <w:rFonts w:cstheme="minorHAnsi"/>
          <w:sz w:val="24"/>
          <w:szCs w:val="24"/>
        </w:rPr>
      </w:pPr>
    </w:p>
    <w:p w14:paraId="2D1B24E4" w14:textId="41900366" w:rsidR="000D44DF" w:rsidRPr="000D44DF" w:rsidRDefault="000D44DF" w:rsidP="000D44DF">
      <w:pPr>
        <w:spacing w:after="0" w:line="240" w:lineRule="auto"/>
        <w:ind w:left="720" w:hanging="720"/>
        <w:rPr>
          <w:rFonts w:cstheme="minorHAnsi"/>
          <w:sz w:val="24"/>
          <w:szCs w:val="24"/>
        </w:rPr>
      </w:pPr>
      <w:r w:rsidRPr="000D44DF">
        <w:rPr>
          <w:rFonts w:cstheme="minorHAnsi"/>
          <w:sz w:val="24"/>
          <w:szCs w:val="24"/>
        </w:rPr>
        <w:t xml:space="preserve">Firestone, W. A. (1987). Meaning in method: The rhetoric of quantitative and qualitative research. </w:t>
      </w:r>
      <w:r w:rsidRPr="000D44DF">
        <w:rPr>
          <w:rFonts w:cstheme="minorHAnsi"/>
          <w:i/>
          <w:sz w:val="24"/>
          <w:szCs w:val="24"/>
        </w:rPr>
        <w:t>Educational Researcher, 16</w:t>
      </w:r>
      <w:r w:rsidRPr="000D44DF">
        <w:rPr>
          <w:rFonts w:cstheme="minorHAnsi"/>
          <w:sz w:val="24"/>
          <w:szCs w:val="24"/>
        </w:rPr>
        <w:t>(7), 19–21.</w:t>
      </w:r>
      <w:r w:rsidR="00010378">
        <w:rPr>
          <w:rFonts w:cstheme="minorHAnsi"/>
          <w:sz w:val="24"/>
          <w:szCs w:val="24"/>
        </w:rPr>
        <w:t xml:space="preserve"> </w:t>
      </w:r>
      <w:hyperlink r:id="rId39" w:history="1">
        <w:r w:rsidR="00010378" w:rsidRPr="004C028F">
          <w:rPr>
            <w:rStyle w:val="Hyperlink"/>
            <w:rFonts w:cstheme="minorHAnsi"/>
            <w:sz w:val="24"/>
            <w:szCs w:val="24"/>
          </w:rPr>
          <w:t>https://doi.org/10.3102/0013189x016007016</w:t>
        </w:r>
      </w:hyperlink>
    </w:p>
    <w:p w14:paraId="02F3960B" w14:textId="77777777" w:rsidR="00BE6BD3" w:rsidRDefault="00BE6BD3" w:rsidP="000D44DF">
      <w:pPr>
        <w:spacing w:after="0" w:line="240" w:lineRule="auto"/>
        <w:rPr>
          <w:rFonts w:cstheme="minorHAnsi"/>
          <w:sz w:val="24"/>
          <w:szCs w:val="24"/>
        </w:rPr>
      </w:pPr>
    </w:p>
    <w:p w14:paraId="18773D63" w14:textId="7B89DB77"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lastRenderedPageBreak/>
        <w:t xml:space="preserve">Flannery, D. J., Fox, J. A., Wallace, L., Mulvey, E., &amp; Modzeleski, W. (2021). Guns, school shooters, and school safety: What we know and directions for change. </w:t>
      </w:r>
      <w:r w:rsidRPr="008D6938">
        <w:rPr>
          <w:rFonts w:cstheme="minorHAnsi"/>
          <w:i/>
          <w:iCs/>
          <w:sz w:val="24"/>
          <w:szCs w:val="24"/>
        </w:rPr>
        <w:t>School Psychology Review, 50</w:t>
      </w:r>
      <w:r w:rsidRPr="008D6938">
        <w:rPr>
          <w:rFonts w:cstheme="minorHAnsi"/>
          <w:sz w:val="24"/>
          <w:szCs w:val="24"/>
        </w:rPr>
        <w:t xml:space="preserve">(2-3), 237-253. </w:t>
      </w:r>
      <w:hyperlink r:id="rId40" w:history="1">
        <w:r w:rsidR="00DE5005" w:rsidRPr="004C028F">
          <w:rPr>
            <w:rStyle w:val="Hyperlink"/>
            <w:rFonts w:cstheme="minorHAnsi"/>
            <w:sz w:val="24"/>
            <w:szCs w:val="24"/>
          </w:rPr>
          <w:t>https://doi.org/10.1080/2372966x.2020.1846458</w:t>
        </w:r>
      </w:hyperlink>
    </w:p>
    <w:p w14:paraId="317ACA58" w14:textId="77777777" w:rsidR="008D6938" w:rsidRPr="008D6938" w:rsidRDefault="008D6938" w:rsidP="008D6938">
      <w:pPr>
        <w:spacing w:after="0" w:line="240" w:lineRule="auto"/>
        <w:ind w:left="720" w:hanging="720"/>
        <w:rPr>
          <w:rFonts w:cstheme="minorHAnsi"/>
          <w:sz w:val="24"/>
          <w:szCs w:val="24"/>
        </w:rPr>
      </w:pPr>
    </w:p>
    <w:p w14:paraId="03516202" w14:textId="5738700F" w:rsidR="00BE6BD3" w:rsidRDefault="00BE6BD3" w:rsidP="00BE6BD3">
      <w:pPr>
        <w:spacing w:after="0" w:line="240" w:lineRule="auto"/>
        <w:ind w:left="720" w:hanging="720"/>
        <w:rPr>
          <w:rFonts w:ascii="Calibri" w:eastAsia="Calibri" w:hAnsi="Calibri" w:cs="Times New Roman"/>
          <w:sz w:val="24"/>
          <w:szCs w:val="24"/>
        </w:rPr>
      </w:pPr>
      <w:r w:rsidRPr="00BE6BD3">
        <w:rPr>
          <w:rFonts w:ascii="Calibri" w:eastAsia="Calibri" w:hAnsi="Calibri" w:cs="Times New Roman"/>
          <w:sz w:val="24"/>
          <w:szCs w:val="24"/>
        </w:rPr>
        <w:t xml:space="preserve">Flick, U. (2014). Mapping the field. In U. Flick (Ed.), </w:t>
      </w:r>
      <w:r w:rsidRPr="00BE6BD3">
        <w:rPr>
          <w:rFonts w:ascii="Calibri" w:eastAsia="Calibri" w:hAnsi="Calibri" w:cs="Times New Roman"/>
          <w:i/>
          <w:sz w:val="24"/>
          <w:szCs w:val="24"/>
        </w:rPr>
        <w:t>The sage handbook of qualitative data analysis</w:t>
      </w:r>
      <w:r w:rsidRPr="00BE6BD3">
        <w:rPr>
          <w:rFonts w:ascii="Calibri" w:eastAsia="Calibri" w:hAnsi="Calibri" w:cs="Times New Roman"/>
          <w:sz w:val="24"/>
          <w:szCs w:val="24"/>
        </w:rPr>
        <w:t xml:space="preserve"> (3–18). Sage. </w:t>
      </w:r>
    </w:p>
    <w:p w14:paraId="2B2FCB63" w14:textId="77777777" w:rsidR="003A148B" w:rsidRPr="00BE6BD3" w:rsidRDefault="003A148B" w:rsidP="00BE6BD3">
      <w:pPr>
        <w:spacing w:after="0" w:line="240" w:lineRule="auto"/>
        <w:ind w:left="720" w:hanging="720"/>
        <w:rPr>
          <w:rFonts w:ascii="Calibri" w:eastAsia="Calibri" w:hAnsi="Calibri" w:cs="Times New Roman"/>
          <w:sz w:val="24"/>
          <w:szCs w:val="24"/>
        </w:rPr>
      </w:pPr>
    </w:p>
    <w:p w14:paraId="4FC0F48A" w14:textId="28D68E2B" w:rsidR="003A148B" w:rsidRPr="003A148B" w:rsidRDefault="003A148B" w:rsidP="003A148B">
      <w:pPr>
        <w:spacing w:after="0" w:line="240" w:lineRule="auto"/>
        <w:ind w:left="720" w:hanging="720"/>
        <w:rPr>
          <w:rFonts w:ascii="Calibri" w:eastAsia="Calibri" w:hAnsi="Calibri" w:cs="Times New Roman"/>
          <w:sz w:val="24"/>
          <w:szCs w:val="24"/>
        </w:rPr>
      </w:pPr>
      <w:r w:rsidRPr="003A148B">
        <w:rPr>
          <w:rFonts w:ascii="Calibri" w:eastAsia="Calibri" w:hAnsi="Calibri" w:cs="Times New Roman"/>
          <w:sz w:val="24"/>
          <w:szCs w:val="24"/>
        </w:rPr>
        <w:t xml:space="preserve">Fox, J. A., &amp; DeLateur, M. J. (2013). Mass shootings in America: Moving beyond Newtown. </w:t>
      </w:r>
      <w:r w:rsidRPr="003A148B">
        <w:rPr>
          <w:rFonts w:ascii="Calibri" w:eastAsia="Calibri" w:hAnsi="Calibri" w:cs="Times New Roman"/>
          <w:i/>
          <w:iCs/>
          <w:sz w:val="24"/>
          <w:szCs w:val="24"/>
        </w:rPr>
        <w:t>Homicide Studies</w:t>
      </w:r>
      <w:r w:rsidRPr="003A148B">
        <w:rPr>
          <w:rFonts w:ascii="Calibri" w:eastAsia="Calibri" w:hAnsi="Calibri" w:cs="Times New Roman"/>
          <w:sz w:val="24"/>
          <w:szCs w:val="24"/>
        </w:rPr>
        <w:t xml:space="preserve">, 1–21. </w:t>
      </w:r>
      <w:hyperlink r:id="rId41" w:history="1">
        <w:r w:rsidRPr="004C028F">
          <w:rPr>
            <w:rStyle w:val="Hyperlink"/>
            <w:rFonts w:ascii="Calibri" w:eastAsia="Calibri" w:hAnsi="Calibri" w:cs="Times New Roman"/>
            <w:sz w:val="24"/>
            <w:szCs w:val="24"/>
          </w:rPr>
          <w:t>http://doi:10.1177/1088767913510297</w:t>
        </w:r>
      </w:hyperlink>
    </w:p>
    <w:p w14:paraId="38C0D4CC" w14:textId="77777777" w:rsidR="003A148B" w:rsidRDefault="003A148B" w:rsidP="00BE6BD3">
      <w:pPr>
        <w:spacing w:after="0" w:line="240" w:lineRule="auto"/>
        <w:ind w:left="720" w:hanging="720"/>
        <w:rPr>
          <w:rFonts w:ascii="Calibri" w:eastAsia="Calibri" w:hAnsi="Calibri" w:cs="Times New Roman"/>
          <w:sz w:val="24"/>
          <w:szCs w:val="24"/>
        </w:rPr>
      </w:pPr>
    </w:p>
    <w:p w14:paraId="6429904F" w14:textId="75E6F7E4" w:rsidR="00BE6BD3" w:rsidRDefault="00BE6BD3" w:rsidP="00BE6BD3">
      <w:pPr>
        <w:spacing w:after="0" w:line="240" w:lineRule="auto"/>
        <w:ind w:left="720" w:hanging="720"/>
        <w:rPr>
          <w:rFonts w:ascii="Calibri" w:eastAsia="Calibri" w:hAnsi="Calibri" w:cs="Times New Roman"/>
          <w:sz w:val="24"/>
          <w:szCs w:val="24"/>
        </w:rPr>
      </w:pPr>
      <w:r w:rsidRPr="00BE6BD3">
        <w:rPr>
          <w:rFonts w:ascii="Calibri" w:eastAsia="Calibri" w:hAnsi="Calibri" w:cs="Times New Roman"/>
          <w:sz w:val="24"/>
          <w:szCs w:val="24"/>
        </w:rPr>
        <w:t xml:space="preserve">Gibbs, G. (2018). </w:t>
      </w:r>
      <w:r w:rsidRPr="00BE6BD3">
        <w:rPr>
          <w:rFonts w:ascii="Calibri" w:eastAsia="Calibri" w:hAnsi="Calibri" w:cs="Times New Roman"/>
          <w:i/>
          <w:sz w:val="24"/>
          <w:szCs w:val="24"/>
        </w:rPr>
        <w:t>Analyzing qualitative data</w:t>
      </w:r>
      <w:r w:rsidRPr="00BE6BD3">
        <w:rPr>
          <w:rFonts w:ascii="Calibri" w:eastAsia="Calibri" w:hAnsi="Calibri" w:cs="Times New Roman"/>
          <w:sz w:val="24"/>
          <w:szCs w:val="24"/>
        </w:rPr>
        <w:t xml:space="preserve">. Sage. </w:t>
      </w:r>
    </w:p>
    <w:p w14:paraId="35DECEEA" w14:textId="77777777" w:rsidR="003A148B" w:rsidRPr="00BE6BD3" w:rsidRDefault="003A148B" w:rsidP="00BE6BD3">
      <w:pPr>
        <w:spacing w:after="0" w:line="240" w:lineRule="auto"/>
        <w:ind w:left="720" w:hanging="720"/>
        <w:rPr>
          <w:rFonts w:ascii="Calibri" w:eastAsia="Calibri" w:hAnsi="Calibri" w:cs="Times New Roman"/>
          <w:sz w:val="24"/>
          <w:szCs w:val="24"/>
        </w:rPr>
      </w:pPr>
    </w:p>
    <w:p w14:paraId="29921FA3" w14:textId="4430EB95" w:rsidR="00BE6BD3" w:rsidRPr="00BE6BD3" w:rsidRDefault="00BE6BD3" w:rsidP="00BE6BD3">
      <w:pPr>
        <w:spacing w:after="0" w:line="240" w:lineRule="auto"/>
        <w:ind w:left="720" w:hanging="720"/>
        <w:rPr>
          <w:rFonts w:ascii="Calibri" w:eastAsia="Calibri" w:hAnsi="Calibri" w:cs="Times New Roman"/>
          <w:sz w:val="24"/>
          <w:szCs w:val="24"/>
        </w:rPr>
      </w:pPr>
      <w:r w:rsidRPr="00BE6BD3">
        <w:rPr>
          <w:rFonts w:ascii="Calibri" w:eastAsia="Calibri" w:hAnsi="Calibri" w:cs="Times New Roman"/>
          <w:sz w:val="24"/>
          <w:szCs w:val="24"/>
        </w:rPr>
        <w:t xml:space="preserve">Given, L. M. (2016). </w:t>
      </w:r>
      <w:r w:rsidRPr="00BE6BD3">
        <w:rPr>
          <w:rFonts w:ascii="Calibri" w:eastAsia="Calibri" w:hAnsi="Calibri" w:cs="Times New Roman"/>
          <w:i/>
          <w:iCs/>
          <w:sz w:val="24"/>
          <w:szCs w:val="24"/>
        </w:rPr>
        <w:t>100 questions (and answers) about qualitative research.</w:t>
      </w:r>
      <w:r w:rsidRPr="00BE6BD3">
        <w:rPr>
          <w:rFonts w:ascii="Calibri" w:eastAsia="Calibri" w:hAnsi="Calibri" w:cs="Times New Roman"/>
          <w:sz w:val="24"/>
          <w:szCs w:val="24"/>
        </w:rPr>
        <w:t xml:space="preserve"> Sage.</w:t>
      </w:r>
    </w:p>
    <w:p w14:paraId="65D48123" w14:textId="77777777" w:rsidR="00BE6BD3" w:rsidRPr="00BE6BD3" w:rsidRDefault="00BE6BD3" w:rsidP="00BE6BD3">
      <w:pPr>
        <w:spacing w:after="0" w:line="240" w:lineRule="auto"/>
        <w:ind w:left="720" w:hanging="720"/>
        <w:rPr>
          <w:rFonts w:ascii="Calibri" w:eastAsia="Calibri" w:hAnsi="Calibri" w:cs="Times New Roman"/>
          <w:sz w:val="24"/>
          <w:szCs w:val="24"/>
        </w:rPr>
      </w:pPr>
    </w:p>
    <w:p w14:paraId="1F8D4586" w14:textId="4729A653" w:rsidR="00BE6BD3" w:rsidRDefault="00BE6BD3" w:rsidP="00BE6BD3">
      <w:pPr>
        <w:spacing w:after="0" w:line="240" w:lineRule="auto"/>
        <w:ind w:left="720" w:hanging="720"/>
        <w:rPr>
          <w:rFonts w:ascii="Calibri" w:eastAsia="Calibri" w:hAnsi="Calibri" w:cs="Times New Roman"/>
          <w:sz w:val="24"/>
          <w:szCs w:val="24"/>
        </w:rPr>
      </w:pPr>
      <w:r w:rsidRPr="00BE6BD3">
        <w:rPr>
          <w:rFonts w:ascii="Calibri" w:eastAsia="Calibri" w:hAnsi="Calibri" w:cs="Times New Roman"/>
          <w:sz w:val="24"/>
          <w:szCs w:val="24"/>
        </w:rPr>
        <w:t xml:space="preserve">Glaser, B. G., &amp; Strauss, A. (1967). </w:t>
      </w:r>
      <w:r w:rsidRPr="00BE6BD3">
        <w:rPr>
          <w:rFonts w:ascii="Calibri" w:eastAsia="Calibri" w:hAnsi="Calibri" w:cs="Times New Roman"/>
          <w:i/>
          <w:sz w:val="24"/>
          <w:szCs w:val="24"/>
        </w:rPr>
        <w:t xml:space="preserve">The discovery of grounded theory: Strategies for qualitative research. </w:t>
      </w:r>
      <w:r w:rsidRPr="00BE6BD3">
        <w:rPr>
          <w:rFonts w:ascii="Calibri" w:eastAsia="Calibri" w:hAnsi="Calibri" w:cs="Times New Roman"/>
          <w:sz w:val="24"/>
          <w:szCs w:val="24"/>
        </w:rPr>
        <w:t xml:space="preserve">Aldine. </w:t>
      </w:r>
    </w:p>
    <w:p w14:paraId="63FCFD5E" w14:textId="77777777" w:rsidR="00BE6BD3" w:rsidRDefault="00BE6BD3" w:rsidP="008D6938">
      <w:pPr>
        <w:spacing w:after="0" w:line="240" w:lineRule="auto"/>
        <w:ind w:left="720" w:hanging="720"/>
        <w:rPr>
          <w:rFonts w:ascii="Calibri" w:eastAsia="Calibri" w:hAnsi="Calibri" w:cs="Times New Roman"/>
          <w:sz w:val="24"/>
          <w:szCs w:val="24"/>
        </w:rPr>
      </w:pPr>
    </w:p>
    <w:p w14:paraId="0B8D4D13" w14:textId="145AD4FE" w:rsidR="00E15069" w:rsidRDefault="00E15069" w:rsidP="003A148B">
      <w:pPr>
        <w:spacing w:after="0" w:line="240" w:lineRule="auto"/>
        <w:ind w:left="720" w:hanging="720"/>
        <w:rPr>
          <w:rFonts w:ascii="Calibri" w:eastAsia="Calibri" w:hAnsi="Calibri" w:cs="Times New Roman"/>
          <w:sz w:val="24"/>
          <w:szCs w:val="24"/>
        </w:rPr>
      </w:pPr>
      <w:r w:rsidRPr="00E15069">
        <w:rPr>
          <w:rFonts w:ascii="Calibri" w:eastAsia="Calibri" w:hAnsi="Calibri" w:cs="Times New Roman"/>
          <w:sz w:val="24"/>
          <w:szCs w:val="24"/>
        </w:rPr>
        <w:t xml:space="preserve">Guns on College Campuses. 50-State Comparison: Postsecondary Campus Safety 2022. (2022). </w:t>
      </w:r>
      <w:r w:rsidRPr="00501ED9">
        <w:rPr>
          <w:rFonts w:ascii="Calibri" w:eastAsia="Calibri" w:hAnsi="Calibri" w:cs="Times New Roman"/>
          <w:i/>
          <w:iCs/>
          <w:sz w:val="24"/>
          <w:szCs w:val="24"/>
        </w:rPr>
        <w:t>Education Commission of the States.</w:t>
      </w:r>
    </w:p>
    <w:p w14:paraId="14F7B00D" w14:textId="77777777" w:rsidR="00E15069" w:rsidRDefault="00E15069" w:rsidP="003A148B">
      <w:pPr>
        <w:spacing w:after="0" w:line="240" w:lineRule="auto"/>
        <w:ind w:left="720" w:hanging="720"/>
        <w:rPr>
          <w:rFonts w:ascii="Calibri" w:eastAsia="Calibri" w:hAnsi="Calibri" w:cs="Times New Roman"/>
          <w:sz w:val="24"/>
          <w:szCs w:val="24"/>
        </w:rPr>
      </w:pPr>
    </w:p>
    <w:p w14:paraId="55953337" w14:textId="7B4184B5" w:rsidR="003A148B" w:rsidRPr="003A148B" w:rsidRDefault="003A148B" w:rsidP="003A148B">
      <w:pPr>
        <w:spacing w:after="0" w:line="240" w:lineRule="auto"/>
        <w:ind w:left="720" w:hanging="720"/>
        <w:rPr>
          <w:rFonts w:ascii="Calibri" w:eastAsia="Calibri" w:hAnsi="Calibri" w:cs="Times New Roman"/>
          <w:sz w:val="24"/>
          <w:szCs w:val="24"/>
        </w:rPr>
      </w:pPr>
      <w:r w:rsidRPr="003A148B">
        <w:rPr>
          <w:rFonts w:ascii="Calibri" w:eastAsia="Calibri" w:hAnsi="Calibri" w:cs="Times New Roman"/>
          <w:sz w:val="24"/>
          <w:szCs w:val="24"/>
        </w:rPr>
        <w:t xml:space="preserve">Harwood, V. (2011). Connecting the dots: Threat assessment, depression, and the troubled student. </w:t>
      </w:r>
      <w:r w:rsidRPr="003A148B">
        <w:rPr>
          <w:rFonts w:ascii="Calibri" w:eastAsia="Calibri" w:hAnsi="Calibri" w:cs="Times New Roman"/>
          <w:i/>
          <w:iCs/>
          <w:sz w:val="24"/>
          <w:szCs w:val="24"/>
        </w:rPr>
        <w:t>Curriculum Inquiry,</w:t>
      </w:r>
      <w:r w:rsidRPr="003A148B">
        <w:rPr>
          <w:rFonts w:ascii="Calibri" w:eastAsia="Calibri" w:hAnsi="Calibri" w:cs="Times New Roman"/>
          <w:sz w:val="24"/>
          <w:szCs w:val="24"/>
        </w:rPr>
        <w:t xml:space="preserve"> </w:t>
      </w:r>
      <w:r w:rsidRPr="003A148B">
        <w:rPr>
          <w:rFonts w:ascii="Calibri" w:eastAsia="Calibri" w:hAnsi="Calibri" w:cs="Times New Roman"/>
          <w:i/>
          <w:iCs/>
          <w:sz w:val="24"/>
          <w:szCs w:val="24"/>
        </w:rPr>
        <w:t>41</w:t>
      </w:r>
      <w:r w:rsidRPr="003A148B">
        <w:rPr>
          <w:rFonts w:ascii="Calibri" w:eastAsia="Calibri" w:hAnsi="Calibri" w:cs="Times New Roman"/>
          <w:sz w:val="24"/>
          <w:szCs w:val="24"/>
        </w:rPr>
        <w:t>(5), 586–609.</w:t>
      </w:r>
      <w:r w:rsidR="00C85E53">
        <w:rPr>
          <w:rFonts w:ascii="Calibri" w:eastAsia="Calibri" w:hAnsi="Calibri" w:cs="Times New Roman"/>
          <w:sz w:val="24"/>
          <w:szCs w:val="24"/>
        </w:rPr>
        <w:t xml:space="preserve"> </w:t>
      </w:r>
      <w:hyperlink r:id="rId42" w:history="1">
        <w:r w:rsidR="00C85E53" w:rsidRPr="004C028F">
          <w:rPr>
            <w:rStyle w:val="Hyperlink"/>
            <w:rFonts w:ascii="Calibri" w:eastAsia="Calibri" w:hAnsi="Calibri" w:cs="Times New Roman"/>
            <w:sz w:val="24"/>
            <w:szCs w:val="24"/>
          </w:rPr>
          <w:t>https://doi.org/10.1111/j.1467-873x.2011.00566.x</w:t>
        </w:r>
      </w:hyperlink>
    </w:p>
    <w:p w14:paraId="4503A99D" w14:textId="77777777" w:rsidR="003A148B" w:rsidRDefault="003A148B" w:rsidP="008D6938">
      <w:pPr>
        <w:spacing w:after="0" w:line="240" w:lineRule="auto"/>
        <w:ind w:left="720" w:hanging="720"/>
        <w:rPr>
          <w:rFonts w:ascii="Calibri" w:eastAsia="Calibri" w:hAnsi="Calibri" w:cs="Times New Roman"/>
          <w:sz w:val="24"/>
          <w:szCs w:val="24"/>
        </w:rPr>
      </w:pPr>
    </w:p>
    <w:p w14:paraId="4EB16178" w14:textId="74103601" w:rsidR="008D6938" w:rsidRPr="008D6938" w:rsidRDefault="008D6938" w:rsidP="008D6938">
      <w:pPr>
        <w:spacing w:after="0" w:line="240" w:lineRule="auto"/>
        <w:ind w:left="720" w:hanging="720"/>
        <w:rPr>
          <w:rFonts w:ascii="Calibri" w:eastAsia="Calibri" w:hAnsi="Calibri" w:cs="Times New Roman"/>
          <w:sz w:val="24"/>
        </w:rPr>
      </w:pPr>
      <w:r w:rsidRPr="008D6938">
        <w:rPr>
          <w:rFonts w:ascii="Calibri" w:eastAsia="Calibri" w:hAnsi="Calibri" w:cs="Times New Roman"/>
          <w:sz w:val="24"/>
          <w:szCs w:val="24"/>
        </w:rPr>
        <w:t xml:space="preserve">Haynes, M. I. (2013). </w:t>
      </w:r>
      <w:r w:rsidRPr="008D6938">
        <w:rPr>
          <w:rFonts w:ascii="Calibri" w:eastAsia="Calibri" w:hAnsi="Calibri" w:cs="Times New Roman"/>
          <w:i/>
          <w:iCs/>
          <w:sz w:val="24"/>
          <w:szCs w:val="24"/>
        </w:rPr>
        <w:t xml:space="preserve">Workplace Violence: Why Every State Must Adopt a Comprehensive Workplace Violence Prevention Law. </w:t>
      </w:r>
      <w:hyperlink r:id="rId43" w:history="1">
        <w:r w:rsidRPr="004C028F">
          <w:rPr>
            <w:rStyle w:val="Hyperlink"/>
            <w:rFonts w:ascii="Calibri" w:eastAsia="Calibri" w:hAnsi="Calibri" w:cs="Times New Roman"/>
            <w:sz w:val="24"/>
            <w:szCs w:val="24"/>
          </w:rPr>
          <w:t>https://ecommons.cornell.edu/handle/1813/73033.</w:t>
        </w:r>
      </w:hyperlink>
      <w:r w:rsidRPr="008D6938">
        <w:rPr>
          <w:rFonts w:ascii="Calibri" w:eastAsia="Calibri" w:hAnsi="Calibri" w:cs="Times New Roman"/>
          <w:sz w:val="24"/>
          <w:szCs w:val="24"/>
        </w:rPr>
        <w:t xml:space="preserve"> </w:t>
      </w:r>
    </w:p>
    <w:p w14:paraId="7F5B557A" w14:textId="5C7DC9E0" w:rsidR="003A148B" w:rsidRPr="003A148B" w:rsidRDefault="003A148B" w:rsidP="003A148B">
      <w:pPr>
        <w:spacing w:before="100" w:beforeAutospacing="1" w:after="100" w:afterAutospacing="1" w:line="240" w:lineRule="auto"/>
        <w:ind w:left="720" w:hanging="720"/>
        <w:rPr>
          <w:rFonts w:eastAsia="Times New Roman" w:cstheme="minorHAnsi"/>
          <w:sz w:val="24"/>
          <w:szCs w:val="24"/>
          <w:shd w:val="clear" w:color="auto" w:fill="FFFFFF"/>
        </w:rPr>
      </w:pPr>
      <w:r w:rsidRPr="003A148B">
        <w:rPr>
          <w:rFonts w:eastAsia="Times New Roman" w:cstheme="minorHAnsi"/>
          <w:sz w:val="24"/>
          <w:szCs w:val="24"/>
          <w:shd w:val="clear" w:color="auto" w:fill="FFFFFF"/>
        </w:rPr>
        <w:t xml:space="preserve">Heilbrun, K., Dvoskin, J., Heilbrun, A. (2009). Toward preventing future tragedies: Mass killings on college campuses, public health, and threat/risk assessment. </w:t>
      </w:r>
      <w:r w:rsidRPr="003A148B">
        <w:rPr>
          <w:rFonts w:eastAsia="Times New Roman" w:cstheme="minorHAnsi"/>
          <w:i/>
          <w:iCs/>
          <w:sz w:val="24"/>
          <w:szCs w:val="24"/>
          <w:shd w:val="clear" w:color="auto" w:fill="FFFFFF"/>
        </w:rPr>
        <w:t>Psychological Injury &amp; Law 2</w:t>
      </w:r>
      <w:r w:rsidRPr="003A148B">
        <w:rPr>
          <w:rFonts w:eastAsia="Times New Roman" w:cstheme="minorHAnsi"/>
          <w:sz w:val="24"/>
          <w:szCs w:val="24"/>
          <w:shd w:val="clear" w:color="auto" w:fill="FFFFFF"/>
        </w:rPr>
        <w:t xml:space="preserve">, 93–99. </w:t>
      </w:r>
      <w:hyperlink r:id="rId44" w:history="1">
        <w:r w:rsidRPr="004C028F">
          <w:rPr>
            <w:rStyle w:val="Hyperlink"/>
            <w:rFonts w:eastAsia="Times New Roman" w:cstheme="minorHAnsi"/>
            <w:sz w:val="24"/>
            <w:szCs w:val="24"/>
            <w:shd w:val="clear" w:color="auto" w:fill="FFFFFF"/>
          </w:rPr>
          <w:t>http://cx.doi.org/10.1007/s12207-009-9040-9</w:t>
        </w:r>
      </w:hyperlink>
    </w:p>
    <w:p w14:paraId="6F8863BD" w14:textId="77777777" w:rsidR="003A148B" w:rsidRPr="003A148B" w:rsidRDefault="003A148B" w:rsidP="003A148B">
      <w:pPr>
        <w:spacing w:before="100" w:beforeAutospacing="1" w:after="100" w:afterAutospacing="1" w:line="240" w:lineRule="auto"/>
        <w:ind w:left="720" w:hanging="720"/>
        <w:rPr>
          <w:rFonts w:eastAsia="Times New Roman" w:cstheme="minorHAnsi"/>
          <w:sz w:val="24"/>
          <w:szCs w:val="24"/>
          <w:shd w:val="clear" w:color="auto" w:fill="FFFFFF"/>
        </w:rPr>
      </w:pPr>
      <w:r w:rsidRPr="003A148B">
        <w:rPr>
          <w:rFonts w:eastAsia="Times New Roman" w:cstheme="minorHAnsi"/>
          <w:sz w:val="24"/>
          <w:szCs w:val="24"/>
          <w:shd w:val="clear" w:color="auto" w:fill="FFFFFF"/>
        </w:rPr>
        <w:t xml:space="preserve">Hemphill, B. O., &amp; LaBanc, B. H. (2010). </w:t>
      </w:r>
      <w:r w:rsidRPr="003A148B">
        <w:rPr>
          <w:rFonts w:eastAsia="Times New Roman" w:cstheme="minorHAnsi"/>
          <w:i/>
          <w:iCs/>
          <w:sz w:val="24"/>
          <w:szCs w:val="24"/>
          <w:shd w:val="clear" w:color="auto" w:fill="FFFFFF"/>
        </w:rPr>
        <w:t>Enough is enough: A student affairs perspective on preparedness and response to a campus shooting.</w:t>
      </w:r>
      <w:r w:rsidRPr="003A148B">
        <w:rPr>
          <w:rFonts w:eastAsia="Times New Roman" w:cstheme="minorHAnsi"/>
          <w:sz w:val="24"/>
          <w:szCs w:val="24"/>
          <w:shd w:val="clear" w:color="auto" w:fill="FFFFFF"/>
        </w:rPr>
        <w:t xml:space="preserve"> Stylus Publishing.</w:t>
      </w:r>
    </w:p>
    <w:p w14:paraId="62299785" w14:textId="22E30F64" w:rsidR="00DD7D17" w:rsidRDefault="00DD7D17" w:rsidP="003A148B">
      <w:pPr>
        <w:spacing w:before="100" w:beforeAutospacing="1" w:after="100" w:afterAutospacing="1" w:line="240" w:lineRule="auto"/>
        <w:ind w:left="720" w:hanging="720"/>
        <w:rPr>
          <w:rFonts w:eastAsia="Times New Roman" w:cstheme="minorHAnsi"/>
          <w:sz w:val="24"/>
          <w:szCs w:val="24"/>
          <w:shd w:val="clear" w:color="auto" w:fill="FFFFFF"/>
        </w:rPr>
      </w:pPr>
      <w:r w:rsidRPr="00DD7D17">
        <w:rPr>
          <w:rFonts w:eastAsia="Times New Roman" w:cstheme="minorHAnsi"/>
          <w:sz w:val="24"/>
          <w:szCs w:val="24"/>
          <w:shd w:val="clear" w:color="auto" w:fill="FFFFFF"/>
        </w:rPr>
        <w:t xml:space="preserve">Henning, G. (2007). Is “In Consortio Cum Parentibus” the New “In Loco Parentis?” </w:t>
      </w:r>
      <w:r w:rsidRPr="00501ED9">
        <w:rPr>
          <w:rFonts w:eastAsia="Times New Roman" w:cstheme="minorHAnsi"/>
          <w:i/>
          <w:iCs/>
          <w:sz w:val="24"/>
          <w:szCs w:val="24"/>
          <w:shd w:val="clear" w:color="auto" w:fill="FFFFFF"/>
        </w:rPr>
        <w:t>NASPA Journal, 44</w:t>
      </w:r>
      <w:r w:rsidRPr="00DD7D17">
        <w:rPr>
          <w:rFonts w:eastAsia="Times New Roman" w:cstheme="minorHAnsi"/>
          <w:sz w:val="24"/>
          <w:szCs w:val="24"/>
          <w:shd w:val="clear" w:color="auto" w:fill="FFFFFF"/>
        </w:rPr>
        <w:t>(3), 538–560.</w:t>
      </w:r>
    </w:p>
    <w:p w14:paraId="05F507B9" w14:textId="00892B37" w:rsidR="008D6938" w:rsidRPr="008D6938" w:rsidRDefault="008D6938" w:rsidP="008D6938">
      <w:pPr>
        <w:spacing w:before="100" w:beforeAutospacing="1" w:after="100" w:afterAutospacing="1" w:line="240" w:lineRule="auto"/>
        <w:ind w:left="720" w:hanging="720"/>
        <w:rPr>
          <w:rFonts w:eastAsia="Times New Roman" w:cstheme="minorHAnsi"/>
          <w:sz w:val="24"/>
          <w:szCs w:val="24"/>
          <w:shd w:val="clear" w:color="auto" w:fill="FFFFFF"/>
        </w:rPr>
      </w:pPr>
      <w:r w:rsidRPr="008D6938">
        <w:rPr>
          <w:rFonts w:eastAsia="Times New Roman" w:cstheme="minorHAnsi"/>
          <w:sz w:val="24"/>
          <w:szCs w:val="24"/>
          <w:shd w:val="clear" w:color="auto" w:fill="FFFFFF"/>
        </w:rPr>
        <w:t xml:space="preserve">Hoisington, S. (2017). Campus fears drive boom in threat-assessment teams. </w:t>
      </w:r>
      <w:r w:rsidRPr="008D6938">
        <w:rPr>
          <w:rFonts w:eastAsia="Times New Roman" w:cstheme="minorHAnsi"/>
          <w:i/>
          <w:iCs/>
          <w:sz w:val="24"/>
          <w:szCs w:val="24"/>
          <w:shd w:val="clear" w:color="auto" w:fill="FFFFFF"/>
        </w:rPr>
        <w:t>The Chronicle of Higher Education.</w:t>
      </w:r>
      <w:r w:rsidRPr="008D6938">
        <w:rPr>
          <w:rFonts w:eastAsia="Times New Roman" w:cstheme="minorHAnsi"/>
          <w:sz w:val="24"/>
          <w:szCs w:val="24"/>
          <w:shd w:val="clear" w:color="auto" w:fill="FFFFFF"/>
        </w:rPr>
        <w:t xml:space="preserve"> </w:t>
      </w:r>
      <w:hyperlink r:id="rId45" w:history="1">
        <w:r w:rsidRPr="004C028F">
          <w:rPr>
            <w:rStyle w:val="Hyperlink"/>
            <w:rFonts w:eastAsia="Times New Roman" w:cstheme="minorHAnsi"/>
            <w:sz w:val="24"/>
            <w:szCs w:val="24"/>
            <w:shd w:val="clear" w:color="auto" w:fill="FFFFFF"/>
          </w:rPr>
          <w:t>https://www.chronicle.com/article/campus-fears-drive-boom-in-threat-assessment-teams/?cid2=gen_login_refresh&amp;cid=gen_sign_in</w:t>
        </w:r>
      </w:hyperlink>
    </w:p>
    <w:p w14:paraId="3769CDEF" w14:textId="7E5F75A2"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Honigmann, J. J. (1982). Sampling in ethnographic fieldwork. In R. G. Burgess (Ed.), </w:t>
      </w:r>
      <w:r w:rsidRPr="00BE6BD3">
        <w:rPr>
          <w:rFonts w:cstheme="minorHAnsi"/>
          <w:i/>
          <w:sz w:val="24"/>
          <w:szCs w:val="24"/>
        </w:rPr>
        <w:t xml:space="preserve">Field research: A sourcebook and field manual </w:t>
      </w:r>
      <w:r w:rsidRPr="00BE6BD3">
        <w:rPr>
          <w:rFonts w:cstheme="minorHAnsi"/>
          <w:sz w:val="24"/>
          <w:szCs w:val="24"/>
        </w:rPr>
        <w:t>(79–90). Allen &amp; Unwin.</w:t>
      </w:r>
    </w:p>
    <w:p w14:paraId="6422ABDC" w14:textId="2E53B424" w:rsidR="00BE6BD3" w:rsidRDefault="00BE6BD3" w:rsidP="008D6938">
      <w:pPr>
        <w:spacing w:after="0" w:line="240" w:lineRule="auto"/>
        <w:ind w:left="720" w:hanging="720"/>
        <w:rPr>
          <w:rFonts w:cstheme="minorHAnsi"/>
          <w:sz w:val="24"/>
          <w:szCs w:val="24"/>
        </w:rPr>
      </w:pPr>
    </w:p>
    <w:p w14:paraId="0375B9BC" w14:textId="77777777" w:rsidR="005A734A" w:rsidRDefault="005A734A" w:rsidP="003A148B">
      <w:pPr>
        <w:spacing w:after="0" w:line="240" w:lineRule="auto"/>
        <w:ind w:left="720" w:hanging="720"/>
        <w:rPr>
          <w:rFonts w:cstheme="minorHAnsi"/>
          <w:sz w:val="24"/>
          <w:szCs w:val="24"/>
        </w:rPr>
      </w:pPr>
      <w:r w:rsidRPr="005A734A">
        <w:rPr>
          <w:rFonts w:cstheme="minorHAnsi"/>
          <w:sz w:val="24"/>
          <w:szCs w:val="24"/>
        </w:rPr>
        <w:t xml:space="preserve">Hume, H., &amp; Perreault, G. (2022). Media and </w:t>
      </w:r>
      <w:r>
        <w:rPr>
          <w:rFonts w:cstheme="minorHAnsi"/>
          <w:sz w:val="24"/>
          <w:szCs w:val="24"/>
        </w:rPr>
        <w:t>m</w:t>
      </w:r>
      <w:r w:rsidRPr="005A734A">
        <w:rPr>
          <w:rFonts w:cstheme="minorHAnsi"/>
          <w:sz w:val="24"/>
          <w:szCs w:val="24"/>
        </w:rPr>
        <w:t xml:space="preserve">ass </w:t>
      </w:r>
      <w:r>
        <w:rPr>
          <w:rFonts w:cstheme="minorHAnsi"/>
          <w:sz w:val="24"/>
          <w:szCs w:val="24"/>
        </w:rPr>
        <w:t>s</w:t>
      </w:r>
      <w:r w:rsidRPr="005A734A">
        <w:rPr>
          <w:rFonts w:cstheme="minorHAnsi"/>
          <w:sz w:val="24"/>
          <w:szCs w:val="24"/>
        </w:rPr>
        <w:t xml:space="preserve">hootings: </w:t>
      </w:r>
      <w:r>
        <w:rPr>
          <w:rFonts w:cstheme="minorHAnsi"/>
          <w:sz w:val="24"/>
          <w:szCs w:val="24"/>
        </w:rPr>
        <w:t>f</w:t>
      </w:r>
      <w:r w:rsidRPr="005A734A">
        <w:rPr>
          <w:rFonts w:cstheme="minorHAnsi"/>
          <w:sz w:val="24"/>
          <w:szCs w:val="24"/>
        </w:rPr>
        <w:t xml:space="preserve">ield </w:t>
      </w:r>
      <w:r>
        <w:rPr>
          <w:rFonts w:cstheme="minorHAnsi"/>
          <w:sz w:val="24"/>
          <w:szCs w:val="24"/>
        </w:rPr>
        <w:t>t</w:t>
      </w:r>
      <w:r w:rsidRPr="005A734A">
        <w:rPr>
          <w:rFonts w:cstheme="minorHAnsi"/>
          <w:sz w:val="24"/>
          <w:szCs w:val="24"/>
        </w:rPr>
        <w:t xml:space="preserve">heory in CNN </w:t>
      </w:r>
      <w:r>
        <w:rPr>
          <w:rFonts w:cstheme="minorHAnsi"/>
          <w:sz w:val="24"/>
          <w:szCs w:val="24"/>
        </w:rPr>
        <w:t>n</w:t>
      </w:r>
      <w:r w:rsidRPr="005A734A">
        <w:rPr>
          <w:rFonts w:cstheme="minorHAnsi"/>
          <w:sz w:val="24"/>
          <w:szCs w:val="24"/>
        </w:rPr>
        <w:t xml:space="preserve">ews </w:t>
      </w:r>
      <w:r>
        <w:rPr>
          <w:rFonts w:cstheme="minorHAnsi"/>
          <w:sz w:val="24"/>
          <w:szCs w:val="24"/>
        </w:rPr>
        <w:t>c</w:t>
      </w:r>
      <w:r w:rsidRPr="005A734A">
        <w:rPr>
          <w:rFonts w:cstheme="minorHAnsi"/>
          <w:sz w:val="24"/>
          <w:szCs w:val="24"/>
        </w:rPr>
        <w:t xml:space="preserve">overage of the Columbine High School and Parkland High School </w:t>
      </w:r>
      <w:r>
        <w:rPr>
          <w:rFonts w:cstheme="minorHAnsi"/>
          <w:sz w:val="24"/>
          <w:szCs w:val="24"/>
        </w:rPr>
        <w:t>m</w:t>
      </w:r>
      <w:r w:rsidRPr="005A734A">
        <w:rPr>
          <w:rFonts w:cstheme="minorHAnsi"/>
          <w:sz w:val="24"/>
          <w:szCs w:val="24"/>
        </w:rPr>
        <w:t xml:space="preserve">ass </w:t>
      </w:r>
      <w:r>
        <w:rPr>
          <w:rFonts w:cstheme="minorHAnsi"/>
          <w:sz w:val="24"/>
          <w:szCs w:val="24"/>
        </w:rPr>
        <w:t>s</w:t>
      </w:r>
      <w:r w:rsidRPr="005A734A">
        <w:rPr>
          <w:rFonts w:cstheme="minorHAnsi"/>
          <w:sz w:val="24"/>
          <w:szCs w:val="24"/>
        </w:rPr>
        <w:t xml:space="preserve">hootings. </w:t>
      </w:r>
      <w:r w:rsidRPr="00501ED9">
        <w:rPr>
          <w:rFonts w:cstheme="minorHAnsi"/>
          <w:i/>
          <w:iCs/>
          <w:sz w:val="24"/>
          <w:szCs w:val="24"/>
        </w:rPr>
        <w:t>Electronic News, 16</w:t>
      </w:r>
      <w:r w:rsidRPr="005A734A">
        <w:rPr>
          <w:rFonts w:cstheme="minorHAnsi"/>
          <w:sz w:val="24"/>
          <w:szCs w:val="24"/>
        </w:rPr>
        <w:t>(3), 147-163.</w:t>
      </w:r>
    </w:p>
    <w:p w14:paraId="1BF1041E" w14:textId="0E0CFF92" w:rsidR="005A734A" w:rsidRDefault="005A734A" w:rsidP="00501ED9">
      <w:pPr>
        <w:spacing w:after="0" w:line="240" w:lineRule="auto"/>
        <w:ind w:left="720"/>
        <w:rPr>
          <w:rFonts w:cstheme="minorHAnsi"/>
          <w:sz w:val="24"/>
          <w:szCs w:val="24"/>
        </w:rPr>
      </w:pPr>
      <w:hyperlink r:id="rId46" w:history="1">
        <w:r w:rsidRPr="004C028F">
          <w:rPr>
            <w:rStyle w:val="Hyperlink"/>
            <w:rFonts w:cstheme="minorHAnsi"/>
            <w:sz w:val="24"/>
            <w:szCs w:val="24"/>
          </w:rPr>
          <w:t>https://doi.org/10.1177/19312431221111380</w:t>
        </w:r>
      </w:hyperlink>
    </w:p>
    <w:p w14:paraId="0004E0CF" w14:textId="77777777" w:rsidR="005A734A" w:rsidRDefault="005A734A" w:rsidP="003A148B">
      <w:pPr>
        <w:spacing w:after="0" w:line="240" w:lineRule="auto"/>
        <w:ind w:left="720" w:hanging="720"/>
        <w:rPr>
          <w:rFonts w:cstheme="minorHAnsi"/>
          <w:sz w:val="24"/>
          <w:szCs w:val="24"/>
        </w:rPr>
      </w:pPr>
    </w:p>
    <w:p w14:paraId="50B6549A" w14:textId="3F7529E5" w:rsidR="003A148B" w:rsidRPr="003A148B" w:rsidRDefault="003A148B" w:rsidP="003A148B">
      <w:pPr>
        <w:spacing w:after="0" w:line="240" w:lineRule="auto"/>
        <w:ind w:left="720" w:hanging="720"/>
        <w:rPr>
          <w:rFonts w:cstheme="minorHAnsi"/>
          <w:sz w:val="24"/>
          <w:szCs w:val="24"/>
        </w:rPr>
      </w:pPr>
      <w:r w:rsidRPr="003A148B">
        <w:rPr>
          <w:rFonts w:cstheme="minorHAnsi"/>
          <w:sz w:val="24"/>
          <w:szCs w:val="24"/>
        </w:rPr>
        <w:t>Hunt, M. L., Hughey, A. W., &amp; Burke, M. G. (2012). Stress and violence in the workplace and on campus: A growing problem for business, industry, and academia. </w:t>
      </w:r>
      <w:r w:rsidRPr="003A148B">
        <w:rPr>
          <w:rFonts w:cstheme="minorHAnsi"/>
          <w:i/>
          <w:iCs/>
          <w:sz w:val="24"/>
          <w:szCs w:val="24"/>
        </w:rPr>
        <w:t>Industry and Higher Education</w:t>
      </w:r>
      <w:r w:rsidRPr="003A148B">
        <w:rPr>
          <w:rFonts w:cstheme="minorHAnsi"/>
          <w:sz w:val="24"/>
          <w:szCs w:val="24"/>
        </w:rPr>
        <w:t>, </w:t>
      </w:r>
      <w:r w:rsidRPr="003A148B">
        <w:rPr>
          <w:rFonts w:cstheme="minorHAnsi"/>
          <w:i/>
          <w:iCs/>
          <w:sz w:val="24"/>
          <w:szCs w:val="24"/>
        </w:rPr>
        <w:t>26</w:t>
      </w:r>
      <w:r w:rsidRPr="003A148B">
        <w:rPr>
          <w:rFonts w:cstheme="minorHAnsi"/>
          <w:sz w:val="24"/>
          <w:szCs w:val="24"/>
        </w:rPr>
        <w:t>(1), 43–51.</w:t>
      </w:r>
      <w:r w:rsidR="00C85E53">
        <w:rPr>
          <w:rFonts w:cstheme="minorHAnsi"/>
          <w:sz w:val="24"/>
          <w:szCs w:val="24"/>
        </w:rPr>
        <w:t xml:space="preserve"> </w:t>
      </w:r>
      <w:hyperlink r:id="rId47" w:history="1">
        <w:r w:rsidR="00C85E53" w:rsidRPr="004C028F">
          <w:rPr>
            <w:rStyle w:val="Hyperlink"/>
            <w:rFonts w:cstheme="minorHAnsi"/>
            <w:sz w:val="24"/>
            <w:szCs w:val="24"/>
          </w:rPr>
          <w:t>https://doi.org/10.5367/ihe.2012.0076</w:t>
        </w:r>
      </w:hyperlink>
    </w:p>
    <w:p w14:paraId="4B12BAE8" w14:textId="77777777" w:rsidR="001C7730" w:rsidRDefault="001C7730" w:rsidP="00EF4B0B">
      <w:pPr>
        <w:spacing w:after="0" w:line="240" w:lineRule="auto"/>
        <w:ind w:left="720" w:hanging="720"/>
        <w:rPr>
          <w:rFonts w:cstheme="minorHAnsi"/>
          <w:sz w:val="24"/>
          <w:szCs w:val="24"/>
        </w:rPr>
      </w:pPr>
    </w:p>
    <w:p w14:paraId="25E47C03" w14:textId="2EFC27BA"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Janosik, S. M., &amp; Plummer, E. (2005). The clery act, campus safety and the views of assault</w:t>
      </w:r>
      <w:r w:rsidR="00C85E53">
        <w:rPr>
          <w:rFonts w:cstheme="minorHAnsi"/>
          <w:sz w:val="24"/>
          <w:szCs w:val="24"/>
        </w:rPr>
        <w:t xml:space="preserve"> </w:t>
      </w:r>
      <w:r w:rsidRPr="00EF4B0B">
        <w:rPr>
          <w:rFonts w:cstheme="minorHAnsi"/>
          <w:sz w:val="24"/>
          <w:szCs w:val="24"/>
        </w:rPr>
        <w:t>victim advocates. </w:t>
      </w:r>
      <w:r w:rsidRPr="00EF4B0B">
        <w:rPr>
          <w:rFonts w:cstheme="minorHAnsi"/>
          <w:i/>
          <w:iCs/>
          <w:sz w:val="24"/>
          <w:szCs w:val="24"/>
        </w:rPr>
        <w:t>College Student Affairs Journal</w:t>
      </w:r>
      <w:r w:rsidRPr="00EF4B0B">
        <w:rPr>
          <w:rFonts w:cstheme="minorHAnsi"/>
          <w:sz w:val="24"/>
          <w:szCs w:val="24"/>
        </w:rPr>
        <w:t>, </w:t>
      </w:r>
      <w:r w:rsidRPr="00EF4B0B">
        <w:rPr>
          <w:rFonts w:cstheme="minorHAnsi"/>
          <w:i/>
          <w:iCs/>
          <w:sz w:val="24"/>
          <w:szCs w:val="24"/>
        </w:rPr>
        <w:t>25</w:t>
      </w:r>
      <w:r w:rsidRPr="00EF4B0B">
        <w:rPr>
          <w:rFonts w:cstheme="minorHAnsi"/>
          <w:sz w:val="24"/>
          <w:szCs w:val="24"/>
        </w:rPr>
        <w:t>(1), 116–130.</w:t>
      </w:r>
    </w:p>
    <w:p w14:paraId="49763BC8" w14:textId="77777777" w:rsidR="00EF4B0B" w:rsidRPr="00EF4B0B" w:rsidRDefault="00EF4B0B" w:rsidP="00EF4B0B">
      <w:pPr>
        <w:spacing w:after="0" w:line="240" w:lineRule="auto"/>
        <w:ind w:left="720" w:hanging="720"/>
        <w:rPr>
          <w:rFonts w:cstheme="minorHAnsi"/>
          <w:sz w:val="24"/>
          <w:szCs w:val="24"/>
        </w:rPr>
      </w:pPr>
    </w:p>
    <w:p w14:paraId="57E04670" w14:textId="7F9F4504"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Johnson, P. R., &amp; Gardner, S. (1999). Domestic violence and the workplace: Developing a company response. </w:t>
      </w:r>
      <w:r w:rsidRPr="00EF4B0B">
        <w:rPr>
          <w:rFonts w:cstheme="minorHAnsi"/>
          <w:i/>
          <w:iCs/>
          <w:sz w:val="24"/>
          <w:szCs w:val="24"/>
        </w:rPr>
        <w:t>Journal of Management Development</w:t>
      </w:r>
      <w:r w:rsidRPr="00EF4B0B">
        <w:rPr>
          <w:rFonts w:cstheme="minorHAnsi"/>
          <w:sz w:val="24"/>
          <w:szCs w:val="24"/>
        </w:rPr>
        <w:t>, </w:t>
      </w:r>
      <w:r w:rsidRPr="00EF4B0B">
        <w:rPr>
          <w:rFonts w:cstheme="minorHAnsi"/>
          <w:i/>
          <w:iCs/>
          <w:sz w:val="24"/>
          <w:szCs w:val="24"/>
        </w:rPr>
        <w:t>18</w:t>
      </w:r>
      <w:r w:rsidRPr="00EF4B0B">
        <w:rPr>
          <w:rFonts w:cstheme="minorHAnsi"/>
          <w:sz w:val="24"/>
          <w:szCs w:val="24"/>
        </w:rPr>
        <w:t>(7), 590–597.</w:t>
      </w:r>
      <w:r w:rsidR="00C85E53">
        <w:rPr>
          <w:rFonts w:cstheme="minorHAnsi"/>
          <w:sz w:val="24"/>
          <w:szCs w:val="24"/>
        </w:rPr>
        <w:t xml:space="preserve"> </w:t>
      </w:r>
      <w:hyperlink r:id="rId48" w:history="1">
        <w:r w:rsidR="00C85E53" w:rsidRPr="004C028F">
          <w:rPr>
            <w:rStyle w:val="Hyperlink"/>
            <w:rFonts w:cstheme="minorHAnsi"/>
            <w:sz w:val="24"/>
            <w:szCs w:val="24"/>
          </w:rPr>
          <w:t>https://doi.org/10.1108/02621719910284440</w:t>
        </w:r>
      </w:hyperlink>
    </w:p>
    <w:p w14:paraId="6B2CD8A6" w14:textId="77777777" w:rsidR="003A148B" w:rsidRDefault="003A148B" w:rsidP="00BE6BD3">
      <w:pPr>
        <w:spacing w:after="0" w:line="240" w:lineRule="auto"/>
        <w:ind w:left="720" w:hanging="720"/>
        <w:rPr>
          <w:rFonts w:cstheme="minorHAnsi"/>
          <w:sz w:val="24"/>
          <w:szCs w:val="24"/>
        </w:rPr>
      </w:pPr>
    </w:p>
    <w:p w14:paraId="5C328AB7" w14:textId="32804E51" w:rsid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Jones, S. R., Torres, V., &amp; Arminio, J. (2014). </w:t>
      </w:r>
      <w:r w:rsidRPr="00BE6BD3">
        <w:rPr>
          <w:rFonts w:cstheme="minorHAnsi"/>
          <w:i/>
          <w:sz w:val="24"/>
          <w:szCs w:val="24"/>
        </w:rPr>
        <w:t>Negotiating the complexities of qualitative research in higher education: Fundamental elements and issues</w:t>
      </w:r>
      <w:r w:rsidRPr="00BE6BD3">
        <w:rPr>
          <w:rFonts w:cstheme="minorHAnsi"/>
          <w:sz w:val="24"/>
          <w:szCs w:val="24"/>
        </w:rPr>
        <w:t xml:space="preserve"> (2</w:t>
      </w:r>
      <w:r w:rsidRPr="00BE6BD3">
        <w:rPr>
          <w:rFonts w:cstheme="minorHAnsi"/>
          <w:sz w:val="24"/>
          <w:szCs w:val="24"/>
          <w:vertAlign w:val="superscript"/>
        </w:rPr>
        <w:t>nd</w:t>
      </w:r>
      <w:r w:rsidRPr="00BE6BD3">
        <w:rPr>
          <w:rFonts w:cstheme="minorHAnsi"/>
          <w:sz w:val="24"/>
          <w:szCs w:val="24"/>
        </w:rPr>
        <w:t xml:space="preserve"> ed.). Routledge.</w:t>
      </w:r>
    </w:p>
    <w:p w14:paraId="166E61F1" w14:textId="77777777" w:rsidR="00BE6BD3" w:rsidRDefault="00BE6BD3" w:rsidP="008D6938">
      <w:pPr>
        <w:spacing w:after="0" w:line="240" w:lineRule="auto"/>
        <w:ind w:left="720" w:hanging="720"/>
        <w:rPr>
          <w:rFonts w:cstheme="minorHAnsi"/>
          <w:sz w:val="24"/>
          <w:szCs w:val="24"/>
        </w:rPr>
      </w:pPr>
    </w:p>
    <w:p w14:paraId="2435F07E" w14:textId="2127FF00"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Junod, T. (2014). Everything we think we know about mass shooters is wrong [Special issue].</w:t>
      </w:r>
    </w:p>
    <w:p w14:paraId="4457D2A9" w14:textId="7EE34139" w:rsidR="008D6938" w:rsidRPr="008D6938" w:rsidRDefault="008D6938" w:rsidP="008D6938">
      <w:pPr>
        <w:spacing w:after="0" w:line="240" w:lineRule="auto"/>
        <w:ind w:left="720" w:hanging="720"/>
        <w:rPr>
          <w:rFonts w:cstheme="minorHAnsi"/>
          <w:i/>
          <w:iCs/>
          <w:sz w:val="24"/>
          <w:szCs w:val="24"/>
        </w:rPr>
      </w:pPr>
      <w:r w:rsidRPr="008D6938">
        <w:rPr>
          <w:rFonts w:cstheme="minorHAnsi"/>
          <w:i/>
          <w:iCs/>
          <w:sz w:val="24"/>
          <w:szCs w:val="24"/>
        </w:rPr>
        <w:tab/>
        <w:t>Esquire, 162</w:t>
      </w:r>
      <w:r w:rsidRPr="008D6938">
        <w:rPr>
          <w:rFonts w:cstheme="minorHAnsi"/>
          <w:sz w:val="24"/>
          <w:szCs w:val="24"/>
        </w:rPr>
        <w:t xml:space="preserve">(3). </w:t>
      </w:r>
    </w:p>
    <w:p w14:paraId="783982C5" w14:textId="77777777" w:rsidR="008D6938" w:rsidRPr="008D6938" w:rsidRDefault="008D6938" w:rsidP="008D6938">
      <w:pPr>
        <w:spacing w:after="0" w:line="240" w:lineRule="auto"/>
        <w:ind w:left="720" w:hanging="720"/>
        <w:rPr>
          <w:rFonts w:cstheme="minorHAnsi"/>
          <w:sz w:val="24"/>
          <w:szCs w:val="24"/>
        </w:rPr>
      </w:pPr>
    </w:p>
    <w:p w14:paraId="65A59C75" w14:textId="10BC30AE" w:rsidR="00EA4C30" w:rsidRPr="00EA4C30" w:rsidRDefault="00EA4C30" w:rsidP="00EF4B0B">
      <w:pPr>
        <w:spacing w:after="0" w:line="240" w:lineRule="auto"/>
        <w:ind w:left="720" w:hanging="720"/>
        <w:rPr>
          <w:rFonts w:cstheme="minorHAnsi"/>
          <w:sz w:val="24"/>
          <w:szCs w:val="24"/>
        </w:rPr>
      </w:pPr>
      <w:bookmarkStart w:id="20" w:name="_Hlk497687194"/>
      <w:r>
        <w:rPr>
          <w:rFonts w:cstheme="minorHAnsi"/>
          <w:sz w:val="24"/>
          <w:szCs w:val="24"/>
        </w:rPr>
        <w:t xml:space="preserve">Katzenbach, J.R., &amp; Smith, D.K. (1993). </w:t>
      </w:r>
      <w:r>
        <w:rPr>
          <w:rFonts w:cstheme="minorHAnsi"/>
          <w:i/>
          <w:iCs/>
          <w:sz w:val="24"/>
          <w:szCs w:val="24"/>
        </w:rPr>
        <w:t xml:space="preserve">The Wisdom of Teams: Creating the High-Performance Organization. </w:t>
      </w:r>
      <w:r>
        <w:rPr>
          <w:rFonts w:cstheme="minorHAnsi"/>
          <w:sz w:val="24"/>
          <w:szCs w:val="24"/>
        </w:rPr>
        <w:t>Harvard Business School Press.</w:t>
      </w:r>
    </w:p>
    <w:p w14:paraId="7488F696" w14:textId="77777777" w:rsidR="00EA4C30" w:rsidRDefault="00EA4C30" w:rsidP="00EF4B0B">
      <w:pPr>
        <w:spacing w:after="0" w:line="240" w:lineRule="auto"/>
        <w:ind w:left="720" w:hanging="720"/>
        <w:rPr>
          <w:rFonts w:cstheme="minorHAnsi"/>
          <w:sz w:val="24"/>
          <w:szCs w:val="24"/>
        </w:rPr>
      </w:pPr>
    </w:p>
    <w:p w14:paraId="2AC05146" w14:textId="16C6ACEB"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Keller, E. W., Hughes, S., &amp; Hertz, G. (2011). A model for assessment and mitigation of Threats on the college campus. </w:t>
      </w:r>
      <w:r w:rsidRPr="00EF4B0B">
        <w:rPr>
          <w:rFonts w:cstheme="minorHAnsi"/>
          <w:i/>
          <w:iCs/>
          <w:sz w:val="24"/>
          <w:szCs w:val="24"/>
        </w:rPr>
        <w:t>Journal of Educational Administration, 49</w:t>
      </w:r>
      <w:r w:rsidRPr="00EF4B0B">
        <w:rPr>
          <w:rFonts w:cstheme="minorHAnsi"/>
          <w:sz w:val="24"/>
          <w:szCs w:val="24"/>
        </w:rPr>
        <w:t xml:space="preserve">(1), 76–94. </w:t>
      </w:r>
      <w:hyperlink r:id="rId49" w:history="1">
        <w:r w:rsidRPr="004C028F">
          <w:rPr>
            <w:rStyle w:val="Hyperlink"/>
            <w:rFonts w:cstheme="minorHAnsi"/>
            <w:sz w:val="24"/>
            <w:szCs w:val="24"/>
          </w:rPr>
          <w:t>http://dx.doi.org/10.1108/09578231111102072.</w:t>
        </w:r>
      </w:hyperlink>
    </w:p>
    <w:p w14:paraId="2EFAB177" w14:textId="77777777" w:rsidR="00EF4B0B" w:rsidRPr="00EF4B0B" w:rsidRDefault="00EF4B0B" w:rsidP="00EF4B0B">
      <w:pPr>
        <w:spacing w:after="0" w:line="240" w:lineRule="auto"/>
        <w:ind w:left="720" w:hanging="720"/>
        <w:rPr>
          <w:rFonts w:cstheme="minorHAnsi"/>
          <w:sz w:val="24"/>
          <w:szCs w:val="24"/>
        </w:rPr>
      </w:pPr>
    </w:p>
    <w:p w14:paraId="6276DD32" w14:textId="76B48915"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Keneally, M. (2019). </w:t>
      </w:r>
      <w:r w:rsidRPr="00EF4B0B">
        <w:rPr>
          <w:rFonts w:cstheme="minorHAnsi"/>
          <w:i/>
          <w:iCs/>
          <w:sz w:val="24"/>
          <w:szCs w:val="24"/>
        </w:rPr>
        <w:t>The 11 mass deadly school shootings that happened since Columbine.</w:t>
      </w:r>
      <w:r w:rsidRPr="00EF4B0B">
        <w:rPr>
          <w:rFonts w:cstheme="minorHAnsi"/>
          <w:sz w:val="24"/>
          <w:szCs w:val="24"/>
        </w:rPr>
        <w:t xml:space="preserve"> abcNEWS.com. </w:t>
      </w:r>
      <w:hyperlink r:id="rId50" w:history="1">
        <w:r w:rsidRPr="004C028F">
          <w:rPr>
            <w:rStyle w:val="Hyperlink"/>
            <w:rFonts w:cstheme="minorHAnsi"/>
            <w:sz w:val="24"/>
            <w:szCs w:val="24"/>
          </w:rPr>
          <w:t>https://abcnews.go.com/US/11-mass-deadly-school-shootings-happened-columbine/story?id=62494128</w:t>
        </w:r>
      </w:hyperlink>
    </w:p>
    <w:p w14:paraId="0510C57F" w14:textId="77777777" w:rsidR="00EF4B0B" w:rsidRPr="00EF4B0B" w:rsidRDefault="00EF4B0B" w:rsidP="00EF4B0B">
      <w:pPr>
        <w:spacing w:after="0" w:line="240" w:lineRule="auto"/>
        <w:ind w:left="720" w:hanging="720"/>
        <w:rPr>
          <w:rFonts w:cstheme="minorHAnsi"/>
          <w:sz w:val="24"/>
          <w:szCs w:val="24"/>
        </w:rPr>
      </w:pPr>
    </w:p>
    <w:p w14:paraId="588666A3" w14:textId="66530D70" w:rsidR="00302AF6" w:rsidRDefault="00302AF6" w:rsidP="00EF4B0B">
      <w:pPr>
        <w:spacing w:after="0" w:line="240" w:lineRule="auto"/>
        <w:ind w:left="720" w:hanging="720"/>
        <w:rPr>
          <w:rFonts w:cstheme="minorHAnsi"/>
          <w:sz w:val="24"/>
          <w:szCs w:val="24"/>
        </w:rPr>
      </w:pPr>
      <w:r w:rsidRPr="00302AF6">
        <w:rPr>
          <w:rFonts w:cstheme="minorHAnsi"/>
          <w:sz w:val="24"/>
          <w:szCs w:val="24"/>
        </w:rPr>
        <w:t>Kerlinger, F.N. (1986)</w:t>
      </w:r>
      <w:r>
        <w:rPr>
          <w:rFonts w:cstheme="minorHAnsi"/>
          <w:sz w:val="24"/>
          <w:szCs w:val="24"/>
        </w:rPr>
        <w:t>.</w:t>
      </w:r>
      <w:r w:rsidRPr="00302AF6">
        <w:rPr>
          <w:rFonts w:cstheme="minorHAnsi"/>
          <w:sz w:val="24"/>
          <w:szCs w:val="24"/>
        </w:rPr>
        <w:t xml:space="preserve"> </w:t>
      </w:r>
      <w:r w:rsidRPr="00302AF6">
        <w:rPr>
          <w:rFonts w:cstheme="minorHAnsi"/>
          <w:i/>
          <w:iCs/>
          <w:sz w:val="24"/>
          <w:szCs w:val="24"/>
        </w:rPr>
        <w:t>Foundations of Behavioral Research.</w:t>
      </w:r>
      <w:r w:rsidRPr="00302AF6">
        <w:rPr>
          <w:rFonts w:cstheme="minorHAnsi"/>
          <w:sz w:val="24"/>
          <w:szCs w:val="24"/>
        </w:rPr>
        <w:t xml:space="preserve"> </w:t>
      </w:r>
      <w:r>
        <w:rPr>
          <w:rFonts w:cstheme="minorHAnsi"/>
          <w:sz w:val="24"/>
          <w:szCs w:val="24"/>
        </w:rPr>
        <w:t>(3</w:t>
      </w:r>
      <w:r>
        <w:rPr>
          <w:rFonts w:cstheme="minorHAnsi"/>
          <w:sz w:val="24"/>
          <w:szCs w:val="24"/>
          <w:vertAlign w:val="superscript"/>
        </w:rPr>
        <w:t>rd</w:t>
      </w:r>
      <w:r>
        <w:rPr>
          <w:rFonts w:cstheme="minorHAnsi"/>
          <w:sz w:val="24"/>
          <w:szCs w:val="24"/>
        </w:rPr>
        <w:t xml:space="preserve"> ed.) </w:t>
      </w:r>
      <w:r w:rsidRPr="00302AF6">
        <w:rPr>
          <w:rFonts w:cstheme="minorHAnsi"/>
          <w:sz w:val="24"/>
          <w:szCs w:val="24"/>
        </w:rPr>
        <w:t xml:space="preserve">Holt, </w:t>
      </w:r>
      <w:r w:rsidR="0065462A" w:rsidRPr="00302AF6">
        <w:rPr>
          <w:rFonts w:cstheme="minorHAnsi"/>
          <w:sz w:val="24"/>
          <w:szCs w:val="24"/>
        </w:rPr>
        <w:t>Rinehart,</w:t>
      </w:r>
      <w:r w:rsidRPr="00302AF6">
        <w:rPr>
          <w:rFonts w:cstheme="minorHAnsi"/>
          <w:sz w:val="24"/>
          <w:szCs w:val="24"/>
        </w:rPr>
        <w:t xml:space="preserve"> and Winston</w:t>
      </w:r>
      <w:r w:rsidR="002D4F24">
        <w:rPr>
          <w:rFonts w:cstheme="minorHAnsi"/>
          <w:sz w:val="24"/>
          <w:szCs w:val="24"/>
        </w:rPr>
        <w:t>.</w:t>
      </w:r>
    </w:p>
    <w:p w14:paraId="55062B1C" w14:textId="77777777" w:rsidR="00302AF6" w:rsidRDefault="00302AF6" w:rsidP="00EF4B0B">
      <w:pPr>
        <w:spacing w:after="0" w:line="240" w:lineRule="auto"/>
        <w:ind w:left="720" w:hanging="720"/>
        <w:rPr>
          <w:rFonts w:cstheme="minorHAnsi"/>
          <w:sz w:val="24"/>
          <w:szCs w:val="24"/>
        </w:rPr>
      </w:pPr>
    </w:p>
    <w:p w14:paraId="6F75560D" w14:textId="35883536"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Kim, M., Sharman, R., Cook-Cottone, C. P., Rao, H. R., &amp; Upadhyaya, S. J. (2012</w:t>
      </w:r>
      <w:bookmarkEnd w:id="20"/>
      <w:r w:rsidRPr="00EF4B0B">
        <w:rPr>
          <w:rFonts w:cstheme="minorHAnsi"/>
          <w:sz w:val="24"/>
          <w:szCs w:val="24"/>
        </w:rPr>
        <w:t>). Assessing roles</w:t>
      </w:r>
      <w:r w:rsidRPr="00EF4B0B">
        <w:rPr>
          <w:rFonts w:cstheme="minorHAnsi"/>
          <w:sz w:val="24"/>
          <w:szCs w:val="24"/>
        </w:rPr>
        <w:tab/>
        <w:t xml:space="preserve"> of people, technology, and structure in emergency management systems: A public sector perspective. </w:t>
      </w:r>
      <w:r w:rsidRPr="00EF4B0B">
        <w:rPr>
          <w:rFonts w:cstheme="minorHAnsi"/>
          <w:i/>
          <w:iCs/>
          <w:sz w:val="24"/>
          <w:szCs w:val="24"/>
        </w:rPr>
        <w:t>Behaviour &amp; Information Technology</w:t>
      </w:r>
      <w:r w:rsidRPr="00EF4B0B">
        <w:rPr>
          <w:rFonts w:cstheme="minorHAnsi"/>
          <w:sz w:val="24"/>
          <w:szCs w:val="24"/>
        </w:rPr>
        <w:t>, </w:t>
      </w:r>
      <w:r w:rsidRPr="00EF4B0B">
        <w:rPr>
          <w:rFonts w:cstheme="minorHAnsi"/>
          <w:i/>
          <w:iCs/>
          <w:sz w:val="24"/>
          <w:szCs w:val="24"/>
        </w:rPr>
        <w:t>31</w:t>
      </w:r>
      <w:r w:rsidRPr="00EF4B0B">
        <w:rPr>
          <w:rFonts w:cstheme="minorHAnsi"/>
          <w:sz w:val="24"/>
          <w:szCs w:val="24"/>
        </w:rPr>
        <w:t>(12), 1147–1160.</w:t>
      </w:r>
      <w:r w:rsidR="00DE1F31">
        <w:rPr>
          <w:rFonts w:cstheme="minorHAnsi"/>
          <w:sz w:val="24"/>
          <w:szCs w:val="24"/>
        </w:rPr>
        <w:t xml:space="preserve"> </w:t>
      </w:r>
      <w:hyperlink r:id="rId51" w:history="1">
        <w:r w:rsidR="00DE1F31" w:rsidRPr="004C028F">
          <w:rPr>
            <w:rStyle w:val="Hyperlink"/>
            <w:rFonts w:cstheme="minorHAnsi"/>
            <w:sz w:val="24"/>
            <w:szCs w:val="24"/>
          </w:rPr>
          <w:t>https://doi.org/10.1080/0144929x.2010.510209</w:t>
        </w:r>
      </w:hyperlink>
    </w:p>
    <w:p w14:paraId="0373246A" w14:textId="77777777" w:rsidR="00EF4B0B" w:rsidRPr="00EF4B0B" w:rsidRDefault="00EF4B0B" w:rsidP="00EF4B0B">
      <w:pPr>
        <w:spacing w:after="0" w:line="240" w:lineRule="auto"/>
        <w:ind w:left="720" w:hanging="720"/>
        <w:rPr>
          <w:rFonts w:cstheme="minorHAnsi"/>
          <w:sz w:val="24"/>
          <w:szCs w:val="24"/>
        </w:rPr>
      </w:pPr>
    </w:p>
    <w:p w14:paraId="7348BB5D" w14:textId="7BE755A7"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Kohut, A. (2000). A year after Columbine: Public looks to parents more than schools to prevent violence. </w:t>
      </w:r>
      <w:r w:rsidRPr="00EF4B0B">
        <w:rPr>
          <w:rFonts w:cstheme="minorHAnsi"/>
          <w:i/>
          <w:iCs/>
          <w:sz w:val="24"/>
          <w:szCs w:val="24"/>
        </w:rPr>
        <w:t>Pew Report.</w:t>
      </w:r>
      <w:r w:rsidRPr="00EF4B0B">
        <w:rPr>
          <w:rFonts w:cstheme="minorHAnsi"/>
          <w:sz w:val="24"/>
          <w:szCs w:val="24"/>
        </w:rPr>
        <w:t xml:space="preserve"> </w:t>
      </w:r>
      <w:hyperlink r:id="rId52" w:history="1">
        <w:r w:rsidRPr="00B20AC5">
          <w:rPr>
            <w:rStyle w:val="Hyperlink"/>
            <w:rFonts w:cstheme="minorHAnsi"/>
            <w:sz w:val="24"/>
            <w:szCs w:val="24"/>
          </w:rPr>
          <w:t>www.people-press.org.</w:t>
        </w:r>
      </w:hyperlink>
    </w:p>
    <w:p w14:paraId="7D6F1B0E" w14:textId="77777777" w:rsidR="00EF4B0B" w:rsidRDefault="00EF4B0B" w:rsidP="00BE6BD3">
      <w:pPr>
        <w:spacing w:after="0" w:line="240" w:lineRule="auto"/>
        <w:ind w:left="720" w:hanging="720"/>
        <w:rPr>
          <w:rFonts w:cstheme="minorHAnsi"/>
          <w:sz w:val="24"/>
          <w:szCs w:val="24"/>
        </w:rPr>
      </w:pPr>
    </w:p>
    <w:p w14:paraId="51C7E333" w14:textId="77777777"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Lake, P. F. (2009). </w:t>
      </w:r>
      <w:r w:rsidRPr="00EF4B0B">
        <w:rPr>
          <w:rFonts w:cstheme="minorHAnsi"/>
          <w:i/>
          <w:iCs/>
          <w:sz w:val="24"/>
          <w:szCs w:val="24"/>
        </w:rPr>
        <w:t>Beyond discipline: Managing the modern higher education environment.</w:t>
      </w:r>
      <w:r w:rsidRPr="00EF4B0B">
        <w:rPr>
          <w:rFonts w:cstheme="minorHAnsi"/>
          <w:sz w:val="24"/>
          <w:szCs w:val="24"/>
        </w:rPr>
        <w:t xml:space="preserve"> Hierophant Enterprises. </w:t>
      </w:r>
    </w:p>
    <w:p w14:paraId="7C63EF85" w14:textId="77777777" w:rsidR="00EF4B0B" w:rsidRPr="00EF4B0B" w:rsidRDefault="00EF4B0B" w:rsidP="00EF4B0B">
      <w:pPr>
        <w:spacing w:after="0" w:line="240" w:lineRule="auto"/>
        <w:ind w:left="720" w:hanging="720"/>
        <w:rPr>
          <w:rFonts w:cstheme="minorHAnsi"/>
          <w:sz w:val="24"/>
          <w:szCs w:val="24"/>
        </w:rPr>
      </w:pPr>
    </w:p>
    <w:p w14:paraId="20E8B2E9" w14:textId="77777777"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Lake, P. F. (2013). </w:t>
      </w:r>
      <w:r w:rsidRPr="00EF4B0B">
        <w:rPr>
          <w:rFonts w:cstheme="minorHAnsi"/>
          <w:i/>
          <w:iCs/>
          <w:sz w:val="24"/>
          <w:szCs w:val="24"/>
        </w:rPr>
        <w:t>The rights and responsibilities of the modern university: The rise of the facilitator university</w:t>
      </w:r>
      <w:r w:rsidRPr="00EF4B0B">
        <w:rPr>
          <w:rFonts w:cstheme="minorHAnsi"/>
          <w:sz w:val="24"/>
          <w:szCs w:val="24"/>
        </w:rPr>
        <w:t xml:space="preserve"> (2</w:t>
      </w:r>
      <w:r w:rsidRPr="00EF4B0B">
        <w:rPr>
          <w:rFonts w:cstheme="minorHAnsi"/>
          <w:sz w:val="24"/>
          <w:szCs w:val="24"/>
          <w:vertAlign w:val="superscript"/>
        </w:rPr>
        <w:t>nd</w:t>
      </w:r>
      <w:r w:rsidRPr="00EF4B0B">
        <w:rPr>
          <w:rFonts w:cstheme="minorHAnsi"/>
          <w:sz w:val="24"/>
          <w:szCs w:val="24"/>
        </w:rPr>
        <w:t xml:space="preserve"> ed.). Carolina Academic Press.</w:t>
      </w:r>
    </w:p>
    <w:p w14:paraId="1A245636" w14:textId="77777777" w:rsidR="00EF4B0B" w:rsidRPr="00EF4B0B" w:rsidRDefault="00EF4B0B" w:rsidP="00EF4B0B">
      <w:pPr>
        <w:spacing w:after="0" w:line="240" w:lineRule="auto"/>
        <w:ind w:left="720" w:hanging="720"/>
        <w:rPr>
          <w:rFonts w:cstheme="minorHAnsi"/>
          <w:sz w:val="24"/>
          <w:szCs w:val="24"/>
        </w:rPr>
      </w:pPr>
    </w:p>
    <w:p w14:paraId="7F0C069E" w14:textId="77777777" w:rsidR="00EF4B0B" w:rsidRPr="00EF4B0B" w:rsidRDefault="00EF4B0B" w:rsidP="00EF4B0B">
      <w:pPr>
        <w:spacing w:after="0" w:line="240" w:lineRule="auto"/>
        <w:ind w:left="720" w:hanging="720"/>
        <w:rPr>
          <w:rFonts w:cstheme="minorHAnsi"/>
          <w:sz w:val="24"/>
          <w:szCs w:val="24"/>
        </w:rPr>
      </w:pPr>
      <w:r w:rsidRPr="00EF4B0B">
        <w:rPr>
          <w:rFonts w:cstheme="minorHAnsi"/>
          <w:sz w:val="24"/>
          <w:szCs w:val="24"/>
        </w:rPr>
        <w:t xml:space="preserve">Langman, P. (2015). </w:t>
      </w:r>
      <w:r w:rsidRPr="00EF4B0B">
        <w:rPr>
          <w:rFonts w:cstheme="minorHAnsi"/>
          <w:i/>
          <w:iCs/>
          <w:sz w:val="24"/>
          <w:szCs w:val="24"/>
        </w:rPr>
        <w:t xml:space="preserve">School shooters: Understanding high school, college, and adult perpetrators. </w:t>
      </w:r>
      <w:r w:rsidRPr="00EF4B0B">
        <w:rPr>
          <w:rFonts w:cstheme="minorHAnsi"/>
          <w:sz w:val="24"/>
          <w:szCs w:val="24"/>
        </w:rPr>
        <w:t>Rowman &amp; Littlefield.</w:t>
      </w:r>
    </w:p>
    <w:p w14:paraId="11B6A12A" w14:textId="77777777" w:rsidR="00EF4B0B" w:rsidRDefault="00EF4B0B" w:rsidP="00BE6BD3">
      <w:pPr>
        <w:spacing w:after="0" w:line="240" w:lineRule="auto"/>
        <w:ind w:left="720" w:hanging="720"/>
        <w:rPr>
          <w:rFonts w:cstheme="minorHAnsi"/>
          <w:sz w:val="24"/>
          <w:szCs w:val="24"/>
        </w:rPr>
      </w:pPr>
    </w:p>
    <w:p w14:paraId="7837CE29" w14:textId="58B82D89" w:rsidR="008E639E" w:rsidRDefault="008E639E" w:rsidP="00BE6BD3">
      <w:pPr>
        <w:spacing w:after="0" w:line="240" w:lineRule="auto"/>
        <w:ind w:left="720" w:hanging="720"/>
        <w:rPr>
          <w:rFonts w:cstheme="minorHAnsi"/>
          <w:sz w:val="24"/>
          <w:szCs w:val="24"/>
        </w:rPr>
      </w:pPr>
      <w:r w:rsidRPr="008E639E">
        <w:rPr>
          <w:rFonts w:cstheme="minorHAnsi"/>
          <w:sz w:val="24"/>
          <w:szCs w:val="24"/>
        </w:rPr>
        <w:t xml:space="preserve">LeCompte, M. D., &amp; Preissle, J. (1993). </w:t>
      </w:r>
      <w:r w:rsidRPr="008E639E">
        <w:rPr>
          <w:rFonts w:cstheme="minorHAnsi"/>
          <w:i/>
          <w:iCs/>
          <w:sz w:val="24"/>
          <w:szCs w:val="24"/>
        </w:rPr>
        <w:t xml:space="preserve">Ethnography and </w:t>
      </w:r>
      <w:r w:rsidR="002D4F24">
        <w:rPr>
          <w:rFonts w:cstheme="minorHAnsi"/>
          <w:i/>
          <w:iCs/>
          <w:sz w:val="24"/>
          <w:szCs w:val="24"/>
        </w:rPr>
        <w:t>q</w:t>
      </w:r>
      <w:r w:rsidRPr="008E639E">
        <w:rPr>
          <w:rFonts w:cstheme="minorHAnsi"/>
          <w:i/>
          <w:iCs/>
          <w:sz w:val="24"/>
          <w:szCs w:val="24"/>
        </w:rPr>
        <w:t xml:space="preserve">ualitative </w:t>
      </w:r>
      <w:r w:rsidR="002D4F24">
        <w:rPr>
          <w:rFonts w:cstheme="minorHAnsi"/>
          <w:i/>
          <w:iCs/>
          <w:sz w:val="24"/>
          <w:szCs w:val="24"/>
        </w:rPr>
        <w:t>d</w:t>
      </w:r>
      <w:r w:rsidRPr="008E639E">
        <w:rPr>
          <w:rFonts w:cstheme="minorHAnsi"/>
          <w:i/>
          <w:iCs/>
          <w:sz w:val="24"/>
          <w:szCs w:val="24"/>
        </w:rPr>
        <w:t xml:space="preserve">esign in </w:t>
      </w:r>
      <w:r w:rsidR="002D4F24">
        <w:rPr>
          <w:rFonts w:cstheme="minorHAnsi"/>
          <w:i/>
          <w:iCs/>
          <w:sz w:val="24"/>
          <w:szCs w:val="24"/>
        </w:rPr>
        <w:t>e</w:t>
      </w:r>
      <w:r w:rsidRPr="008E639E">
        <w:rPr>
          <w:rFonts w:cstheme="minorHAnsi"/>
          <w:i/>
          <w:iCs/>
          <w:sz w:val="24"/>
          <w:szCs w:val="24"/>
        </w:rPr>
        <w:t xml:space="preserve">ducational </w:t>
      </w:r>
      <w:r w:rsidR="002D4F24">
        <w:rPr>
          <w:rFonts w:cstheme="minorHAnsi"/>
          <w:i/>
          <w:iCs/>
          <w:sz w:val="24"/>
          <w:szCs w:val="24"/>
        </w:rPr>
        <w:t>r</w:t>
      </w:r>
      <w:r w:rsidRPr="008E639E">
        <w:rPr>
          <w:rFonts w:cstheme="minorHAnsi"/>
          <w:i/>
          <w:iCs/>
          <w:sz w:val="24"/>
          <w:szCs w:val="24"/>
        </w:rPr>
        <w:t xml:space="preserve">esearch </w:t>
      </w:r>
      <w:r w:rsidRPr="008E639E">
        <w:rPr>
          <w:rFonts w:cstheme="minorHAnsi"/>
          <w:sz w:val="24"/>
          <w:szCs w:val="24"/>
        </w:rPr>
        <w:t>(2</w:t>
      </w:r>
      <w:r>
        <w:rPr>
          <w:rFonts w:cstheme="minorHAnsi"/>
          <w:sz w:val="24"/>
          <w:szCs w:val="24"/>
          <w:vertAlign w:val="superscript"/>
        </w:rPr>
        <w:t>nd</w:t>
      </w:r>
      <w:r w:rsidRPr="008E639E">
        <w:rPr>
          <w:rFonts w:cstheme="minorHAnsi"/>
          <w:sz w:val="24"/>
          <w:szCs w:val="24"/>
        </w:rPr>
        <w:t xml:space="preserve"> ed.). Academic Press.</w:t>
      </w:r>
    </w:p>
    <w:p w14:paraId="0D8CEC52" w14:textId="77777777" w:rsidR="008E639E" w:rsidRDefault="008E639E" w:rsidP="00BE6BD3">
      <w:pPr>
        <w:spacing w:after="0" w:line="240" w:lineRule="auto"/>
        <w:ind w:left="720" w:hanging="720"/>
        <w:rPr>
          <w:rFonts w:cstheme="minorHAnsi"/>
          <w:sz w:val="24"/>
          <w:szCs w:val="24"/>
        </w:rPr>
      </w:pPr>
    </w:p>
    <w:p w14:paraId="16AD3770" w14:textId="0FECE153"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LeCompte, M. D., &amp; Schensul, J. J. (2010). </w:t>
      </w:r>
      <w:r w:rsidRPr="00BE6BD3">
        <w:rPr>
          <w:rFonts w:cstheme="minorHAnsi"/>
          <w:i/>
          <w:sz w:val="24"/>
          <w:szCs w:val="24"/>
        </w:rPr>
        <w:t xml:space="preserve">Designing &amp; conducting ethnographic research: An introduction </w:t>
      </w:r>
      <w:r w:rsidRPr="00BE6BD3">
        <w:rPr>
          <w:rFonts w:cstheme="minorHAnsi"/>
          <w:sz w:val="24"/>
          <w:szCs w:val="24"/>
        </w:rPr>
        <w:t>(2</w:t>
      </w:r>
      <w:r w:rsidRPr="00BE6BD3">
        <w:rPr>
          <w:rFonts w:cstheme="minorHAnsi"/>
          <w:sz w:val="24"/>
          <w:szCs w:val="24"/>
          <w:vertAlign w:val="superscript"/>
        </w:rPr>
        <w:t>nd</w:t>
      </w:r>
      <w:r w:rsidRPr="00BE6BD3">
        <w:rPr>
          <w:rFonts w:cstheme="minorHAnsi"/>
          <w:sz w:val="24"/>
          <w:szCs w:val="24"/>
        </w:rPr>
        <w:t xml:space="preserve"> ed.). AltaMira Press. </w:t>
      </w:r>
    </w:p>
    <w:p w14:paraId="0E347585" w14:textId="77777777" w:rsidR="00BE6BD3" w:rsidRPr="00BE6BD3" w:rsidRDefault="00BE6BD3" w:rsidP="00BE6BD3">
      <w:pPr>
        <w:spacing w:after="0" w:line="240" w:lineRule="auto"/>
        <w:ind w:left="720" w:hanging="720"/>
        <w:rPr>
          <w:rFonts w:cstheme="minorHAnsi"/>
          <w:sz w:val="24"/>
          <w:szCs w:val="24"/>
        </w:rPr>
      </w:pPr>
    </w:p>
    <w:p w14:paraId="731D70C2" w14:textId="02EFC58B"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 xml:space="preserve">Lewis, J., &amp; Hensley, T. (1998). The May 4 shootings at Kent State University: the search for historical accuracy. </w:t>
      </w:r>
      <w:r w:rsidRPr="003B3670">
        <w:rPr>
          <w:rFonts w:cstheme="minorHAnsi"/>
          <w:i/>
          <w:iCs/>
          <w:sz w:val="24"/>
          <w:szCs w:val="24"/>
        </w:rPr>
        <w:t>Council for the Social Studies Review,</w:t>
      </w:r>
      <w:r w:rsidRPr="003B3670">
        <w:rPr>
          <w:rFonts w:cstheme="minorHAnsi"/>
          <w:sz w:val="24"/>
          <w:szCs w:val="24"/>
        </w:rPr>
        <w:t xml:space="preserve"> </w:t>
      </w:r>
      <w:r w:rsidRPr="003B3670">
        <w:rPr>
          <w:rFonts w:cstheme="minorHAnsi"/>
          <w:i/>
          <w:iCs/>
          <w:sz w:val="24"/>
          <w:szCs w:val="24"/>
        </w:rPr>
        <w:t>34</w:t>
      </w:r>
      <w:r w:rsidRPr="003B3670">
        <w:rPr>
          <w:rFonts w:cstheme="minorHAnsi"/>
          <w:sz w:val="24"/>
          <w:szCs w:val="24"/>
        </w:rPr>
        <w:t xml:space="preserve">(1), 9–21. </w:t>
      </w:r>
      <w:hyperlink r:id="rId53" w:history="1">
        <w:r w:rsidRPr="004C028F">
          <w:rPr>
            <w:rStyle w:val="Hyperlink"/>
            <w:rFonts w:cstheme="minorHAnsi"/>
            <w:sz w:val="24"/>
            <w:szCs w:val="24"/>
          </w:rPr>
          <w:t>https://www.kent.edu/may-4-historical-accuracy.</w:t>
        </w:r>
      </w:hyperlink>
    </w:p>
    <w:p w14:paraId="52D4EAB3" w14:textId="77777777" w:rsidR="003B3670" w:rsidRDefault="003B3670" w:rsidP="00BE6BD3">
      <w:pPr>
        <w:spacing w:after="0" w:line="240" w:lineRule="auto"/>
        <w:ind w:left="720" w:hanging="720"/>
        <w:rPr>
          <w:rFonts w:cstheme="minorHAnsi"/>
          <w:sz w:val="24"/>
          <w:szCs w:val="24"/>
        </w:rPr>
      </w:pPr>
    </w:p>
    <w:p w14:paraId="0D8D1AC7" w14:textId="54CCE0B2"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Lightfoot, S. L. (1983). </w:t>
      </w:r>
      <w:r w:rsidRPr="00BE6BD3">
        <w:rPr>
          <w:rFonts w:cstheme="minorHAnsi"/>
          <w:i/>
          <w:sz w:val="24"/>
          <w:szCs w:val="24"/>
        </w:rPr>
        <w:t>The good high school.</w:t>
      </w:r>
      <w:r w:rsidRPr="00BE6BD3">
        <w:rPr>
          <w:rFonts w:cstheme="minorHAnsi"/>
          <w:sz w:val="24"/>
          <w:szCs w:val="24"/>
        </w:rPr>
        <w:t xml:space="preserve"> Basic Books.</w:t>
      </w:r>
    </w:p>
    <w:p w14:paraId="71B3EED5" w14:textId="77777777" w:rsidR="001C7730" w:rsidRDefault="001C7730" w:rsidP="00BE6BD3">
      <w:pPr>
        <w:spacing w:after="0" w:line="240" w:lineRule="auto"/>
        <w:ind w:left="720" w:hanging="720"/>
        <w:rPr>
          <w:rFonts w:cstheme="minorHAnsi"/>
          <w:sz w:val="24"/>
          <w:szCs w:val="24"/>
        </w:rPr>
      </w:pPr>
    </w:p>
    <w:p w14:paraId="015B7AF7" w14:textId="1B10E1D2"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Lincoln, Y.S., &amp; Guba, E.G. (1985). </w:t>
      </w:r>
      <w:r w:rsidRPr="00BE6BD3">
        <w:rPr>
          <w:rFonts w:cstheme="minorHAnsi"/>
          <w:i/>
          <w:sz w:val="24"/>
          <w:szCs w:val="24"/>
        </w:rPr>
        <w:t>Naturalistic inquiry.</w:t>
      </w:r>
      <w:r w:rsidRPr="00BE6BD3">
        <w:rPr>
          <w:rFonts w:cstheme="minorHAnsi"/>
          <w:sz w:val="24"/>
          <w:szCs w:val="24"/>
        </w:rPr>
        <w:t xml:space="preserve"> Sage.</w:t>
      </w:r>
    </w:p>
    <w:p w14:paraId="2D88FC05" w14:textId="77777777" w:rsidR="00BE6BD3" w:rsidRPr="00BE6BD3" w:rsidRDefault="00BE6BD3" w:rsidP="00BE6BD3">
      <w:pPr>
        <w:spacing w:after="0" w:line="240" w:lineRule="auto"/>
        <w:ind w:left="720" w:hanging="720"/>
        <w:rPr>
          <w:rFonts w:cstheme="minorHAnsi"/>
          <w:sz w:val="24"/>
          <w:szCs w:val="24"/>
        </w:rPr>
      </w:pPr>
    </w:p>
    <w:p w14:paraId="7B391EAF" w14:textId="77777777"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Lofland, J., &amp; Lofland, L. H., (1995). </w:t>
      </w:r>
      <w:r w:rsidRPr="00BE6BD3">
        <w:rPr>
          <w:rFonts w:cstheme="minorHAnsi"/>
          <w:i/>
          <w:sz w:val="24"/>
          <w:szCs w:val="24"/>
        </w:rPr>
        <w:t>Analyzing social settings: A guide to qualitative observation and analysis.</w:t>
      </w:r>
      <w:r w:rsidRPr="00BE6BD3">
        <w:rPr>
          <w:rFonts w:cstheme="minorHAnsi"/>
          <w:sz w:val="24"/>
          <w:szCs w:val="24"/>
        </w:rPr>
        <w:t xml:space="preserve"> Wadsworth Publishing Company.</w:t>
      </w:r>
    </w:p>
    <w:p w14:paraId="08E3169C" w14:textId="77777777" w:rsidR="003B3670" w:rsidRDefault="003B3670" w:rsidP="00BE6BD3">
      <w:pPr>
        <w:spacing w:after="0" w:line="240" w:lineRule="auto"/>
        <w:ind w:left="720" w:hanging="720"/>
        <w:rPr>
          <w:rFonts w:cstheme="minorHAnsi"/>
          <w:sz w:val="24"/>
          <w:szCs w:val="24"/>
        </w:rPr>
      </w:pPr>
    </w:p>
    <w:p w14:paraId="595B273B" w14:textId="6011720F" w:rsidR="00BE6BD3" w:rsidRPr="00BE6BD3" w:rsidRDefault="00BE6BD3" w:rsidP="00BE6BD3">
      <w:pPr>
        <w:spacing w:after="0" w:line="240" w:lineRule="auto"/>
        <w:ind w:left="720" w:hanging="720"/>
        <w:rPr>
          <w:rFonts w:cstheme="minorHAnsi"/>
          <w:sz w:val="24"/>
          <w:szCs w:val="24"/>
        </w:rPr>
      </w:pPr>
      <w:r w:rsidRPr="00501ED9">
        <w:rPr>
          <w:rFonts w:cstheme="minorHAnsi"/>
          <w:sz w:val="24"/>
          <w:szCs w:val="24"/>
        </w:rPr>
        <w:t>Lopez,</w:t>
      </w:r>
      <w:r w:rsidRPr="00BE6BD3">
        <w:rPr>
          <w:rFonts w:cstheme="minorHAnsi"/>
          <w:sz w:val="24"/>
          <w:szCs w:val="24"/>
        </w:rPr>
        <w:t xml:space="preserve"> C. J. (2013). </w:t>
      </w:r>
      <w:r w:rsidRPr="00BE6BD3">
        <w:rPr>
          <w:rFonts w:cstheme="minorHAnsi"/>
          <w:i/>
          <w:sz w:val="24"/>
          <w:szCs w:val="24"/>
        </w:rPr>
        <w:t>Early intensive behavior treatment for children with autism: A multiple case study of long-term outcomes.</w:t>
      </w:r>
      <w:r w:rsidRPr="00BE6BD3">
        <w:rPr>
          <w:rFonts w:cstheme="minorHAnsi"/>
          <w:sz w:val="24"/>
          <w:szCs w:val="24"/>
        </w:rPr>
        <w:t xml:space="preserve"> Unpublished dissertation, California State University, Stanislaus. </w:t>
      </w:r>
    </w:p>
    <w:p w14:paraId="4BC513E0" w14:textId="77777777" w:rsidR="00BE6BD3" w:rsidRDefault="00BE6BD3" w:rsidP="008D6938">
      <w:pPr>
        <w:spacing w:after="0" w:line="240" w:lineRule="auto"/>
        <w:ind w:left="720" w:hanging="720"/>
        <w:rPr>
          <w:rFonts w:cstheme="minorHAnsi"/>
          <w:sz w:val="24"/>
          <w:szCs w:val="24"/>
        </w:rPr>
      </w:pPr>
    </w:p>
    <w:p w14:paraId="515AB68D" w14:textId="30A1D715"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Lunenberg, F. C., &amp; Irby, B. J. (2008). </w:t>
      </w:r>
      <w:r w:rsidRPr="008D6938">
        <w:rPr>
          <w:rFonts w:cstheme="minorHAnsi"/>
          <w:i/>
          <w:iCs/>
          <w:sz w:val="24"/>
          <w:szCs w:val="24"/>
        </w:rPr>
        <w:t>Writing a successful thesis or dissertation: Tips and strategies for students in the social and behavioral sciences.</w:t>
      </w:r>
      <w:r w:rsidRPr="008D6938">
        <w:rPr>
          <w:rFonts w:cstheme="minorHAnsi"/>
          <w:sz w:val="24"/>
          <w:szCs w:val="24"/>
        </w:rPr>
        <w:t xml:space="preserve"> Corwin Press, Inc.</w:t>
      </w:r>
    </w:p>
    <w:p w14:paraId="201A2A26" w14:textId="77777777" w:rsidR="008D6938" w:rsidRPr="008D6938" w:rsidRDefault="008D6938" w:rsidP="008D6938">
      <w:pPr>
        <w:spacing w:after="0" w:line="240" w:lineRule="auto"/>
        <w:ind w:left="720" w:hanging="720"/>
        <w:rPr>
          <w:rFonts w:ascii="Calibri" w:eastAsia="Calibri" w:hAnsi="Calibri" w:cs="Times New Roman"/>
          <w:sz w:val="24"/>
          <w:szCs w:val="24"/>
        </w:rPr>
      </w:pPr>
    </w:p>
    <w:p w14:paraId="307436D0" w14:textId="77777777"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Lyons, M. (2016). University safety culture: a work-in-progress? </w:t>
      </w:r>
      <w:r w:rsidRPr="003B3670">
        <w:rPr>
          <w:rFonts w:cstheme="minorHAnsi"/>
          <w:i/>
          <w:iCs/>
          <w:sz w:val="24"/>
          <w:szCs w:val="24"/>
        </w:rPr>
        <w:t>Australian Universities' Review</w:t>
      </w:r>
      <w:r w:rsidRPr="003B3670">
        <w:rPr>
          <w:rFonts w:cstheme="minorHAnsi"/>
          <w:sz w:val="24"/>
          <w:szCs w:val="24"/>
        </w:rPr>
        <w:t>, </w:t>
      </w:r>
      <w:r w:rsidRPr="003B3670">
        <w:rPr>
          <w:rFonts w:cstheme="minorHAnsi"/>
          <w:i/>
          <w:iCs/>
          <w:sz w:val="24"/>
          <w:szCs w:val="24"/>
        </w:rPr>
        <w:t>58</w:t>
      </w:r>
      <w:r w:rsidRPr="003B3670">
        <w:rPr>
          <w:rFonts w:cstheme="minorHAnsi"/>
          <w:sz w:val="24"/>
          <w:szCs w:val="24"/>
        </w:rPr>
        <w:t>(1), 45–53.</w:t>
      </w:r>
    </w:p>
    <w:p w14:paraId="0A8EA788" w14:textId="77777777" w:rsidR="003B3670" w:rsidRDefault="003B3670" w:rsidP="00BE6BD3">
      <w:pPr>
        <w:spacing w:after="0" w:line="240" w:lineRule="auto"/>
        <w:ind w:left="720" w:hanging="720"/>
        <w:rPr>
          <w:rFonts w:cstheme="minorHAnsi"/>
          <w:sz w:val="24"/>
          <w:szCs w:val="24"/>
        </w:rPr>
      </w:pPr>
    </w:p>
    <w:p w14:paraId="17BBAE1F" w14:textId="0D206926" w:rsidR="00DD7D17" w:rsidRDefault="00DD7D17" w:rsidP="00BE6BD3">
      <w:pPr>
        <w:spacing w:after="0" w:line="240" w:lineRule="auto"/>
        <w:ind w:left="720" w:hanging="720"/>
        <w:rPr>
          <w:rFonts w:cstheme="minorHAnsi"/>
          <w:sz w:val="24"/>
          <w:szCs w:val="24"/>
        </w:rPr>
      </w:pPr>
      <w:r w:rsidRPr="00DD7D17">
        <w:rPr>
          <w:rFonts w:cstheme="minorHAnsi"/>
          <w:sz w:val="24"/>
          <w:szCs w:val="24"/>
        </w:rPr>
        <w:t xml:space="preserve">Marshall, J. M., &amp; Clark, B. L. (2023). A </w:t>
      </w:r>
      <w:r>
        <w:rPr>
          <w:rFonts w:cstheme="minorHAnsi"/>
          <w:sz w:val="24"/>
          <w:szCs w:val="24"/>
        </w:rPr>
        <w:t>s</w:t>
      </w:r>
      <w:r w:rsidRPr="00DD7D17">
        <w:rPr>
          <w:rFonts w:cstheme="minorHAnsi"/>
          <w:sz w:val="24"/>
          <w:szCs w:val="24"/>
        </w:rPr>
        <w:t xml:space="preserve">ystematic </w:t>
      </w:r>
      <w:r>
        <w:rPr>
          <w:rFonts w:cstheme="minorHAnsi"/>
          <w:sz w:val="24"/>
          <w:szCs w:val="24"/>
        </w:rPr>
        <w:t>l</w:t>
      </w:r>
      <w:r w:rsidRPr="00DD7D17">
        <w:rPr>
          <w:rFonts w:cstheme="minorHAnsi"/>
          <w:sz w:val="24"/>
          <w:szCs w:val="24"/>
        </w:rPr>
        <w:t xml:space="preserve">iterature </w:t>
      </w:r>
      <w:r>
        <w:rPr>
          <w:rFonts w:cstheme="minorHAnsi"/>
          <w:sz w:val="24"/>
          <w:szCs w:val="24"/>
        </w:rPr>
        <w:t>r</w:t>
      </w:r>
      <w:r w:rsidRPr="00DD7D17">
        <w:rPr>
          <w:rFonts w:cstheme="minorHAnsi"/>
          <w:sz w:val="24"/>
          <w:szCs w:val="24"/>
        </w:rPr>
        <w:t xml:space="preserve">eview of </w:t>
      </w:r>
      <w:r>
        <w:rPr>
          <w:rFonts w:cstheme="minorHAnsi"/>
          <w:sz w:val="24"/>
          <w:szCs w:val="24"/>
        </w:rPr>
        <w:t>e</w:t>
      </w:r>
      <w:r w:rsidRPr="00DD7D17">
        <w:rPr>
          <w:rFonts w:cstheme="minorHAnsi"/>
          <w:sz w:val="24"/>
          <w:szCs w:val="24"/>
        </w:rPr>
        <w:t xml:space="preserve">ducational </w:t>
      </w:r>
      <w:r>
        <w:rPr>
          <w:rFonts w:cstheme="minorHAnsi"/>
          <w:sz w:val="24"/>
          <w:szCs w:val="24"/>
        </w:rPr>
        <w:t>l</w:t>
      </w:r>
      <w:r w:rsidRPr="00DD7D17">
        <w:rPr>
          <w:rFonts w:cstheme="minorHAnsi"/>
          <w:sz w:val="24"/>
          <w:szCs w:val="24"/>
        </w:rPr>
        <w:t xml:space="preserve">eadership and U.S. </w:t>
      </w:r>
      <w:r>
        <w:rPr>
          <w:rFonts w:cstheme="minorHAnsi"/>
          <w:sz w:val="24"/>
          <w:szCs w:val="24"/>
        </w:rPr>
        <w:t>s</w:t>
      </w:r>
      <w:r w:rsidRPr="00DD7D17">
        <w:rPr>
          <w:rFonts w:cstheme="minorHAnsi"/>
          <w:sz w:val="24"/>
          <w:szCs w:val="24"/>
        </w:rPr>
        <w:t xml:space="preserve">chool </w:t>
      </w:r>
      <w:r>
        <w:rPr>
          <w:rFonts w:cstheme="minorHAnsi"/>
          <w:sz w:val="24"/>
          <w:szCs w:val="24"/>
        </w:rPr>
        <w:t>s</w:t>
      </w:r>
      <w:r w:rsidRPr="00DD7D17">
        <w:rPr>
          <w:rFonts w:cstheme="minorHAnsi"/>
          <w:sz w:val="24"/>
          <w:szCs w:val="24"/>
        </w:rPr>
        <w:t xml:space="preserve">hootings: </w:t>
      </w:r>
      <w:r>
        <w:rPr>
          <w:rFonts w:cstheme="minorHAnsi"/>
          <w:sz w:val="24"/>
          <w:szCs w:val="24"/>
        </w:rPr>
        <w:t>e</w:t>
      </w:r>
      <w:r w:rsidRPr="00DD7D17">
        <w:rPr>
          <w:rFonts w:cstheme="minorHAnsi"/>
          <w:sz w:val="24"/>
          <w:szCs w:val="24"/>
        </w:rPr>
        <w:t xml:space="preserve">stablishing a </w:t>
      </w:r>
      <w:r>
        <w:rPr>
          <w:rFonts w:cstheme="minorHAnsi"/>
          <w:sz w:val="24"/>
          <w:szCs w:val="24"/>
        </w:rPr>
        <w:t>r</w:t>
      </w:r>
      <w:r w:rsidRPr="00DD7D17">
        <w:rPr>
          <w:rFonts w:cstheme="minorHAnsi"/>
          <w:sz w:val="24"/>
          <w:szCs w:val="24"/>
        </w:rPr>
        <w:t xml:space="preserve">esearch </w:t>
      </w:r>
      <w:r>
        <w:rPr>
          <w:rFonts w:cstheme="minorHAnsi"/>
          <w:sz w:val="24"/>
          <w:szCs w:val="24"/>
        </w:rPr>
        <w:t>a</w:t>
      </w:r>
      <w:r w:rsidRPr="00DD7D17">
        <w:rPr>
          <w:rFonts w:cstheme="minorHAnsi"/>
          <w:sz w:val="24"/>
          <w:szCs w:val="24"/>
        </w:rPr>
        <w:t xml:space="preserve">genda. </w:t>
      </w:r>
      <w:r w:rsidRPr="00501ED9">
        <w:rPr>
          <w:rFonts w:cstheme="minorHAnsi"/>
          <w:i/>
          <w:iCs/>
          <w:sz w:val="24"/>
          <w:szCs w:val="24"/>
        </w:rPr>
        <w:t>Educational Administration Quarterly, 59</w:t>
      </w:r>
      <w:r w:rsidRPr="00DD7D17">
        <w:rPr>
          <w:rFonts w:cstheme="minorHAnsi"/>
          <w:sz w:val="24"/>
          <w:szCs w:val="24"/>
        </w:rPr>
        <w:t xml:space="preserve">(3), 594-632. </w:t>
      </w:r>
    </w:p>
    <w:p w14:paraId="7B9E4A8F" w14:textId="389F5118" w:rsidR="00DD7D17" w:rsidRDefault="00DD7D17" w:rsidP="00501ED9">
      <w:pPr>
        <w:spacing w:after="0" w:line="240" w:lineRule="auto"/>
        <w:ind w:left="720"/>
        <w:rPr>
          <w:rFonts w:cstheme="minorHAnsi"/>
          <w:sz w:val="24"/>
          <w:szCs w:val="24"/>
        </w:rPr>
      </w:pPr>
      <w:hyperlink r:id="rId54" w:history="1">
        <w:r w:rsidRPr="004C028F">
          <w:rPr>
            <w:rStyle w:val="Hyperlink"/>
            <w:rFonts w:cstheme="minorHAnsi"/>
            <w:sz w:val="24"/>
            <w:szCs w:val="24"/>
          </w:rPr>
          <w:t>https://doi.org/10.1177/0013161X231166335</w:t>
        </w:r>
      </w:hyperlink>
    </w:p>
    <w:p w14:paraId="0213EA88" w14:textId="77777777" w:rsidR="00DD7D17" w:rsidRDefault="00DD7D17" w:rsidP="00BE6BD3">
      <w:pPr>
        <w:spacing w:after="0" w:line="240" w:lineRule="auto"/>
        <w:ind w:left="720" w:hanging="720"/>
        <w:rPr>
          <w:rFonts w:cstheme="minorHAnsi"/>
          <w:sz w:val="24"/>
          <w:szCs w:val="24"/>
        </w:rPr>
      </w:pPr>
    </w:p>
    <w:p w14:paraId="46F9CBE1" w14:textId="4659E786" w:rsidR="00BE6BD3" w:rsidRP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Maxwell, J. A. (2013). </w:t>
      </w:r>
      <w:r w:rsidRPr="00BE6BD3">
        <w:rPr>
          <w:rFonts w:cstheme="minorHAnsi"/>
          <w:i/>
          <w:sz w:val="24"/>
          <w:szCs w:val="24"/>
        </w:rPr>
        <w:t>Qualitative research design: An interactive approach</w:t>
      </w:r>
      <w:r w:rsidRPr="00BE6BD3">
        <w:rPr>
          <w:rFonts w:cstheme="minorHAnsi"/>
          <w:sz w:val="24"/>
          <w:szCs w:val="24"/>
        </w:rPr>
        <w:t xml:space="preserve"> (3rd ed.). Sage.</w:t>
      </w:r>
    </w:p>
    <w:p w14:paraId="780F59A4" w14:textId="77777777" w:rsidR="00BE6BD3" w:rsidRPr="00BE6BD3" w:rsidRDefault="00BE6BD3" w:rsidP="00BE6BD3">
      <w:pPr>
        <w:spacing w:after="0" w:line="240" w:lineRule="auto"/>
        <w:ind w:left="720" w:hanging="720"/>
        <w:rPr>
          <w:rFonts w:cstheme="minorHAnsi"/>
          <w:sz w:val="24"/>
          <w:szCs w:val="24"/>
        </w:rPr>
      </w:pPr>
    </w:p>
    <w:p w14:paraId="57726018" w14:textId="77777777" w:rsidR="00E64F0C" w:rsidRPr="00E64F0C" w:rsidRDefault="00E64F0C" w:rsidP="00E64F0C">
      <w:pPr>
        <w:spacing w:after="0" w:line="240" w:lineRule="auto"/>
        <w:ind w:left="720" w:hanging="720"/>
        <w:rPr>
          <w:rFonts w:cstheme="minorHAnsi"/>
          <w:sz w:val="24"/>
          <w:szCs w:val="24"/>
        </w:rPr>
      </w:pPr>
      <w:bookmarkStart w:id="21" w:name="_heading=h.1fob9te" w:colFirst="0" w:colLast="0"/>
      <w:bookmarkEnd w:id="21"/>
      <w:r w:rsidRPr="00E64F0C">
        <w:rPr>
          <w:rFonts w:cstheme="minorHAnsi"/>
          <w:sz w:val="24"/>
          <w:szCs w:val="24"/>
        </w:rPr>
        <w:lastRenderedPageBreak/>
        <w:t xml:space="preserve">McArdle, M. K. (2013). The next generation of community college leaders. </w:t>
      </w:r>
      <w:r w:rsidRPr="00E64F0C">
        <w:rPr>
          <w:rFonts w:cstheme="minorHAnsi"/>
          <w:i/>
          <w:iCs/>
          <w:sz w:val="24"/>
          <w:szCs w:val="24"/>
        </w:rPr>
        <w:t xml:space="preserve">Community College </w:t>
      </w:r>
    </w:p>
    <w:p w14:paraId="70C9E84B" w14:textId="6E1BD8B2" w:rsidR="00E64F0C" w:rsidRDefault="00E64F0C" w:rsidP="00E64F0C">
      <w:pPr>
        <w:spacing w:after="0" w:line="240" w:lineRule="auto"/>
        <w:ind w:left="720"/>
        <w:rPr>
          <w:rFonts w:cstheme="minorHAnsi"/>
          <w:sz w:val="24"/>
          <w:szCs w:val="24"/>
        </w:rPr>
      </w:pPr>
      <w:r w:rsidRPr="00E64F0C">
        <w:rPr>
          <w:rFonts w:cstheme="minorHAnsi"/>
          <w:i/>
          <w:iCs/>
          <w:sz w:val="24"/>
          <w:szCs w:val="24"/>
        </w:rPr>
        <w:t>Journal of Research and Practice, 37</w:t>
      </w:r>
      <w:r w:rsidRPr="00E64F0C">
        <w:rPr>
          <w:rFonts w:cstheme="minorHAnsi"/>
          <w:sz w:val="24"/>
          <w:szCs w:val="24"/>
        </w:rPr>
        <w:t>(11), 851</w:t>
      </w:r>
      <w:r w:rsidRPr="008D6938">
        <w:rPr>
          <w:rFonts w:cstheme="minorHAnsi"/>
          <w:sz w:val="24"/>
          <w:shd w:val="clear" w:color="auto" w:fill="FFFFFF"/>
        </w:rPr>
        <w:t>–</w:t>
      </w:r>
      <w:r w:rsidRPr="00E64F0C">
        <w:rPr>
          <w:rFonts w:cstheme="minorHAnsi"/>
          <w:sz w:val="24"/>
          <w:szCs w:val="24"/>
        </w:rPr>
        <w:t>863.</w:t>
      </w:r>
    </w:p>
    <w:p w14:paraId="40007E99" w14:textId="77777777" w:rsidR="00E64F0C" w:rsidRDefault="00E64F0C" w:rsidP="003B3670">
      <w:pPr>
        <w:spacing w:after="0" w:line="240" w:lineRule="auto"/>
        <w:ind w:left="720" w:hanging="720"/>
        <w:rPr>
          <w:rFonts w:cstheme="minorHAnsi"/>
          <w:sz w:val="24"/>
          <w:szCs w:val="24"/>
        </w:rPr>
      </w:pPr>
    </w:p>
    <w:p w14:paraId="1F071C1E" w14:textId="530A6062"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McCusker, K. M., &amp; Witherow, L. B. (2012). Bereavement on the college campus: establishing an effective ritual for the classroom and beyond. </w:t>
      </w:r>
      <w:r w:rsidRPr="003B3670">
        <w:rPr>
          <w:rFonts w:cstheme="minorHAnsi"/>
          <w:i/>
          <w:iCs/>
          <w:sz w:val="24"/>
          <w:szCs w:val="24"/>
        </w:rPr>
        <w:t>About Campus</w:t>
      </w:r>
      <w:r w:rsidRPr="003B3670">
        <w:rPr>
          <w:rFonts w:cstheme="minorHAnsi"/>
          <w:sz w:val="24"/>
          <w:szCs w:val="24"/>
        </w:rPr>
        <w:t>, </w:t>
      </w:r>
      <w:r w:rsidRPr="003B3670">
        <w:rPr>
          <w:rFonts w:cstheme="minorHAnsi"/>
          <w:i/>
          <w:iCs/>
          <w:sz w:val="24"/>
          <w:szCs w:val="24"/>
        </w:rPr>
        <w:t>17</w:t>
      </w:r>
      <w:r w:rsidRPr="003B3670">
        <w:rPr>
          <w:rFonts w:cstheme="minorHAnsi"/>
          <w:sz w:val="24"/>
          <w:szCs w:val="24"/>
        </w:rPr>
        <w:t>(1), 12–18.</w:t>
      </w:r>
      <w:r w:rsidR="002D236F">
        <w:rPr>
          <w:rFonts w:cstheme="minorHAnsi"/>
          <w:sz w:val="24"/>
          <w:szCs w:val="24"/>
        </w:rPr>
        <w:t xml:space="preserve"> </w:t>
      </w:r>
      <w:hyperlink r:id="rId55" w:history="1">
        <w:r w:rsidR="002D236F" w:rsidRPr="004C028F">
          <w:rPr>
            <w:rStyle w:val="Hyperlink"/>
            <w:rFonts w:cstheme="minorHAnsi"/>
            <w:sz w:val="24"/>
            <w:szCs w:val="24"/>
          </w:rPr>
          <w:t>https://doi.org/10.1002/abc.21068</w:t>
        </w:r>
      </w:hyperlink>
    </w:p>
    <w:p w14:paraId="6ECE668A" w14:textId="77777777" w:rsidR="003B3670" w:rsidRPr="003B3670" w:rsidRDefault="003B3670" w:rsidP="003B3670">
      <w:pPr>
        <w:spacing w:after="0" w:line="240" w:lineRule="auto"/>
        <w:ind w:left="720" w:hanging="720"/>
        <w:rPr>
          <w:rFonts w:cstheme="minorHAnsi"/>
          <w:sz w:val="24"/>
          <w:szCs w:val="24"/>
        </w:rPr>
      </w:pPr>
    </w:p>
    <w:p w14:paraId="7F40AC72" w14:textId="77777777"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McDonald, S. (2008). The fundamentals of fundamental FERPA.</w:t>
      </w:r>
    </w:p>
    <w:p w14:paraId="6F249C67" w14:textId="409520AB"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 xml:space="preserve"> </w:t>
      </w:r>
      <w:r w:rsidRPr="003B3670">
        <w:rPr>
          <w:rFonts w:cstheme="minorHAnsi"/>
          <w:sz w:val="24"/>
          <w:szCs w:val="24"/>
        </w:rPr>
        <w:tab/>
      </w:r>
      <w:hyperlink r:id="rId56" w:history="1">
        <w:r w:rsidRPr="004C028F">
          <w:rPr>
            <w:rStyle w:val="Hyperlink"/>
            <w:rFonts w:cstheme="minorHAnsi"/>
            <w:sz w:val="24"/>
            <w:szCs w:val="24"/>
          </w:rPr>
          <w:t>https://www.stetson.edu/law/conferences/highered/archive/media/higher-ed-archives-2009/document/i-mcdonald-fundamental-ferpa-pdf.pdf</w:t>
        </w:r>
      </w:hyperlink>
      <w:r w:rsidRPr="003B3670">
        <w:rPr>
          <w:rFonts w:cstheme="minorHAnsi"/>
          <w:sz w:val="24"/>
          <w:szCs w:val="24"/>
        </w:rPr>
        <w:t xml:space="preserve"> </w:t>
      </w:r>
    </w:p>
    <w:p w14:paraId="6A911985" w14:textId="77777777" w:rsidR="003B3670" w:rsidRPr="003B3670" w:rsidRDefault="003B3670" w:rsidP="003B3670">
      <w:pPr>
        <w:spacing w:after="0" w:line="240" w:lineRule="auto"/>
        <w:ind w:left="720" w:hanging="720"/>
        <w:rPr>
          <w:rFonts w:cstheme="minorHAnsi"/>
          <w:sz w:val="24"/>
          <w:szCs w:val="24"/>
        </w:rPr>
      </w:pPr>
    </w:p>
    <w:p w14:paraId="5B8CF821" w14:textId="42D6C42E"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McGee, M., &amp; Platt, R. E. (2015). The forgotten slayings: memory, history, and institutional response to the Jackson State University shootings of 1970.</w:t>
      </w:r>
      <w:r w:rsidRPr="003B3670">
        <w:rPr>
          <w:rFonts w:cstheme="minorHAnsi"/>
          <w:i/>
          <w:iCs/>
          <w:sz w:val="24"/>
          <w:szCs w:val="24"/>
        </w:rPr>
        <w:t xml:space="preserve"> American </w:t>
      </w:r>
      <w:r w:rsidR="00B57EBD">
        <w:rPr>
          <w:rFonts w:cstheme="minorHAnsi"/>
          <w:i/>
          <w:iCs/>
          <w:sz w:val="24"/>
          <w:szCs w:val="24"/>
        </w:rPr>
        <w:t>E</w:t>
      </w:r>
      <w:r w:rsidRPr="003B3670">
        <w:rPr>
          <w:rFonts w:cstheme="minorHAnsi"/>
          <w:i/>
          <w:iCs/>
          <w:sz w:val="24"/>
          <w:szCs w:val="24"/>
        </w:rPr>
        <w:t xml:space="preserve">ducational </w:t>
      </w:r>
      <w:r w:rsidR="00B57EBD">
        <w:rPr>
          <w:rFonts w:cstheme="minorHAnsi"/>
          <w:i/>
          <w:iCs/>
          <w:sz w:val="24"/>
          <w:szCs w:val="24"/>
        </w:rPr>
        <w:t>H</w:t>
      </w:r>
      <w:r w:rsidRPr="003B3670">
        <w:rPr>
          <w:rFonts w:cstheme="minorHAnsi"/>
          <w:i/>
          <w:iCs/>
          <w:sz w:val="24"/>
          <w:szCs w:val="24"/>
        </w:rPr>
        <w:t xml:space="preserve">istory </w:t>
      </w:r>
      <w:r w:rsidR="00B57EBD">
        <w:rPr>
          <w:rFonts w:cstheme="minorHAnsi"/>
          <w:i/>
          <w:iCs/>
          <w:sz w:val="24"/>
          <w:szCs w:val="24"/>
        </w:rPr>
        <w:t>J</w:t>
      </w:r>
      <w:r w:rsidRPr="003B3670">
        <w:rPr>
          <w:rFonts w:cstheme="minorHAnsi"/>
          <w:i/>
          <w:iCs/>
          <w:sz w:val="24"/>
          <w:szCs w:val="24"/>
        </w:rPr>
        <w:t>ournal, 42</w:t>
      </w:r>
      <w:r w:rsidRPr="003B3670">
        <w:rPr>
          <w:rFonts w:cstheme="minorHAnsi"/>
          <w:sz w:val="24"/>
          <w:szCs w:val="24"/>
        </w:rPr>
        <w:t>(1), 15–32.</w:t>
      </w:r>
    </w:p>
    <w:p w14:paraId="4A17EAA5" w14:textId="77777777" w:rsidR="003B3670" w:rsidRPr="003B3670" w:rsidRDefault="003B3670" w:rsidP="003B3670">
      <w:pPr>
        <w:spacing w:after="0" w:line="240" w:lineRule="auto"/>
        <w:ind w:left="720" w:hanging="720"/>
        <w:rPr>
          <w:rFonts w:cstheme="minorHAnsi"/>
          <w:sz w:val="24"/>
          <w:szCs w:val="24"/>
        </w:rPr>
      </w:pPr>
    </w:p>
    <w:p w14:paraId="1291A1EC" w14:textId="40F3C2A1"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McIntyre, J. J., Spence, P. R., &amp; Lachlan, K. A. (2011). Media use and gender differences in negative psychological responses to a shooting on a university campus. </w:t>
      </w:r>
      <w:r w:rsidRPr="003B3670">
        <w:rPr>
          <w:rFonts w:cstheme="minorHAnsi"/>
          <w:i/>
          <w:iCs/>
          <w:sz w:val="24"/>
          <w:szCs w:val="24"/>
        </w:rPr>
        <w:t>Journal Of School Violence</w:t>
      </w:r>
      <w:r w:rsidRPr="003B3670">
        <w:rPr>
          <w:rFonts w:cstheme="minorHAnsi"/>
          <w:sz w:val="24"/>
          <w:szCs w:val="24"/>
        </w:rPr>
        <w:t>, </w:t>
      </w:r>
      <w:r w:rsidRPr="003B3670">
        <w:rPr>
          <w:rFonts w:cstheme="minorHAnsi"/>
          <w:i/>
          <w:iCs/>
          <w:sz w:val="24"/>
          <w:szCs w:val="24"/>
        </w:rPr>
        <w:t>10</w:t>
      </w:r>
      <w:r w:rsidRPr="003B3670">
        <w:rPr>
          <w:rFonts w:cstheme="minorHAnsi"/>
          <w:sz w:val="24"/>
          <w:szCs w:val="24"/>
        </w:rPr>
        <w:t>(3), 299–313.</w:t>
      </w:r>
      <w:r w:rsidR="002D236F">
        <w:rPr>
          <w:rFonts w:cstheme="minorHAnsi"/>
          <w:sz w:val="24"/>
          <w:szCs w:val="24"/>
        </w:rPr>
        <w:t xml:space="preserve"> </w:t>
      </w:r>
      <w:hyperlink r:id="rId57" w:history="1">
        <w:r w:rsidR="002D236F" w:rsidRPr="004C028F">
          <w:rPr>
            <w:rStyle w:val="Hyperlink"/>
            <w:rFonts w:cstheme="minorHAnsi"/>
            <w:sz w:val="24"/>
            <w:szCs w:val="24"/>
          </w:rPr>
          <w:t>https://doi.org/10.1080/15388220.2011.578555</w:t>
        </w:r>
      </w:hyperlink>
    </w:p>
    <w:p w14:paraId="77FD9660" w14:textId="77777777" w:rsidR="003B3670" w:rsidRPr="003B3670" w:rsidRDefault="003B3670" w:rsidP="003B3670">
      <w:pPr>
        <w:spacing w:after="0" w:line="240" w:lineRule="auto"/>
        <w:ind w:left="720" w:hanging="720"/>
        <w:rPr>
          <w:rFonts w:cstheme="minorHAnsi"/>
          <w:sz w:val="24"/>
          <w:szCs w:val="24"/>
        </w:rPr>
      </w:pPr>
    </w:p>
    <w:p w14:paraId="567ED131" w14:textId="689A0959"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Meloy, J. R., &amp; Genzman, J. (2016). The clinical threat assessment of the lone-actor terrorist. </w:t>
      </w:r>
      <w:r w:rsidRPr="003B3670">
        <w:rPr>
          <w:rFonts w:cstheme="minorHAnsi"/>
          <w:i/>
          <w:iCs/>
          <w:sz w:val="24"/>
          <w:szCs w:val="24"/>
        </w:rPr>
        <w:t>Psychiatric Clinics of North America</w:t>
      </w:r>
      <w:r w:rsidRPr="003B3670">
        <w:rPr>
          <w:rFonts w:cstheme="minorHAnsi"/>
          <w:sz w:val="24"/>
          <w:szCs w:val="24"/>
        </w:rPr>
        <w:t>, </w:t>
      </w:r>
      <w:r w:rsidRPr="003B3670">
        <w:rPr>
          <w:rFonts w:cstheme="minorHAnsi"/>
          <w:i/>
          <w:iCs/>
          <w:sz w:val="24"/>
          <w:szCs w:val="24"/>
        </w:rPr>
        <w:t>39</w:t>
      </w:r>
      <w:r w:rsidRPr="003B3670">
        <w:rPr>
          <w:rFonts w:cstheme="minorHAnsi"/>
          <w:sz w:val="24"/>
          <w:szCs w:val="24"/>
        </w:rPr>
        <w:t>(4), 649–662.</w:t>
      </w:r>
      <w:r w:rsidR="002D236F">
        <w:rPr>
          <w:rFonts w:cstheme="minorHAnsi"/>
          <w:sz w:val="24"/>
          <w:szCs w:val="24"/>
        </w:rPr>
        <w:t xml:space="preserve"> </w:t>
      </w:r>
      <w:hyperlink r:id="rId58" w:history="1">
        <w:r w:rsidR="002D236F" w:rsidRPr="004C028F">
          <w:rPr>
            <w:rStyle w:val="Hyperlink"/>
            <w:rFonts w:cstheme="minorHAnsi"/>
            <w:sz w:val="24"/>
            <w:szCs w:val="24"/>
          </w:rPr>
          <w:t>https://doi.org/10.1016/j.psc.2016.07.004</w:t>
        </w:r>
      </w:hyperlink>
    </w:p>
    <w:p w14:paraId="5A2C296E" w14:textId="77777777" w:rsidR="003B3670" w:rsidRPr="003B3670" w:rsidRDefault="003B3670" w:rsidP="003B3670">
      <w:pPr>
        <w:spacing w:after="0" w:line="240" w:lineRule="auto"/>
        <w:ind w:left="720" w:hanging="720"/>
        <w:rPr>
          <w:rFonts w:cstheme="minorHAnsi"/>
          <w:sz w:val="24"/>
          <w:szCs w:val="24"/>
        </w:rPr>
      </w:pPr>
    </w:p>
    <w:p w14:paraId="58B83370" w14:textId="24A97779" w:rsidR="00CD5EC0" w:rsidRDefault="00CD5EC0" w:rsidP="003B3670">
      <w:pPr>
        <w:spacing w:after="0" w:line="240" w:lineRule="auto"/>
        <w:ind w:left="720" w:hanging="720"/>
        <w:rPr>
          <w:rFonts w:cstheme="minorHAnsi"/>
          <w:sz w:val="24"/>
          <w:szCs w:val="24"/>
        </w:rPr>
      </w:pPr>
      <w:r w:rsidRPr="00CD5EC0">
        <w:rPr>
          <w:rFonts w:cstheme="minorHAnsi"/>
          <w:sz w:val="24"/>
          <w:szCs w:val="24"/>
        </w:rPr>
        <w:t>Meloy, J. R., &amp; Hoffmann, J. (Eds.). (2021). </w:t>
      </w:r>
      <w:r w:rsidRPr="00CD5EC0">
        <w:rPr>
          <w:rFonts w:cstheme="minorHAnsi"/>
          <w:i/>
          <w:iCs/>
          <w:sz w:val="24"/>
          <w:szCs w:val="24"/>
        </w:rPr>
        <w:t>International handbook of threat assessment</w:t>
      </w:r>
      <w:r w:rsidRPr="00CD5EC0">
        <w:rPr>
          <w:rFonts w:cstheme="minorHAnsi"/>
          <w:sz w:val="24"/>
          <w:szCs w:val="24"/>
        </w:rPr>
        <w:t> (2</w:t>
      </w:r>
      <w:r>
        <w:rPr>
          <w:rFonts w:cstheme="minorHAnsi"/>
          <w:sz w:val="24"/>
          <w:szCs w:val="24"/>
          <w:vertAlign w:val="superscript"/>
        </w:rPr>
        <w:t>nd</w:t>
      </w:r>
      <w:r w:rsidRPr="00CD5EC0">
        <w:rPr>
          <w:rFonts w:cstheme="minorHAnsi"/>
          <w:sz w:val="24"/>
          <w:szCs w:val="24"/>
        </w:rPr>
        <w:t xml:space="preserve"> ed.). Oxford University Press. </w:t>
      </w:r>
    </w:p>
    <w:p w14:paraId="2C036DB0" w14:textId="16D62594" w:rsidR="00CD5EC0" w:rsidRDefault="00CD5EC0" w:rsidP="003B3670">
      <w:pPr>
        <w:spacing w:after="0" w:line="240" w:lineRule="auto"/>
        <w:ind w:left="720" w:hanging="720"/>
        <w:rPr>
          <w:rFonts w:cstheme="minorHAnsi"/>
          <w:sz w:val="24"/>
          <w:szCs w:val="24"/>
        </w:rPr>
      </w:pPr>
      <w:r>
        <w:rPr>
          <w:rFonts w:cstheme="minorHAnsi"/>
          <w:sz w:val="24"/>
          <w:szCs w:val="24"/>
        </w:rPr>
        <w:tab/>
      </w:r>
      <w:hyperlink r:id="rId59" w:history="1">
        <w:r w:rsidRPr="004C028F">
          <w:rPr>
            <w:rStyle w:val="Hyperlink"/>
            <w:rFonts w:cstheme="minorHAnsi"/>
            <w:sz w:val="24"/>
            <w:szCs w:val="24"/>
          </w:rPr>
          <w:t>https://doi.org/10.1093/med-psych/9780190940164.001.0001</w:t>
        </w:r>
      </w:hyperlink>
    </w:p>
    <w:p w14:paraId="0D9CB8B4" w14:textId="77777777" w:rsidR="00CD5EC0" w:rsidRDefault="00CD5EC0" w:rsidP="003B3670">
      <w:pPr>
        <w:spacing w:after="0" w:line="240" w:lineRule="auto"/>
        <w:ind w:left="720" w:hanging="720"/>
        <w:rPr>
          <w:rFonts w:cstheme="minorHAnsi"/>
          <w:sz w:val="24"/>
          <w:szCs w:val="24"/>
        </w:rPr>
      </w:pPr>
    </w:p>
    <w:p w14:paraId="6B3E38A0" w14:textId="7DA6FE80" w:rsidR="003B3670" w:rsidRPr="003B3670" w:rsidRDefault="003B3670" w:rsidP="003B3670">
      <w:pPr>
        <w:spacing w:after="0" w:line="240" w:lineRule="auto"/>
        <w:ind w:left="720" w:hanging="720"/>
        <w:rPr>
          <w:rFonts w:cstheme="minorHAnsi"/>
          <w:sz w:val="24"/>
          <w:szCs w:val="24"/>
        </w:rPr>
      </w:pPr>
      <w:r w:rsidRPr="003B3670">
        <w:rPr>
          <w:rFonts w:cstheme="minorHAnsi"/>
          <w:sz w:val="24"/>
          <w:szCs w:val="24"/>
        </w:rPr>
        <w:t>Meloy, J. R., Hoffman, J., Guldimann, A., &amp; James, D. (201</w:t>
      </w:r>
      <w:r w:rsidR="002D236F">
        <w:rPr>
          <w:rFonts w:cstheme="minorHAnsi"/>
          <w:sz w:val="24"/>
          <w:szCs w:val="24"/>
        </w:rPr>
        <w:t>2</w:t>
      </w:r>
      <w:r w:rsidRPr="003B3670">
        <w:rPr>
          <w:rFonts w:cstheme="minorHAnsi"/>
          <w:sz w:val="24"/>
          <w:szCs w:val="24"/>
        </w:rPr>
        <w:t xml:space="preserve">). The role of warning behaviors in threat assessment: An exploration and suggested typology. </w:t>
      </w:r>
      <w:r w:rsidRPr="003B3670">
        <w:rPr>
          <w:rFonts w:cstheme="minorHAnsi"/>
          <w:i/>
          <w:iCs/>
          <w:sz w:val="24"/>
          <w:szCs w:val="24"/>
        </w:rPr>
        <w:t>Behavioral Sciences and the Law,</w:t>
      </w:r>
      <w:r w:rsidRPr="003B3670">
        <w:rPr>
          <w:rFonts w:cstheme="minorHAnsi"/>
          <w:sz w:val="24"/>
          <w:szCs w:val="24"/>
        </w:rPr>
        <w:t xml:space="preserve"> </w:t>
      </w:r>
      <w:r w:rsidRPr="003B3670">
        <w:rPr>
          <w:rFonts w:cstheme="minorHAnsi"/>
          <w:i/>
          <w:iCs/>
          <w:sz w:val="24"/>
          <w:szCs w:val="24"/>
        </w:rPr>
        <w:t>30</w:t>
      </w:r>
      <w:r w:rsidRPr="003B3670">
        <w:rPr>
          <w:rFonts w:cstheme="minorHAnsi"/>
          <w:sz w:val="24"/>
          <w:szCs w:val="24"/>
        </w:rPr>
        <w:t xml:space="preserve">(3), 256–279. </w:t>
      </w:r>
      <w:hyperlink r:id="rId60" w:history="1">
        <w:r w:rsidRPr="004C028F">
          <w:rPr>
            <w:rStyle w:val="Hyperlink"/>
            <w:rFonts w:cstheme="minorHAnsi"/>
            <w:sz w:val="24"/>
            <w:szCs w:val="24"/>
          </w:rPr>
          <w:t>https://doi.org/10.1002/bsl.999</w:t>
        </w:r>
      </w:hyperlink>
      <w:r w:rsidRPr="003B3670">
        <w:rPr>
          <w:rFonts w:cstheme="minorHAnsi"/>
          <w:sz w:val="24"/>
          <w:szCs w:val="24"/>
        </w:rPr>
        <w:t xml:space="preserve"> </w:t>
      </w:r>
    </w:p>
    <w:p w14:paraId="71FF3C1A" w14:textId="77777777" w:rsidR="003B3670" w:rsidRDefault="003B3670" w:rsidP="00BE6BD3">
      <w:pPr>
        <w:spacing w:after="0" w:line="240" w:lineRule="auto"/>
        <w:ind w:left="720" w:hanging="720"/>
        <w:rPr>
          <w:rFonts w:cstheme="minorHAnsi"/>
          <w:sz w:val="24"/>
          <w:szCs w:val="24"/>
        </w:rPr>
      </w:pPr>
    </w:p>
    <w:p w14:paraId="0B5180A0" w14:textId="12B983BA" w:rsidR="00BE6BD3" w:rsidRDefault="00BE6BD3" w:rsidP="00BE6BD3">
      <w:pPr>
        <w:spacing w:after="0" w:line="240" w:lineRule="auto"/>
        <w:ind w:left="720" w:hanging="720"/>
        <w:rPr>
          <w:rFonts w:cstheme="minorHAnsi"/>
          <w:sz w:val="24"/>
          <w:szCs w:val="24"/>
        </w:rPr>
      </w:pPr>
      <w:r w:rsidRPr="00BE6BD3">
        <w:rPr>
          <w:rFonts w:cstheme="minorHAnsi"/>
          <w:sz w:val="24"/>
          <w:szCs w:val="24"/>
        </w:rPr>
        <w:t xml:space="preserve">Merriam, S. B., &amp; Grenier, R. S. (2019). </w:t>
      </w:r>
      <w:r w:rsidRPr="00BE6BD3">
        <w:rPr>
          <w:rFonts w:cstheme="minorHAnsi"/>
          <w:i/>
          <w:iCs/>
          <w:sz w:val="24"/>
          <w:szCs w:val="24"/>
        </w:rPr>
        <w:t>Qualitative research in practice</w:t>
      </w:r>
      <w:r w:rsidRPr="00BE6BD3">
        <w:rPr>
          <w:rFonts w:cstheme="minorHAnsi"/>
          <w:sz w:val="24"/>
          <w:szCs w:val="24"/>
        </w:rPr>
        <w:t xml:space="preserve"> (2</w:t>
      </w:r>
      <w:r w:rsidRPr="00BE6BD3">
        <w:rPr>
          <w:rFonts w:cstheme="minorHAnsi"/>
          <w:sz w:val="24"/>
          <w:szCs w:val="24"/>
          <w:vertAlign w:val="superscript"/>
        </w:rPr>
        <w:t>nd</w:t>
      </w:r>
      <w:r w:rsidRPr="00BE6BD3">
        <w:rPr>
          <w:rFonts w:cstheme="minorHAnsi"/>
          <w:sz w:val="24"/>
          <w:szCs w:val="24"/>
        </w:rPr>
        <w:t xml:space="preserve"> ed.). Jossey-Bass.</w:t>
      </w:r>
    </w:p>
    <w:p w14:paraId="76438E64" w14:textId="77777777" w:rsidR="00BE6BD3" w:rsidRDefault="00BE6BD3" w:rsidP="008D6938">
      <w:pPr>
        <w:spacing w:after="0" w:line="240" w:lineRule="auto"/>
        <w:ind w:left="720" w:hanging="720"/>
        <w:rPr>
          <w:rFonts w:cstheme="minorHAnsi"/>
          <w:sz w:val="24"/>
          <w:szCs w:val="24"/>
        </w:rPr>
      </w:pPr>
    </w:p>
    <w:p w14:paraId="26CFAF00" w14:textId="50C02475"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Merriam, S. B., &amp; Tisdell, E. (2016). </w:t>
      </w:r>
      <w:r w:rsidRPr="008D6938">
        <w:rPr>
          <w:rFonts w:cstheme="minorHAnsi"/>
          <w:i/>
          <w:sz w:val="24"/>
          <w:szCs w:val="24"/>
        </w:rPr>
        <w:t xml:space="preserve">Qualitative research </w:t>
      </w:r>
      <w:r w:rsidRPr="008D6938">
        <w:rPr>
          <w:rFonts w:cstheme="minorHAnsi"/>
          <w:iCs/>
          <w:sz w:val="24"/>
          <w:szCs w:val="24"/>
        </w:rPr>
        <w:t>(4</w:t>
      </w:r>
      <w:r w:rsidRPr="008D6938">
        <w:rPr>
          <w:rFonts w:cstheme="minorHAnsi"/>
          <w:iCs/>
          <w:sz w:val="24"/>
          <w:szCs w:val="24"/>
          <w:vertAlign w:val="superscript"/>
        </w:rPr>
        <w:t>th</w:t>
      </w:r>
      <w:r w:rsidRPr="008D6938">
        <w:rPr>
          <w:rFonts w:cstheme="minorHAnsi"/>
          <w:iCs/>
          <w:sz w:val="24"/>
          <w:szCs w:val="24"/>
        </w:rPr>
        <w:t xml:space="preserve"> ed.).</w:t>
      </w:r>
      <w:r w:rsidRPr="008D6938">
        <w:rPr>
          <w:rFonts w:cstheme="minorHAnsi"/>
          <w:sz w:val="24"/>
          <w:szCs w:val="24"/>
        </w:rPr>
        <w:t xml:space="preserve"> Jossey-Bass.</w:t>
      </w:r>
    </w:p>
    <w:p w14:paraId="08795983" w14:textId="77777777" w:rsidR="008D6938" w:rsidRPr="008D6938" w:rsidRDefault="008D6938" w:rsidP="008D6938">
      <w:pPr>
        <w:spacing w:after="0" w:line="240" w:lineRule="auto"/>
        <w:ind w:left="720" w:hanging="720"/>
        <w:rPr>
          <w:rFonts w:ascii="Calibri" w:eastAsia="Calibri" w:hAnsi="Calibri" w:cs="Times New Roman"/>
          <w:sz w:val="24"/>
          <w:szCs w:val="24"/>
        </w:rPr>
      </w:pPr>
    </w:p>
    <w:p w14:paraId="3755CB54" w14:textId="1074E989" w:rsidR="003B3670" w:rsidRPr="003B3670" w:rsidRDefault="003B3670" w:rsidP="003B3670">
      <w:pPr>
        <w:spacing w:after="0" w:line="240" w:lineRule="auto"/>
        <w:ind w:left="720" w:hanging="720"/>
        <w:rPr>
          <w:rFonts w:cstheme="minorHAnsi"/>
          <w:sz w:val="24"/>
          <w:shd w:val="clear" w:color="auto" w:fill="FFFFFF"/>
        </w:rPr>
      </w:pPr>
      <w:r w:rsidRPr="003B3670">
        <w:rPr>
          <w:rFonts w:cstheme="minorHAnsi"/>
          <w:sz w:val="24"/>
          <w:shd w:val="clear" w:color="auto" w:fill="FFFFFF"/>
        </w:rPr>
        <w:t xml:space="preserve">Midlarsky, E., &amp; Klain, H. M. (2005). A history of violence in the schools. In F. Denmark, H. Krauss, R. Wesner, E. Midlarsky, &amp; U. Gielen (Eds.), </w:t>
      </w:r>
      <w:r w:rsidRPr="003B3670">
        <w:rPr>
          <w:rFonts w:cstheme="minorHAnsi"/>
          <w:i/>
          <w:iCs/>
          <w:sz w:val="24"/>
          <w:shd w:val="clear" w:color="auto" w:fill="FFFFFF"/>
        </w:rPr>
        <w:t xml:space="preserve">Violence in schools: Cross-national and cross-cultural perspectives. </w:t>
      </w:r>
      <w:r w:rsidRPr="003B3670">
        <w:rPr>
          <w:rFonts w:cstheme="minorHAnsi"/>
          <w:sz w:val="24"/>
          <w:shd w:val="clear" w:color="auto" w:fill="FFFFFF"/>
        </w:rPr>
        <w:t>Springer-Verlag</w:t>
      </w:r>
      <w:r w:rsidR="00B57EBD">
        <w:rPr>
          <w:rFonts w:cstheme="minorHAnsi"/>
          <w:sz w:val="24"/>
          <w:shd w:val="clear" w:color="auto" w:fill="FFFFFF"/>
        </w:rPr>
        <w:t>.</w:t>
      </w:r>
    </w:p>
    <w:p w14:paraId="0C4EC102" w14:textId="77777777" w:rsidR="00BE6BD3" w:rsidRDefault="00BE6BD3" w:rsidP="008D6938">
      <w:pPr>
        <w:spacing w:after="0" w:line="240" w:lineRule="auto"/>
        <w:ind w:left="720" w:hanging="720"/>
        <w:rPr>
          <w:rFonts w:cstheme="minorHAnsi"/>
          <w:sz w:val="24"/>
          <w:shd w:val="clear" w:color="auto" w:fill="FFFFFF"/>
        </w:rPr>
      </w:pPr>
    </w:p>
    <w:p w14:paraId="0993EFAA" w14:textId="21844307" w:rsidR="00BE6BD3" w:rsidRDefault="00BE6BD3" w:rsidP="00BE6BD3">
      <w:pPr>
        <w:spacing w:after="0" w:line="240" w:lineRule="auto"/>
        <w:ind w:left="720" w:hanging="720"/>
        <w:rPr>
          <w:rFonts w:cstheme="minorHAnsi"/>
          <w:sz w:val="24"/>
          <w:shd w:val="clear" w:color="auto" w:fill="FFFFFF"/>
        </w:rPr>
      </w:pPr>
      <w:r w:rsidRPr="00BE6BD3">
        <w:rPr>
          <w:rFonts w:cstheme="minorHAnsi"/>
          <w:sz w:val="24"/>
          <w:shd w:val="clear" w:color="auto" w:fill="FFFFFF"/>
        </w:rPr>
        <w:t xml:space="preserve">Miles, M. B., &amp; Huberman, A. M., (1994). </w:t>
      </w:r>
      <w:r w:rsidRPr="00BE6BD3">
        <w:rPr>
          <w:rFonts w:cstheme="minorHAnsi"/>
          <w:i/>
          <w:sz w:val="24"/>
          <w:shd w:val="clear" w:color="auto" w:fill="FFFFFF"/>
        </w:rPr>
        <w:t>An expanded sourcebook: Qualitative data analysis</w:t>
      </w:r>
      <w:r w:rsidRPr="00BE6BD3">
        <w:rPr>
          <w:rFonts w:cstheme="minorHAnsi"/>
          <w:sz w:val="24"/>
          <w:shd w:val="clear" w:color="auto" w:fill="FFFFFF"/>
        </w:rPr>
        <w:t xml:space="preserve">. Sage. </w:t>
      </w:r>
    </w:p>
    <w:p w14:paraId="6A0C2F38" w14:textId="77777777" w:rsidR="003B3670" w:rsidRPr="00BE6BD3" w:rsidRDefault="003B3670" w:rsidP="00BE6BD3">
      <w:pPr>
        <w:spacing w:after="0" w:line="240" w:lineRule="auto"/>
        <w:ind w:left="720" w:hanging="720"/>
        <w:rPr>
          <w:rFonts w:cstheme="minorHAnsi"/>
          <w:sz w:val="24"/>
          <w:shd w:val="clear" w:color="auto" w:fill="FFFFFF"/>
        </w:rPr>
      </w:pPr>
    </w:p>
    <w:p w14:paraId="0B5DF9CB" w14:textId="1EDE4E67" w:rsidR="00BE6BD3" w:rsidRPr="00BE6BD3" w:rsidRDefault="00BE6BD3" w:rsidP="00BE6BD3">
      <w:pPr>
        <w:spacing w:after="0" w:line="240" w:lineRule="auto"/>
        <w:ind w:left="720" w:hanging="720"/>
        <w:rPr>
          <w:rFonts w:cstheme="minorHAnsi"/>
          <w:sz w:val="24"/>
          <w:shd w:val="clear" w:color="auto" w:fill="FFFFFF"/>
        </w:rPr>
      </w:pPr>
      <w:r w:rsidRPr="00BE6BD3">
        <w:rPr>
          <w:rFonts w:cstheme="minorHAnsi"/>
          <w:sz w:val="24"/>
          <w:shd w:val="clear" w:color="auto" w:fill="FFFFFF"/>
        </w:rPr>
        <w:t xml:space="preserve">Miles, M. B., Huberman, A. M., &amp; Saldana, J. (2014). </w:t>
      </w:r>
      <w:r w:rsidRPr="00BE6BD3">
        <w:rPr>
          <w:rFonts w:cstheme="minorHAnsi"/>
          <w:i/>
          <w:sz w:val="24"/>
          <w:shd w:val="clear" w:color="auto" w:fill="FFFFFF"/>
        </w:rPr>
        <w:t>Qualitative data analysis: A methods sourcebook.</w:t>
      </w:r>
      <w:r w:rsidRPr="00BE6BD3">
        <w:rPr>
          <w:rFonts w:cstheme="minorHAnsi"/>
          <w:sz w:val="24"/>
          <w:shd w:val="clear" w:color="auto" w:fill="FFFFFF"/>
        </w:rPr>
        <w:t xml:space="preserve"> (3</w:t>
      </w:r>
      <w:r w:rsidRPr="00BE6BD3">
        <w:rPr>
          <w:rFonts w:cstheme="minorHAnsi"/>
          <w:sz w:val="24"/>
          <w:shd w:val="clear" w:color="auto" w:fill="FFFFFF"/>
          <w:vertAlign w:val="superscript"/>
        </w:rPr>
        <w:t>rd</w:t>
      </w:r>
      <w:r w:rsidRPr="00BE6BD3">
        <w:rPr>
          <w:rFonts w:cstheme="minorHAnsi"/>
          <w:sz w:val="24"/>
          <w:shd w:val="clear" w:color="auto" w:fill="FFFFFF"/>
        </w:rPr>
        <w:t xml:space="preserve"> ed.). Sage.</w:t>
      </w:r>
    </w:p>
    <w:p w14:paraId="709FD548" w14:textId="77777777" w:rsidR="00BE6BD3" w:rsidRDefault="00BE6BD3" w:rsidP="008D6938">
      <w:pPr>
        <w:spacing w:after="0" w:line="240" w:lineRule="auto"/>
        <w:ind w:left="720" w:hanging="720"/>
        <w:rPr>
          <w:rFonts w:cstheme="minorHAnsi"/>
          <w:sz w:val="24"/>
          <w:shd w:val="clear" w:color="auto" w:fill="FFFFFF"/>
        </w:rPr>
      </w:pPr>
    </w:p>
    <w:p w14:paraId="207B2B33" w14:textId="7A0D3423" w:rsidR="002D5C7E" w:rsidRDefault="003B3670" w:rsidP="003B3670">
      <w:pPr>
        <w:spacing w:after="0" w:line="240" w:lineRule="auto"/>
        <w:ind w:left="720" w:hanging="720"/>
        <w:rPr>
          <w:rFonts w:cstheme="minorHAnsi"/>
          <w:sz w:val="24"/>
          <w:shd w:val="clear" w:color="auto" w:fill="FFFFFF"/>
        </w:rPr>
      </w:pPr>
      <w:r w:rsidRPr="003B3670">
        <w:rPr>
          <w:rFonts w:cstheme="minorHAnsi"/>
          <w:sz w:val="24"/>
          <w:shd w:val="clear" w:color="auto" w:fill="FFFFFF"/>
        </w:rPr>
        <w:t xml:space="preserve">Militia Statute. (1716) </w:t>
      </w:r>
      <w:r w:rsidRPr="003B3670">
        <w:rPr>
          <w:rFonts w:cstheme="minorHAnsi"/>
          <w:i/>
          <w:sz w:val="24"/>
          <w:shd w:val="clear" w:color="auto" w:fill="FFFFFF"/>
        </w:rPr>
        <w:t>Acts and laws, passed by the general court or assembly of the province of New-Hampshire in New-England.</w:t>
      </w:r>
      <w:r w:rsidRPr="003B3670">
        <w:rPr>
          <w:rFonts w:cstheme="minorHAnsi"/>
          <w:sz w:val="24"/>
          <w:shd w:val="clear" w:color="auto" w:fill="FFFFFF"/>
        </w:rPr>
        <w:t xml:space="preserve"> B. Green, 91–97.</w:t>
      </w:r>
    </w:p>
    <w:p w14:paraId="04C33385" w14:textId="10CD266A" w:rsidR="003B3670" w:rsidRPr="003B3670" w:rsidRDefault="002D5C7E" w:rsidP="003B3670">
      <w:pPr>
        <w:spacing w:after="0" w:line="240" w:lineRule="auto"/>
        <w:ind w:left="720" w:hanging="720"/>
        <w:rPr>
          <w:rFonts w:cstheme="minorHAnsi"/>
          <w:sz w:val="24"/>
          <w:shd w:val="clear" w:color="auto" w:fill="FFFFFF"/>
        </w:rPr>
      </w:pPr>
      <w:r>
        <w:rPr>
          <w:rFonts w:cstheme="minorHAnsi"/>
          <w:sz w:val="24"/>
          <w:shd w:val="clear" w:color="auto" w:fill="FFFFFF"/>
        </w:rPr>
        <w:tab/>
      </w:r>
      <w:hyperlink r:id="rId61" w:history="1">
        <w:r w:rsidR="003B3670" w:rsidRPr="00C61DE6">
          <w:rPr>
            <w:rStyle w:val="Hyperlink"/>
            <w:rFonts w:cstheme="minorHAnsi"/>
            <w:sz w:val="24"/>
            <w:shd w:val="clear" w:color="auto" w:fill="FFFFFF"/>
          </w:rPr>
          <w:t>http://www.claytoncramer.com/primary/primary.html#NHMilitiaLaws</w:t>
        </w:r>
      </w:hyperlink>
    </w:p>
    <w:p w14:paraId="4985D90A" w14:textId="77777777" w:rsidR="003B3670" w:rsidRDefault="003B3670" w:rsidP="008D6938">
      <w:pPr>
        <w:spacing w:after="0" w:line="240" w:lineRule="auto"/>
        <w:ind w:left="720" w:hanging="720"/>
        <w:rPr>
          <w:rFonts w:cstheme="minorHAnsi"/>
          <w:sz w:val="24"/>
          <w:shd w:val="clear" w:color="auto" w:fill="FFFFFF"/>
        </w:rPr>
      </w:pPr>
    </w:p>
    <w:p w14:paraId="76853602" w14:textId="799DD7A9" w:rsidR="00BE6BD3" w:rsidRDefault="008D6938" w:rsidP="008D6938">
      <w:pPr>
        <w:spacing w:after="0" w:line="240" w:lineRule="auto"/>
        <w:ind w:left="720" w:hanging="720"/>
        <w:rPr>
          <w:rFonts w:cstheme="minorHAnsi"/>
          <w:sz w:val="24"/>
          <w:shd w:val="clear" w:color="auto" w:fill="FFFFFF"/>
        </w:rPr>
      </w:pPr>
      <w:r w:rsidRPr="008D6938">
        <w:rPr>
          <w:rFonts w:cstheme="minorHAnsi"/>
          <w:sz w:val="24"/>
          <w:shd w:val="clear" w:color="auto" w:fill="FFFFFF"/>
        </w:rPr>
        <w:t>Modzeleski, W., &amp; Randazzo, M. R. (2018). School threat assessment in the USA: Lessons learned from 15 years of teaching and using the federal model to prevent school shootings. </w:t>
      </w:r>
      <w:r w:rsidRPr="008D6938">
        <w:rPr>
          <w:rFonts w:cstheme="minorHAnsi"/>
          <w:i/>
          <w:iCs/>
          <w:sz w:val="24"/>
          <w:shd w:val="clear" w:color="auto" w:fill="FFFFFF"/>
        </w:rPr>
        <w:t>Contemporary School Psychology</w:t>
      </w:r>
      <w:r w:rsidRPr="008D6938">
        <w:rPr>
          <w:rFonts w:cstheme="minorHAnsi"/>
          <w:sz w:val="24"/>
          <w:shd w:val="clear" w:color="auto" w:fill="FFFFFF"/>
        </w:rPr>
        <w:t>, </w:t>
      </w:r>
      <w:r w:rsidRPr="008D6938">
        <w:rPr>
          <w:rFonts w:cstheme="minorHAnsi"/>
          <w:i/>
          <w:iCs/>
          <w:sz w:val="24"/>
          <w:shd w:val="clear" w:color="auto" w:fill="FFFFFF"/>
        </w:rPr>
        <w:t>22</w:t>
      </w:r>
      <w:r w:rsidRPr="008D6938">
        <w:rPr>
          <w:rFonts w:cstheme="minorHAnsi"/>
          <w:sz w:val="24"/>
          <w:shd w:val="clear" w:color="auto" w:fill="FFFFFF"/>
        </w:rPr>
        <w:t>(2), 109–115.</w:t>
      </w:r>
      <w:r w:rsidR="002D236F">
        <w:rPr>
          <w:rFonts w:cstheme="minorHAnsi"/>
          <w:sz w:val="24"/>
          <w:shd w:val="clear" w:color="auto" w:fill="FFFFFF"/>
        </w:rPr>
        <w:t xml:space="preserve"> </w:t>
      </w:r>
      <w:hyperlink r:id="rId62" w:history="1">
        <w:r w:rsidR="002D236F" w:rsidRPr="00C61DE6">
          <w:rPr>
            <w:rStyle w:val="Hyperlink"/>
            <w:rFonts w:cstheme="minorHAnsi"/>
            <w:sz w:val="24"/>
            <w:shd w:val="clear" w:color="auto" w:fill="FFFFFF"/>
          </w:rPr>
          <w:t>https://doi.org/10.1007/s40688-018-0188-8</w:t>
        </w:r>
      </w:hyperlink>
    </w:p>
    <w:p w14:paraId="1AB28373" w14:textId="77777777" w:rsidR="00BE6BD3" w:rsidRDefault="00BE6BD3" w:rsidP="008D6938">
      <w:pPr>
        <w:spacing w:after="0" w:line="240" w:lineRule="auto"/>
        <w:ind w:left="720" w:hanging="720"/>
        <w:rPr>
          <w:rFonts w:cstheme="minorHAnsi"/>
          <w:sz w:val="24"/>
          <w:shd w:val="clear" w:color="auto" w:fill="FFFFFF"/>
        </w:rPr>
      </w:pPr>
    </w:p>
    <w:p w14:paraId="13F8997C" w14:textId="77777777" w:rsidR="00E64F0C" w:rsidRPr="00E64F0C" w:rsidRDefault="00E64F0C" w:rsidP="00E64F0C">
      <w:pPr>
        <w:spacing w:after="0" w:line="240" w:lineRule="auto"/>
        <w:ind w:left="720" w:hanging="720"/>
        <w:rPr>
          <w:rFonts w:cstheme="minorHAnsi"/>
          <w:sz w:val="24"/>
          <w:shd w:val="clear" w:color="auto" w:fill="FFFFFF"/>
        </w:rPr>
      </w:pPr>
      <w:r w:rsidRPr="00E64F0C">
        <w:rPr>
          <w:rFonts w:cstheme="minorHAnsi"/>
          <w:sz w:val="24"/>
          <w:shd w:val="clear" w:color="auto" w:fill="FFFFFF"/>
        </w:rPr>
        <w:t xml:space="preserve">Monahan, M. L., &amp; Shah, A. J. (2011). Having the right tools: The leadership frames of </w:t>
      </w:r>
    </w:p>
    <w:p w14:paraId="31C75541" w14:textId="7978A9B3" w:rsidR="00E64F0C" w:rsidRDefault="00E64F0C" w:rsidP="00E64F0C">
      <w:pPr>
        <w:spacing w:after="0" w:line="240" w:lineRule="auto"/>
        <w:ind w:left="720"/>
        <w:rPr>
          <w:rFonts w:cstheme="minorHAnsi"/>
          <w:sz w:val="24"/>
          <w:shd w:val="clear" w:color="auto" w:fill="FFFFFF"/>
        </w:rPr>
      </w:pPr>
      <w:r w:rsidRPr="00E64F0C">
        <w:rPr>
          <w:rFonts w:cstheme="minorHAnsi"/>
          <w:sz w:val="24"/>
          <w:shd w:val="clear" w:color="auto" w:fill="FFFFFF"/>
        </w:rPr>
        <w:t xml:space="preserve">university presidents. </w:t>
      </w:r>
      <w:r w:rsidRPr="00E64F0C">
        <w:rPr>
          <w:rFonts w:cstheme="minorHAnsi"/>
          <w:i/>
          <w:iCs/>
          <w:sz w:val="24"/>
          <w:shd w:val="clear" w:color="auto" w:fill="FFFFFF"/>
        </w:rPr>
        <w:t>The Coastal Business Journal, 10</w:t>
      </w:r>
      <w:r w:rsidRPr="00E64F0C">
        <w:rPr>
          <w:rFonts w:cstheme="minorHAnsi"/>
          <w:sz w:val="24"/>
          <w:shd w:val="clear" w:color="auto" w:fill="FFFFFF"/>
        </w:rPr>
        <w:t>(1), 14</w:t>
      </w:r>
      <w:r w:rsidRPr="008D6938">
        <w:rPr>
          <w:rFonts w:cstheme="minorHAnsi"/>
          <w:sz w:val="24"/>
          <w:shd w:val="clear" w:color="auto" w:fill="FFFFFF"/>
        </w:rPr>
        <w:t>–</w:t>
      </w:r>
      <w:r w:rsidRPr="00E64F0C">
        <w:rPr>
          <w:rFonts w:cstheme="minorHAnsi"/>
          <w:sz w:val="24"/>
          <w:shd w:val="clear" w:color="auto" w:fill="FFFFFF"/>
        </w:rPr>
        <w:t>30.</w:t>
      </w:r>
    </w:p>
    <w:p w14:paraId="72DDFB67" w14:textId="77777777" w:rsidR="00E64F0C" w:rsidRDefault="00E64F0C" w:rsidP="00AC5689">
      <w:pPr>
        <w:spacing w:after="0" w:line="240" w:lineRule="auto"/>
        <w:ind w:left="720" w:hanging="720"/>
        <w:rPr>
          <w:rFonts w:cstheme="minorHAnsi"/>
          <w:sz w:val="24"/>
          <w:shd w:val="clear" w:color="auto" w:fill="FFFFFF"/>
        </w:rPr>
      </w:pPr>
    </w:p>
    <w:p w14:paraId="227CAB79" w14:textId="77777777" w:rsidR="00D41370" w:rsidRPr="00AC5689" w:rsidRDefault="00D41370" w:rsidP="00D41370">
      <w:pPr>
        <w:spacing w:after="0" w:line="240" w:lineRule="auto"/>
        <w:ind w:left="720" w:hanging="720"/>
        <w:rPr>
          <w:rFonts w:cstheme="minorHAnsi"/>
          <w:sz w:val="24"/>
          <w:shd w:val="clear" w:color="auto" w:fill="FFFFFF"/>
        </w:rPr>
      </w:pPr>
      <w:r w:rsidRPr="00AC5689">
        <w:rPr>
          <w:rFonts w:cstheme="minorHAnsi"/>
          <w:sz w:val="24"/>
          <w:shd w:val="clear" w:color="auto" w:fill="FFFFFF"/>
        </w:rPr>
        <w:t xml:space="preserve">Muschert, G. W. (2007). Research in school shootings. </w:t>
      </w:r>
      <w:r w:rsidRPr="00AC5689">
        <w:rPr>
          <w:rFonts w:cstheme="minorHAnsi"/>
          <w:i/>
          <w:iCs/>
          <w:sz w:val="24"/>
          <w:shd w:val="clear" w:color="auto" w:fill="FFFFFF"/>
        </w:rPr>
        <w:t>Sociology Compass, 1</w:t>
      </w:r>
      <w:r w:rsidRPr="00AC5689">
        <w:rPr>
          <w:rFonts w:cstheme="minorHAnsi"/>
          <w:sz w:val="24"/>
          <w:shd w:val="clear" w:color="auto" w:fill="FFFFFF"/>
        </w:rPr>
        <w:t xml:space="preserve">(1), 60-80. </w:t>
      </w:r>
      <w:hyperlink r:id="rId63" w:history="1">
        <w:r w:rsidRPr="00C61DE6">
          <w:rPr>
            <w:rStyle w:val="Hyperlink"/>
            <w:rFonts w:cstheme="minorHAnsi"/>
            <w:sz w:val="24"/>
            <w:shd w:val="clear" w:color="auto" w:fill="FFFFFF"/>
          </w:rPr>
          <w:t>https://doi.org/10.1111/j.1751-9020.2007.00008.x</w:t>
        </w:r>
      </w:hyperlink>
    </w:p>
    <w:p w14:paraId="7E684D3D" w14:textId="77777777" w:rsidR="00AC5689" w:rsidRDefault="00AC5689" w:rsidP="00BE6BD3">
      <w:pPr>
        <w:spacing w:after="0" w:line="240" w:lineRule="auto"/>
        <w:ind w:left="720" w:hanging="720"/>
        <w:rPr>
          <w:rFonts w:cstheme="minorHAnsi"/>
          <w:sz w:val="24"/>
          <w:shd w:val="clear" w:color="auto" w:fill="FFFFFF"/>
        </w:rPr>
      </w:pPr>
    </w:p>
    <w:p w14:paraId="733FB6FF" w14:textId="54709746" w:rsidR="00BE6BD3" w:rsidRPr="00BE6BD3" w:rsidRDefault="00BE6BD3" w:rsidP="00BE6BD3">
      <w:pPr>
        <w:spacing w:after="0" w:line="240" w:lineRule="auto"/>
        <w:ind w:left="720" w:hanging="720"/>
        <w:rPr>
          <w:rFonts w:cstheme="minorHAnsi"/>
          <w:sz w:val="24"/>
          <w:shd w:val="clear" w:color="auto" w:fill="FFFFFF"/>
        </w:rPr>
      </w:pPr>
      <w:r w:rsidRPr="00BE6BD3">
        <w:rPr>
          <w:rFonts w:cstheme="minorHAnsi"/>
          <w:sz w:val="24"/>
          <w:shd w:val="clear" w:color="auto" w:fill="FFFFFF"/>
        </w:rPr>
        <w:t xml:space="preserve">Neutens, J. J., &amp; Rubinson, L. (2014). </w:t>
      </w:r>
      <w:r w:rsidRPr="00BE6BD3">
        <w:rPr>
          <w:rFonts w:cstheme="minorHAnsi"/>
          <w:i/>
          <w:sz w:val="24"/>
          <w:shd w:val="clear" w:color="auto" w:fill="FFFFFF"/>
        </w:rPr>
        <w:t>Research techniques for the health sciences</w:t>
      </w:r>
      <w:r w:rsidRPr="00BE6BD3">
        <w:rPr>
          <w:rFonts w:cstheme="minorHAnsi"/>
          <w:sz w:val="24"/>
          <w:shd w:val="clear" w:color="auto" w:fill="FFFFFF"/>
        </w:rPr>
        <w:t xml:space="preserve">. Pearson. </w:t>
      </w:r>
    </w:p>
    <w:p w14:paraId="6E5C5AD5" w14:textId="77777777" w:rsidR="00BE6BD3" w:rsidRPr="00BE6BD3" w:rsidRDefault="00BE6BD3" w:rsidP="00BE6BD3">
      <w:pPr>
        <w:spacing w:after="0" w:line="240" w:lineRule="auto"/>
        <w:ind w:left="720" w:hanging="720"/>
        <w:rPr>
          <w:rFonts w:cstheme="minorHAnsi"/>
          <w:sz w:val="24"/>
          <w:shd w:val="clear" w:color="auto" w:fill="FFFFFF"/>
        </w:rPr>
      </w:pPr>
    </w:p>
    <w:p w14:paraId="68158381" w14:textId="2B8C9DC0" w:rsidR="00BE6BD3" w:rsidRPr="00BE6BD3" w:rsidRDefault="00BE6BD3" w:rsidP="00BE6BD3">
      <w:pPr>
        <w:spacing w:after="0" w:line="240" w:lineRule="auto"/>
        <w:ind w:left="720" w:hanging="720"/>
        <w:rPr>
          <w:rFonts w:cstheme="minorHAnsi"/>
          <w:sz w:val="24"/>
          <w:shd w:val="clear" w:color="auto" w:fill="FFFFFF"/>
        </w:rPr>
      </w:pPr>
      <w:bookmarkStart w:id="22" w:name="_Hlk119336151"/>
      <w:r w:rsidRPr="00BE6BD3">
        <w:rPr>
          <w:rFonts w:cstheme="minorHAnsi"/>
          <w:sz w:val="24"/>
          <w:shd w:val="clear" w:color="auto" w:fill="FFFFFF"/>
        </w:rPr>
        <w:t>Nobel, H., &amp; Heale, R. (2019</w:t>
      </w:r>
      <w:bookmarkEnd w:id="22"/>
      <w:r w:rsidRPr="00BE6BD3">
        <w:rPr>
          <w:rFonts w:cstheme="minorHAnsi"/>
          <w:sz w:val="24"/>
          <w:shd w:val="clear" w:color="auto" w:fill="FFFFFF"/>
        </w:rPr>
        <w:t xml:space="preserve">). Triangulation in research, with examples. </w:t>
      </w:r>
      <w:r w:rsidRPr="00BE6BD3">
        <w:rPr>
          <w:rFonts w:cstheme="minorHAnsi"/>
          <w:i/>
          <w:iCs/>
          <w:sz w:val="24"/>
          <w:shd w:val="clear" w:color="auto" w:fill="FFFFFF"/>
        </w:rPr>
        <w:t>Evid</w:t>
      </w:r>
      <w:r w:rsidR="002D236F">
        <w:rPr>
          <w:rFonts w:cstheme="minorHAnsi"/>
          <w:i/>
          <w:iCs/>
          <w:sz w:val="24"/>
          <w:shd w:val="clear" w:color="auto" w:fill="FFFFFF"/>
        </w:rPr>
        <w:t>ence</w:t>
      </w:r>
      <w:r w:rsidRPr="00BE6BD3">
        <w:rPr>
          <w:rFonts w:cstheme="minorHAnsi"/>
          <w:i/>
          <w:iCs/>
          <w:sz w:val="24"/>
          <w:shd w:val="clear" w:color="auto" w:fill="FFFFFF"/>
        </w:rPr>
        <w:t xml:space="preserve"> Based Nurs</w:t>
      </w:r>
      <w:r w:rsidR="002D236F">
        <w:rPr>
          <w:rFonts w:cstheme="minorHAnsi"/>
          <w:i/>
          <w:iCs/>
          <w:sz w:val="24"/>
          <w:shd w:val="clear" w:color="auto" w:fill="FFFFFF"/>
        </w:rPr>
        <w:t>ing</w:t>
      </w:r>
      <w:r w:rsidRPr="00BE6BD3">
        <w:rPr>
          <w:rFonts w:cstheme="minorHAnsi"/>
          <w:i/>
          <w:iCs/>
          <w:sz w:val="24"/>
          <w:shd w:val="clear" w:color="auto" w:fill="FFFFFF"/>
        </w:rPr>
        <w:t>, 22</w:t>
      </w:r>
      <w:r w:rsidRPr="00BE6BD3">
        <w:rPr>
          <w:rFonts w:cstheme="minorHAnsi"/>
          <w:sz w:val="24"/>
          <w:shd w:val="clear" w:color="auto" w:fill="FFFFFF"/>
        </w:rPr>
        <w:t>(3), 67</w:t>
      </w:r>
      <w:r w:rsidR="002D236F" w:rsidRPr="00AC5689">
        <w:rPr>
          <w:rFonts w:cstheme="minorHAnsi"/>
          <w:sz w:val="24"/>
          <w:szCs w:val="24"/>
        </w:rPr>
        <w:t>–</w:t>
      </w:r>
      <w:r w:rsidRPr="00BE6BD3">
        <w:rPr>
          <w:rFonts w:cstheme="minorHAnsi"/>
          <w:sz w:val="24"/>
          <w:shd w:val="clear" w:color="auto" w:fill="FFFFFF"/>
        </w:rPr>
        <w:t xml:space="preserve">68. </w:t>
      </w:r>
      <w:hyperlink r:id="rId64" w:history="1">
        <w:r w:rsidRPr="00C61DE6">
          <w:rPr>
            <w:rStyle w:val="Hyperlink"/>
            <w:rFonts w:cstheme="minorHAnsi"/>
            <w:sz w:val="24"/>
            <w:shd w:val="clear" w:color="auto" w:fill="FFFFFF"/>
          </w:rPr>
          <w:t>https://doi.org/10.1136/ebnurs-2019-103145</w:t>
        </w:r>
      </w:hyperlink>
    </w:p>
    <w:p w14:paraId="65FF69E2" w14:textId="77777777" w:rsidR="00BE6BD3" w:rsidRDefault="00BE6BD3" w:rsidP="008D6938">
      <w:pPr>
        <w:spacing w:after="0" w:line="240" w:lineRule="auto"/>
        <w:ind w:left="720" w:hanging="720"/>
        <w:rPr>
          <w:rFonts w:cstheme="minorHAnsi"/>
          <w:sz w:val="24"/>
          <w:shd w:val="clear" w:color="auto" w:fill="FFFFFF"/>
        </w:rPr>
      </w:pPr>
    </w:p>
    <w:p w14:paraId="76FC0F30" w14:textId="01255685" w:rsidR="00AC5689" w:rsidRPr="00AC5689" w:rsidRDefault="00AC5689" w:rsidP="00AC5689">
      <w:pPr>
        <w:spacing w:after="0" w:line="240" w:lineRule="auto"/>
        <w:ind w:left="720" w:hanging="720"/>
        <w:rPr>
          <w:rFonts w:cstheme="minorHAnsi"/>
          <w:sz w:val="24"/>
          <w:szCs w:val="24"/>
        </w:rPr>
      </w:pPr>
      <w:r w:rsidRPr="00AC5689">
        <w:rPr>
          <w:rFonts w:cstheme="minorHAnsi"/>
          <w:sz w:val="24"/>
          <w:szCs w:val="24"/>
        </w:rPr>
        <w:t>Nolan, J. J., &amp; Moncure, T. J. (2012). The legal side of campus threat assessment and management: what student counselors need to know. </w:t>
      </w:r>
      <w:r w:rsidRPr="00AC5689">
        <w:rPr>
          <w:rFonts w:cstheme="minorHAnsi"/>
          <w:i/>
          <w:iCs/>
          <w:sz w:val="24"/>
          <w:szCs w:val="24"/>
        </w:rPr>
        <w:t xml:space="preserve">Journal of </w:t>
      </w:r>
      <w:r w:rsidR="00B57EBD">
        <w:rPr>
          <w:rFonts w:cstheme="minorHAnsi"/>
          <w:i/>
          <w:iCs/>
          <w:sz w:val="24"/>
          <w:szCs w:val="24"/>
        </w:rPr>
        <w:t>C</w:t>
      </w:r>
      <w:r w:rsidRPr="00AC5689">
        <w:rPr>
          <w:rFonts w:cstheme="minorHAnsi"/>
          <w:i/>
          <w:iCs/>
          <w:sz w:val="24"/>
          <w:szCs w:val="24"/>
        </w:rPr>
        <w:t xml:space="preserve">ollege </w:t>
      </w:r>
      <w:r w:rsidR="00B57EBD">
        <w:rPr>
          <w:rFonts w:cstheme="minorHAnsi"/>
          <w:i/>
          <w:iCs/>
          <w:sz w:val="24"/>
          <w:szCs w:val="24"/>
        </w:rPr>
        <w:t>S</w:t>
      </w:r>
      <w:r w:rsidRPr="00AC5689">
        <w:rPr>
          <w:rFonts w:cstheme="minorHAnsi"/>
          <w:i/>
          <w:iCs/>
          <w:sz w:val="24"/>
          <w:szCs w:val="24"/>
        </w:rPr>
        <w:t xml:space="preserve">tudent </w:t>
      </w:r>
      <w:r w:rsidR="00B57EBD">
        <w:rPr>
          <w:rFonts w:cstheme="minorHAnsi"/>
          <w:i/>
          <w:iCs/>
          <w:sz w:val="24"/>
          <w:szCs w:val="24"/>
        </w:rPr>
        <w:t>P</w:t>
      </w:r>
      <w:r w:rsidRPr="00AC5689">
        <w:rPr>
          <w:rFonts w:cstheme="minorHAnsi"/>
          <w:i/>
          <w:iCs/>
          <w:sz w:val="24"/>
          <w:szCs w:val="24"/>
        </w:rPr>
        <w:t>sychotherapy</w:t>
      </w:r>
      <w:r w:rsidRPr="00AC5689">
        <w:rPr>
          <w:rFonts w:cstheme="minorHAnsi"/>
          <w:sz w:val="24"/>
          <w:szCs w:val="24"/>
        </w:rPr>
        <w:t>, </w:t>
      </w:r>
      <w:r w:rsidRPr="00AC5689">
        <w:rPr>
          <w:rFonts w:cstheme="minorHAnsi"/>
          <w:i/>
          <w:iCs/>
          <w:sz w:val="24"/>
          <w:szCs w:val="24"/>
        </w:rPr>
        <w:t>26</w:t>
      </w:r>
      <w:r w:rsidRPr="00AC5689">
        <w:rPr>
          <w:rFonts w:cstheme="minorHAnsi"/>
          <w:sz w:val="24"/>
          <w:szCs w:val="24"/>
        </w:rPr>
        <w:t>(4), 322–340.</w:t>
      </w:r>
    </w:p>
    <w:p w14:paraId="3EDF9A9A" w14:textId="77777777" w:rsidR="00AC5689" w:rsidRPr="00AC5689" w:rsidRDefault="00AC5689" w:rsidP="00AC5689">
      <w:pPr>
        <w:spacing w:after="0" w:line="240" w:lineRule="auto"/>
        <w:ind w:left="720" w:hanging="720"/>
        <w:rPr>
          <w:rFonts w:cstheme="minorHAnsi"/>
          <w:sz w:val="24"/>
          <w:szCs w:val="24"/>
        </w:rPr>
      </w:pPr>
    </w:p>
    <w:p w14:paraId="233ACAA8" w14:textId="47ACA7D3" w:rsidR="00AC5689" w:rsidRPr="00AC5689" w:rsidRDefault="00AC5689" w:rsidP="00AC5689">
      <w:pPr>
        <w:spacing w:after="0" w:line="240" w:lineRule="auto"/>
        <w:ind w:left="720" w:hanging="720"/>
        <w:rPr>
          <w:rFonts w:cstheme="minorHAnsi"/>
          <w:sz w:val="24"/>
          <w:szCs w:val="24"/>
        </w:rPr>
      </w:pPr>
      <w:r w:rsidRPr="00AC5689">
        <w:rPr>
          <w:rFonts w:cstheme="minorHAnsi"/>
          <w:sz w:val="24"/>
          <w:szCs w:val="24"/>
        </w:rPr>
        <w:t xml:space="preserve">Northern Illinois Review Panel (2008). </w:t>
      </w:r>
      <w:hyperlink r:id="rId65" w:history="1">
        <w:r w:rsidRPr="00C61DE6">
          <w:rPr>
            <w:rStyle w:val="Hyperlink"/>
            <w:rFonts w:cstheme="minorHAnsi"/>
            <w:sz w:val="24"/>
            <w:szCs w:val="24"/>
          </w:rPr>
          <w:t>https://www.niu.edu/forward/_pdfs/archives/feb14report.pdf</w:t>
        </w:r>
      </w:hyperlink>
    </w:p>
    <w:p w14:paraId="217D582A" w14:textId="77777777" w:rsidR="00AC5689" w:rsidRPr="00AC5689" w:rsidRDefault="00AC5689" w:rsidP="00AC5689">
      <w:pPr>
        <w:spacing w:after="0" w:line="240" w:lineRule="auto"/>
        <w:ind w:left="720" w:hanging="720"/>
        <w:rPr>
          <w:rFonts w:cstheme="minorHAnsi"/>
          <w:sz w:val="24"/>
          <w:szCs w:val="24"/>
        </w:rPr>
      </w:pPr>
    </w:p>
    <w:p w14:paraId="60AC0186" w14:textId="5D4879B1" w:rsidR="00AC5689" w:rsidRPr="00AC5689" w:rsidRDefault="00AC5689" w:rsidP="00AC5689">
      <w:pPr>
        <w:spacing w:after="0" w:line="240" w:lineRule="auto"/>
        <w:ind w:left="720" w:hanging="720"/>
        <w:rPr>
          <w:rFonts w:cstheme="minorHAnsi"/>
          <w:sz w:val="24"/>
          <w:szCs w:val="24"/>
        </w:rPr>
      </w:pPr>
      <w:r w:rsidRPr="00AC5689">
        <w:rPr>
          <w:rFonts w:cstheme="minorHAnsi"/>
          <w:sz w:val="24"/>
          <w:szCs w:val="24"/>
        </w:rPr>
        <w:t>Office of Safe Schools, (2020).</w:t>
      </w:r>
      <w:r w:rsidRPr="00AC5689">
        <w:rPr>
          <w:rFonts w:cstheme="minorHAnsi"/>
          <w:i/>
          <w:iCs/>
          <w:sz w:val="24"/>
          <w:szCs w:val="24"/>
        </w:rPr>
        <w:t xml:space="preserve"> Model behavioral threat assessment policies and best practices for K-12 Schools. </w:t>
      </w:r>
      <w:hyperlink r:id="rId66" w:history="1">
        <w:r w:rsidR="002D236F" w:rsidRPr="00C61DE6">
          <w:rPr>
            <w:rStyle w:val="Hyperlink"/>
            <w:rFonts w:cstheme="minorHAnsi"/>
            <w:sz w:val="24"/>
            <w:szCs w:val="24"/>
          </w:rPr>
          <w:t>h</w:t>
        </w:r>
        <w:r w:rsidRPr="00C61DE6">
          <w:rPr>
            <w:rStyle w:val="Hyperlink"/>
            <w:rFonts w:cstheme="minorHAnsi"/>
            <w:sz w:val="24"/>
            <w:szCs w:val="24"/>
          </w:rPr>
          <w:t>ttps://www.fldoe.org/core/fileparse.php/18612/urlt/threatassessment-model-policies.pdf</w:t>
        </w:r>
      </w:hyperlink>
      <w:r w:rsidRPr="00AC5689">
        <w:rPr>
          <w:rFonts w:cstheme="minorHAnsi"/>
          <w:sz w:val="24"/>
          <w:szCs w:val="24"/>
        </w:rPr>
        <w:t xml:space="preserve"> </w:t>
      </w:r>
    </w:p>
    <w:p w14:paraId="551CFE8E" w14:textId="77777777" w:rsidR="00AC5689" w:rsidRDefault="00AC5689" w:rsidP="008D6938">
      <w:pPr>
        <w:spacing w:after="0" w:line="240" w:lineRule="auto"/>
        <w:ind w:left="720" w:hanging="720"/>
        <w:rPr>
          <w:rFonts w:cstheme="minorHAnsi"/>
          <w:sz w:val="24"/>
          <w:szCs w:val="24"/>
        </w:rPr>
      </w:pPr>
    </w:p>
    <w:p w14:paraId="66F804E4" w14:textId="25AFE4EB"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Okada, D.T., &amp; Pollard, J.W. (2021). Community-</w:t>
      </w:r>
      <w:r w:rsidR="001A112C">
        <w:rPr>
          <w:rFonts w:cstheme="minorHAnsi"/>
          <w:sz w:val="24"/>
          <w:szCs w:val="24"/>
        </w:rPr>
        <w:t>b</w:t>
      </w:r>
      <w:r w:rsidRPr="008D6938">
        <w:rPr>
          <w:rFonts w:cstheme="minorHAnsi"/>
          <w:sz w:val="24"/>
          <w:szCs w:val="24"/>
        </w:rPr>
        <w:t xml:space="preserve">ased </w:t>
      </w:r>
      <w:r w:rsidR="001A112C">
        <w:rPr>
          <w:rFonts w:cstheme="minorHAnsi"/>
          <w:sz w:val="24"/>
          <w:szCs w:val="24"/>
        </w:rPr>
        <w:t>t</w:t>
      </w:r>
      <w:r w:rsidRPr="008D6938">
        <w:rPr>
          <w:rFonts w:cstheme="minorHAnsi"/>
          <w:sz w:val="24"/>
          <w:szCs w:val="24"/>
        </w:rPr>
        <w:t xml:space="preserve">hreat </w:t>
      </w:r>
      <w:r w:rsidR="001A112C">
        <w:rPr>
          <w:rFonts w:cstheme="minorHAnsi"/>
          <w:sz w:val="24"/>
          <w:szCs w:val="24"/>
        </w:rPr>
        <w:t>a</w:t>
      </w:r>
      <w:r w:rsidRPr="008D6938">
        <w:rPr>
          <w:rFonts w:cstheme="minorHAnsi"/>
          <w:sz w:val="24"/>
          <w:szCs w:val="24"/>
        </w:rPr>
        <w:t xml:space="preserve">ssessment and </w:t>
      </w:r>
      <w:r w:rsidR="001A112C">
        <w:rPr>
          <w:rFonts w:cstheme="minorHAnsi"/>
          <w:sz w:val="24"/>
          <w:szCs w:val="24"/>
        </w:rPr>
        <w:t>h</w:t>
      </w:r>
      <w:r w:rsidRPr="008D6938">
        <w:rPr>
          <w:rFonts w:cstheme="minorHAnsi"/>
          <w:sz w:val="24"/>
          <w:szCs w:val="24"/>
        </w:rPr>
        <w:t xml:space="preserve">igher </w:t>
      </w:r>
      <w:r w:rsidR="001A112C">
        <w:rPr>
          <w:rFonts w:cstheme="minorHAnsi"/>
          <w:sz w:val="24"/>
          <w:szCs w:val="24"/>
        </w:rPr>
        <w:t>e</w:t>
      </w:r>
      <w:r w:rsidRPr="008D6938">
        <w:rPr>
          <w:rFonts w:cstheme="minorHAnsi"/>
          <w:sz w:val="24"/>
          <w:szCs w:val="24"/>
        </w:rPr>
        <w:t xml:space="preserve">ducation. </w:t>
      </w:r>
      <w:r w:rsidRPr="008D6938">
        <w:rPr>
          <w:rFonts w:cstheme="minorHAnsi"/>
          <w:i/>
          <w:iCs/>
          <w:sz w:val="24"/>
          <w:szCs w:val="24"/>
        </w:rPr>
        <w:t>Journal of College Student Psychotherapy, 35</w:t>
      </w:r>
      <w:r w:rsidRPr="008D6938">
        <w:rPr>
          <w:rFonts w:cstheme="minorHAnsi"/>
          <w:sz w:val="24"/>
          <w:szCs w:val="24"/>
        </w:rPr>
        <w:t>(4), 406–417.</w:t>
      </w:r>
      <w:r w:rsidR="002D236F">
        <w:rPr>
          <w:rFonts w:cstheme="minorHAnsi"/>
          <w:sz w:val="24"/>
          <w:szCs w:val="24"/>
        </w:rPr>
        <w:t xml:space="preserve"> </w:t>
      </w:r>
      <w:hyperlink r:id="rId67" w:history="1">
        <w:r w:rsidR="002D236F" w:rsidRPr="00C61DE6">
          <w:rPr>
            <w:rStyle w:val="Hyperlink"/>
            <w:rFonts w:cstheme="minorHAnsi"/>
            <w:sz w:val="24"/>
            <w:szCs w:val="24"/>
          </w:rPr>
          <w:t>https://doi.org/10.1080/87568225.2020.1753609</w:t>
        </w:r>
      </w:hyperlink>
    </w:p>
    <w:p w14:paraId="53E07F7C" w14:textId="77777777" w:rsidR="008D6938" w:rsidRDefault="008D6938" w:rsidP="008D6938">
      <w:pPr>
        <w:spacing w:after="0" w:line="240" w:lineRule="auto"/>
        <w:ind w:left="720" w:hanging="720"/>
        <w:rPr>
          <w:rFonts w:cstheme="minorHAnsi"/>
          <w:sz w:val="24"/>
          <w:szCs w:val="24"/>
        </w:rPr>
      </w:pPr>
    </w:p>
    <w:p w14:paraId="408E76F0" w14:textId="19F93BD0" w:rsidR="00DD7D17" w:rsidRPr="00C61DE6" w:rsidRDefault="00DD7D17" w:rsidP="008D6938">
      <w:pPr>
        <w:spacing w:after="0" w:line="240" w:lineRule="auto"/>
        <w:ind w:left="720" w:hanging="720"/>
        <w:rPr>
          <w:rFonts w:cstheme="minorHAnsi"/>
          <w:sz w:val="24"/>
          <w:szCs w:val="24"/>
        </w:rPr>
      </w:pPr>
      <w:r w:rsidRPr="00C61DE6">
        <w:rPr>
          <w:rFonts w:cstheme="minorHAnsi"/>
          <w:sz w:val="24"/>
          <w:szCs w:val="24"/>
        </w:rPr>
        <w:t>Olzak, S. (2023). School shootings, protests, and the gun culture in the United States. Social Forces, 102(1), 116–138.</w:t>
      </w:r>
    </w:p>
    <w:p w14:paraId="733DD6D9" w14:textId="45B39783" w:rsidR="00DD7D17" w:rsidRPr="00C61DE6" w:rsidRDefault="00DD7D17" w:rsidP="008D6938">
      <w:pPr>
        <w:spacing w:after="0" w:line="240" w:lineRule="auto"/>
        <w:ind w:left="720" w:hanging="720"/>
        <w:rPr>
          <w:rFonts w:cstheme="minorHAnsi"/>
          <w:sz w:val="24"/>
          <w:szCs w:val="24"/>
        </w:rPr>
      </w:pPr>
      <w:r w:rsidRPr="00C61DE6">
        <w:rPr>
          <w:rFonts w:cstheme="minorHAnsi"/>
          <w:sz w:val="24"/>
          <w:szCs w:val="24"/>
        </w:rPr>
        <w:tab/>
      </w:r>
      <w:hyperlink r:id="rId68" w:history="1">
        <w:r w:rsidRPr="00C61DE6">
          <w:rPr>
            <w:rStyle w:val="Hyperlink"/>
            <w:rFonts w:cstheme="minorHAnsi"/>
            <w:color w:val="006FB7"/>
            <w:sz w:val="24"/>
            <w:szCs w:val="24"/>
            <w:bdr w:val="none" w:sz="0" w:space="0" w:color="auto" w:frame="1"/>
            <w:shd w:val="clear" w:color="auto" w:fill="FFFFFF"/>
          </w:rPr>
          <w:t>https://doi.org/10.1093/sf/soad019</w:t>
        </w:r>
      </w:hyperlink>
    </w:p>
    <w:p w14:paraId="27BEC03C" w14:textId="77777777" w:rsidR="00DD7D17" w:rsidRPr="008D6938" w:rsidRDefault="00DD7D17" w:rsidP="008D6938">
      <w:pPr>
        <w:spacing w:after="0" w:line="240" w:lineRule="auto"/>
        <w:ind w:left="720" w:hanging="720"/>
        <w:rPr>
          <w:rFonts w:cstheme="minorHAnsi"/>
          <w:sz w:val="24"/>
          <w:szCs w:val="24"/>
        </w:rPr>
      </w:pPr>
    </w:p>
    <w:p w14:paraId="60A90318" w14:textId="77777777" w:rsidR="00AC5689" w:rsidRPr="00AC5689" w:rsidRDefault="00AC5689" w:rsidP="00AC5689">
      <w:pPr>
        <w:spacing w:after="0" w:line="240" w:lineRule="auto"/>
        <w:ind w:left="720" w:hanging="720"/>
        <w:rPr>
          <w:rFonts w:cstheme="minorHAnsi"/>
          <w:sz w:val="24"/>
          <w:szCs w:val="24"/>
        </w:rPr>
      </w:pPr>
      <w:r w:rsidRPr="00AC5689">
        <w:rPr>
          <w:rFonts w:cstheme="minorHAnsi"/>
          <w:sz w:val="24"/>
          <w:szCs w:val="24"/>
        </w:rPr>
        <w:t xml:space="preserve">O’Neill, D., Fox, J. A., Depue, R., &amp; Englander, E. (2008). </w:t>
      </w:r>
      <w:r w:rsidRPr="00AC5689">
        <w:rPr>
          <w:rFonts w:cstheme="minorHAnsi"/>
          <w:i/>
          <w:iCs/>
          <w:sz w:val="24"/>
          <w:szCs w:val="24"/>
        </w:rPr>
        <w:t xml:space="preserve">Campus violence prevention and response: best practices for Massachusetts Higher Education. </w:t>
      </w:r>
      <w:r w:rsidRPr="00AC5689">
        <w:rPr>
          <w:rFonts w:cstheme="minorHAnsi"/>
          <w:sz w:val="24"/>
          <w:szCs w:val="24"/>
        </w:rPr>
        <w:t>Massachusetts Department of Higher Education.</w:t>
      </w:r>
    </w:p>
    <w:p w14:paraId="4EE891B9" w14:textId="77777777" w:rsidR="00AC5689" w:rsidRPr="00AC5689" w:rsidRDefault="00AC5689" w:rsidP="00AC5689">
      <w:pPr>
        <w:spacing w:after="0" w:line="240" w:lineRule="auto"/>
        <w:ind w:left="720" w:hanging="720"/>
        <w:rPr>
          <w:rFonts w:cstheme="minorHAnsi"/>
          <w:sz w:val="24"/>
          <w:szCs w:val="24"/>
        </w:rPr>
      </w:pPr>
    </w:p>
    <w:p w14:paraId="4B2B5686" w14:textId="77777777" w:rsidR="00AC5689" w:rsidRPr="00AC5689" w:rsidRDefault="00AC5689" w:rsidP="00AC5689">
      <w:pPr>
        <w:spacing w:after="0" w:line="240" w:lineRule="auto"/>
        <w:ind w:left="720" w:hanging="720"/>
        <w:rPr>
          <w:rFonts w:eastAsia="Times New Roman" w:cstheme="minorHAnsi"/>
          <w:sz w:val="24"/>
          <w:szCs w:val="24"/>
          <w:shd w:val="clear" w:color="auto" w:fill="FFFFFF"/>
        </w:rPr>
      </w:pPr>
      <w:r w:rsidRPr="00AC5689">
        <w:rPr>
          <w:rFonts w:eastAsia="Times New Roman" w:cstheme="minorHAnsi"/>
          <w:sz w:val="24"/>
          <w:szCs w:val="24"/>
          <w:shd w:val="clear" w:color="auto" w:fill="FFFFFF"/>
        </w:rPr>
        <w:t xml:space="preserve">O’Toole, M.E. (1999). </w:t>
      </w:r>
      <w:r w:rsidRPr="00AC5689">
        <w:rPr>
          <w:rFonts w:eastAsia="Times New Roman" w:cstheme="minorHAnsi"/>
          <w:i/>
          <w:iCs/>
          <w:sz w:val="24"/>
          <w:szCs w:val="24"/>
          <w:shd w:val="clear" w:color="auto" w:fill="FFFFFF"/>
        </w:rPr>
        <w:t>The school shooter: A threat assessment perspective.</w:t>
      </w:r>
      <w:r w:rsidRPr="00AC5689">
        <w:rPr>
          <w:rFonts w:eastAsia="Times New Roman" w:cstheme="minorHAnsi"/>
          <w:sz w:val="24"/>
          <w:szCs w:val="24"/>
          <w:shd w:val="clear" w:color="auto" w:fill="FFFFFF"/>
        </w:rPr>
        <w:t xml:space="preserve"> National Center for the Analysis of Violent Crime, Federal Bureau of Investigation.</w:t>
      </w:r>
    </w:p>
    <w:p w14:paraId="25D5C103" w14:textId="77777777" w:rsidR="00CF51A2" w:rsidRDefault="00CF51A2" w:rsidP="00CF51A2">
      <w:pPr>
        <w:spacing w:after="0" w:line="240" w:lineRule="auto"/>
        <w:ind w:left="720" w:hanging="720"/>
        <w:rPr>
          <w:rFonts w:cstheme="minorHAnsi"/>
          <w:sz w:val="24"/>
          <w:szCs w:val="24"/>
        </w:rPr>
      </w:pPr>
    </w:p>
    <w:p w14:paraId="6E7C163C" w14:textId="4E441B3D"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Paludi, M. (2008), </w:t>
      </w:r>
      <w:r w:rsidRPr="00CF51A2">
        <w:rPr>
          <w:rFonts w:cstheme="minorHAnsi"/>
          <w:i/>
          <w:iCs/>
          <w:sz w:val="24"/>
          <w:szCs w:val="24"/>
        </w:rPr>
        <w:t>Understanding and Preventing Campus Violence.</w:t>
      </w:r>
      <w:r w:rsidRPr="00CF51A2">
        <w:rPr>
          <w:rFonts w:cstheme="minorHAnsi"/>
          <w:sz w:val="24"/>
          <w:szCs w:val="24"/>
        </w:rPr>
        <w:t xml:space="preserve"> Praeger.</w:t>
      </w:r>
    </w:p>
    <w:p w14:paraId="296DF170" w14:textId="77777777" w:rsidR="00CF51A2" w:rsidRPr="00CF51A2" w:rsidRDefault="00CF51A2" w:rsidP="00CF51A2">
      <w:pPr>
        <w:spacing w:after="0" w:line="240" w:lineRule="auto"/>
        <w:ind w:left="720" w:hanging="720"/>
        <w:rPr>
          <w:rFonts w:cstheme="minorHAnsi"/>
          <w:sz w:val="24"/>
          <w:szCs w:val="24"/>
        </w:rPr>
      </w:pPr>
    </w:p>
    <w:p w14:paraId="79D4100E" w14:textId="00BA427B" w:rsidR="00CF51A2" w:rsidRPr="00CF51A2" w:rsidRDefault="00CF51A2" w:rsidP="00CF51A2">
      <w:pPr>
        <w:spacing w:after="0" w:line="240" w:lineRule="auto"/>
        <w:ind w:left="720" w:hanging="720"/>
        <w:rPr>
          <w:rFonts w:ascii="Calibri" w:eastAsia="Calibri" w:hAnsi="Calibri" w:cs="Times New Roman"/>
          <w:sz w:val="24"/>
          <w:szCs w:val="24"/>
        </w:rPr>
      </w:pPr>
      <w:r w:rsidRPr="00CF51A2">
        <w:rPr>
          <w:rFonts w:ascii="Calibri" w:eastAsia="Calibri" w:hAnsi="Calibri" w:cs="Times New Roman"/>
          <w:sz w:val="24"/>
          <w:szCs w:val="24"/>
        </w:rPr>
        <w:t xml:space="preserve">Particulars of the late duel, fought at Hoboken, July 11, between Aaron Burr and Alexander Hamilton, Sears., in which the latter unfortunately fell. Containing all the papers relating to that event, together with the will of Gen. Hamilton, and the letters of Bishop Moore, and the Rev. J.M. Mason. [One line of quotation]. (1804). New York City, New York: Printed by A. Forman, 91, Beekman-Street. </w:t>
      </w:r>
      <w:hyperlink r:id="rId69" w:history="1">
        <w:r w:rsidRPr="00C61DE6">
          <w:rPr>
            <w:rStyle w:val="Hyperlink"/>
            <w:rFonts w:ascii="Calibri" w:eastAsia="Calibri" w:hAnsi="Calibri" w:cs="Times New Roman"/>
            <w:sz w:val="24"/>
            <w:szCs w:val="24"/>
          </w:rPr>
          <w:t>http://infoweb.newsbank.com.proxy.lib.utk.edu:90/apps/readex/doc?p=ARDX&amp;docref=image/v2:0F2B1FCB879B099B@EAIX-104404EBAB44EF50@6991-06E1D25439F6DE0@1.</w:t>
        </w:r>
      </w:hyperlink>
    </w:p>
    <w:p w14:paraId="3562E723" w14:textId="77777777" w:rsidR="00CF51A2" w:rsidRDefault="00CF51A2" w:rsidP="00CF51A2">
      <w:pPr>
        <w:spacing w:after="0" w:line="240" w:lineRule="auto"/>
        <w:ind w:left="720" w:hanging="720"/>
        <w:rPr>
          <w:rFonts w:cstheme="minorHAnsi"/>
          <w:sz w:val="24"/>
          <w:szCs w:val="24"/>
        </w:rPr>
      </w:pPr>
    </w:p>
    <w:p w14:paraId="66879E06" w14:textId="3BD68147" w:rsidR="008D6938" w:rsidRPr="008D6938" w:rsidRDefault="008D6938" w:rsidP="00CF51A2">
      <w:pPr>
        <w:spacing w:after="0" w:line="240" w:lineRule="auto"/>
        <w:ind w:left="720" w:hanging="720"/>
        <w:rPr>
          <w:rFonts w:cstheme="minorHAnsi"/>
          <w:sz w:val="24"/>
          <w:szCs w:val="24"/>
        </w:rPr>
      </w:pPr>
      <w:r w:rsidRPr="008D6938">
        <w:rPr>
          <w:rFonts w:cstheme="minorHAnsi"/>
          <w:sz w:val="24"/>
          <w:szCs w:val="24"/>
        </w:rPr>
        <w:t xml:space="preserve">Paterson, J. (2020). Safety </w:t>
      </w:r>
      <w:r w:rsidR="001A112C">
        <w:rPr>
          <w:rFonts w:cstheme="minorHAnsi"/>
          <w:sz w:val="24"/>
          <w:szCs w:val="24"/>
        </w:rPr>
        <w:t>s</w:t>
      </w:r>
      <w:r w:rsidRPr="008D6938">
        <w:rPr>
          <w:rFonts w:cstheme="minorHAnsi"/>
          <w:sz w:val="24"/>
          <w:szCs w:val="24"/>
        </w:rPr>
        <w:t>cene. </w:t>
      </w:r>
      <w:r w:rsidRPr="008D6938">
        <w:rPr>
          <w:rFonts w:cstheme="minorHAnsi"/>
          <w:i/>
          <w:iCs/>
          <w:sz w:val="24"/>
          <w:szCs w:val="24"/>
        </w:rPr>
        <w:t>Journal of College Admission</w:t>
      </w:r>
      <w:r w:rsidRPr="008D6938">
        <w:rPr>
          <w:rFonts w:cstheme="minorHAnsi"/>
          <w:sz w:val="24"/>
          <w:szCs w:val="24"/>
        </w:rPr>
        <w:t>, </w:t>
      </w:r>
      <w:r w:rsidRPr="008D6938">
        <w:rPr>
          <w:rFonts w:cstheme="minorHAnsi"/>
          <w:i/>
          <w:iCs/>
          <w:sz w:val="24"/>
          <w:szCs w:val="24"/>
        </w:rPr>
        <w:t>246</w:t>
      </w:r>
      <w:r w:rsidRPr="008D6938">
        <w:rPr>
          <w:rFonts w:cstheme="minorHAnsi"/>
          <w:sz w:val="24"/>
          <w:szCs w:val="24"/>
        </w:rPr>
        <w:t>, 32–37.</w:t>
      </w:r>
    </w:p>
    <w:p w14:paraId="67CAB804" w14:textId="77777777" w:rsidR="00CF51A2" w:rsidRDefault="00CF51A2" w:rsidP="00BE6BD3">
      <w:pPr>
        <w:spacing w:after="0" w:line="240" w:lineRule="auto"/>
        <w:ind w:left="720" w:hanging="720"/>
        <w:rPr>
          <w:rFonts w:ascii="Calibri" w:eastAsia="Calibri" w:hAnsi="Calibri" w:cs="Times New Roman"/>
          <w:sz w:val="24"/>
          <w:szCs w:val="24"/>
        </w:rPr>
      </w:pPr>
    </w:p>
    <w:p w14:paraId="242E7FF1" w14:textId="2E49FF0F" w:rsidR="00BE6BD3" w:rsidRPr="00BE6BD3" w:rsidRDefault="00BE6BD3" w:rsidP="00BE6BD3">
      <w:pPr>
        <w:spacing w:after="0" w:line="240" w:lineRule="auto"/>
        <w:ind w:left="720" w:hanging="720"/>
        <w:rPr>
          <w:rFonts w:ascii="Calibri" w:eastAsia="Calibri" w:hAnsi="Calibri" w:cs="Times New Roman"/>
          <w:sz w:val="24"/>
          <w:szCs w:val="24"/>
        </w:rPr>
      </w:pPr>
      <w:r w:rsidRPr="00BE6BD3">
        <w:rPr>
          <w:rFonts w:ascii="Calibri" w:eastAsia="Calibri" w:hAnsi="Calibri" w:cs="Times New Roman"/>
          <w:sz w:val="24"/>
          <w:szCs w:val="24"/>
        </w:rPr>
        <w:t xml:space="preserve">Patton, M. Q. (2015). </w:t>
      </w:r>
      <w:r w:rsidRPr="00BE6BD3">
        <w:rPr>
          <w:rFonts w:ascii="Calibri" w:eastAsia="Calibri" w:hAnsi="Calibri" w:cs="Times New Roman"/>
          <w:i/>
          <w:sz w:val="24"/>
          <w:szCs w:val="24"/>
        </w:rPr>
        <w:t>Qualitative research and evaluation methods</w:t>
      </w:r>
      <w:r w:rsidRPr="00BE6BD3">
        <w:rPr>
          <w:rFonts w:ascii="Calibri" w:eastAsia="Calibri" w:hAnsi="Calibri" w:cs="Times New Roman"/>
          <w:sz w:val="24"/>
          <w:szCs w:val="24"/>
        </w:rPr>
        <w:t xml:space="preserve"> (4</w:t>
      </w:r>
      <w:r w:rsidRPr="00BE6BD3">
        <w:rPr>
          <w:rFonts w:ascii="Calibri" w:eastAsia="Calibri" w:hAnsi="Calibri" w:cs="Times New Roman"/>
          <w:sz w:val="24"/>
          <w:szCs w:val="24"/>
          <w:vertAlign w:val="superscript"/>
        </w:rPr>
        <w:t>th</w:t>
      </w:r>
      <w:r w:rsidRPr="00BE6BD3">
        <w:rPr>
          <w:rFonts w:ascii="Calibri" w:eastAsia="Calibri" w:hAnsi="Calibri" w:cs="Times New Roman"/>
          <w:sz w:val="24"/>
          <w:szCs w:val="24"/>
        </w:rPr>
        <w:t xml:space="preserve"> ed.). Sage.</w:t>
      </w:r>
    </w:p>
    <w:p w14:paraId="406EF116" w14:textId="77777777" w:rsidR="00BE6BD3" w:rsidRDefault="00BE6BD3" w:rsidP="008D6938">
      <w:pPr>
        <w:spacing w:after="0" w:line="240" w:lineRule="auto"/>
        <w:ind w:left="720" w:hanging="720"/>
        <w:rPr>
          <w:rFonts w:ascii="Calibri" w:eastAsia="Calibri" w:hAnsi="Calibri" w:cs="Times New Roman"/>
          <w:sz w:val="24"/>
          <w:szCs w:val="24"/>
        </w:rPr>
      </w:pPr>
    </w:p>
    <w:p w14:paraId="6A6EC2AA" w14:textId="77777777" w:rsidR="00CF51A2" w:rsidRPr="00CF51A2" w:rsidRDefault="00CF51A2" w:rsidP="00CF51A2">
      <w:pPr>
        <w:spacing w:after="0" w:line="240" w:lineRule="auto"/>
        <w:ind w:left="720" w:hanging="720"/>
        <w:rPr>
          <w:rFonts w:ascii="Calibri" w:eastAsia="Calibri" w:hAnsi="Calibri" w:cs="Times New Roman"/>
          <w:sz w:val="24"/>
          <w:szCs w:val="24"/>
        </w:rPr>
      </w:pPr>
      <w:r w:rsidRPr="00CF51A2">
        <w:rPr>
          <w:rFonts w:ascii="Calibri" w:eastAsia="Calibri" w:hAnsi="Calibri" w:cs="Times New Roman"/>
          <w:sz w:val="24"/>
          <w:szCs w:val="24"/>
        </w:rPr>
        <w:t xml:space="preserve">Pavela, G. (2009). Student suicide: A law and policy perspective. </w:t>
      </w:r>
      <w:r w:rsidRPr="00CF51A2">
        <w:rPr>
          <w:rFonts w:ascii="Calibri" w:eastAsia="Calibri" w:hAnsi="Calibri" w:cs="Times New Roman"/>
          <w:i/>
          <w:iCs/>
          <w:sz w:val="24"/>
          <w:szCs w:val="24"/>
        </w:rPr>
        <w:t>The Pavela Report, Law and Policy in Higher Education, 14</w:t>
      </w:r>
      <w:r w:rsidRPr="00CF51A2">
        <w:rPr>
          <w:rFonts w:ascii="Calibri" w:eastAsia="Calibri" w:hAnsi="Calibri" w:cs="Times New Roman"/>
          <w:sz w:val="24"/>
          <w:szCs w:val="24"/>
        </w:rPr>
        <w:t>, 1–5.</w:t>
      </w:r>
    </w:p>
    <w:p w14:paraId="608D7135" w14:textId="77777777" w:rsidR="00CF51A2" w:rsidRDefault="00CF51A2" w:rsidP="008D6938">
      <w:pPr>
        <w:spacing w:after="0" w:line="240" w:lineRule="auto"/>
        <w:ind w:left="720" w:hanging="720"/>
        <w:rPr>
          <w:rFonts w:ascii="Calibri" w:eastAsia="Calibri" w:hAnsi="Calibri" w:cs="Times New Roman"/>
          <w:sz w:val="24"/>
          <w:szCs w:val="24"/>
        </w:rPr>
      </w:pPr>
    </w:p>
    <w:p w14:paraId="25924BE4" w14:textId="0BD66AFF" w:rsidR="00E64F0C" w:rsidRDefault="00E64F0C" w:rsidP="00CF51A2">
      <w:pPr>
        <w:spacing w:after="0" w:line="240" w:lineRule="auto"/>
        <w:ind w:left="720" w:hanging="720"/>
        <w:rPr>
          <w:rFonts w:ascii="Calibri" w:eastAsia="Calibri" w:hAnsi="Calibri" w:cs="Times New Roman"/>
          <w:sz w:val="24"/>
          <w:szCs w:val="24"/>
        </w:rPr>
      </w:pPr>
      <w:r>
        <w:rPr>
          <w:rFonts w:ascii="Calibri" w:eastAsia="Calibri" w:hAnsi="Calibri" w:cs="Times New Roman"/>
          <w:sz w:val="24"/>
          <w:szCs w:val="24"/>
        </w:rPr>
        <w:t xml:space="preserve">Pierce, S. R., (2012). On being presidential: A guide for college and university leaders. Jossey-Bass. </w:t>
      </w:r>
    </w:p>
    <w:p w14:paraId="68AAAFD9" w14:textId="77777777" w:rsidR="00E64F0C" w:rsidRDefault="00E64F0C" w:rsidP="00CF51A2">
      <w:pPr>
        <w:spacing w:after="0" w:line="240" w:lineRule="auto"/>
        <w:ind w:left="720" w:hanging="720"/>
        <w:rPr>
          <w:rFonts w:ascii="Calibri" w:eastAsia="Calibri" w:hAnsi="Calibri" w:cs="Times New Roman"/>
          <w:sz w:val="24"/>
          <w:szCs w:val="24"/>
        </w:rPr>
      </w:pPr>
    </w:p>
    <w:p w14:paraId="0F877151" w14:textId="78762D09" w:rsidR="00CF51A2" w:rsidRPr="00CF51A2" w:rsidRDefault="00CF51A2" w:rsidP="00CF51A2">
      <w:pPr>
        <w:spacing w:after="0" w:line="240" w:lineRule="auto"/>
        <w:ind w:left="720" w:hanging="720"/>
        <w:rPr>
          <w:rFonts w:ascii="Calibri" w:eastAsia="Calibri" w:hAnsi="Calibri" w:cs="Times New Roman"/>
          <w:sz w:val="24"/>
          <w:szCs w:val="24"/>
        </w:rPr>
      </w:pPr>
      <w:r w:rsidRPr="00CF51A2">
        <w:rPr>
          <w:rFonts w:ascii="Calibri" w:eastAsia="Calibri" w:hAnsi="Calibri" w:cs="Times New Roman"/>
          <w:sz w:val="24"/>
          <w:szCs w:val="24"/>
        </w:rPr>
        <w:t xml:space="preserve">Pollack, W. S., Modzeleski, W., Rooney, G. (2008). </w:t>
      </w:r>
      <w:r w:rsidRPr="00CF51A2">
        <w:rPr>
          <w:rFonts w:ascii="Calibri" w:eastAsia="Calibri" w:hAnsi="Calibri" w:cs="Times New Roman"/>
          <w:i/>
          <w:iCs/>
          <w:sz w:val="24"/>
          <w:szCs w:val="24"/>
        </w:rPr>
        <w:t>Prior knowledge of potential school-based violence: Information students learn may prevent a targeted attack.</w:t>
      </w:r>
      <w:r w:rsidRPr="00CF51A2">
        <w:rPr>
          <w:rFonts w:ascii="Calibri" w:eastAsia="Calibri" w:hAnsi="Calibri" w:cs="Times New Roman"/>
          <w:sz w:val="24"/>
          <w:szCs w:val="24"/>
        </w:rPr>
        <w:t xml:space="preserve"> United States Secret Service and United States Department of Education.</w:t>
      </w:r>
    </w:p>
    <w:p w14:paraId="62AF5875" w14:textId="77777777" w:rsidR="00CF51A2" w:rsidRDefault="00CF51A2" w:rsidP="008D6938">
      <w:pPr>
        <w:spacing w:after="0" w:line="240" w:lineRule="auto"/>
        <w:ind w:left="720" w:hanging="720"/>
        <w:rPr>
          <w:rFonts w:ascii="Calibri" w:eastAsia="Calibri" w:hAnsi="Calibri" w:cs="Times New Roman"/>
          <w:sz w:val="24"/>
          <w:szCs w:val="24"/>
        </w:rPr>
      </w:pPr>
    </w:p>
    <w:p w14:paraId="59BDB562" w14:textId="6F4726B9" w:rsidR="00CF51A2" w:rsidRPr="00CF51A2" w:rsidRDefault="00CF51A2" w:rsidP="00CF51A2">
      <w:pPr>
        <w:spacing w:after="0" w:line="240" w:lineRule="auto"/>
        <w:ind w:left="720" w:hanging="720"/>
        <w:rPr>
          <w:rFonts w:ascii="Calibri" w:eastAsia="Calibri" w:hAnsi="Calibri" w:cs="Times New Roman"/>
          <w:sz w:val="24"/>
          <w:szCs w:val="24"/>
        </w:rPr>
      </w:pPr>
      <w:r w:rsidRPr="00CF51A2">
        <w:rPr>
          <w:rFonts w:ascii="Calibri" w:eastAsia="Calibri" w:hAnsi="Calibri" w:cs="Times New Roman"/>
          <w:sz w:val="24"/>
          <w:szCs w:val="24"/>
        </w:rPr>
        <w:t xml:space="preserve">Pollard, J. W., Flynn, C., &amp; Eells, G. T. (2015). The </w:t>
      </w:r>
      <w:r w:rsidR="00F5251A">
        <w:rPr>
          <w:rFonts w:ascii="Calibri" w:eastAsia="Calibri" w:hAnsi="Calibri" w:cs="Times New Roman"/>
          <w:sz w:val="24"/>
          <w:szCs w:val="24"/>
        </w:rPr>
        <w:t>R</w:t>
      </w:r>
      <w:r w:rsidRPr="00CF51A2">
        <w:rPr>
          <w:rFonts w:ascii="Calibri" w:eastAsia="Calibri" w:hAnsi="Calibri" w:cs="Times New Roman"/>
          <w:sz w:val="24"/>
          <w:szCs w:val="24"/>
        </w:rPr>
        <w:t xml:space="preserve">ole of </w:t>
      </w:r>
      <w:r w:rsidR="00F5251A">
        <w:rPr>
          <w:rFonts w:ascii="Calibri" w:eastAsia="Calibri" w:hAnsi="Calibri" w:cs="Times New Roman"/>
          <w:sz w:val="24"/>
          <w:szCs w:val="24"/>
        </w:rPr>
        <w:t>T</w:t>
      </w:r>
      <w:r w:rsidRPr="00CF51A2">
        <w:rPr>
          <w:rFonts w:ascii="Calibri" w:eastAsia="Calibri" w:hAnsi="Calibri" w:cs="Times New Roman"/>
          <w:sz w:val="24"/>
          <w:szCs w:val="24"/>
        </w:rPr>
        <w:t xml:space="preserve">hreat </w:t>
      </w:r>
      <w:r w:rsidR="00F5251A">
        <w:rPr>
          <w:rFonts w:ascii="Calibri" w:eastAsia="Calibri" w:hAnsi="Calibri" w:cs="Times New Roman"/>
          <w:sz w:val="24"/>
          <w:szCs w:val="24"/>
        </w:rPr>
        <w:t>A</w:t>
      </w:r>
      <w:r w:rsidRPr="00CF51A2">
        <w:rPr>
          <w:rFonts w:ascii="Calibri" w:eastAsia="Calibri" w:hAnsi="Calibri" w:cs="Times New Roman"/>
          <w:sz w:val="24"/>
          <w:szCs w:val="24"/>
        </w:rPr>
        <w:t xml:space="preserve">ssessment and </w:t>
      </w:r>
      <w:r w:rsidR="00F5251A">
        <w:rPr>
          <w:rFonts w:ascii="Calibri" w:eastAsia="Calibri" w:hAnsi="Calibri" w:cs="Times New Roman"/>
          <w:sz w:val="24"/>
          <w:szCs w:val="24"/>
        </w:rPr>
        <w:t>M</w:t>
      </w:r>
      <w:r w:rsidRPr="00CF51A2">
        <w:rPr>
          <w:rFonts w:ascii="Calibri" w:eastAsia="Calibri" w:hAnsi="Calibri" w:cs="Times New Roman"/>
          <w:sz w:val="24"/>
          <w:szCs w:val="24"/>
        </w:rPr>
        <w:t xml:space="preserve">anagement in </w:t>
      </w:r>
      <w:r w:rsidR="00F5251A">
        <w:rPr>
          <w:rFonts w:ascii="Calibri" w:eastAsia="Calibri" w:hAnsi="Calibri" w:cs="Times New Roman"/>
          <w:sz w:val="24"/>
          <w:szCs w:val="24"/>
        </w:rPr>
        <w:t>C</w:t>
      </w:r>
      <w:r w:rsidRPr="00CF51A2">
        <w:rPr>
          <w:rFonts w:ascii="Calibri" w:eastAsia="Calibri" w:hAnsi="Calibri" w:cs="Times New Roman"/>
          <w:sz w:val="24"/>
          <w:szCs w:val="24"/>
        </w:rPr>
        <w:t xml:space="preserve">ollege </w:t>
      </w:r>
      <w:r w:rsidR="00F5251A">
        <w:rPr>
          <w:rFonts w:ascii="Calibri" w:eastAsia="Calibri" w:hAnsi="Calibri" w:cs="Times New Roman"/>
          <w:sz w:val="24"/>
          <w:szCs w:val="24"/>
        </w:rPr>
        <w:t>C</w:t>
      </w:r>
      <w:r w:rsidRPr="00CF51A2">
        <w:rPr>
          <w:rFonts w:ascii="Calibri" w:eastAsia="Calibri" w:hAnsi="Calibri" w:cs="Times New Roman"/>
          <w:sz w:val="24"/>
          <w:szCs w:val="24"/>
        </w:rPr>
        <w:t xml:space="preserve">ounseling: </w:t>
      </w:r>
      <w:r w:rsidR="00F5251A">
        <w:rPr>
          <w:rFonts w:ascii="Calibri" w:eastAsia="Calibri" w:hAnsi="Calibri" w:cs="Times New Roman"/>
          <w:sz w:val="24"/>
          <w:szCs w:val="24"/>
        </w:rPr>
        <w:t>H</w:t>
      </w:r>
      <w:r w:rsidRPr="00CF51A2">
        <w:rPr>
          <w:rFonts w:ascii="Calibri" w:eastAsia="Calibri" w:hAnsi="Calibri" w:cs="Times New Roman"/>
          <w:sz w:val="24"/>
          <w:szCs w:val="24"/>
        </w:rPr>
        <w:t xml:space="preserve">ow's </w:t>
      </w:r>
      <w:r w:rsidR="00F5251A">
        <w:rPr>
          <w:rFonts w:ascii="Calibri" w:eastAsia="Calibri" w:hAnsi="Calibri" w:cs="Times New Roman"/>
          <w:sz w:val="24"/>
          <w:szCs w:val="24"/>
        </w:rPr>
        <w:t>T</w:t>
      </w:r>
      <w:r w:rsidRPr="00CF51A2">
        <w:rPr>
          <w:rFonts w:ascii="Calibri" w:eastAsia="Calibri" w:hAnsi="Calibri" w:cs="Times New Roman"/>
          <w:sz w:val="24"/>
          <w:szCs w:val="24"/>
        </w:rPr>
        <w:t xml:space="preserve">hat </w:t>
      </w:r>
      <w:r w:rsidR="00F5251A">
        <w:rPr>
          <w:rFonts w:ascii="Calibri" w:eastAsia="Calibri" w:hAnsi="Calibri" w:cs="Times New Roman"/>
          <w:sz w:val="24"/>
          <w:szCs w:val="24"/>
        </w:rPr>
        <w:t>N</w:t>
      </w:r>
      <w:r w:rsidRPr="00CF51A2">
        <w:rPr>
          <w:rFonts w:ascii="Calibri" w:eastAsia="Calibri" w:hAnsi="Calibri" w:cs="Times New Roman"/>
          <w:sz w:val="24"/>
          <w:szCs w:val="24"/>
        </w:rPr>
        <w:t xml:space="preserve">et </w:t>
      </w:r>
      <w:r w:rsidR="00F5251A">
        <w:rPr>
          <w:rFonts w:ascii="Calibri" w:eastAsia="Calibri" w:hAnsi="Calibri" w:cs="Times New Roman"/>
          <w:sz w:val="24"/>
          <w:szCs w:val="24"/>
        </w:rPr>
        <w:t>W</w:t>
      </w:r>
      <w:r w:rsidRPr="00CF51A2">
        <w:rPr>
          <w:rFonts w:ascii="Calibri" w:eastAsia="Calibri" w:hAnsi="Calibri" w:cs="Times New Roman"/>
          <w:sz w:val="24"/>
          <w:szCs w:val="24"/>
        </w:rPr>
        <w:t>orking? </w:t>
      </w:r>
      <w:r w:rsidRPr="00CF51A2">
        <w:rPr>
          <w:rFonts w:ascii="Calibri" w:eastAsia="Calibri" w:hAnsi="Calibri" w:cs="Times New Roman"/>
          <w:i/>
          <w:iCs/>
          <w:sz w:val="24"/>
          <w:szCs w:val="24"/>
        </w:rPr>
        <w:t xml:space="preserve">Journal of </w:t>
      </w:r>
      <w:r w:rsidR="00F5251A">
        <w:rPr>
          <w:rFonts w:ascii="Calibri" w:eastAsia="Calibri" w:hAnsi="Calibri" w:cs="Times New Roman"/>
          <w:i/>
          <w:iCs/>
          <w:sz w:val="24"/>
          <w:szCs w:val="24"/>
        </w:rPr>
        <w:t>C</w:t>
      </w:r>
      <w:r w:rsidRPr="00CF51A2">
        <w:rPr>
          <w:rFonts w:ascii="Calibri" w:eastAsia="Calibri" w:hAnsi="Calibri" w:cs="Times New Roman"/>
          <w:i/>
          <w:iCs/>
          <w:sz w:val="24"/>
          <w:szCs w:val="24"/>
        </w:rPr>
        <w:t xml:space="preserve">ollege </w:t>
      </w:r>
      <w:r w:rsidR="00F5251A">
        <w:rPr>
          <w:rFonts w:ascii="Calibri" w:eastAsia="Calibri" w:hAnsi="Calibri" w:cs="Times New Roman"/>
          <w:i/>
          <w:iCs/>
          <w:sz w:val="24"/>
          <w:szCs w:val="24"/>
        </w:rPr>
        <w:t>S</w:t>
      </w:r>
      <w:r w:rsidRPr="00CF51A2">
        <w:rPr>
          <w:rFonts w:ascii="Calibri" w:eastAsia="Calibri" w:hAnsi="Calibri" w:cs="Times New Roman"/>
          <w:i/>
          <w:iCs/>
          <w:sz w:val="24"/>
          <w:szCs w:val="24"/>
        </w:rPr>
        <w:t xml:space="preserve">tudent </w:t>
      </w:r>
      <w:r w:rsidR="00F5251A">
        <w:rPr>
          <w:rFonts w:ascii="Calibri" w:eastAsia="Calibri" w:hAnsi="Calibri" w:cs="Times New Roman"/>
          <w:i/>
          <w:iCs/>
          <w:sz w:val="24"/>
          <w:szCs w:val="24"/>
        </w:rPr>
        <w:t>P</w:t>
      </w:r>
      <w:r w:rsidRPr="00CF51A2">
        <w:rPr>
          <w:rFonts w:ascii="Calibri" w:eastAsia="Calibri" w:hAnsi="Calibri" w:cs="Times New Roman"/>
          <w:i/>
          <w:iCs/>
          <w:sz w:val="24"/>
          <w:szCs w:val="24"/>
        </w:rPr>
        <w:t>sychotherapy</w:t>
      </w:r>
      <w:r w:rsidRPr="00CF51A2">
        <w:rPr>
          <w:rFonts w:ascii="Calibri" w:eastAsia="Calibri" w:hAnsi="Calibri" w:cs="Times New Roman"/>
          <w:sz w:val="24"/>
          <w:szCs w:val="24"/>
        </w:rPr>
        <w:t>, </w:t>
      </w:r>
      <w:r w:rsidRPr="00CF51A2">
        <w:rPr>
          <w:rFonts w:ascii="Calibri" w:eastAsia="Calibri" w:hAnsi="Calibri" w:cs="Times New Roman"/>
          <w:i/>
          <w:iCs/>
          <w:sz w:val="24"/>
          <w:szCs w:val="24"/>
        </w:rPr>
        <w:t>29</w:t>
      </w:r>
      <w:r w:rsidRPr="00CF51A2">
        <w:rPr>
          <w:rFonts w:ascii="Calibri" w:eastAsia="Calibri" w:hAnsi="Calibri" w:cs="Times New Roman"/>
          <w:sz w:val="24"/>
          <w:szCs w:val="24"/>
        </w:rPr>
        <w:t>(4), 248–256.</w:t>
      </w:r>
      <w:r w:rsidR="000F19C4">
        <w:rPr>
          <w:rFonts w:ascii="Calibri" w:eastAsia="Calibri" w:hAnsi="Calibri" w:cs="Times New Roman"/>
          <w:sz w:val="24"/>
          <w:szCs w:val="24"/>
        </w:rPr>
        <w:t xml:space="preserve"> </w:t>
      </w:r>
      <w:hyperlink r:id="rId70" w:history="1">
        <w:r w:rsidR="000F19C4" w:rsidRPr="00C61DE6">
          <w:rPr>
            <w:rStyle w:val="Hyperlink"/>
            <w:rFonts w:ascii="Calibri" w:eastAsia="Calibri" w:hAnsi="Calibri" w:cs="Times New Roman"/>
            <w:sz w:val="24"/>
            <w:szCs w:val="24"/>
          </w:rPr>
          <w:t>https://doi.org/10.1080/87568225.2015.1072453</w:t>
        </w:r>
      </w:hyperlink>
    </w:p>
    <w:p w14:paraId="2367A1FA" w14:textId="77777777" w:rsidR="00CF51A2" w:rsidRDefault="00CF51A2" w:rsidP="008D6938">
      <w:pPr>
        <w:spacing w:after="0" w:line="240" w:lineRule="auto"/>
        <w:ind w:left="720" w:hanging="720"/>
        <w:rPr>
          <w:rFonts w:ascii="Calibri" w:eastAsia="Calibri" w:hAnsi="Calibri" w:cs="Times New Roman"/>
          <w:sz w:val="24"/>
          <w:szCs w:val="24"/>
        </w:rPr>
      </w:pPr>
    </w:p>
    <w:p w14:paraId="7BC62E2F" w14:textId="3F99E5E8" w:rsidR="008D6938" w:rsidRPr="008D6938" w:rsidRDefault="008D6938" w:rsidP="008D6938">
      <w:pPr>
        <w:spacing w:after="0" w:line="240" w:lineRule="auto"/>
        <w:ind w:left="720" w:hanging="720"/>
        <w:rPr>
          <w:rFonts w:ascii="Calibri" w:eastAsia="Calibri" w:hAnsi="Calibri" w:cs="Times New Roman"/>
          <w:sz w:val="24"/>
          <w:szCs w:val="24"/>
        </w:rPr>
      </w:pPr>
      <w:r w:rsidRPr="008D6938">
        <w:rPr>
          <w:rFonts w:ascii="Calibri" w:eastAsia="Calibri" w:hAnsi="Calibri" w:cs="Times New Roman"/>
          <w:sz w:val="24"/>
          <w:szCs w:val="24"/>
        </w:rPr>
        <w:t xml:space="preserve">Pollard, J. W., Nolan, J. J., &amp; Deisinger, E. D. (2012). The </w:t>
      </w:r>
      <w:r w:rsidR="00F5251A">
        <w:rPr>
          <w:rFonts w:ascii="Calibri" w:eastAsia="Calibri" w:hAnsi="Calibri" w:cs="Times New Roman"/>
          <w:sz w:val="24"/>
          <w:szCs w:val="24"/>
        </w:rPr>
        <w:t>P</w:t>
      </w:r>
      <w:r w:rsidRPr="008D6938">
        <w:rPr>
          <w:rFonts w:ascii="Calibri" w:eastAsia="Calibri" w:hAnsi="Calibri" w:cs="Times New Roman"/>
          <w:sz w:val="24"/>
          <w:szCs w:val="24"/>
        </w:rPr>
        <w:t xml:space="preserve">ractice of </w:t>
      </w:r>
      <w:r w:rsidR="00F5251A">
        <w:rPr>
          <w:rFonts w:ascii="Calibri" w:eastAsia="Calibri" w:hAnsi="Calibri" w:cs="Times New Roman"/>
          <w:sz w:val="24"/>
          <w:szCs w:val="24"/>
        </w:rPr>
        <w:t>C</w:t>
      </w:r>
      <w:r w:rsidRPr="008D6938">
        <w:rPr>
          <w:rFonts w:ascii="Calibri" w:eastAsia="Calibri" w:hAnsi="Calibri" w:cs="Times New Roman"/>
          <w:sz w:val="24"/>
          <w:szCs w:val="24"/>
        </w:rPr>
        <w:t>ampus-</w:t>
      </w:r>
      <w:r w:rsidR="00F5251A">
        <w:rPr>
          <w:rFonts w:ascii="Calibri" w:eastAsia="Calibri" w:hAnsi="Calibri" w:cs="Times New Roman"/>
          <w:sz w:val="24"/>
          <w:szCs w:val="24"/>
        </w:rPr>
        <w:t>B</w:t>
      </w:r>
      <w:r w:rsidRPr="008D6938">
        <w:rPr>
          <w:rFonts w:ascii="Calibri" w:eastAsia="Calibri" w:hAnsi="Calibri" w:cs="Times New Roman"/>
          <w:sz w:val="24"/>
          <w:szCs w:val="24"/>
        </w:rPr>
        <w:t xml:space="preserve">ased </w:t>
      </w:r>
      <w:r w:rsidR="00F5251A">
        <w:rPr>
          <w:rFonts w:ascii="Calibri" w:eastAsia="Calibri" w:hAnsi="Calibri" w:cs="Times New Roman"/>
          <w:sz w:val="24"/>
          <w:szCs w:val="24"/>
        </w:rPr>
        <w:t>T</w:t>
      </w:r>
      <w:r w:rsidRPr="008D6938">
        <w:rPr>
          <w:rFonts w:ascii="Calibri" w:eastAsia="Calibri" w:hAnsi="Calibri" w:cs="Times New Roman"/>
          <w:sz w:val="24"/>
          <w:szCs w:val="24"/>
        </w:rPr>
        <w:t xml:space="preserve">hreat </w:t>
      </w:r>
      <w:r w:rsidR="00F5251A">
        <w:rPr>
          <w:rFonts w:ascii="Calibri" w:eastAsia="Calibri" w:hAnsi="Calibri" w:cs="Times New Roman"/>
          <w:sz w:val="24"/>
          <w:szCs w:val="24"/>
        </w:rPr>
        <w:t>A</w:t>
      </w:r>
      <w:r w:rsidRPr="008D6938">
        <w:rPr>
          <w:rFonts w:ascii="Calibri" w:eastAsia="Calibri" w:hAnsi="Calibri" w:cs="Times New Roman"/>
          <w:sz w:val="24"/>
          <w:szCs w:val="24"/>
        </w:rPr>
        <w:t xml:space="preserve">ssessment: </w:t>
      </w:r>
      <w:r w:rsidR="00F5251A">
        <w:rPr>
          <w:rFonts w:ascii="Calibri" w:eastAsia="Calibri" w:hAnsi="Calibri" w:cs="Times New Roman"/>
          <w:sz w:val="24"/>
          <w:szCs w:val="24"/>
        </w:rPr>
        <w:t>A</w:t>
      </w:r>
      <w:r w:rsidRPr="008D6938">
        <w:rPr>
          <w:rFonts w:ascii="Calibri" w:eastAsia="Calibri" w:hAnsi="Calibri" w:cs="Times New Roman"/>
          <w:sz w:val="24"/>
          <w:szCs w:val="24"/>
        </w:rPr>
        <w:t xml:space="preserve">n </w:t>
      </w:r>
      <w:r w:rsidR="00F5251A">
        <w:rPr>
          <w:rFonts w:ascii="Calibri" w:eastAsia="Calibri" w:hAnsi="Calibri" w:cs="Times New Roman"/>
          <w:sz w:val="24"/>
          <w:szCs w:val="24"/>
        </w:rPr>
        <w:t>O</w:t>
      </w:r>
      <w:r w:rsidRPr="008D6938">
        <w:rPr>
          <w:rFonts w:ascii="Calibri" w:eastAsia="Calibri" w:hAnsi="Calibri" w:cs="Times New Roman"/>
          <w:sz w:val="24"/>
          <w:szCs w:val="24"/>
        </w:rPr>
        <w:t>verview</w:t>
      </w:r>
      <w:r w:rsidRPr="008D6938">
        <w:rPr>
          <w:rFonts w:ascii="Calibri" w:eastAsia="Calibri" w:hAnsi="Calibri" w:cs="Times New Roman"/>
          <w:i/>
          <w:iCs/>
          <w:sz w:val="24"/>
          <w:szCs w:val="24"/>
        </w:rPr>
        <w:t>. Journal of College Student Psychotherapy, 26</w:t>
      </w:r>
      <w:r w:rsidRPr="008D6938">
        <w:rPr>
          <w:rFonts w:ascii="Calibri" w:eastAsia="Calibri" w:hAnsi="Calibri" w:cs="Times New Roman"/>
          <w:sz w:val="24"/>
          <w:szCs w:val="24"/>
        </w:rPr>
        <w:t>(4), 263–276.</w:t>
      </w:r>
      <w:r w:rsidR="000F19C4">
        <w:rPr>
          <w:rFonts w:ascii="Calibri" w:eastAsia="Calibri" w:hAnsi="Calibri" w:cs="Times New Roman"/>
          <w:sz w:val="24"/>
          <w:szCs w:val="24"/>
        </w:rPr>
        <w:t xml:space="preserve"> </w:t>
      </w:r>
      <w:hyperlink r:id="rId71" w:history="1">
        <w:r w:rsidR="000F19C4" w:rsidRPr="00C61DE6">
          <w:rPr>
            <w:rStyle w:val="Hyperlink"/>
            <w:rFonts w:ascii="Calibri" w:eastAsia="Calibri" w:hAnsi="Calibri" w:cs="Times New Roman"/>
            <w:sz w:val="24"/>
            <w:szCs w:val="24"/>
          </w:rPr>
          <w:t>https://doi.org/10.1080/87568225.2012.711142</w:t>
        </w:r>
      </w:hyperlink>
    </w:p>
    <w:p w14:paraId="7CE6B163" w14:textId="77777777" w:rsidR="008D6938" w:rsidRPr="008D6938" w:rsidRDefault="008D6938" w:rsidP="008D6938">
      <w:pPr>
        <w:spacing w:after="0" w:line="240" w:lineRule="auto"/>
        <w:ind w:left="720" w:hanging="720"/>
        <w:rPr>
          <w:rFonts w:cstheme="minorHAnsi"/>
          <w:sz w:val="24"/>
          <w:szCs w:val="24"/>
        </w:rPr>
      </w:pPr>
    </w:p>
    <w:p w14:paraId="5C3F80DD" w14:textId="4D67A8B6"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Ponterotto, J. G. (20</w:t>
      </w:r>
      <w:r w:rsidR="007A315D">
        <w:rPr>
          <w:rFonts w:cstheme="minorHAnsi"/>
          <w:sz w:val="24"/>
          <w:szCs w:val="24"/>
        </w:rPr>
        <w:t>06</w:t>
      </w:r>
      <w:r w:rsidRPr="0033578A">
        <w:rPr>
          <w:rFonts w:cstheme="minorHAnsi"/>
          <w:sz w:val="24"/>
          <w:szCs w:val="24"/>
        </w:rPr>
        <w:t xml:space="preserve">). Brief note on the origins, evolution, and meaning of the qualitative research concept thick description. </w:t>
      </w:r>
      <w:r w:rsidRPr="0033578A">
        <w:rPr>
          <w:rFonts w:cstheme="minorHAnsi"/>
          <w:i/>
          <w:sz w:val="24"/>
          <w:szCs w:val="24"/>
        </w:rPr>
        <w:t>The Qualitative Report, 11</w:t>
      </w:r>
      <w:r w:rsidRPr="0033578A">
        <w:rPr>
          <w:rFonts w:cstheme="minorHAnsi"/>
          <w:sz w:val="24"/>
          <w:szCs w:val="24"/>
        </w:rPr>
        <w:t xml:space="preserve">, 538-549. </w:t>
      </w:r>
      <w:hyperlink r:id="rId72" w:history="1">
        <w:r w:rsidR="007A315D" w:rsidRPr="00C61DE6">
          <w:rPr>
            <w:rStyle w:val="Hyperlink"/>
            <w:rFonts w:cstheme="minorHAnsi"/>
            <w:sz w:val="24"/>
            <w:szCs w:val="24"/>
          </w:rPr>
          <w:t>https://doi.org/10.46743/2160-3715/2006.1666</w:t>
        </w:r>
      </w:hyperlink>
      <w:r w:rsidR="007A315D" w:rsidRPr="007A315D">
        <w:rPr>
          <w:rFonts w:cstheme="minorHAnsi"/>
          <w:sz w:val="24"/>
          <w:szCs w:val="24"/>
        </w:rPr>
        <w:t xml:space="preserve"> </w:t>
      </w:r>
    </w:p>
    <w:p w14:paraId="0B3F8A09" w14:textId="77777777" w:rsidR="0033578A" w:rsidRPr="0033578A" w:rsidRDefault="0033578A" w:rsidP="0033578A">
      <w:pPr>
        <w:spacing w:after="0" w:line="240" w:lineRule="auto"/>
        <w:ind w:left="720" w:hanging="720"/>
        <w:rPr>
          <w:rFonts w:cstheme="minorHAnsi"/>
          <w:sz w:val="24"/>
          <w:szCs w:val="24"/>
        </w:rPr>
      </w:pPr>
    </w:p>
    <w:p w14:paraId="1F9F3664" w14:textId="16BA6D6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Probst, B., &amp; Berenson, L. (2014). The double arrow: How qualitative social work researchers use reflexivity. </w:t>
      </w:r>
      <w:r w:rsidRPr="0033578A">
        <w:rPr>
          <w:rFonts w:cstheme="minorHAnsi"/>
          <w:i/>
          <w:sz w:val="24"/>
          <w:szCs w:val="24"/>
        </w:rPr>
        <w:t>Qualitative Social Work, 13</w:t>
      </w:r>
      <w:r w:rsidRPr="0033578A">
        <w:rPr>
          <w:rFonts w:cstheme="minorHAnsi"/>
          <w:sz w:val="24"/>
          <w:szCs w:val="24"/>
        </w:rPr>
        <w:t>(6), 813–827.</w:t>
      </w:r>
      <w:r w:rsidR="007A315D">
        <w:rPr>
          <w:rFonts w:cstheme="minorHAnsi"/>
          <w:sz w:val="24"/>
          <w:szCs w:val="24"/>
        </w:rPr>
        <w:t xml:space="preserve"> </w:t>
      </w:r>
      <w:hyperlink r:id="rId73" w:history="1">
        <w:r w:rsidR="007A315D" w:rsidRPr="00C61DE6">
          <w:rPr>
            <w:rStyle w:val="Hyperlink"/>
            <w:rFonts w:cstheme="minorHAnsi"/>
            <w:sz w:val="24"/>
            <w:szCs w:val="24"/>
          </w:rPr>
          <w:t>https://doi.org/10.1177/1473325013506248</w:t>
        </w:r>
      </w:hyperlink>
    </w:p>
    <w:p w14:paraId="39F659DE" w14:textId="77777777" w:rsidR="0033578A" w:rsidRPr="0033578A" w:rsidRDefault="0033578A" w:rsidP="0033578A">
      <w:pPr>
        <w:spacing w:after="0" w:line="240" w:lineRule="auto"/>
        <w:ind w:left="720" w:hanging="720"/>
        <w:rPr>
          <w:rFonts w:cstheme="minorHAnsi"/>
          <w:sz w:val="24"/>
          <w:szCs w:val="24"/>
        </w:rPr>
      </w:pPr>
    </w:p>
    <w:p w14:paraId="3AE274B0" w14:textId="44961838"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lastRenderedPageBreak/>
        <w:t xml:space="preserve">Randazzo, M. R., &amp; Cameron, J. K. (2012). From presidential protection to campus security: A brief history of threat assessment in north American schools and colleges. </w:t>
      </w:r>
      <w:r w:rsidRPr="0033578A">
        <w:rPr>
          <w:rFonts w:cstheme="minorHAnsi"/>
          <w:i/>
          <w:sz w:val="24"/>
          <w:szCs w:val="24"/>
        </w:rPr>
        <w:t>Journal of College Student Psychotherapy</w:t>
      </w:r>
      <w:r w:rsidRPr="0033578A">
        <w:rPr>
          <w:rFonts w:cstheme="minorHAnsi"/>
          <w:sz w:val="24"/>
          <w:szCs w:val="24"/>
        </w:rPr>
        <w:t xml:space="preserve">, </w:t>
      </w:r>
      <w:r w:rsidRPr="0033578A">
        <w:rPr>
          <w:rFonts w:cstheme="minorHAnsi"/>
          <w:i/>
          <w:sz w:val="24"/>
          <w:szCs w:val="24"/>
        </w:rPr>
        <w:t>26</w:t>
      </w:r>
      <w:r w:rsidRPr="0033578A">
        <w:rPr>
          <w:rFonts w:cstheme="minorHAnsi"/>
          <w:sz w:val="24"/>
          <w:szCs w:val="24"/>
        </w:rPr>
        <w:t>(4), 277–290.</w:t>
      </w:r>
      <w:r w:rsidR="00A67522">
        <w:rPr>
          <w:rFonts w:cstheme="minorHAnsi"/>
          <w:sz w:val="24"/>
          <w:szCs w:val="24"/>
        </w:rPr>
        <w:t xml:space="preserve"> </w:t>
      </w:r>
      <w:hyperlink r:id="rId74" w:history="1">
        <w:r w:rsidR="00A67522" w:rsidRPr="00C61DE6">
          <w:rPr>
            <w:rStyle w:val="Hyperlink"/>
            <w:rFonts w:cstheme="minorHAnsi"/>
            <w:sz w:val="24"/>
            <w:szCs w:val="24"/>
          </w:rPr>
          <w:t>https://doi.org/10.1080/87568225.2012.711146</w:t>
        </w:r>
      </w:hyperlink>
    </w:p>
    <w:p w14:paraId="49279F43" w14:textId="77777777" w:rsidR="0033578A" w:rsidRDefault="0033578A" w:rsidP="0033578A">
      <w:pPr>
        <w:spacing w:after="0" w:line="240" w:lineRule="auto"/>
        <w:ind w:left="720" w:hanging="720"/>
        <w:rPr>
          <w:rFonts w:cstheme="minorHAnsi"/>
          <w:sz w:val="24"/>
          <w:szCs w:val="24"/>
        </w:rPr>
      </w:pPr>
    </w:p>
    <w:p w14:paraId="431CF011" w14:textId="3FA49983"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Reddy, M., Borum, R., Vossekuil, B., Fein, R., Berglund, J., &amp; Modzeleski, W. (2001). Evaluating risk for targeted violence in schools: comparing risk assessment, threat assessment, and other approaches. </w:t>
      </w:r>
      <w:r w:rsidRPr="00CF51A2">
        <w:rPr>
          <w:rFonts w:cstheme="minorHAnsi"/>
          <w:i/>
          <w:iCs/>
          <w:sz w:val="24"/>
          <w:szCs w:val="24"/>
        </w:rPr>
        <w:t>Psychology in the Schools</w:t>
      </w:r>
      <w:r w:rsidRPr="00CF51A2">
        <w:rPr>
          <w:rFonts w:cstheme="minorHAnsi"/>
          <w:sz w:val="24"/>
          <w:szCs w:val="24"/>
        </w:rPr>
        <w:t xml:space="preserve">, </w:t>
      </w:r>
      <w:r w:rsidRPr="00CF51A2">
        <w:rPr>
          <w:rFonts w:cstheme="minorHAnsi"/>
          <w:i/>
          <w:iCs/>
          <w:sz w:val="24"/>
          <w:szCs w:val="24"/>
        </w:rPr>
        <w:t>38</w:t>
      </w:r>
      <w:r w:rsidRPr="00CF51A2">
        <w:rPr>
          <w:rFonts w:cstheme="minorHAnsi"/>
          <w:sz w:val="24"/>
          <w:szCs w:val="24"/>
        </w:rPr>
        <w:t>, 157–172.</w:t>
      </w:r>
      <w:r w:rsidR="00A67522">
        <w:rPr>
          <w:rFonts w:cstheme="minorHAnsi"/>
          <w:sz w:val="24"/>
          <w:szCs w:val="24"/>
        </w:rPr>
        <w:t xml:space="preserve"> </w:t>
      </w:r>
      <w:hyperlink r:id="rId75" w:history="1">
        <w:r w:rsidR="00A67522" w:rsidRPr="00C61DE6">
          <w:rPr>
            <w:rStyle w:val="Hyperlink"/>
            <w:rFonts w:cstheme="minorHAnsi"/>
            <w:sz w:val="24"/>
            <w:szCs w:val="24"/>
          </w:rPr>
          <w:t>https://doi.org/10.1002/pits.1007</w:t>
        </w:r>
      </w:hyperlink>
    </w:p>
    <w:p w14:paraId="7BA192FA" w14:textId="77777777" w:rsidR="00CF51A2" w:rsidRDefault="00CF51A2" w:rsidP="0033578A">
      <w:pPr>
        <w:spacing w:after="0" w:line="240" w:lineRule="auto"/>
        <w:ind w:left="720" w:hanging="720"/>
        <w:rPr>
          <w:rFonts w:cstheme="minorHAnsi"/>
          <w:sz w:val="24"/>
          <w:szCs w:val="24"/>
        </w:rPr>
      </w:pPr>
    </w:p>
    <w:p w14:paraId="1CA35204" w14:textId="44B8ABBF"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Richards, L. (2015). </w:t>
      </w:r>
      <w:r w:rsidRPr="0033578A">
        <w:rPr>
          <w:rFonts w:cstheme="minorHAnsi"/>
          <w:i/>
          <w:sz w:val="24"/>
          <w:szCs w:val="24"/>
        </w:rPr>
        <w:t>Handling qualitative data</w:t>
      </w:r>
      <w:r w:rsidRPr="0033578A">
        <w:rPr>
          <w:rFonts w:cstheme="minorHAnsi"/>
          <w:sz w:val="24"/>
          <w:szCs w:val="24"/>
        </w:rPr>
        <w:t xml:space="preserve"> (3</w:t>
      </w:r>
      <w:r w:rsidRPr="0033578A">
        <w:rPr>
          <w:rFonts w:cstheme="minorHAnsi"/>
          <w:sz w:val="24"/>
          <w:szCs w:val="24"/>
          <w:vertAlign w:val="superscript"/>
        </w:rPr>
        <w:t>rd</w:t>
      </w:r>
      <w:r w:rsidRPr="0033578A">
        <w:rPr>
          <w:rFonts w:cstheme="minorHAnsi"/>
          <w:sz w:val="24"/>
          <w:szCs w:val="24"/>
        </w:rPr>
        <w:t xml:space="preserve"> ed.). Sage. </w:t>
      </w:r>
    </w:p>
    <w:p w14:paraId="5415BEDC" w14:textId="77777777" w:rsidR="0033578A" w:rsidRDefault="0033578A" w:rsidP="008D6938">
      <w:pPr>
        <w:spacing w:after="0" w:line="240" w:lineRule="auto"/>
        <w:ind w:left="720" w:hanging="720"/>
        <w:rPr>
          <w:rFonts w:cstheme="minorHAnsi"/>
          <w:sz w:val="24"/>
          <w:szCs w:val="24"/>
        </w:rPr>
      </w:pPr>
    </w:p>
    <w:p w14:paraId="49B97D98" w14:textId="1A229E9A"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Rinehart-Thompson, L. A. (2009). Amendments to FERPA </w:t>
      </w:r>
      <w:r w:rsidR="001A112C">
        <w:rPr>
          <w:rFonts w:cstheme="minorHAnsi"/>
          <w:sz w:val="24"/>
          <w:szCs w:val="24"/>
        </w:rPr>
        <w:t>r</w:t>
      </w:r>
      <w:r w:rsidRPr="00CF51A2">
        <w:rPr>
          <w:rFonts w:cstheme="minorHAnsi"/>
          <w:sz w:val="24"/>
          <w:szCs w:val="24"/>
        </w:rPr>
        <w:t xml:space="preserve">egulations: </w:t>
      </w:r>
      <w:r w:rsidR="001C7730">
        <w:rPr>
          <w:rFonts w:cstheme="minorHAnsi"/>
          <w:sz w:val="24"/>
          <w:szCs w:val="24"/>
        </w:rPr>
        <w:t>N</w:t>
      </w:r>
      <w:r w:rsidRPr="00CF51A2">
        <w:rPr>
          <w:rFonts w:cstheme="minorHAnsi"/>
          <w:sz w:val="24"/>
          <w:szCs w:val="24"/>
        </w:rPr>
        <w:t xml:space="preserve">ew </w:t>
      </w:r>
      <w:r w:rsidR="001A112C">
        <w:rPr>
          <w:rFonts w:cstheme="minorHAnsi"/>
          <w:sz w:val="24"/>
          <w:szCs w:val="24"/>
        </w:rPr>
        <w:t>c</w:t>
      </w:r>
      <w:r w:rsidRPr="00CF51A2">
        <w:rPr>
          <w:rFonts w:cstheme="minorHAnsi"/>
          <w:sz w:val="24"/>
          <w:szCs w:val="24"/>
        </w:rPr>
        <w:t xml:space="preserve">hanges </w:t>
      </w:r>
      <w:r w:rsidR="001A112C">
        <w:rPr>
          <w:rFonts w:cstheme="minorHAnsi"/>
          <w:sz w:val="24"/>
          <w:szCs w:val="24"/>
        </w:rPr>
        <w:t>a</w:t>
      </w:r>
      <w:r w:rsidRPr="00CF51A2">
        <w:rPr>
          <w:rFonts w:cstheme="minorHAnsi"/>
          <w:sz w:val="24"/>
          <w:szCs w:val="24"/>
        </w:rPr>
        <w:t xml:space="preserve">ttempt to </w:t>
      </w:r>
      <w:r w:rsidR="001A112C">
        <w:rPr>
          <w:rFonts w:cstheme="minorHAnsi"/>
          <w:sz w:val="24"/>
          <w:szCs w:val="24"/>
        </w:rPr>
        <w:t>b</w:t>
      </w:r>
      <w:r w:rsidRPr="00CF51A2">
        <w:rPr>
          <w:rFonts w:cstheme="minorHAnsi"/>
          <w:sz w:val="24"/>
          <w:szCs w:val="24"/>
        </w:rPr>
        <w:t xml:space="preserve">alance </w:t>
      </w:r>
      <w:r w:rsidR="001A112C">
        <w:rPr>
          <w:rFonts w:cstheme="minorHAnsi"/>
          <w:sz w:val="24"/>
          <w:szCs w:val="24"/>
        </w:rPr>
        <w:t>s</w:t>
      </w:r>
      <w:r w:rsidRPr="00CF51A2">
        <w:rPr>
          <w:rFonts w:cstheme="minorHAnsi"/>
          <w:sz w:val="24"/>
          <w:szCs w:val="24"/>
        </w:rPr>
        <w:t xml:space="preserve">afety and </w:t>
      </w:r>
      <w:r w:rsidR="001A112C">
        <w:rPr>
          <w:rFonts w:cstheme="minorHAnsi"/>
          <w:sz w:val="24"/>
          <w:szCs w:val="24"/>
        </w:rPr>
        <w:t>p</w:t>
      </w:r>
      <w:r w:rsidRPr="00CF51A2">
        <w:rPr>
          <w:rFonts w:cstheme="minorHAnsi"/>
          <w:sz w:val="24"/>
          <w:szCs w:val="24"/>
        </w:rPr>
        <w:t xml:space="preserve">rivacy in </w:t>
      </w:r>
      <w:r w:rsidR="001A112C">
        <w:rPr>
          <w:rFonts w:cstheme="minorHAnsi"/>
          <w:sz w:val="24"/>
          <w:szCs w:val="24"/>
        </w:rPr>
        <w:t>s</w:t>
      </w:r>
      <w:r w:rsidRPr="00CF51A2">
        <w:rPr>
          <w:rFonts w:cstheme="minorHAnsi"/>
          <w:sz w:val="24"/>
          <w:szCs w:val="24"/>
        </w:rPr>
        <w:t xml:space="preserve">tudent </w:t>
      </w:r>
      <w:r w:rsidR="001A112C">
        <w:rPr>
          <w:rFonts w:cstheme="minorHAnsi"/>
          <w:sz w:val="24"/>
          <w:szCs w:val="24"/>
        </w:rPr>
        <w:t>r</w:t>
      </w:r>
      <w:r w:rsidRPr="00CF51A2">
        <w:rPr>
          <w:rFonts w:cstheme="minorHAnsi"/>
          <w:sz w:val="24"/>
          <w:szCs w:val="24"/>
        </w:rPr>
        <w:t xml:space="preserve">ecords. </w:t>
      </w:r>
      <w:r w:rsidRPr="00CF51A2">
        <w:rPr>
          <w:rFonts w:cstheme="minorHAnsi"/>
          <w:i/>
          <w:iCs/>
          <w:sz w:val="24"/>
          <w:szCs w:val="24"/>
        </w:rPr>
        <w:t>Journal of American Health Information Management Association,</w:t>
      </w:r>
      <w:r w:rsidRPr="00CF51A2">
        <w:rPr>
          <w:rFonts w:cstheme="minorHAnsi"/>
          <w:sz w:val="24"/>
          <w:szCs w:val="24"/>
        </w:rPr>
        <w:t xml:space="preserve"> </w:t>
      </w:r>
      <w:r w:rsidRPr="00CF51A2">
        <w:rPr>
          <w:rFonts w:cstheme="minorHAnsi"/>
          <w:i/>
          <w:iCs/>
          <w:sz w:val="24"/>
          <w:szCs w:val="24"/>
        </w:rPr>
        <w:t>80</w:t>
      </w:r>
      <w:r w:rsidRPr="00CF51A2">
        <w:rPr>
          <w:rFonts w:cstheme="minorHAnsi"/>
          <w:sz w:val="24"/>
          <w:szCs w:val="24"/>
        </w:rPr>
        <w:t>, 56–57</w:t>
      </w:r>
      <w:r>
        <w:rPr>
          <w:rFonts w:cstheme="minorHAnsi"/>
          <w:sz w:val="24"/>
          <w:szCs w:val="24"/>
        </w:rPr>
        <w:t>.</w:t>
      </w:r>
    </w:p>
    <w:p w14:paraId="6E831202" w14:textId="77777777" w:rsidR="00CF51A2" w:rsidRDefault="00CF51A2" w:rsidP="008D6938">
      <w:pPr>
        <w:spacing w:after="0" w:line="240" w:lineRule="auto"/>
        <w:ind w:left="720" w:hanging="720"/>
        <w:rPr>
          <w:rFonts w:cstheme="minorHAnsi"/>
          <w:sz w:val="24"/>
          <w:szCs w:val="24"/>
        </w:rPr>
      </w:pPr>
    </w:p>
    <w:p w14:paraId="39302DF5" w14:textId="26AAB4E0"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Roark, M. L. (1987). Preventing </w:t>
      </w:r>
      <w:r w:rsidR="001A112C">
        <w:rPr>
          <w:rFonts w:cstheme="minorHAnsi"/>
          <w:sz w:val="24"/>
          <w:szCs w:val="24"/>
        </w:rPr>
        <w:t>v</w:t>
      </w:r>
      <w:r w:rsidRPr="008D6938">
        <w:rPr>
          <w:rFonts w:cstheme="minorHAnsi"/>
          <w:sz w:val="24"/>
          <w:szCs w:val="24"/>
        </w:rPr>
        <w:t xml:space="preserve">iolence on </w:t>
      </w:r>
      <w:r w:rsidR="001A112C">
        <w:rPr>
          <w:rFonts w:cstheme="minorHAnsi"/>
          <w:sz w:val="24"/>
          <w:szCs w:val="24"/>
        </w:rPr>
        <w:t>c</w:t>
      </w:r>
      <w:r w:rsidRPr="008D6938">
        <w:rPr>
          <w:rFonts w:cstheme="minorHAnsi"/>
          <w:sz w:val="24"/>
          <w:szCs w:val="24"/>
        </w:rPr>
        <w:t xml:space="preserve">ollege </w:t>
      </w:r>
      <w:r w:rsidR="001A112C">
        <w:rPr>
          <w:rFonts w:cstheme="minorHAnsi"/>
          <w:sz w:val="24"/>
          <w:szCs w:val="24"/>
        </w:rPr>
        <w:t>c</w:t>
      </w:r>
      <w:r w:rsidRPr="008D6938">
        <w:rPr>
          <w:rFonts w:cstheme="minorHAnsi"/>
          <w:sz w:val="24"/>
          <w:szCs w:val="24"/>
        </w:rPr>
        <w:t xml:space="preserve">ampuses. </w:t>
      </w:r>
      <w:r w:rsidRPr="008D6938">
        <w:rPr>
          <w:rFonts w:cstheme="minorHAnsi"/>
          <w:i/>
          <w:iCs/>
          <w:sz w:val="24"/>
          <w:szCs w:val="24"/>
        </w:rPr>
        <w:t>Journal of Counseling and Development, 65</w:t>
      </w:r>
      <w:r w:rsidRPr="008D6938">
        <w:rPr>
          <w:rFonts w:cstheme="minorHAnsi"/>
          <w:sz w:val="24"/>
          <w:szCs w:val="24"/>
        </w:rPr>
        <w:t>, 367–</w:t>
      </w:r>
      <w:r w:rsidR="00A67522">
        <w:rPr>
          <w:rFonts w:cstheme="minorHAnsi"/>
          <w:sz w:val="24"/>
          <w:szCs w:val="24"/>
        </w:rPr>
        <w:t>3</w:t>
      </w:r>
      <w:r w:rsidRPr="008D6938">
        <w:rPr>
          <w:rFonts w:cstheme="minorHAnsi"/>
          <w:sz w:val="24"/>
          <w:szCs w:val="24"/>
        </w:rPr>
        <w:t>71.</w:t>
      </w:r>
      <w:r w:rsidR="00A67522">
        <w:rPr>
          <w:rFonts w:cstheme="minorHAnsi"/>
          <w:sz w:val="24"/>
          <w:szCs w:val="24"/>
        </w:rPr>
        <w:t xml:space="preserve"> </w:t>
      </w:r>
      <w:hyperlink r:id="rId76" w:history="1">
        <w:r w:rsidR="00A67522" w:rsidRPr="00C61DE6">
          <w:rPr>
            <w:rStyle w:val="Hyperlink"/>
            <w:rFonts w:cstheme="minorHAnsi"/>
            <w:sz w:val="24"/>
            <w:szCs w:val="24"/>
          </w:rPr>
          <w:t>https://doi.org/10.1002/j.1556-6676.1987.tb00732.x</w:t>
        </w:r>
      </w:hyperlink>
    </w:p>
    <w:p w14:paraId="085FE7C0" w14:textId="77777777" w:rsidR="008D6938" w:rsidRPr="008D6938" w:rsidRDefault="008D6938" w:rsidP="008D6938">
      <w:pPr>
        <w:spacing w:after="0" w:line="240" w:lineRule="auto"/>
        <w:ind w:left="720" w:hanging="720"/>
        <w:rPr>
          <w:rFonts w:cstheme="minorHAnsi"/>
          <w:sz w:val="24"/>
          <w:szCs w:val="24"/>
        </w:rPr>
      </w:pPr>
    </w:p>
    <w:p w14:paraId="2301202C" w14:textId="77777777" w:rsidR="001B159E" w:rsidRPr="001B159E" w:rsidRDefault="001B159E" w:rsidP="001B159E">
      <w:pPr>
        <w:spacing w:after="0" w:line="240" w:lineRule="auto"/>
        <w:ind w:left="720" w:hanging="720"/>
        <w:rPr>
          <w:rFonts w:cstheme="minorHAnsi"/>
          <w:sz w:val="24"/>
          <w:szCs w:val="24"/>
        </w:rPr>
      </w:pPr>
      <w:r w:rsidRPr="001B159E">
        <w:rPr>
          <w:rFonts w:cstheme="minorHAnsi"/>
          <w:sz w:val="24"/>
          <w:szCs w:val="24"/>
        </w:rPr>
        <w:t xml:space="preserve">Roberts, C. M. (2010). </w:t>
      </w:r>
      <w:r w:rsidRPr="001B159E">
        <w:rPr>
          <w:rFonts w:cstheme="minorHAnsi"/>
          <w:i/>
          <w:iCs/>
          <w:sz w:val="24"/>
          <w:szCs w:val="24"/>
        </w:rPr>
        <w:t xml:space="preserve">The dissertation journey: A practical and comprehensive guide to </w:t>
      </w:r>
    </w:p>
    <w:p w14:paraId="64FD1449" w14:textId="75FFC93B" w:rsidR="001B159E" w:rsidRDefault="001B159E" w:rsidP="001B159E">
      <w:pPr>
        <w:spacing w:after="0" w:line="240" w:lineRule="auto"/>
        <w:ind w:left="720"/>
        <w:rPr>
          <w:rFonts w:cstheme="minorHAnsi"/>
          <w:sz w:val="24"/>
          <w:szCs w:val="24"/>
        </w:rPr>
      </w:pPr>
      <w:r w:rsidRPr="001B159E">
        <w:rPr>
          <w:rFonts w:cstheme="minorHAnsi"/>
          <w:i/>
          <w:iCs/>
          <w:sz w:val="24"/>
          <w:szCs w:val="24"/>
        </w:rPr>
        <w:t>planning, writing, and defending your dissertation</w:t>
      </w:r>
      <w:r w:rsidRPr="001B159E">
        <w:rPr>
          <w:rFonts w:cstheme="minorHAnsi"/>
          <w:sz w:val="24"/>
          <w:szCs w:val="24"/>
        </w:rPr>
        <w:t>. Corwin Press.</w:t>
      </w:r>
    </w:p>
    <w:p w14:paraId="09E8C8F3" w14:textId="77777777" w:rsidR="001B159E" w:rsidRDefault="001B159E" w:rsidP="0033578A">
      <w:pPr>
        <w:spacing w:after="0" w:line="240" w:lineRule="auto"/>
        <w:ind w:left="720" w:hanging="720"/>
        <w:rPr>
          <w:rFonts w:cstheme="minorHAnsi"/>
          <w:sz w:val="24"/>
          <w:szCs w:val="24"/>
        </w:rPr>
      </w:pPr>
    </w:p>
    <w:p w14:paraId="1973C499" w14:textId="5C001314"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Roulston, K. (2010). </w:t>
      </w:r>
      <w:r w:rsidRPr="0033578A">
        <w:rPr>
          <w:rFonts w:cstheme="minorHAnsi"/>
          <w:i/>
          <w:sz w:val="24"/>
          <w:szCs w:val="24"/>
        </w:rPr>
        <w:t>Reflective interviewing: A guide to theory and practice.</w:t>
      </w:r>
      <w:r w:rsidRPr="0033578A">
        <w:rPr>
          <w:rFonts w:cstheme="minorHAnsi"/>
          <w:sz w:val="24"/>
          <w:szCs w:val="24"/>
        </w:rPr>
        <w:t xml:space="preserve"> Sage. </w:t>
      </w:r>
    </w:p>
    <w:p w14:paraId="0949D19D" w14:textId="77777777" w:rsidR="0033578A" w:rsidRPr="0033578A" w:rsidRDefault="0033578A" w:rsidP="0033578A">
      <w:pPr>
        <w:spacing w:after="0" w:line="240" w:lineRule="auto"/>
        <w:ind w:left="720" w:hanging="720"/>
        <w:rPr>
          <w:rFonts w:cstheme="minorHAnsi"/>
          <w:sz w:val="24"/>
          <w:szCs w:val="24"/>
        </w:rPr>
      </w:pPr>
    </w:p>
    <w:p w14:paraId="6FFB3811" w14:textId="7777777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Saldaña, J. (2016). </w:t>
      </w:r>
      <w:r w:rsidRPr="0033578A">
        <w:rPr>
          <w:rFonts w:cstheme="minorHAnsi"/>
          <w:i/>
          <w:sz w:val="24"/>
          <w:szCs w:val="24"/>
        </w:rPr>
        <w:t xml:space="preserve">The coding manual for qualitative researchers </w:t>
      </w:r>
      <w:r w:rsidRPr="0033578A">
        <w:rPr>
          <w:rFonts w:cstheme="minorHAnsi"/>
          <w:sz w:val="24"/>
          <w:szCs w:val="24"/>
        </w:rPr>
        <w:t>(3</w:t>
      </w:r>
      <w:r w:rsidRPr="0033578A">
        <w:rPr>
          <w:rFonts w:cstheme="minorHAnsi"/>
          <w:sz w:val="24"/>
          <w:szCs w:val="24"/>
          <w:vertAlign w:val="superscript"/>
        </w:rPr>
        <w:t>rd</w:t>
      </w:r>
      <w:r w:rsidRPr="0033578A">
        <w:rPr>
          <w:rFonts w:cstheme="minorHAnsi"/>
          <w:sz w:val="24"/>
          <w:szCs w:val="24"/>
        </w:rPr>
        <w:t xml:space="preserve"> ed.). Sage.</w:t>
      </w:r>
    </w:p>
    <w:p w14:paraId="13A2E1AF" w14:textId="77777777" w:rsidR="0033578A" w:rsidRPr="0033578A" w:rsidRDefault="0033578A" w:rsidP="0033578A">
      <w:pPr>
        <w:spacing w:after="0" w:line="240" w:lineRule="auto"/>
        <w:ind w:left="720" w:hanging="720"/>
        <w:rPr>
          <w:rFonts w:cstheme="minorHAnsi"/>
          <w:sz w:val="24"/>
          <w:szCs w:val="24"/>
        </w:rPr>
      </w:pPr>
    </w:p>
    <w:p w14:paraId="6AB8B3A3" w14:textId="7777777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Salmons, J. (2015). Qualitative online interviews (2</w:t>
      </w:r>
      <w:r w:rsidRPr="0033578A">
        <w:rPr>
          <w:rFonts w:cstheme="minorHAnsi"/>
          <w:sz w:val="24"/>
          <w:szCs w:val="24"/>
          <w:vertAlign w:val="superscript"/>
        </w:rPr>
        <w:t>nd</w:t>
      </w:r>
      <w:r w:rsidRPr="0033578A">
        <w:rPr>
          <w:rFonts w:cstheme="minorHAnsi"/>
          <w:sz w:val="24"/>
          <w:szCs w:val="24"/>
        </w:rPr>
        <w:t xml:space="preserve"> ed.). Sage. </w:t>
      </w:r>
    </w:p>
    <w:p w14:paraId="4AD075D7" w14:textId="77777777" w:rsidR="0033578A" w:rsidRPr="0033578A" w:rsidRDefault="0033578A" w:rsidP="0033578A">
      <w:pPr>
        <w:spacing w:after="0" w:line="240" w:lineRule="auto"/>
        <w:ind w:left="720" w:hanging="720"/>
        <w:rPr>
          <w:rFonts w:cstheme="minorHAnsi"/>
          <w:sz w:val="24"/>
          <w:szCs w:val="24"/>
        </w:rPr>
      </w:pPr>
    </w:p>
    <w:p w14:paraId="5C2496D0" w14:textId="77777777"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Sanburn, J. (2015). A familiar tragedy calls for unfamiliar solutions. </w:t>
      </w:r>
      <w:r w:rsidRPr="00CF51A2">
        <w:rPr>
          <w:rFonts w:cstheme="minorHAnsi"/>
          <w:i/>
          <w:iCs/>
          <w:sz w:val="24"/>
          <w:szCs w:val="24"/>
        </w:rPr>
        <w:t>Time, 186</w:t>
      </w:r>
      <w:r w:rsidRPr="00CF51A2">
        <w:rPr>
          <w:rFonts w:cstheme="minorHAnsi"/>
          <w:sz w:val="24"/>
          <w:szCs w:val="24"/>
        </w:rPr>
        <w:t>(15), 11–13.</w:t>
      </w:r>
    </w:p>
    <w:p w14:paraId="35299245" w14:textId="59F9AA02" w:rsidR="00CF51A2" w:rsidRDefault="00CF51A2" w:rsidP="0033578A">
      <w:pPr>
        <w:spacing w:after="0" w:line="240" w:lineRule="auto"/>
        <w:ind w:left="720" w:hanging="720"/>
        <w:rPr>
          <w:rFonts w:cstheme="minorHAnsi"/>
          <w:sz w:val="24"/>
          <w:szCs w:val="24"/>
        </w:rPr>
      </w:pPr>
    </w:p>
    <w:p w14:paraId="6955A4C4" w14:textId="7DB9637D"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Schiemann, M. &amp; Van Brunt, B. (2018). Summary and </w:t>
      </w:r>
      <w:r w:rsidR="001A112C">
        <w:rPr>
          <w:rFonts w:cstheme="minorHAnsi"/>
          <w:sz w:val="24"/>
          <w:szCs w:val="24"/>
        </w:rPr>
        <w:t>a</w:t>
      </w:r>
      <w:r w:rsidRPr="00CF51A2">
        <w:rPr>
          <w:rFonts w:cstheme="minorHAnsi"/>
          <w:sz w:val="24"/>
          <w:szCs w:val="24"/>
        </w:rPr>
        <w:t xml:space="preserve">nalysis of 2018 NaBITA </w:t>
      </w:r>
      <w:r w:rsidR="001A112C">
        <w:rPr>
          <w:rFonts w:cstheme="minorHAnsi"/>
          <w:sz w:val="24"/>
          <w:szCs w:val="24"/>
        </w:rPr>
        <w:t>s</w:t>
      </w:r>
      <w:r w:rsidRPr="00CF51A2">
        <w:rPr>
          <w:rFonts w:cstheme="minorHAnsi"/>
          <w:sz w:val="24"/>
          <w:szCs w:val="24"/>
        </w:rPr>
        <w:t xml:space="preserve">urvey </w:t>
      </w:r>
      <w:r w:rsidR="001A112C">
        <w:rPr>
          <w:rFonts w:cstheme="minorHAnsi"/>
          <w:sz w:val="24"/>
          <w:szCs w:val="24"/>
        </w:rPr>
        <w:t>d</w:t>
      </w:r>
      <w:r w:rsidRPr="00CF51A2">
        <w:rPr>
          <w:rFonts w:cstheme="minorHAnsi"/>
          <w:sz w:val="24"/>
          <w:szCs w:val="24"/>
        </w:rPr>
        <w:t xml:space="preserve">ata. </w:t>
      </w:r>
      <w:r w:rsidRPr="00CF51A2">
        <w:rPr>
          <w:rFonts w:cstheme="minorHAnsi"/>
          <w:i/>
          <w:iCs/>
          <w:sz w:val="24"/>
          <w:szCs w:val="24"/>
        </w:rPr>
        <w:t>The Journal of Behavioral Intervention Teams</w:t>
      </w:r>
      <w:r w:rsidRPr="00CF51A2">
        <w:rPr>
          <w:rFonts w:cstheme="minorHAnsi"/>
          <w:sz w:val="24"/>
          <w:szCs w:val="24"/>
        </w:rPr>
        <w:t xml:space="preserve"> (J-BIT), </w:t>
      </w:r>
      <w:r w:rsidRPr="00CF51A2">
        <w:rPr>
          <w:rFonts w:cstheme="minorHAnsi"/>
          <w:i/>
          <w:iCs/>
          <w:sz w:val="24"/>
          <w:szCs w:val="24"/>
        </w:rPr>
        <w:t>6</w:t>
      </w:r>
      <w:r w:rsidRPr="00CF51A2">
        <w:rPr>
          <w:rFonts w:cstheme="minorHAnsi"/>
          <w:sz w:val="24"/>
          <w:szCs w:val="24"/>
        </w:rPr>
        <w:t>, 42–57.</w:t>
      </w:r>
    </w:p>
    <w:p w14:paraId="159ED596" w14:textId="77777777" w:rsidR="00CF51A2" w:rsidRPr="00CF51A2" w:rsidRDefault="00CF51A2" w:rsidP="00CF51A2">
      <w:pPr>
        <w:spacing w:after="0" w:line="240" w:lineRule="auto"/>
        <w:ind w:left="720" w:hanging="720"/>
        <w:rPr>
          <w:rFonts w:cstheme="minorHAnsi"/>
          <w:sz w:val="24"/>
          <w:szCs w:val="24"/>
        </w:rPr>
      </w:pPr>
    </w:p>
    <w:p w14:paraId="0974A1EE" w14:textId="5F6AC52B"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Schuchman, M. (2007). Falling </w:t>
      </w:r>
      <w:r w:rsidR="001C7730">
        <w:rPr>
          <w:rFonts w:cstheme="minorHAnsi"/>
          <w:sz w:val="24"/>
          <w:szCs w:val="24"/>
        </w:rPr>
        <w:t>T</w:t>
      </w:r>
      <w:r w:rsidRPr="00CF51A2">
        <w:rPr>
          <w:rFonts w:cstheme="minorHAnsi"/>
          <w:sz w:val="24"/>
          <w:szCs w:val="24"/>
        </w:rPr>
        <w:t xml:space="preserve">hrough the </w:t>
      </w:r>
      <w:r w:rsidR="001C7730">
        <w:rPr>
          <w:rFonts w:cstheme="minorHAnsi"/>
          <w:sz w:val="24"/>
          <w:szCs w:val="24"/>
        </w:rPr>
        <w:t>C</w:t>
      </w:r>
      <w:r w:rsidRPr="00CF51A2">
        <w:rPr>
          <w:rFonts w:cstheme="minorHAnsi"/>
          <w:sz w:val="24"/>
          <w:szCs w:val="24"/>
        </w:rPr>
        <w:t xml:space="preserve">racks – Virginia Tech and the </w:t>
      </w:r>
      <w:r w:rsidR="001C7730">
        <w:rPr>
          <w:rFonts w:cstheme="minorHAnsi"/>
          <w:sz w:val="24"/>
          <w:szCs w:val="24"/>
        </w:rPr>
        <w:t>R</w:t>
      </w:r>
      <w:r w:rsidRPr="00CF51A2">
        <w:rPr>
          <w:rFonts w:cstheme="minorHAnsi"/>
          <w:sz w:val="24"/>
          <w:szCs w:val="24"/>
        </w:rPr>
        <w:t xml:space="preserve">estructuring of </w:t>
      </w:r>
      <w:r w:rsidR="001C7730">
        <w:rPr>
          <w:rFonts w:cstheme="minorHAnsi"/>
          <w:sz w:val="24"/>
          <w:szCs w:val="24"/>
        </w:rPr>
        <w:t>C</w:t>
      </w:r>
      <w:r w:rsidRPr="00CF51A2">
        <w:rPr>
          <w:rFonts w:cstheme="minorHAnsi"/>
          <w:sz w:val="24"/>
          <w:szCs w:val="24"/>
        </w:rPr>
        <w:t xml:space="preserve">ollege </w:t>
      </w:r>
      <w:r w:rsidR="001C7730">
        <w:rPr>
          <w:rFonts w:cstheme="minorHAnsi"/>
          <w:sz w:val="24"/>
          <w:szCs w:val="24"/>
        </w:rPr>
        <w:t>M</w:t>
      </w:r>
      <w:r w:rsidRPr="00CF51A2">
        <w:rPr>
          <w:rFonts w:cstheme="minorHAnsi"/>
          <w:sz w:val="24"/>
          <w:szCs w:val="24"/>
        </w:rPr>
        <w:t xml:space="preserve">ental </w:t>
      </w:r>
      <w:r w:rsidR="001C7730">
        <w:rPr>
          <w:rFonts w:cstheme="minorHAnsi"/>
          <w:sz w:val="24"/>
          <w:szCs w:val="24"/>
        </w:rPr>
        <w:t>H</w:t>
      </w:r>
      <w:r w:rsidRPr="00CF51A2">
        <w:rPr>
          <w:rFonts w:cstheme="minorHAnsi"/>
          <w:sz w:val="24"/>
          <w:szCs w:val="24"/>
        </w:rPr>
        <w:t xml:space="preserve">ealth </w:t>
      </w:r>
      <w:r w:rsidR="001C7730">
        <w:rPr>
          <w:rFonts w:cstheme="minorHAnsi"/>
          <w:sz w:val="24"/>
          <w:szCs w:val="24"/>
        </w:rPr>
        <w:t>S</w:t>
      </w:r>
      <w:r w:rsidRPr="00CF51A2">
        <w:rPr>
          <w:rFonts w:cstheme="minorHAnsi"/>
          <w:sz w:val="24"/>
          <w:szCs w:val="24"/>
        </w:rPr>
        <w:t xml:space="preserve">ervices. </w:t>
      </w:r>
      <w:r w:rsidRPr="00CF51A2">
        <w:rPr>
          <w:rFonts w:cstheme="minorHAnsi"/>
          <w:i/>
          <w:iCs/>
          <w:sz w:val="24"/>
          <w:szCs w:val="24"/>
        </w:rPr>
        <w:t>The New England Journal of Medicine, 357</w:t>
      </w:r>
      <w:r w:rsidRPr="00CF51A2">
        <w:rPr>
          <w:rFonts w:cstheme="minorHAnsi"/>
          <w:sz w:val="24"/>
          <w:szCs w:val="24"/>
        </w:rPr>
        <w:t>(2), 105–110.</w:t>
      </w:r>
      <w:r w:rsidR="006B2CA1">
        <w:rPr>
          <w:rFonts w:cstheme="minorHAnsi"/>
          <w:sz w:val="24"/>
          <w:szCs w:val="24"/>
        </w:rPr>
        <w:t xml:space="preserve"> </w:t>
      </w:r>
      <w:hyperlink r:id="rId77" w:history="1">
        <w:r w:rsidR="006B2CA1" w:rsidRPr="00C61DE6">
          <w:rPr>
            <w:rStyle w:val="Hyperlink"/>
            <w:rFonts w:cstheme="minorHAnsi"/>
            <w:sz w:val="24"/>
            <w:szCs w:val="24"/>
          </w:rPr>
          <w:t>https://doi.org/10.1056/nejmp078096</w:t>
        </w:r>
      </w:hyperlink>
    </w:p>
    <w:p w14:paraId="414EDAC3" w14:textId="77777777" w:rsidR="00CF51A2" w:rsidRDefault="00CF51A2" w:rsidP="0033578A">
      <w:pPr>
        <w:spacing w:after="0" w:line="240" w:lineRule="auto"/>
        <w:ind w:left="720" w:hanging="720"/>
        <w:rPr>
          <w:rFonts w:cstheme="minorHAnsi"/>
          <w:sz w:val="24"/>
          <w:szCs w:val="24"/>
        </w:rPr>
      </w:pPr>
    </w:p>
    <w:p w14:paraId="3A459C16" w14:textId="16DD428D"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Seidman, I. (2013). </w:t>
      </w:r>
      <w:r w:rsidRPr="0033578A">
        <w:rPr>
          <w:rFonts w:cstheme="minorHAnsi"/>
          <w:i/>
          <w:sz w:val="24"/>
          <w:szCs w:val="24"/>
        </w:rPr>
        <w:t xml:space="preserve">Interviewing as qualitative research </w:t>
      </w:r>
      <w:r w:rsidRPr="0033578A">
        <w:rPr>
          <w:rFonts w:cstheme="minorHAnsi"/>
          <w:sz w:val="24"/>
          <w:szCs w:val="24"/>
        </w:rPr>
        <w:t>(4</w:t>
      </w:r>
      <w:r w:rsidRPr="0033578A">
        <w:rPr>
          <w:rFonts w:cstheme="minorHAnsi"/>
          <w:sz w:val="24"/>
          <w:szCs w:val="24"/>
          <w:vertAlign w:val="superscript"/>
        </w:rPr>
        <w:t>th</w:t>
      </w:r>
      <w:r w:rsidRPr="0033578A">
        <w:rPr>
          <w:rFonts w:cstheme="minorHAnsi"/>
          <w:sz w:val="24"/>
          <w:szCs w:val="24"/>
        </w:rPr>
        <w:t xml:space="preserve"> ed.). Teachers College Press.</w:t>
      </w:r>
    </w:p>
    <w:p w14:paraId="746D4F0E" w14:textId="77777777" w:rsidR="0033578A" w:rsidRDefault="0033578A" w:rsidP="008D6938">
      <w:pPr>
        <w:spacing w:after="0" w:line="240" w:lineRule="auto"/>
        <w:ind w:left="720" w:hanging="720"/>
        <w:rPr>
          <w:rFonts w:cstheme="minorHAnsi"/>
          <w:sz w:val="24"/>
          <w:szCs w:val="24"/>
        </w:rPr>
      </w:pPr>
    </w:p>
    <w:p w14:paraId="624A58C3" w14:textId="5E528E9C"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Shayman, V. L. (2018). </w:t>
      </w:r>
      <w:r w:rsidRPr="008D6938">
        <w:rPr>
          <w:rFonts w:cstheme="minorHAnsi"/>
          <w:i/>
          <w:iCs/>
          <w:sz w:val="24"/>
          <w:szCs w:val="24"/>
        </w:rPr>
        <w:t>Traumatized by Trauma: The Impact of Vicarious Trauma on Higher Education Threat Assessment Professionals </w:t>
      </w:r>
      <w:r w:rsidRPr="008D6938">
        <w:rPr>
          <w:rFonts w:cstheme="minorHAnsi"/>
          <w:sz w:val="24"/>
          <w:szCs w:val="24"/>
        </w:rPr>
        <w:t xml:space="preserve">(Doctoral dissertation). </w:t>
      </w:r>
      <w:hyperlink r:id="rId78" w:history="1">
        <w:r w:rsidRPr="00C61DE6">
          <w:rPr>
            <w:rStyle w:val="Hyperlink"/>
            <w:rFonts w:cstheme="minorHAnsi"/>
            <w:sz w:val="24"/>
            <w:szCs w:val="24"/>
          </w:rPr>
          <w:t>https://utk.idm.oclc.org/login?url=https://www.proquest.com/dissertations-theses/traumatized-trauma-impact-vicarious-on-higher/docview/2046892090/se-2?accountid=14766</w:t>
        </w:r>
      </w:hyperlink>
    </w:p>
    <w:p w14:paraId="593C0A87" w14:textId="77777777" w:rsidR="008D6938" w:rsidRPr="008D6938" w:rsidRDefault="008D6938" w:rsidP="008D6938">
      <w:pPr>
        <w:spacing w:after="0" w:line="240" w:lineRule="auto"/>
        <w:ind w:left="720" w:hanging="720"/>
        <w:rPr>
          <w:rFonts w:cstheme="minorHAnsi"/>
          <w:sz w:val="24"/>
          <w:szCs w:val="24"/>
        </w:rPr>
      </w:pPr>
    </w:p>
    <w:p w14:paraId="494B8E83" w14:textId="304CFE8E" w:rsidR="008A05A6" w:rsidRDefault="008A05A6" w:rsidP="0033578A">
      <w:pPr>
        <w:spacing w:after="0" w:line="240" w:lineRule="auto"/>
        <w:ind w:left="720" w:hanging="720"/>
        <w:rPr>
          <w:rFonts w:cstheme="minorHAnsi"/>
          <w:sz w:val="24"/>
          <w:szCs w:val="24"/>
        </w:rPr>
      </w:pPr>
      <w:r w:rsidRPr="008A05A6">
        <w:rPr>
          <w:rFonts w:cstheme="minorHAnsi"/>
          <w:sz w:val="24"/>
          <w:szCs w:val="24"/>
        </w:rPr>
        <w:t>Silver, P. F. (1983). </w:t>
      </w:r>
      <w:r w:rsidR="002D4F24">
        <w:rPr>
          <w:rFonts w:cstheme="minorHAnsi"/>
          <w:i/>
          <w:iCs/>
          <w:sz w:val="24"/>
          <w:szCs w:val="24"/>
        </w:rPr>
        <w:t xml:space="preserve">Educational administration: Theoretical perspectives on practice and research. </w:t>
      </w:r>
      <w:r w:rsidR="002D4F24">
        <w:rPr>
          <w:rFonts w:cstheme="minorHAnsi"/>
          <w:sz w:val="24"/>
          <w:szCs w:val="24"/>
        </w:rPr>
        <w:t>Harper &amp; Row.</w:t>
      </w:r>
      <w:r>
        <w:rPr>
          <w:rFonts w:cstheme="minorHAnsi"/>
          <w:sz w:val="24"/>
          <w:szCs w:val="24"/>
        </w:rPr>
        <w:t xml:space="preserve"> </w:t>
      </w:r>
    </w:p>
    <w:p w14:paraId="0EB9161C" w14:textId="77777777" w:rsidR="008A05A6" w:rsidRDefault="008A05A6" w:rsidP="0033578A">
      <w:pPr>
        <w:spacing w:after="0" w:line="240" w:lineRule="auto"/>
        <w:ind w:left="720" w:hanging="720"/>
        <w:rPr>
          <w:rFonts w:cstheme="minorHAnsi"/>
          <w:sz w:val="24"/>
          <w:szCs w:val="24"/>
        </w:rPr>
      </w:pPr>
    </w:p>
    <w:p w14:paraId="6E345CEC" w14:textId="72A7140C"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Silverman, D. (2016). </w:t>
      </w:r>
      <w:r w:rsidRPr="0033578A">
        <w:rPr>
          <w:rFonts w:cstheme="minorHAnsi"/>
          <w:i/>
          <w:sz w:val="24"/>
          <w:szCs w:val="24"/>
        </w:rPr>
        <w:t>Qualitative research</w:t>
      </w:r>
      <w:r w:rsidRPr="0033578A">
        <w:rPr>
          <w:rFonts w:cstheme="minorHAnsi"/>
          <w:sz w:val="24"/>
          <w:szCs w:val="24"/>
        </w:rPr>
        <w:t xml:space="preserve"> (4</w:t>
      </w:r>
      <w:r w:rsidRPr="0033578A">
        <w:rPr>
          <w:rFonts w:cstheme="minorHAnsi"/>
          <w:sz w:val="24"/>
          <w:szCs w:val="24"/>
          <w:vertAlign w:val="superscript"/>
        </w:rPr>
        <w:t>th</w:t>
      </w:r>
      <w:r w:rsidRPr="0033578A">
        <w:rPr>
          <w:rFonts w:cstheme="minorHAnsi"/>
          <w:sz w:val="24"/>
          <w:szCs w:val="24"/>
        </w:rPr>
        <w:t xml:space="preserve"> ed.). Sage</w:t>
      </w:r>
    </w:p>
    <w:p w14:paraId="40203061" w14:textId="77777777" w:rsidR="0033578A" w:rsidRDefault="0033578A" w:rsidP="008D6938">
      <w:pPr>
        <w:spacing w:after="0" w:line="240" w:lineRule="auto"/>
        <w:ind w:left="720" w:hanging="720"/>
        <w:rPr>
          <w:rFonts w:cstheme="minorHAnsi"/>
          <w:sz w:val="24"/>
          <w:szCs w:val="24"/>
        </w:rPr>
      </w:pPr>
    </w:p>
    <w:p w14:paraId="0D308748" w14:textId="2CD10679" w:rsidR="00CF51A2" w:rsidRPr="00CF51A2" w:rsidRDefault="00CF51A2" w:rsidP="00CF51A2">
      <w:pPr>
        <w:spacing w:after="0" w:line="240" w:lineRule="auto"/>
        <w:ind w:left="720" w:hanging="720"/>
        <w:rPr>
          <w:rFonts w:cstheme="minorHAnsi"/>
          <w:sz w:val="24"/>
          <w:szCs w:val="24"/>
        </w:rPr>
      </w:pPr>
      <w:r w:rsidRPr="00CF51A2">
        <w:rPr>
          <w:rFonts w:cstheme="minorHAnsi"/>
          <w:sz w:val="24"/>
          <w:szCs w:val="24"/>
        </w:rPr>
        <w:t xml:space="preserve">Silverman, M. (2008). Campus security begins with caring. </w:t>
      </w:r>
      <w:r w:rsidRPr="00CF51A2">
        <w:rPr>
          <w:rFonts w:cstheme="minorHAnsi"/>
          <w:i/>
          <w:iCs/>
          <w:sz w:val="24"/>
          <w:szCs w:val="24"/>
        </w:rPr>
        <w:t xml:space="preserve">The Chronicle of Higher Education. </w:t>
      </w:r>
      <w:hyperlink r:id="rId79" w:history="1">
        <w:r w:rsidRPr="00C61DE6">
          <w:rPr>
            <w:rStyle w:val="Hyperlink"/>
            <w:rFonts w:cstheme="minorHAnsi"/>
            <w:sz w:val="24"/>
            <w:szCs w:val="24"/>
          </w:rPr>
          <w:t>http://chronicle.com/article/Campus-SecurityBegins-With/36211</w:t>
        </w:r>
      </w:hyperlink>
    </w:p>
    <w:p w14:paraId="3042C947" w14:textId="77777777" w:rsidR="00CF51A2" w:rsidRDefault="00CF51A2" w:rsidP="008D6938">
      <w:pPr>
        <w:spacing w:after="0" w:line="240" w:lineRule="auto"/>
        <w:ind w:left="720" w:hanging="720"/>
        <w:rPr>
          <w:rFonts w:cstheme="minorHAnsi"/>
          <w:sz w:val="24"/>
          <w:szCs w:val="24"/>
        </w:rPr>
      </w:pPr>
    </w:p>
    <w:p w14:paraId="45CB9664" w14:textId="0D949472" w:rsidR="005E462E" w:rsidRPr="005E462E" w:rsidRDefault="005E462E" w:rsidP="005E462E">
      <w:pPr>
        <w:spacing w:after="0" w:line="240" w:lineRule="auto"/>
        <w:ind w:left="720" w:hanging="720"/>
        <w:rPr>
          <w:rFonts w:cstheme="minorHAnsi"/>
          <w:sz w:val="24"/>
          <w:szCs w:val="24"/>
        </w:rPr>
      </w:pPr>
      <w:r w:rsidRPr="005E462E">
        <w:rPr>
          <w:rFonts w:cstheme="minorHAnsi"/>
          <w:sz w:val="24"/>
          <w:szCs w:val="24"/>
        </w:rPr>
        <w:t xml:space="preserve">Sokolow, B., Lewis, S., Van Brunt, B., Schuster, S., &amp; Swinton, D. (2014). </w:t>
      </w:r>
      <w:r w:rsidRPr="005E462E">
        <w:rPr>
          <w:rFonts w:cstheme="minorHAnsi"/>
          <w:i/>
          <w:iCs/>
          <w:sz w:val="24"/>
          <w:szCs w:val="24"/>
        </w:rPr>
        <w:t>Book on BIT</w:t>
      </w:r>
      <w:r w:rsidRPr="005E462E">
        <w:rPr>
          <w:rFonts w:cstheme="minorHAnsi"/>
          <w:sz w:val="24"/>
          <w:szCs w:val="24"/>
        </w:rPr>
        <w:t xml:space="preserve"> (2</w:t>
      </w:r>
      <w:r w:rsidR="001C7730" w:rsidRPr="001C7730">
        <w:rPr>
          <w:rFonts w:cstheme="minorHAnsi"/>
          <w:sz w:val="24"/>
          <w:szCs w:val="24"/>
          <w:vertAlign w:val="superscript"/>
        </w:rPr>
        <w:t>nd</w:t>
      </w:r>
      <w:r w:rsidRPr="005E462E">
        <w:rPr>
          <w:rFonts w:cstheme="minorHAnsi"/>
          <w:sz w:val="24"/>
          <w:szCs w:val="24"/>
        </w:rPr>
        <w:t xml:space="preserve"> ed.). The National Behavioral Intervention Team Association.</w:t>
      </w:r>
    </w:p>
    <w:p w14:paraId="2E554362" w14:textId="77777777" w:rsidR="005E462E" w:rsidRPr="005E462E" w:rsidRDefault="005E462E" w:rsidP="005E462E">
      <w:pPr>
        <w:spacing w:after="0" w:line="240" w:lineRule="auto"/>
        <w:ind w:left="720" w:hanging="720"/>
        <w:rPr>
          <w:rFonts w:cstheme="minorHAnsi"/>
          <w:sz w:val="24"/>
          <w:szCs w:val="24"/>
        </w:rPr>
      </w:pPr>
    </w:p>
    <w:p w14:paraId="1806E444" w14:textId="77777777" w:rsidR="005E462E" w:rsidRPr="005E462E" w:rsidRDefault="005E462E" w:rsidP="005E462E">
      <w:pPr>
        <w:spacing w:after="0" w:line="240" w:lineRule="auto"/>
        <w:ind w:left="720" w:hanging="720"/>
        <w:rPr>
          <w:rFonts w:cstheme="minorHAnsi"/>
          <w:sz w:val="24"/>
          <w:szCs w:val="24"/>
        </w:rPr>
      </w:pPr>
      <w:r w:rsidRPr="005E462E">
        <w:rPr>
          <w:rFonts w:cstheme="minorHAnsi"/>
          <w:sz w:val="24"/>
          <w:szCs w:val="24"/>
        </w:rPr>
        <w:t>Sokolow, B. A., Lewis, W. S., Schuster, S. K., Swinton, D. C., &amp; Van Brunt, B. J. (2014) Threat assessment in the campus setting, The NaBITA 2014 whitepaper. www.nabita.org.</w:t>
      </w:r>
    </w:p>
    <w:p w14:paraId="7802139A" w14:textId="404094F0" w:rsidR="005E462E" w:rsidRDefault="005E462E" w:rsidP="008D6938">
      <w:pPr>
        <w:spacing w:after="0" w:line="240" w:lineRule="auto"/>
        <w:ind w:left="720" w:hanging="720"/>
        <w:rPr>
          <w:rFonts w:cstheme="minorHAnsi"/>
          <w:sz w:val="24"/>
          <w:szCs w:val="24"/>
        </w:rPr>
      </w:pPr>
    </w:p>
    <w:p w14:paraId="0D9BA44B" w14:textId="77777777" w:rsidR="005E462E" w:rsidRPr="005E462E" w:rsidRDefault="005E462E" w:rsidP="005E462E">
      <w:pPr>
        <w:spacing w:after="0" w:line="240" w:lineRule="auto"/>
        <w:ind w:left="720" w:hanging="720"/>
        <w:rPr>
          <w:rFonts w:cstheme="minorHAnsi"/>
          <w:sz w:val="24"/>
          <w:szCs w:val="24"/>
        </w:rPr>
      </w:pPr>
      <w:r w:rsidRPr="005E462E">
        <w:rPr>
          <w:rFonts w:cstheme="minorHAnsi"/>
          <w:sz w:val="24"/>
          <w:szCs w:val="24"/>
        </w:rPr>
        <w:t>Somers, P., &amp; Valentine, M. (2020). </w:t>
      </w:r>
      <w:r w:rsidRPr="005E462E">
        <w:rPr>
          <w:rFonts w:cstheme="minorHAnsi"/>
          <w:i/>
          <w:iCs/>
          <w:sz w:val="24"/>
          <w:szCs w:val="24"/>
        </w:rPr>
        <w:t>Campus carry: Confronting a loaded issue in higher education</w:t>
      </w:r>
      <w:r w:rsidRPr="005E462E">
        <w:rPr>
          <w:rFonts w:cstheme="minorHAnsi"/>
          <w:sz w:val="24"/>
          <w:szCs w:val="24"/>
        </w:rPr>
        <w:t>. Harvard Education Press.</w:t>
      </w:r>
    </w:p>
    <w:p w14:paraId="089E8CDD" w14:textId="77777777" w:rsidR="005E462E" w:rsidRDefault="005E462E" w:rsidP="008D6938">
      <w:pPr>
        <w:spacing w:after="0" w:line="240" w:lineRule="auto"/>
        <w:ind w:left="720" w:hanging="720"/>
        <w:rPr>
          <w:rFonts w:cstheme="minorHAnsi"/>
          <w:sz w:val="24"/>
          <w:szCs w:val="24"/>
        </w:rPr>
      </w:pPr>
    </w:p>
    <w:p w14:paraId="6F6CC724" w14:textId="65F77DC9"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Southeastern Conference. (2018). </w:t>
      </w:r>
      <w:r w:rsidRPr="008D6938">
        <w:rPr>
          <w:rFonts w:cstheme="minorHAnsi"/>
          <w:i/>
          <w:iCs/>
          <w:sz w:val="24"/>
          <w:szCs w:val="24"/>
        </w:rPr>
        <w:t xml:space="preserve">About the Southeastern Conference. </w:t>
      </w:r>
      <w:hyperlink r:id="rId80" w:history="1">
        <w:r w:rsidRPr="00C61DE6">
          <w:rPr>
            <w:rStyle w:val="Hyperlink"/>
            <w:rFonts w:cstheme="minorHAnsi"/>
            <w:sz w:val="24"/>
            <w:szCs w:val="24"/>
          </w:rPr>
          <w:t>https://www.secsports.com/article/11067695/about-the-sec-conference</w:t>
        </w:r>
      </w:hyperlink>
    </w:p>
    <w:p w14:paraId="3B2091B6" w14:textId="77777777" w:rsidR="008D6938" w:rsidRPr="008D6938" w:rsidRDefault="008D6938" w:rsidP="008D6938">
      <w:pPr>
        <w:spacing w:after="0" w:line="240" w:lineRule="auto"/>
        <w:ind w:left="720" w:hanging="720"/>
        <w:rPr>
          <w:rFonts w:cstheme="minorHAnsi"/>
          <w:sz w:val="24"/>
          <w:szCs w:val="24"/>
        </w:rPr>
      </w:pPr>
    </w:p>
    <w:p w14:paraId="6B82C0AA" w14:textId="6587C2FA"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Southeastern Conference. (2021). </w:t>
      </w:r>
      <w:r w:rsidRPr="008D6938">
        <w:rPr>
          <w:rFonts w:cstheme="minorHAnsi"/>
          <w:i/>
          <w:iCs/>
          <w:sz w:val="24"/>
          <w:szCs w:val="24"/>
        </w:rPr>
        <w:t>SEC grants membership to Oklahoma, Texas starting in 2025.</w:t>
      </w:r>
      <w:r w:rsidRPr="008D6938">
        <w:rPr>
          <w:rFonts w:cstheme="minorHAnsi"/>
          <w:sz w:val="24"/>
          <w:szCs w:val="24"/>
        </w:rPr>
        <w:t xml:space="preserve"> </w:t>
      </w:r>
      <w:hyperlink r:id="rId81" w:history="1">
        <w:r w:rsidRPr="00C61DE6">
          <w:rPr>
            <w:rStyle w:val="Hyperlink"/>
            <w:rFonts w:cstheme="minorHAnsi"/>
            <w:sz w:val="24"/>
            <w:szCs w:val="24"/>
          </w:rPr>
          <w:t>https://www.secsports.com/article/31921323/sec-grants-membership-oklahoma-texas-starting-2025</w:t>
        </w:r>
      </w:hyperlink>
    </w:p>
    <w:p w14:paraId="122639E3" w14:textId="77777777" w:rsidR="008D6938" w:rsidRPr="008D6938" w:rsidRDefault="008D6938" w:rsidP="008D6938">
      <w:pPr>
        <w:spacing w:after="0" w:line="240" w:lineRule="auto"/>
        <w:ind w:left="720" w:hanging="720"/>
        <w:rPr>
          <w:rFonts w:cstheme="minorHAnsi"/>
          <w:sz w:val="24"/>
          <w:szCs w:val="24"/>
        </w:rPr>
      </w:pPr>
    </w:p>
    <w:p w14:paraId="726A48C4" w14:textId="7777777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Spradley, J. P. (1980). </w:t>
      </w:r>
      <w:r w:rsidRPr="0033578A">
        <w:rPr>
          <w:rFonts w:cstheme="minorHAnsi"/>
          <w:i/>
          <w:sz w:val="24"/>
          <w:szCs w:val="24"/>
        </w:rPr>
        <w:t>Participant observation.</w:t>
      </w:r>
      <w:r w:rsidRPr="0033578A">
        <w:rPr>
          <w:rFonts w:cstheme="minorHAnsi"/>
          <w:sz w:val="24"/>
          <w:szCs w:val="24"/>
        </w:rPr>
        <w:t xml:space="preserve"> Holt, Rinehart, and Winston.</w:t>
      </w:r>
    </w:p>
    <w:p w14:paraId="7276751F" w14:textId="77777777" w:rsidR="0033578A" w:rsidRPr="0033578A" w:rsidRDefault="0033578A" w:rsidP="0033578A">
      <w:pPr>
        <w:spacing w:after="0" w:line="240" w:lineRule="auto"/>
        <w:ind w:left="720" w:hanging="720"/>
        <w:rPr>
          <w:rFonts w:cstheme="minorHAnsi"/>
          <w:sz w:val="24"/>
          <w:szCs w:val="24"/>
        </w:rPr>
      </w:pPr>
    </w:p>
    <w:p w14:paraId="45781215" w14:textId="7069072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Stake, R. E. (1988). Case study methods in educational research: Seeking sweet water. In R. M. Jaeger (Ed.), </w:t>
      </w:r>
      <w:r w:rsidRPr="0033578A">
        <w:rPr>
          <w:rFonts w:cstheme="minorHAnsi"/>
          <w:i/>
          <w:sz w:val="24"/>
          <w:szCs w:val="24"/>
        </w:rPr>
        <w:t>Complementary methods for research in education</w:t>
      </w:r>
      <w:r w:rsidRPr="0033578A">
        <w:rPr>
          <w:rFonts w:cstheme="minorHAnsi"/>
          <w:sz w:val="24"/>
          <w:szCs w:val="24"/>
        </w:rPr>
        <w:t xml:space="preserve"> (253-278). Washington, DC: American Education Research Association. </w:t>
      </w:r>
    </w:p>
    <w:p w14:paraId="2A5A9828" w14:textId="77777777" w:rsidR="0033578A" w:rsidRPr="0033578A" w:rsidRDefault="0033578A" w:rsidP="0033578A">
      <w:pPr>
        <w:spacing w:after="0" w:line="240" w:lineRule="auto"/>
        <w:ind w:left="720" w:hanging="720"/>
        <w:rPr>
          <w:rFonts w:cstheme="minorHAnsi"/>
          <w:sz w:val="24"/>
          <w:szCs w:val="24"/>
        </w:rPr>
      </w:pPr>
    </w:p>
    <w:p w14:paraId="708BF8EA" w14:textId="5B6F96F4"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Stake, R. E. (2005). Qualitative case studies. In N. K. Denzin &amp; Y. S. Lincoln (Eds.), </w:t>
      </w:r>
      <w:r w:rsidRPr="0033578A">
        <w:rPr>
          <w:rFonts w:cstheme="minorHAnsi"/>
          <w:i/>
          <w:sz w:val="24"/>
          <w:szCs w:val="24"/>
        </w:rPr>
        <w:t>The Sage handbook of qualitative research</w:t>
      </w:r>
      <w:r w:rsidRPr="0033578A">
        <w:rPr>
          <w:rFonts w:cstheme="minorHAnsi"/>
          <w:sz w:val="24"/>
          <w:szCs w:val="24"/>
        </w:rPr>
        <w:t xml:space="preserve"> (3</w:t>
      </w:r>
      <w:r w:rsidRPr="0033578A">
        <w:rPr>
          <w:rFonts w:cstheme="minorHAnsi"/>
          <w:sz w:val="24"/>
          <w:szCs w:val="24"/>
          <w:vertAlign w:val="superscript"/>
        </w:rPr>
        <w:t>rd</w:t>
      </w:r>
      <w:r w:rsidRPr="0033578A">
        <w:rPr>
          <w:rFonts w:cstheme="minorHAnsi"/>
          <w:sz w:val="24"/>
          <w:szCs w:val="24"/>
        </w:rPr>
        <w:t xml:space="preserve"> ed.). (443–466). Sage.</w:t>
      </w:r>
    </w:p>
    <w:p w14:paraId="6A8FBCBD" w14:textId="77777777" w:rsidR="002D4F24" w:rsidRDefault="002D4F24" w:rsidP="0033578A">
      <w:pPr>
        <w:spacing w:after="0" w:line="240" w:lineRule="auto"/>
        <w:ind w:left="720" w:hanging="720"/>
        <w:rPr>
          <w:rFonts w:cstheme="minorHAnsi"/>
          <w:sz w:val="24"/>
          <w:szCs w:val="24"/>
        </w:rPr>
      </w:pPr>
    </w:p>
    <w:p w14:paraId="274886E3" w14:textId="77777777" w:rsidR="002D4F24" w:rsidRPr="0033578A" w:rsidRDefault="002D4F24" w:rsidP="002D4F24">
      <w:pPr>
        <w:spacing w:after="0" w:line="240" w:lineRule="auto"/>
        <w:ind w:left="720" w:hanging="720"/>
        <w:rPr>
          <w:rFonts w:cstheme="minorHAnsi"/>
          <w:sz w:val="24"/>
          <w:szCs w:val="24"/>
        </w:rPr>
      </w:pPr>
      <w:r w:rsidRPr="0033578A">
        <w:rPr>
          <w:rFonts w:cstheme="minorHAnsi"/>
          <w:sz w:val="24"/>
          <w:szCs w:val="24"/>
        </w:rPr>
        <w:t xml:space="preserve">Strauss, A. (1987). </w:t>
      </w:r>
      <w:r w:rsidRPr="0033578A">
        <w:rPr>
          <w:rFonts w:cstheme="minorHAnsi"/>
          <w:i/>
          <w:sz w:val="24"/>
          <w:szCs w:val="24"/>
        </w:rPr>
        <w:t>Qualitative analysis for social scientists.</w:t>
      </w:r>
      <w:r w:rsidRPr="0033578A">
        <w:rPr>
          <w:rFonts w:cstheme="minorHAnsi"/>
          <w:sz w:val="24"/>
          <w:szCs w:val="24"/>
        </w:rPr>
        <w:t xml:space="preserve"> Cambridge University Press.</w:t>
      </w:r>
    </w:p>
    <w:p w14:paraId="4B011461" w14:textId="77777777" w:rsidR="002D4F24" w:rsidRDefault="002D4F24" w:rsidP="0033578A">
      <w:pPr>
        <w:spacing w:after="0" w:line="240" w:lineRule="auto"/>
        <w:ind w:left="720" w:hanging="720"/>
        <w:rPr>
          <w:rFonts w:cstheme="minorHAnsi"/>
          <w:sz w:val="24"/>
          <w:szCs w:val="24"/>
        </w:rPr>
      </w:pPr>
    </w:p>
    <w:p w14:paraId="74570F0C" w14:textId="246B7F58" w:rsidR="00846FC3" w:rsidRPr="002D4F24" w:rsidRDefault="00846FC3" w:rsidP="0033578A">
      <w:pPr>
        <w:spacing w:after="0" w:line="240" w:lineRule="auto"/>
        <w:ind w:left="720" w:hanging="720"/>
        <w:rPr>
          <w:rFonts w:cstheme="minorHAnsi"/>
          <w:sz w:val="24"/>
          <w:szCs w:val="24"/>
        </w:rPr>
      </w:pPr>
      <w:r w:rsidRPr="00846FC3">
        <w:rPr>
          <w:rFonts w:cstheme="minorHAnsi"/>
          <w:sz w:val="24"/>
          <w:szCs w:val="24"/>
        </w:rPr>
        <w:t>Strauss, A. (1995).</w:t>
      </w:r>
      <w:r w:rsidR="002D4F24">
        <w:rPr>
          <w:rFonts w:cstheme="minorHAnsi"/>
          <w:sz w:val="24"/>
          <w:szCs w:val="24"/>
        </w:rPr>
        <w:t xml:space="preserve"> </w:t>
      </w:r>
      <w:r w:rsidR="002D4F24">
        <w:rPr>
          <w:rFonts w:cstheme="minorHAnsi"/>
          <w:i/>
          <w:iCs/>
          <w:sz w:val="24"/>
          <w:szCs w:val="24"/>
        </w:rPr>
        <w:t xml:space="preserve">Qualitative analysis for social scientists. </w:t>
      </w:r>
      <w:r w:rsidR="002D4F24">
        <w:rPr>
          <w:rFonts w:cstheme="minorHAnsi"/>
          <w:sz w:val="24"/>
          <w:szCs w:val="24"/>
        </w:rPr>
        <w:t>Cambridge University Press.</w:t>
      </w:r>
    </w:p>
    <w:p w14:paraId="6E330BEC" w14:textId="77777777" w:rsidR="00846FC3" w:rsidRDefault="00846FC3" w:rsidP="0033578A">
      <w:pPr>
        <w:spacing w:after="0" w:line="240" w:lineRule="auto"/>
        <w:ind w:left="720" w:hanging="720"/>
        <w:rPr>
          <w:rFonts w:cstheme="minorHAnsi"/>
          <w:sz w:val="24"/>
          <w:szCs w:val="24"/>
        </w:rPr>
      </w:pPr>
    </w:p>
    <w:p w14:paraId="5442FCA7" w14:textId="239BB60C" w:rsidR="0033578A" w:rsidRPr="0033578A" w:rsidRDefault="002D4F24" w:rsidP="0033578A">
      <w:pPr>
        <w:spacing w:after="0" w:line="240" w:lineRule="auto"/>
        <w:ind w:left="720" w:hanging="720"/>
        <w:rPr>
          <w:rFonts w:cstheme="minorHAnsi"/>
          <w:sz w:val="24"/>
          <w:szCs w:val="24"/>
        </w:rPr>
      </w:pPr>
      <w:r>
        <w:rPr>
          <w:rFonts w:cstheme="minorHAnsi"/>
          <w:sz w:val="24"/>
          <w:szCs w:val="24"/>
        </w:rPr>
        <w:t>S</w:t>
      </w:r>
      <w:r w:rsidR="0033578A" w:rsidRPr="0033578A">
        <w:rPr>
          <w:rFonts w:cstheme="minorHAnsi"/>
          <w:sz w:val="24"/>
          <w:szCs w:val="24"/>
        </w:rPr>
        <w:t xml:space="preserve">trauss, A., Schatzman, L., Bucher, R., &amp; Sabshin, M. (1981). </w:t>
      </w:r>
      <w:r w:rsidR="0033578A" w:rsidRPr="0033578A">
        <w:rPr>
          <w:rFonts w:cstheme="minorHAnsi"/>
          <w:i/>
          <w:sz w:val="24"/>
          <w:szCs w:val="24"/>
        </w:rPr>
        <w:t>Psychiatric ideologies and institutions</w:t>
      </w:r>
      <w:r w:rsidR="0033578A" w:rsidRPr="0033578A">
        <w:rPr>
          <w:rFonts w:cstheme="minorHAnsi"/>
          <w:sz w:val="24"/>
          <w:szCs w:val="24"/>
        </w:rPr>
        <w:t xml:space="preserve"> (2</w:t>
      </w:r>
      <w:r w:rsidR="0033578A" w:rsidRPr="0033578A">
        <w:rPr>
          <w:rFonts w:cstheme="minorHAnsi"/>
          <w:sz w:val="24"/>
          <w:szCs w:val="24"/>
          <w:vertAlign w:val="superscript"/>
        </w:rPr>
        <w:t>nd</w:t>
      </w:r>
      <w:r w:rsidR="0033578A" w:rsidRPr="0033578A">
        <w:rPr>
          <w:rFonts w:cstheme="minorHAnsi"/>
          <w:sz w:val="24"/>
          <w:szCs w:val="24"/>
        </w:rPr>
        <w:t xml:space="preserve"> ed.). Wiley.</w:t>
      </w:r>
    </w:p>
    <w:p w14:paraId="28E36371" w14:textId="77777777" w:rsidR="0033578A" w:rsidRPr="0033578A" w:rsidRDefault="0033578A" w:rsidP="0033578A">
      <w:pPr>
        <w:spacing w:after="0" w:line="240" w:lineRule="auto"/>
        <w:ind w:left="720" w:hanging="720"/>
        <w:rPr>
          <w:rFonts w:cstheme="minorHAnsi"/>
          <w:sz w:val="24"/>
          <w:szCs w:val="24"/>
        </w:rPr>
      </w:pPr>
    </w:p>
    <w:p w14:paraId="1B3BAA00" w14:textId="77777777" w:rsidR="005831C3" w:rsidRPr="005831C3" w:rsidRDefault="005831C3" w:rsidP="005831C3">
      <w:pPr>
        <w:spacing w:after="0" w:line="240" w:lineRule="auto"/>
        <w:ind w:left="720" w:hanging="720"/>
        <w:rPr>
          <w:rFonts w:cstheme="minorHAnsi"/>
          <w:sz w:val="24"/>
          <w:szCs w:val="24"/>
        </w:rPr>
      </w:pPr>
      <w:bookmarkStart w:id="23" w:name="_heading=h.3znysh7" w:colFirst="0" w:colLast="0"/>
      <w:bookmarkEnd w:id="23"/>
      <w:r w:rsidRPr="005831C3">
        <w:rPr>
          <w:rFonts w:cstheme="minorHAnsi"/>
          <w:sz w:val="24"/>
          <w:szCs w:val="24"/>
        </w:rPr>
        <w:t>Stuart-Cassel, V., Bell, A., Springer, J. F., &amp; Office of Planning, E., and P. D. (ED), P. and P. S. S. (2011). Analysis of State Bullying Laws and Policies. In </w:t>
      </w:r>
      <w:r w:rsidRPr="005831C3">
        <w:rPr>
          <w:rFonts w:cstheme="minorHAnsi"/>
          <w:i/>
          <w:iCs/>
          <w:sz w:val="24"/>
          <w:szCs w:val="24"/>
        </w:rPr>
        <w:t xml:space="preserve">Office of Planning, Evaluation and </w:t>
      </w:r>
      <w:r w:rsidRPr="005831C3">
        <w:rPr>
          <w:rFonts w:cstheme="minorHAnsi"/>
          <w:i/>
          <w:iCs/>
          <w:sz w:val="24"/>
          <w:szCs w:val="24"/>
        </w:rPr>
        <w:lastRenderedPageBreak/>
        <w:t>Policy Development, US Department of Education</w:t>
      </w:r>
      <w:r w:rsidRPr="005831C3">
        <w:rPr>
          <w:rFonts w:cstheme="minorHAnsi"/>
          <w:sz w:val="24"/>
          <w:szCs w:val="24"/>
        </w:rPr>
        <w:t>. Office of Planning, Evaluation and Policy Development, US Department of Education.</w:t>
      </w:r>
    </w:p>
    <w:p w14:paraId="0AD40914" w14:textId="473FBF08" w:rsidR="005831C3" w:rsidRDefault="005831C3" w:rsidP="0033578A">
      <w:pPr>
        <w:spacing w:after="0" w:line="240" w:lineRule="auto"/>
        <w:ind w:left="720" w:hanging="720"/>
        <w:rPr>
          <w:rFonts w:cstheme="minorHAnsi"/>
          <w:sz w:val="24"/>
          <w:szCs w:val="24"/>
        </w:rPr>
      </w:pPr>
    </w:p>
    <w:p w14:paraId="38335342" w14:textId="1C07B63D" w:rsidR="005A734A" w:rsidRDefault="005A734A" w:rsidP="005831C3">
      <w:pPr>
        <w:spacing w:after="0" w:line="240" w:lineRule="auto"/>
        <w:ind w:left="720" w:hanging="720"/>
        <w:rPr>
          <w:rFonts w:cstheme="minorHAnsi"/>
          <w:sz w:val="24"/>
          <w:szCs w:val="24"/>
        </w:rPr>
      </w:pPr>
      <w:r w:rsidRPr="005A734A">
        <w:rPr>
          <w:rFonts w:cstheme="minorHAnsi"/>
          <w:sz w:val="24"/>
          <w:szCs w:val="24"/>
        </w:rPr>
        <w:t>Sukhera, J.</w:t>
      </w:r>
      <w:r>
        <w:rPr>
          <w:rFonts w:cstheme="minorHAnsi"/>
          <w:sz w:val="24"/>
          <w:szCs w:val="24"/>
        </w:rPr>
        <w:t xml:space="preserve"> &amp; </w:t>
      </w:r>
      <w:r w:rsidRPr="005A734A">
        <w:rPr>
          <w:rFonts w:cstheme="minorHAnsi"/>
          <w:sz w:val="24"/>
          <w:szCs w:val="24"/>
        </w:rPr>
        <w:t xml:space="preserve">Schwartz, H. </w:t>
      </w:r>
      <w:r>
        <w:rPr>
          <w:rFonts w:cstheme="minorHAnsi"/>
          <w:sz w:val="24"/>
          <w:szCs w:val="24"/>
        </w:rPr>
        <w:t xml:space="preserve">(2023). </w:t>
      </w:r>
      <w:r w:rsidRPr="005A734A">
        <w:rPr>
          <w:rFonts w:cstheme="minorHAnsi"/>
          <w:sz w:val="24"/>
          <w:szCs w:val="24"/>
        </w:rPr>
        <w:t xml:space="preserve">Reflections on Sandy Hook: a </w:t>
      </w:r>
      <w:r>
        <w:rPr>
          <w:rFonts w:cstheme="minorHAnsi"/>
          <w:sz w:val="24"/>
          <w:szCs w:val="24"/>
        </w:rPr>
        <w:t>d</w:t>
      </w:r>
      <w:r w:rsidRPr="005A734A">
        <w:rPr>
          <w:rFonts w:cstheme="minorHAnsi"/>
          <w:sz w:val="24"/>
          <w:szCs w:val="24"/>
        </w:rPr>
        <w:t xml:space="preserve">ecade </w:t>
      </w:r>
      <w:r>
        <w:rPr>
          <w:rFonts w:cstheme="minorHAnsi"/>
          <w:sz w:val="24"/>
          <w:szCs w:val="24"/>
        </w:rPr>
        <w:t>l</w:t>
      </w:r>
      <w:r w:rsidRPr="005A734A">
        <w:rPr>
          <w:rFonts w:cstheme="minorHAnsi"/>
          <w:sz w:val="24"/>
          <w:szCs w:val="24"/>
        </w:rPr>
        <w:t xml:space="preserve">ater. </w:t>
      </w:r>
      <w:r w:rsidRPr="00501ED9">
        <w:rPr>
          <w:rFonts w:cstheme="minorHAnsi"/>
          <w:i/>
          <w:iCs/>
          <w:sz w:val="24"/>
          <w:szCs w:val="24"/>
        </w:rPr>
        <w:t>Acad Psychiatry 47</w:t>
      </w:r>
      <w:r w:rsidRPr="005A734A">
        <w:rPr>
          <w:rFonts w:cstheme="minorHAnsi"/>
          <w:sz w:val="24"/>
          <w:szCs w:val="24"/>
        </w:rPr>
        <w:t>, 486–487.</w:t>
      </w:r>
    </w:p>
    <w:p w14:paraId="297C4E9A" w14:textId="46B9AB82" w:rsidR="005A734A" w:rsidRDefault="005A734A" w:rsidP="00501ED9">
      <w:pPr>
        <w:spacing w:after="0" w:line="240" w:lineRule="auto"/>
        <w:ind w:left="720"/>
        <w:rPr>
          <w:rFonts w:cstheme="minorHAnsi"/>
          <w:sz w:val="24"/>
          <w:szCs w:val="24"/>
        </w:rPr>
      </w:pPr>
      <w:hyperlink r:id="rId82" w:history="1">
        <w:r w:rsidRPr="00C61DE6">
          <w:rPr>
            <w:rStyle w:val="Hyperlink"/>
            <w:rFonts w:cstheme="minorHAnsi"/>
            <w:sz w:val="24"/>
            <w:szCs w:val="24"/>
          </w:rPr>
          <w:t>https://doi.org/10.1007/s40596-023-01792-8</w:t>
        </w:r>
      </w:hyperlink>
    </w:p>
    <w:p w14:paraId="5467A0C8" w14:textId="77777777" w:rsidR="005A734A" w:rsidRDefault="005A734A" w:rsidP="005831C3">
      <w:pPr>
        <w:spacing w:after="0" w:line="240" w:lineRule="auto"/>
        <w:ind w:left="720" w:hanging="720"/>
        <w:rPr>
          <w:rFonts w:cstheme="minorHAnsi"/>
          <w:sz w:val="24"/>
          <w:szCs w:val="24"/>
        </w:rPr>
      </w:pPr>
    </w:p>
    <w:p w14:paraId="61351D3C" w14:textId="024BD500" w:rsidR="005831C3" w:rsidRPr="005831C3" w:rsidRDefault="005831C3" w:rsidP="005831C3">
      <w:pPr>
        <w:spacing w:after="0" w:line="240" w:lineRule="auto"/>
        <w:ind w:left="720" w:hanging="720"/>
        <w:rPr>
          <w:rFonts w:cstheme="minorHAnsi"/>
          <w:sz w:val="24"/>
          <w:szCs w:val="24"/>
        </w:rPr>
      </w:pPr>
      <w:r w:rsidRPr="005831C3">
        <w:rPr>
          <w:rFonts w:cstheme="minorHAnsi"/>
          <w:sz w:val="24"/>
          <w:szCs w:val="24"/>
        </w:rPr>
        <w:t xml:space="preserve">Sulkowski, M. L., &amp; Lazarus, P. J. (2011). Contemporary </w:t>
      </w:r>
      <w:r w:rsidR="00F5251A">
        <w:rPr>
          <w:rFonts w:cstheme="minorHAnsi"/>
          <w:sz w:val="24"/>
          <w:szCs w:val="24"/>
        </w:rPr>
        <w:t>r</w:t>
      </w:r>
      <w:r w:rsidRPr="005831C3">
        <w:rPr>
          <w:rFonts w:cstheme="minorHAnsi"/>
          <w:sz w:val="24"/>
          <w:szCs w:val="24"/>
        </w:rPr>
        <w:t xml:space="preserve">esponses to </w:t>
      </w:r>
      <w:r w:rsidR="00F5251A">
        <w:rPr>
          <w:rFonts w:cstheme="minorHAnsi"/>
          <w:sz w:val="24"/>
          <w:szCs w:val="24"/>
        </w:rPr>
        <w:t>v</w:t>
      </w:r>
      <w:r w:rsidRPr="005831C3">
        <w:rPr>
          <w:rFonts w:cstheme="minorHAnsi"/>
          <w:sz w:val="24"/>
          <w:szCs w:val="24"/>
        </w:rPr>
        <w:t xml:space="preserve">iolent </w:t>
      </w:r>
      <w:r w:rsidR="00F5251A">
        <w:rPr>
          <w:rFonts w:cstheme="minorHAnsi"/>
          <w:sz w:val="24"/>
          <w:szCs w:val="24"/>
        </w:rPr>
        <w:t>a</w:t>
      </w:r>
      <w:r w:rsidRPr="005831C3">
        <w:rPr>
          <w:rFonts w:cstheme="minorHAnsi"/>
          <w:sz w:val="24"/>
          <w:szCs w:val="24"/>
        </w:rPr>
        <w:t xml:space="preserve">ttacks on </w:t>
      </w:r>
      <w:r w:rsidR="00F5251A">
        <w:rPr>
          <w:rFonts w:cstheme="minorHAnsi"/>
          <w:sz w:val="24"/>
          <w:szCs w:val="24"/>
        </w:rPr>
        <w:t>c</w:t>
      </w:r>
      <w:r w:rsidRPr="005831C3">
        <w:rPr>
          <w:rFonts w:cstheme="minorHAnsi"/>
          <w:sz w:val="24"/>
          <w:szCs w:val="24"/>
        </w:rPr>
        <w:t xml:space="preserve">ollege </w:t>
      </w:r>
      <w:r w:rsidR="00F5251A">
        <w:rPr>
          <w:rFonts w:cstheme="minorHAnsi"/>
          <w:sz w:val="24"/>
          <w:szCs w:val="24"/>
        </w:rPr>
        <w:t>c</w:t>
      </w:r>
      <w:r w:rsidRPr="005831C3">
        <w:rPr>
          <w:rFonts w:cstheme="minorHAnsi"/>
          <w:sz w:val="24"/>
          <w:szCs w:val="24"/>
        </w:rPr>
        <w:t>ampuses. </w:t>
      </w:r>
      <w:r w:rsidRPr="005831C3">
        <w:rPr>
          <w:rFonts w:cstheme="minorHAnsi"/>
          <w:i/>
          <w:iCs/>
          <w:sz w:val="24"/>
          <w:szCs w:val="24"/>
        </w:rPr>
        <w:t xml:space="preserve">Journal of </w:t>
      </w:r>
      <w:r w:rsidR="00F5251A">
        <w:rPr>
          <w:rFonts w:cstheme="minorHAnsi"/>
          <w:i/>
          <w:iCs/>
          <w:sz w:val="24"/>
          <w:szCs w:val="24"/>
        </w:rPr>
        <w:t>S</w:t>
      </w:r>
      <w:r w:rsidRPr="005831C3">
        <w:rPr>
          <w:rFonts w:cstheme="minorHAnsi"/>
          <w:i/>
          <w:iCs/>
          <w:sz w:val="24"/>
          <w:szCs w:val="24"/>
        </w:rPr>
        <w:t xml:space="preserve">chool </w:t>
      </w:r>
      <w:r w:rsidR="00F5251A">
        <w:rPr>
          <w:rFonts w:cstheme="minorHAnsi"/>
          <w:i/>
          <w:iCs/>
          <w:sz w:val="24"/>
          <w:szCs w:val="24"/>
        </w:rPr>
        <w:t>V</w:t>
      </w:r>
      <w:r w:rsidRPr="005831C3">
        <w:rPr>
          <w:rFonts w:cstheme="minorHAnsi"/>
          <w:i/>
          <w:iCs/>
          <w:sz w:val="24"/>
          <w:szCs w:val="24"/>
        </w:rPr>
        <w:t>iolence</w:t>
      </w:r>
      <w:r w:rsidRPr="005831C3">
        <w:rPr>
          <w:rFonts w:cstheme="minorHAnsi"/>
          <w:sz w:val="24"/>
          <w:szCs w:val="24"/>
        </w:rPr>
        <w:t>, </w:t>
      </w:r>
      <w:r w:rsidRPr="005831C3">
        <w:rPr>
          <w:rFonts w:cstheme="minorHAnsi"/>
          <w:i/>
          <w:iCs/>
          <w:sz w:val="24"/>
          <w:szCs w:val="24"/>
        </w:rPr>
        <w:t>10</w:t>
      </w:r>
      <w:r w:rsidRPr="005831C3">
        <w:rPr>
          <w:rFonts w:cstheme="minorHAnsi"/>
          <w:sz w:val="24"/>
          <w:szCs w:val="24"/>
        </w:rPr>
        <w:t>(4), 338–354.</w:t>
      </w:r>
      <w:r w:rsidR="000724BF">
        <w:rPr>
          <w:rFonts w:cstheme="minorHAnsi"/>
          <w:sz w:val="24"/>
          <w:szCs w:val="24"/>
        </w:rPr>
        <w:t xml:space="preserve"> </w:t>
      </w:r>
      <w:hyperlink r:id="rId83" w:history="1">
        <w:r w:rsidR="000724BF" w:rsidRPr="00C61DE6">
          <w:rPr>
            <w:rStyle w:val="Hyperlink"/>
            <w:rFonts w:cstheme="minorHAnsi"/>
            <w:sz w:val="24"/>
            <w:szCs w:val="24"/>
          </w:rPr>
          <w:t>https://doi.org/10.1080/15388220.2011.602601</w:t>
        </w:r>
      </w:hyperlink>
    </w:p>
    <w:p w14:paraId="05F32B00" w14:textId="77777777" w:rsidR="005831C3" w:rsidRDefault="005831C3" w:rsidP="0033578A">
      <w:pPr>
        <w:spacing w:after="0" w:line="240" w:lineRule="auto"/>
        <w:ind w:left="720" w:hanging="720"/>
        <w:rPr>
          <w:rFonts w:cstheme="minorHAnsi"/>
          <w:sz w:val="24"/>
          <w:szCs w:val="24"/>
        </w:rPr>
      </w:pPr>
    </w:p>
    <w:p w14:paraId="366AB88C" w14:textId="19FB73CE"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Swerzenski, J. D. (2021). Why </w:t>
      </w:r>
      <w:r w:rsidR="00F5251A">
        <w:rPr>
          <w:rFonts w:cstheme="minorHAnsi"/>
          <w:sz w:val="24"/>
          <w:szCs w:val="24"/>
        </w:rPr>
        <w:t>t</w:t>
      </w:r>
      <w:r w:rsidRPr="0033578A">
        <w:rPr>
          <w:rFonts w:cstheme="minorHAnsi"/>
          <w:sz w:val="24"/>
          <w:szCs w:val="24"/>
        </w:rPr>
        <w:t xml:space="preserve">eaching </w:t>
      </w:r>
      <w:r w:rsidR="00F5251A">
        <w:rPr>
          <w:rFonts w:cstheme="minorHAnsi"/>
          <w:sz w:val="24"/>
          <w:szCs w:val="24"/>
        </w:rPr>
        <w:t>t</w:t>
      </w:r>
      <w:r w:rsidRPr="0033578A">
        <w:rPr>
          <w:rFonts w:cstheme="minorHAnsi"/>
          <w:sz w:val="24"/>
          <w:szCs w:val="24"/>
        </w:rPr>
        <w:t xml:space="preserve">echnology </w:t>
      </w:r>
      <w:r w:rsidR="00F5251A">
        <w:rPr>
          <w:rFonts w:cstheme="minorHAnsi"/>
          <w:sz w:val="24"/>
          <w:szCs w:val="24"/>
        </w:rPr>
        <w:t>m</w:t>
      </w:r>
      <w:r w:rsidRPr="0033578A">
        <w:rPr>
          <w:rFonts w:cstheme="minorHAnsi"/>
          <w:sz w:val="24"/>
          <w:szCs w:val="24"/>
        </w:rPr>
        <w:t xml:space="preserve">ust </w:t>
      </w:r>
      <w:r w:rsidR="00F5251A">
        <w:rPr>
          <w:rFonts w:cstheme="minorHAnsi"/>
          <w:sz w:val="24"/>
          <w:szCs w:val="24"/>
        </w:rPr>
        <w:t>a</w:t>
      </w:r>
      <w:r w:rsidRPr="0033578A">
        <w:rPr>
          <w:rFonts w:cstheme="minorHAnsi"/>
          <w:sz w:val="24"/>
          <w:szCs w:val="24"/>
        </w:rPr>
        <w:t xml:space="preserve">dapt to </w:t>
      </w:r>
      <w:r w:rsidR="00F5251A">
        <w:rPr>
          <w:rFonts w:cstheme="minorHAnsi"/>
          <w:sz w:val="24"/>
          <w:szCs w:val="24"/>
        </w:rPr>
        <w:t>o</w:t>
      </w:r>
      <w:r w:rsidRPr="0033578A">
        <w:rPr>
          <w:rFonts w:cstheme="minorHAnsi"/>
          <w:sz w:val="24"/>
          <w:szCs w:val="24"/>
        </w:rPr>
        <w:t xml:space="preserve">ur </w:t>
      </w:r>
      <w:r w:rsidR="00F5251A">
        <w:rPr>
          <w:rFonts w:cstheme="minorHAnsi"/>
          <w:sz w:val="24"/>
          <w:szCs w:val="24"/>
        </w:rPr>
        <w:t>t</w:t>
      </w:r>
      <w:r w:rsidRPr="0033578A">
        <w:rPr>
          <w:rFonts w:cstheme="minorHAnsi"/>
          <w:sz w:val="24"/>
          <w:szCs w:val="24"/>
        </w:rPr>
        <w:t xml:space="preserve">eaching. Forum: Pandemic </w:t>
      </w:r>
      <w:r w:rsidR="00F5251A">
        <w:rPr>
          <w:rFonts w:cstheme="minorHAnsi"/>
          <w:sz w:val="24"/>
          <w:szCs w:val="24"/>
        </w:rPr>
        <w:t>p</w:t>
      </w:r>
      <w:r w:rsidRPr="0033578A">
        <w:rPr>
          <w:rFonts w:cstheme="minorHAnsi"/>
          <w:sz w:val="24"/>
          <w:szCs w:val="24"/>
        </w:rPr>
        <w:t xml:space="preserve">edagogy and </w:t>
      </w:r>
      <w:r w:rsidR="00F5251A">
        <w:rPr>
          <w:rFonts w:cstheme="minorHAnsi"/>
          <w:sz w:val="24"/>
          <w:szCs w:val="24"/>
        </w:rPr>
        <w:t>s</w:t>
      </w:r>
      <w:r w:rsidRPr="0033578A">
        <w:rPr>
          <w:rFonts w:cstheme="minorHAnsi"/>
          <w:sz w:val="24"/>
          <w:szCs w:val="24"/>
        </w:rPr>
        <w:t xml:space="preserve">tudent </w:t>
      </w:r>
      <w:r w:rsidR="00F5251A">
        <w:rPr>
          <w:rFonts w:cstheme="minorHAnsi"/>
          <w:sz w:val="24"/>
          <w:szCs w:val="24"/>
        </w:rPr>
        <w:t>l</w:t>
      </w:r>
      <w:r w:rsidRPr="0033578A">
        <w:rPr>
          <w:rFonts w:cstheme="minorHAnsi"/>
          <w:sz w:val="24"/>
          <w:szCs w:val="24"/>
        </w:rPr>
        <w:t>earning. </w:t>
      </w:r>
      <w:r w:rsidRPr="0033578A">
        <w:rPr>
          <w:rFonts w:cstheme="minorHAnsi"/>
          <w:i/>
          <w:sz w:val="24"/>
          <w:szCs w:val="24"/>
        </w:rPr>
        <w:t>Communication Education</w:t>
      </w:r>
      <w:r w:rsidRPr="0033578A">
        <w:rPr>
          <w:rFonts w:cstheme="minorHAnsi"/>
          <w:sz w:val="24"/>
          <w:szCs w:val="24"/>
        </w:rPr>
        <w:t>, </w:t>
      </w:r>
      <w:r w:rsidRPr="0033578A">
        <w:rPr>
          <w:rFonts w:cstheme="minorHAnsi"/>
          <w:i/>
          <w:sz w:val="24"/>
          <w:szCs w:val="24"/>
        </w:rPr>
        <w:t>70</w:t>
      </w:r>
      <w:r w:rsidRPr="0033578A">
        <w:rPr>
          <w:rFonts w:cstheme="minorHAnsi"/>
          <w:sz w:val="24"/>
          <w:szCs w:val="24"/>
        </w:rPr>
        <w:t>(2), 211–213.</w:t>
      </w:r>
      <w:r w:rsidR="000724BF">
        <w:rPr>
          <w:rFonts w:cstheme="minorHAnsi"/>
          <w:sz w:val="24"/>
          <w:szCs w:val="24"/>
        </w:rPr>
        <w:t xml:space="preserve"> </w:t>
      </w:r>
      <w:hyperlink r:id="rId84" w:history="1">
        <w:r w:rsidR="000724BF" w:rsidRPr="00C61DE6">
          <w:rPr>
            <w:rStyle w:val="Hyperlink"/>
            <w:rFonts w:cstheme="minorHAnsi"/>
            <w:sz w:val="24"/>
            <w:szCs w:val="24"/>
          </w:rPr>
          <w:t>https://doi.org/10.1080/03634523.2020.1857414</w:t>
        </w:r>
      </w:hyperlink>
    </w:p>
    <w:p w14:paraId="3C4D043D" w14:textId="77777777" w:rsidR="0033578A" w:rsidRDefault="0033578A" w:rsidP="008D6938">
      <w:pPr>
        <w:spacing w:after="0" w:line="240" w:lineRule="auto"/>
        <w:ind w:left="720" w:hanging="720"/>
        <w:rPr>
          <w:rFonts w:cstheme="minorHAnsi"/>
          <w:sz w:val="24"/>
          <w:szCs w:val="24"/>
        </w:rPr>
      </w:pPr>
    </w:p>
    <w:p w14:paraId="5F878451" w14:textId="71A87EF6"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Sypawka, W., Mallett, W., &amp; McFadden, C. (2010). Leadership styles of community college academic deans. </w:t>
      </w:r>
      <w:r w:rsidRPr="008D6938">
        <w:rPr>
          <w:rFonts w:cstheme="minorHAnsi"/>
          <w:i/>
          <w:iCs/>
          <w:sz w:val="24"/>
          <w:szCs w:val="24"/>
        </w:rPr>
        <w:t>The Community College Enterprise, 16</w:t>
      </w:r>
      <w:r w:rsidRPr="008D6938">
        <w:rPr>
          <w:rFonts w:cstheme="minorHAnsi"/>
          <w:sz w:val="24"/>
          <w:szCs w:val="24"/>
        </w:rPr>
        <w:t>(1), 63–73.</w:t>
      </w:r>
    </w:p>
    <w:p w14:paraId="6CEC02DF" w14:textId="77777777" w:rsidR="008D6938" w:rsidRPr="008D6938" w:rsidRDefault="008D6938" w:rsidP="008D6938">
      <w:pPr>
        <w:spacing w:after="0" w:line="240" w:lineRule="auto"/>
        <w:ind w:left="720" w:hanging="720"/>
        <w:rPr>
          <w:rFonts w:cstheme="minorHAnsi"/>
          <w:sz w:val="24"/>
          <w:szCs w:val="24"/>
          <w:highlight w:val="yellow"/>
        </w:rPr>
      </w:pPr>
    </w:p>
    <w:p w14:paraId="7F9AA53C" w14:textId="7D1FFCE3" w:rsidR="00675DCF" w:rsidRDefault="00675DCF" w:rsidP="0033578A">
      <w:pPr>
        <w:spacing w:after="0" w:line="240" w:lineRule="auto"/>
        <w:ind w:left="720" w:hanging="720"/>
        <w:rPr>
          <w:rFonts w:cstheme="minorHAnsi"/>
          <w:sz w:val="24"/>
          <w:szCs w:val="24"/>
        </w:rPr>
      </w:pPr>
      <w:r w:rsidRPr="00675DCF">
        <w:rPr>
          <w:rFonts w:cstheme="minorHAnsi"/>
          <w:sz w:val="24"/>
          <w:szCs w:val="24"/>
        </w:rPr>
        <w:t xml:space="preserve">Taylor, F. W. (1911). </w:t>
      </w:r>
      <w:r w:rsidRPr="00675DCF">
        <w:rPr>
          <w:rFonts w:cstheme="minorHAnsi"/>
          <w:i/>
          <w:iCs/>
          <w:sz w:val="24"/>
          <w:szCs w:val="24"/>
        </w:rPr>
        <w:t>The principles of scientific management.</w:t>
      </w:r>
      <w:r w:rsidRPr="00675DCF">
        <w:rPr>
          <w:rFonts w:cstheme="minorHAnsi"/>
          <w:sz w:val="24"/>
          <w:szCs w:val="24"/>
        </w:rPr>
        <w:t xml:space="preserve"> The Plimpton Press.</w:t>
      </w:r>
    </w:p>
    <w:p w14:paraId="2C84CA20" w14:textId="77777777" w:rsidR="00675DCF" w:rsidRDefault="00675DCF" w:rsidP="0033578A">
      <w:pPr>
        <w:spacing w:after="0" w:line="240" w:lineRule="auto"/>
        <w:ind w:left="720" w:hanging="720"/>
        <w:rPr>
          <w:rFonts w:cstheme="minorHAnsi"/>
          <w:sz w:val="24"/>
          <w:szCs w:val="24"/>
        </w:rPr>
      </w:pPr>
    </w:p>
    <w:p w14:paraId="34D58DBE" w14:textId="6AC1EBED"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Taylor, S. J., &amp; Bogdan, R. (1998). </w:t>
      </w:r>
      <w:r w:rsidRPr="0033578A">
        <w:rPr>
          <w:rFonts w:cstheme="minorHAnsi"/>
          <w:i/>
          <w:sz w:val="24"/>
          <w:szCs w:val="24"/>
        </w:rPr>
        <w:t>Introduction to Qualitative Research Methods.</w:t>
      </w:r>
      <w:r w:rsidRPr="0033578A">
        <w:rPr>
          <w:rFonts w:cstheme="minorHAnsi"/>
          <w:sz w:val="24"/>
          <w:szCs w:val="24"/>
        </w:rPr>
        <w:t xml:space="preserve"> Wiley and</w:t>
      </w:r>
    </w:p>
    <w:p w14:paraId="7FAB7575" w14:textId="77777777"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ab/>
        <w:t xml:space="preserve">Sons. </w:t>
      </w:r>
    </w:p>
    <w:p w14:paraId="6FC5F59F" w14:textId="77777777" w:rsidR="0033578A" w:rsidRPr="0033578A" w:rsidRDefault="0033578A" w:rsidP="0033578A">
      <w:pPr>
        <w:spacing w:after="0" w:line="240" w:lineRule="auto"/>
        <w:ind w:left="720" w:hanging="720"/>
        <w:rPr>
          <w:rFonts w:cstheme="minorHAnsi"/>
          <w:sz w:val="24"/>
          <w:szCs w:val="24"/>
        </w:rPr>
      </w:pPr>
    </w:p>
    <w:p w14:paraId="77D11BD6" w14:textId="77777777" w:rsidR="0088789D" w:rsidRPr="0088789D" w:rsidRDefault="0088789D" w:rsidP="0088789D">
      <w:pPr>
        <w:spacing w:after="0" w:line="240" w:lineRule="auto"/>
        <w:ind w:left="720" w:hanging="720"/>
        <w:rPr>
          <w:rFonts w:cstheme="minorHAnsi"/>
          <w:sz w:val="24"/>
          <w:szCs w:val="24"/>
        </w:rPr>
      </w:pPr>
      <w:r w:rsidRPr="0088789D">
        <w:rPr>
          <w:rFonts w:cstheme="minorHAnsi"/>
          <w:sz w:val="24"/>
          <w:szCs w:val="24"/>
        </w:rPr>
        <w:t xml:space="preserve">Thelin, J. (2011). </w:t>
      </w:r>
      <w:r w:rsidRPr="0088789D">
        <w:rPr>
          <w:rFonts w:cstheme="minorHAnsi"/>
          <w:i/>
          <w:iCs/>
          <w:sz w:val="24"/>
          <w:szCs w:val="24"/>
        </w:rPr>
        <w:t xml:space="preserve">A history of American higher education </w:t>
      </w:r>
      <w:r w:rsidRPr="0088789D">
        <w:rPr>
          <w:rFonts w:cstheme="minorHAnsi"/>
          <w:sz w:val="24"/>
          <w:szCs w:val="24"/>
        </w:rPr>
        <w:t>(2</w:t>
      </w:r>
      <w:r w:rsidRPr="0088789D">
        <w:rPr>
          <w:rFonts w:cstheme="minorHAnsi"/>
          <w:sz w:val="24"/>
          <w:szCs w:val="24"/>
          <w:vertAlign w:val="superscript"/>
        </w:rPr>
        <w:t>nd</w:t>
      </w:r>
      <w:r w:rsidRPr="0088789D">
        <w:rPr>
          <w:rFonts w:cstheme="minorHAnsi"/>
          <w:sz w:val="24"/>
          <w:szCs w:val="24"/>
        </w:rPr>
        <w:t xml:space="preserve"> ed).</w:t>
      </w:r>
      <w:r w:rsidRPr="0088789D">
        <w:rPr>
          <w:rFonts w:cstheme="minorHAnsi"/>
          <w:i/>
          <w:iCs/>
          <w:sz w:val="24"/>
          <w:szCs w:val="24"/>
        </w:rPr>
        <w:t xml:space="preserve"> </w:t>
      </w:r>
      <w:r w:rsidRPr="0088789D">
        <w:rPr>
          <w:rFonts w:cstheme="minorHAnsi"/>
          <w:sz w:val="24"/>
          <w:szCs w:val="24"/>
        </w:rPr>
        <w:t>The Johns Hopkins University Press.</w:t>
      </w:r>
    </w:p>
    <w:p w14:paraId="2C25E957" w14:textId="77777777" w:rsidR="0088789D" w:rsidRPr="0088789D" w:rsidRDefault="0088789D" w:rsidP="0088789D">
      <w:pPr>
        <w:spacing w:after="0" w:line="240" w:lineRule="auto"/>
        <w:ind w:left="720" w:hanging="720"/>
        <w:rPr>
          <w:rFonts w:cstheme="minorHAnsi"/>
          <w:sz w:val="24"/>
          <w:szCs w:val="24"/>
        </w:rPr>
      </w:pPr>
    </w:p>
    <w:p w14:paraId="4575672D" w14:textId="1C987A99" w:rsidR="0088789D" w:rsidRDefault="0088789D" w:rsidP="0088789D">
      <w:pPr>
        <w:spacing w:after="0" w:line="240" w:lineRule="auto"/>
        <w:ind w:left="720" w:hanging="720"/>
        <w:rPr>
          <w:rFonts w:cstheme="minorHAnsi"/>
          <w:sz w:val="24"/>
          <w:szCs w:val="24"/>
        </w:rPr>
      </w:pPr>
      <w:r w:rsidRPr="0088789D">
        <w:rPr>
          <w:rFonts w:cstheme="minorHAnsi"/>
          <w:sz w:val="24"/>
          <w:szCs w:val="24"/>
        </w:rPr>
        <w:t xml:space="preserve">Thomas, N. L. (1991). The New in Loco Parentis. </w:t>
      </w:r>
      <w:r w:rsidRPr="0088789D">
        <w:rPr>
          <w:rFonts w:cstheme="minorHAnsi"/>
          <w:i/>
          <w:iCs/>
          <w:sz w:val="24"/>
          <w:szCs w:val="24"/>
        </w:rPr>
        <w:t>Change, 23</w:t>
      </w:r>
      <w:r w:rsidRPr="0088789D">
        <w:rPr>
          <w:rFonts w:cstheme="minorHAnsi"/>
          <w:sz w:val="24"/>
          <w:szCs w:val="24"/>
        </w:rPr>
        <w:t>(5), 32–39.</w:t>
      </w:r>
    </w:p>
    <w:p w14:paraId="20A3F648" w14:textId="4D2BF28F" w:rsidR="007041EE" w:rsidRDefault="007041EE" w:rsidP="0088789D">
      <w:pPr>
        <w:spacing w:after="0" w:line="240" w:lineRule="auto"/>
        <w:ind w:left="720" w:hanging="720"/>
        <w:rPr>
          <w:rFonts w:cstheme="minorHAnsi"/>
          <w:sz w:val="24"/>
          <w:szCs w:val="24"/>
        </w:rPr>
      </w:pPr>
    </w:p>
    <w:p w14:paraId="2A053FF4" w14:textId="161500FE" w:rsidR="007041EE" w:rsidRPr="0088789D" w:rsidRDefault="007041EE" w:rsidP="0088789D">
      <w:pPr>
        <w:spacing w:after="0" w:line="240" w:lineRule="auto"/>
        <w:ind w:left="720" w:hanging="720"/>
        <w:rPr>
          <w:rFonts w:cstheme="minorHAnsi"/>
          <w:sz w:val="24"/>
          <w:szCs w:val="24"/>
        </w:rPr>
      </w:pPr>
      <w:r>
        <w:rPr>
          <w:rFonts w:cstheme="minorHAnsi"/>
          <w:sz w:val="24"/>
          <w:szCs w:val="24"/>
        </w:rPr>
        <w:t xml:space="preserve">Thornton, S. J. (1993). The quest for emergent meaning: A personal account. In D.J. Flinders &amp; G. E. Mills (Eds.), </w:t>
      </w:r>
      <w:r w:rsidRPr="007041EE">
        <w:rPr>
          <w:rFonts w:cstheme="minorHAnsi"/>
          <w:i/>
          <w:iCs/>
          <w:sz w:val="24"/>
          <w:szCs w:val="24"/>
        </w:rPr>
        <w:t>Theory and concepts in qualitative research</w:t>
      </w:r>
      <w:r>
        <w:rPr>
          <w:rFonts w:cstheme="minorHAnsi"/>
          <w:sz w:val="24"/>
          <w:szCs w:val="24"/>
        </w:rPr>
        <w:t xml:space="preserve"> (p. 68–82). Teachers College Press.</w:t>
      </w:r>
    </w:p>
    <w:p w14:paraId="4F71D0DD" w14:textId="77777777" w:rsidR="005831C3" w:rsidRDefault="005831C3" w:rsidP="0033578A">
      <w:pPr>
        <w:spacing w:after="0" w:line="240" w:lineRule="auto"/>
        <w:ind w:left="720" w:hanging="720"/>
        <w:rPr>
          <w:rFonts w:cstheme="minorHAnsi"/>
          <w:sz w:val="24"/>
          <w:szCs w:val="24"/>
        </w:rPr>
      </w:pPr>
    </w:p>
    <w:p w14:paraId="2E1F7956" w14:textId="320AAE9F" w:rsidR="00817B63" w:rsidRDefault="00817B63" w:rsidP="0033578A">
      <w:pPr>
        <w:spacing w:after="0" w:line="240" w:lineRule="auto"/>
        <w:ind w:left="720" w:hanging="720"/>
        <w:rPr>
          <w:rFonts w:cstheme="minorHAnsi"/>
          <w:sz w:val="24"/>
          <w:szCs w:val="24"/>
        </w:rPr>
      </w:pPr>
      <w:r w:rsidRPr="00817B63">
        <w:rPr>
          <w:rFonts w:cstheme="minorHAnsi"/>
          <w:sz w:val="24"/>
          <w:szCs w:val="24"/>
        </w:rPr>
        <w:t>Tolstoy, &amp; Gibian, G. (1970). </w:t>
      </w:r>
      <w:r w:rsidRPr="00817B63">
        <w:rPr>
          <w:rFonts w:cstheme="minorHAnsi"/>
          <w:i/>
          <w:iCs/>
          <w:sz w:val="24"/>
          <w:szCs w:val="24"/>
        </w:rPr>
        <w:t>Anna Karenina</w:t>
      </w:r>
      <w:r w:rsidRPr="00817B63">
        <w:rPr>
          <w:rFonts w:cstheme="minorHAnsi"/>
          <w:sz w:val="24"/>
          <w:szCs w:val="24"/>
        </w:rPr>
        <w:t> ([1st ed.].). W.W. Norton &amp; Co.</w:t>
      </w:r>
    </w:p>
    <w:p w14:paraId="31019DA3" w14:textId="77777777" w:rsidR="00817B63" w:rsidRDefault="00817B63" w:rsidP="0033578A">
      <w:pPr>
        <w:spacing w:after="0" w:line="240" w:lineRule="auto"/>
        <w:ind w:left="720" w:hanging="720"/>
        <w:rPr>
          <w:rFonts w:cstheme="minorHAnsi"/>
          <w:sz w:val="24"/>
          <w:szCs w:val="24"/>
        </w:rPr>
      </w:pPr>
    </w:p>
    <w:p w14:paraId="186CD92A" w14:textId="4DC8DEFD" w:rsidR="0033578A" w:rsidRPr="0033578A" w:rsidRDefault="0033578A" w:rsidP="0033578A">
      <w:pPr>
        <w:spacing w:after="0" w:line="240" w:lineRule="auto"/>
        <w:ind w:left="720" w:hanging="720"/>
        <w:rPr>
          <w:rFonts w:cstheme="minorHAnsi"/>
          <w:sz w:val="24"/>
          <w:szCs w:val="24"/>
        </w:rPr>
      </w:pPr>
      <w:r w:rsidRPr="0033578A">
        <w:rPr>
          <w:rFonts w:cstheme="minorHAnsi"/>
          <w:sz w:val="24"/>
          <w:szCs w:val="24"/>
        </w:rPr>
        <w:t xml:space="preserve">Tracy, S. J. (2013). </w:t>
      </w:r>
      <w:r w:rsidRPr="0033578A">
        <w:rPr>
          <w:rFonts w:cstheme="minorHAnsi"/>
          <w:i/>
          <w:sz w:val="24"/>
          <w:szCs w:val="24"/>
        </w:rPr>
        <w:t>Qualitative research methods.</w:t>
      </w:r>
      <w:r w:rsidRPr="0033578A">
        <w:rPr>
          <w:rFonts w:cstheme="minorHAnsi"/>
          <w:sz w:val="24"/>
          <w:szCs w:val="24"/>
        </w:rPr>
        <w:t xml:space="preserve"> Wiley-Blackwell. </w:t>
      </w:r>
    </w:p>
    <w:p w14:paraId="0E6B61E2" w14:textId="77777777" w:rsidR="0033578A" w:rsidRDefault="0033578A" w:rsidP="008D6938">
      <w:pPr>
        <w:spacing w:after="0" w:line="240" w:lineRule="auto"/>
        <w:ind w:left="720" w:hanging="720"/>
        <w:rPr>
          <w:rFonts w:cstheme="minorHAnsi"/>
          <w:sz w:val="24"/>
          <w:szCs w:val="24"/>
        </w:rPr>
      </w:pPr>
    </w:p>
    <w:p w14:paraId="23290DFE" w14:textId="57300CA8" w:rsidR="005A734A" w:rsidRDefault="005A734A" w:rsidP="005A734A">
      <w:pPr>
        <w:spacing w:after="0" w:line="240" w:lineRule="auto"/>
        <w:ind w:left="720" w:hanging="720"/>
        <w:rPr>
          <w:rFonts w:cstheme="minorHAnsi"/>
          <w:sz w:val="24"/>
          <w:szCs w:val="24"/>
        </w:rPr>
      </w:pPr>
      <w:r w:rsidRPr="005A734A">
        <w:rPr>
          <w:rFonts w:cstheme="minorHAnsi"/>
          <w:sz w:val="24"/>
          <w:szCs w:val="24"/>
        </w:rPr>
        <w:t>Turanovic, J.J.</w:t>
      </w:r>
      <w:r>
        <w:rPr>
          <w:rFonts w:cstheme="minorHAnsi"/>
          <w:sz w:val="24"/>
          <w:szCs w:val="24"/>
        </w:rPr>
        <w:t xml:space="preserve"> &amp; </w:t>
      </w:r>
      <w:r w:rsidRPr="005A734A">
        <w:rPr>
          <w:rFonts w:cstheme="minorHAnsi"/>
          <w:sz w:val="24"/>
          <w:szCs w:val="24"/>
        </w:rPr>
        <w:t>Siennick, S.E.</w:t>
      </w:r>
      <w:r>
        <w:rPr>
          <w:rFonts w:cstheme="minorHAnsi"/>
          <w:sz w:val="24"/>
          <w:szCs w:val="24"/>
        </w:rPr>
        <w:t xml:space="preserve"> (2022). </w:t>
      </w:r>
      <w:r w:rsidRPr="005A734A">
        <w:rPr>
          <w:rFonts w:cstheme="minorHAnsi"/>
          <w:sz w:val="24"/>
          <w:szCs w:val="24"/>
        </w:rPr>
        <w:t xml:space="preserve">The causes and consequences of school violence: </w:t>
      </w:r>
      <w:r>
        <w:rPr>
          <w:rFonts w:cstheme="minorHAnsi"/>
          <w:sz w:val="24"/>
          <w:szCs w:val="24"/>
        </w:rPr>
        <w:t>a</w:t>
      </w:r>
      <w:r w:rsidRPr="005A734A">
        <w:rPr>
          <w:rFonts w:cstheme="minorHAnsi"/>
          <w:sz w:val="24"/>
          <w:szCs w:val="24"/>
        </w:rPr>
        <w:t xml:space="preserve"> review</w:t>
      </w:r>
      <w:r>
        <w:rPr>
          <w:rFonts w:cstheme="minorHAnsi"/>
          <w:sz w:val="24"/>
          <w:szCs w:val="24"/>
        </w:rPr>
        <w:t xml:space="preserve">. </w:t>
      </w:r>
      <w:r w:rsidRPr="005A734A">
        <w:rPr>
          <w:rFonts w:cstheme="minorHAnsi"/>
          <w:sz w:val="24"/>
          <w:szCs w:val="24"/>
        </w:rPr>
        <w:t xml:space="preserve">School Violence: Causes, Prevention and Safety Measures, </w:t>
      </w:r>
      <w:r>
        <w:rPr>
          <w:rFonts w:cstheme="minorHAnsi"/>
          <w:sz w:val="24"/>
          <w:szCs w:val="24"/>
        </w:rPr>
        <w:t>(</w:t>
      </w:r>
      <w:r w:rsidRPr="005A734A">
        <w:rPr>
          <w:rFonts w:cstheme="minorHAnsi"/>
          <w:sz w:val="24"/>
          <w:szCs w:val="24"/>
        </w:rPr>
        <w:t>pp. 1-80</w:t>
      </w:r>
      <w:r>
        <w:rPr>
          <w:rFonts w:cstheme="minorHAnsi"/>
          <w:sz w:val="24"/>
          <w:szCs w:val="24"/>
        </w:rPr>
        <w:t>)</w:t>
      </w:r>
      <w:r w:rsidRPr="005A734A">
        <w:rPr>
          <w:rFonts w:cstheme="minorHAnsi"/>
          <w:sz w:val="24"/>
          <w:szCs w:val="24"/>
        </w:rPr>
        <w:t>.</w:t>
      </w:r>
    </w:p>
    <w:p w14:paraId="24EA4632" w14:textId="77777777" w:rsidR="005A734A" w:rsidRDefault="005A734A" w:rsidP="009A5018">
      <w:pPr>
        <w:spacing w:after="0" w:line="240" w:lineRule="auto"/>
        <w:ind w:left="720" w:hanging="720"/>
        <w:rPr>
          <w:rFonts w:cstheme="minorHAnsi"/>
          <w:sz w:val="24"/>
          <w:szCs w:val="24"/>
        </w:rPr>
      </w:pPr>
    </w:p>
    <w:p w14:paraId="248450BE" w14:textId="0F38743A"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U.S. Department of Education. (2016). </w:t>
      </w:r>
      <w:r w:rsidRPr="009A5018">
        <w:rPr>
          <w:rFonts w:cstheme="minorHAnsi"/>
          <w:i/>
          <w:iCs/>
          <w:sz w:val="24"/>
          <w:szCs w:val="24"/>
        </w:rPr>
        <w:t>The handbook for campus safety and security reporting.</w:t>
      </w:r>
      <w:r w:rsidRPr="009A5018">
        <w:rPr>
          <w:rFonts w:cstheme="minorHAnsi"/>
          <w:sz w:val="24"/>
          <w:szCs w:val="24"/>
        </w:rPr>
        <w:t xml:space="preserve"> </w:t>
      </w:r>
      <w:hyperlink r:id="rId85" w:history="1">
        <w:r w:rsidRPr="00C61DE6">
          <w:rPr>
            <w:rStyle w:val="Hyperlink"/>
            <w:rFonts w:cstheme="minorHAnsi"/>
            <w:sz w:val="24"/>
            <w:szCs w:val="24"/>
          </w:rPr>
          <w:t>https://www2.ed.gov/admins/lead/safety/handbook.pdf</w:t>
        </w:r>
      </w:hyperlink>
    </w:p>
    <w:p w14:paraId="031A4D4A" w14:textId="77777777" w:rsidR="009A5018" w:rsidRPr="009A5018" w:rsidRDefault="009A5018" w:rsidP="009A5018">
      <w:pPr>
        <w:spacing w:after="0" w:line="240" w:lineRule="auto"/>
        <w:ind w:left="720" w:hanging="720"/>
        <w:rPr>
          <w:rFonts w:cstheme="minorHAnsi"/>
          <w:sz w:val="24"/>
          <w:szCs w:val="24"/>
        </w:rPr>
      </w:pPr>
    </w:p>
    <w:p w14:paraId="2313BAB5" w14:textId="303DAA7A"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U.S. Department of Education, (2021). What is a threat assessment team? Washington, DC: Author. </w:t>
      </w:r>
      <w:hyperlink r:id="rId86" w:history="1">
        <w:r w:rsidRPr="00C61DE6">
          <w:rPr>
            <w:rStyle w:val="Hyperlink"/>
            <w:rFonts w:cstheme="minorHAnsi"/>
            <w:sz w:val="24"/>
            <w:szCs w:val="24"/>
          </w:rPr>
          <w:t>https://studentprivacy.ed.gov/faq/what-threat-assessment-team</w:t>
        </w:r>
      </w:hyperlink>
    </w:p>
    <w:p w14:paraId="277B8B9E" w14:textId="77777777" w:rsidR="009A5018" w:rsidRDefault="009A5018" w:rsidP="008D6938">
      <w:pPr>
        <w:spacing w:after="0" w:line="240" w:lineRule="auto"/>
        <w:ind w:left="720" w:hanging="720"/>
        <w:rPr>
          <w:rFonts w:cstheme="minorHAnsi"/>
          <w:sz w:val="24"/>
          <w:szCs w:val="24"/>
        </w:rPr>
      </w:pPr>
    </w:p>
    <w:p w14:paraId="2972C0D2" w14:textId="16073E06"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U.S. Department of Health and Human Services &amp; U.S. Department of Education. (2019, December). </w:t>
      </w:r>
      <w:r w:rsidRPr="008D6938">
        <w:rPr>
          <w:rFonts w:cstheme="minorHAnsi"/>
          <w:i/>
          <w:iCs/>
          <w:sz w:val="24"/>
          <w:szCs w:val="24"/>
        </w:rPr>
        <w:t>Joint guidance on the application of the Family Educational Rights and Privacy Act (FERPA) and the Health Insurance Portability and Accountability Act of 1996 (HIPAA) to student health records</w:t>
      </w:r>
      <w:r w:rsidRPr="008D6938">
        <w:rPr>
          <w:rFonts w:cstheme="minorHAnsi"/>
          <w:sz w:val="24"/>
          <w:szCs w:val="24"/>
        </w:rPr>
        <w:t xml:space="preserve">. </w:t>
      </w:r>
      <w:hyperlink r:id="rId87" w:history="1">
        <w:r w:rsidRPr="00C61DE6">
          <w:rPr>
            <w:rStyle w:val="Hyperlink"/>
            <w:rFonts w:cstheme="minorHAnsi"/>
            <w:sz w:val="24"/>
            <w:szCs w:val="24"/>
          </w:rPr>
          <w:t>https://studentprivacy.ed.gov/resources/joint-guidance-application-ferpa-and-hipaa-student-health-records</w:t>
        </w:r>
      </w:hyperlink>
    </w:p>
    <w:p w14:paraId="325BFC2D" w14:textId="77777777" w:rsidR="008D6938" w:rsidRPr="008D6938" w:rsidRDefault="008D6938" w:rsidP="008D6938">
      <w:pPr>
        <w:spacing w:after="0" w:line="240" w:lineRule="auto"/>
        <w:ind w:left="720" w:hanging="720"/>
        <w:rPr>
          <w:rFonts w:cstheme="minorHAnsi"/>
          <w:sz w:val="24"/>
          <w:szCs w:val="24"/>
        </w:rPr>
      </w:pPr>
    </w:p>
    <w:p w14:paraId="52AB19C5" w14:textId="46F56B3D"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U.S. Department of Health and Human Services. (2013, July). </w:t>
      </w:r>
      <w:r w:rsidRPr="009A5018">
        <w:rPr>
          <w:rFonts w:cstheme="minorHAnsi"/>
          <w:i/>
          <w:iCs/>
          <w:sz w:val="24"/>
          <w:szCs w:val="24"/>
        </w:rPr>
        <w:t xml:space="preserve">Summary of the HIPAA privacy rule. </w:t>
      </w:r>
      <w:hyperlink r:id="rId88" w:history="1">
        <w:r w:rsidRPr="00C61DE6">
          <w:rPr>
            <w:rStyle w:val="Hyperlink"/>
            <w:rFonts w:cstheme="minorHAnsi"/>
            <w:sz w:val="24"/>
            <w:szCs w:val="24"/>
          </w:rPr>
          <w:t>https://www.hhs.gov/hipaa/for-professionals/privacy/laws-regulations/index.html</w:t>
        </w:r>
      </w:hyperlink>
    </w:p>
    <w:p w14:paraId="090869EB" w14:textId="77777777" w:rsidR="009A5018" w:rsidRPr="009A5018" w:rsidRDefault="009A5018" w:rsidP="009A5018">
      <w:pPr>
        <w:spacing w:after="0" w:line="240" w:lineRule="auto"/>
        <w:ind w:left="720" w:hanging="720"/>
        <w:rPr>
          <w:rFonts w:cstheme="minorHAnsi"/>
          <w:sz w:val="24"/>
          <w:szCs w:val="24"/>
        </w:rPr>
      </w:pPr>
    </w:p>
    <w:p w14:paraId="22D41D90" w14:textId="77777777"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Van Brunt, B. (2012). </w:t>
      </w:r>
      <w:r w:rsidRPr="009A5018">
        <w:rPr>
          <w:rFonts w:cstheme="minorHAnsi"/>
          <w:i/>
          <w:iCs/>
          <w:sz w:val="24"/>
          <w:szCs w:val="24"/>
        </w:rPr>
        <w:t xml:space="preserve">Ending campus violence: new approaches to prevention. </w:t>
      </w:r>
      <w:r w:rsidRPr="009A5018">
        <w:rPr>
          <w:rFonts w:cstheme="minorHAnsi"/>
          <w:sz w:val="24"/>
          <w:szCs w:val="24"/>
        </w:rPr>
        <w:t>Routledge.</w:t>
      </w:r>
    </w:p>
    <w:p w14:paraId="3E7ED1D6" w14:textId="77777777" w:rsidR="009A5018" w:rsidRPr="009A5018" w:rsidRDefault="009A5018" w:rsidP="009A5018">
      <w:pPr>
        <w:spacing w:after="0" w:line="240" w:lineRule="auto"/>
        <w:ind w:left="720" w:hanging="720"/>
        <w:rPr>
          <w:rFonts w:cstheme="minorHAnsi"/>
          <w:sz w:val="24"/>
          <w:szCs w:val="24"/>
        </w:rPr>
      </w:pPr>
    </w:p>
    <w:p w14:paraId="2244E53F" w14:textId="77777777"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Van Hasselt, B. &amp; Bourke, M. (2018). Handbook of behavioral criminology. Springer. </w:t>
      </w:r>
    </w:p>
    <w:p w14:paraId="481B67F2" w14:textId="06CD7181"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ab/>
      </w:r>
      <w:hyperlink r:id="rId89" w:history="1">
        <w:r w:rsidRPr="00C61DE6">
          <w:rPr>
            <w:rStyle w:val="Hyperlink"/>
            <w:rFonts w:cstheme="minorHAnsi"/>
            <w:sz w:val="24"/>
            <w:szCs w:val="24"/>
          </w:rPr>
          <w:t>https://doi.org/10.1007/978-3-319-61625-4</w:t>
        </w:r>
      </w:hyperlink>
    </w:p>
    <w:p w14:paraId="5E6F8262" w14:textId="77777777" w:rsidR="009A5018" w:rsidRPr="009A5018" w:rsidRDefault="009A5018" w:rsidP="009A5018">
      <w:pPr>
        <w:spacing w:after="0" w:line="240" w:lineRule="auto"/>
        <w:ind w:left="720" w:hanging="720"/>
        <w:rPr>
          <w:rFonts w:cstheme="minorHAnsi"/>
          <w:sz w:val="24"/>
          <w:szCs w:val="24"/>
        </w:rPr>
      </w:pPr>
    </w:p>
    <w:p w14:paraId="76E9D0C6" w14:textId="25082A3C"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 xml:space="preserve">Virginia Tech Review Panel. (2007). </w:t>
      </w:r>
      <w:r w:rsidRPr="009A5018">
        <w:rPr>
          <w:rFonts w:cstheme="minorHAnsi"/>
          <w:i/>
          <w:iCs/>
          <w:sz w:val="24"/>
          <w:szCs w:val="24"/>
        </w:rPr>
        <w:t>Mass shootings at Virginia Tech: Report of the Virginia Tech Review Panel presented to Timothy M. Kaine, Governor, Commonwealth of Virginia.</w:t>
      </w:r>
      <w:r w:rsidRPr="009A5018">
        <w:rPr>
          <w:rFonts w:cstheme="minorHAnsi"/>
          <w:sz w:val="24"/>
          <w:szCs w:val="24"/>
        </w:rPr>
        <w:t xml:space="preserve"> </w:t>
      </w:r>
      <w:hyperlink r:id="rId90" w:history="1">
        <w:r w:rsidRPr="00C61DE6">
          <w:rPr>
            <w:rStyle w:val="Hyperlink"/>
            <w:rFonts w:cstheme="minorHAnsi"/>
            <w:sz w:val="24"/>
            <w:szCs w:val="24"/>
          </w:rPr>
          <w:t>https://lccn.loc.gov/2008397165</w:t>
        </w:r>
      </w:hyperlink>
    </w:p>
    <w:p w14:paraId="02FB40B5" w14:textId="77777777" w:rsidR="009A5018" w:rsidRPr="009A5018" w:rsidRDefault="009A5018" w:rsidP="009A5018">
      <w:pPr>
        <w:spacing w:after="0" w:line="240" w:lineRule="auto"/>
        <w:ind w:left="720" w:hanging="720"/>
        <w:rPr>
          <w:rFonts w:cstheme="minorHAnsi"/>
          <w:sz w:val="24"/>
          <w:szCs w:val="24"/>
        </w:rPr>
      </w:pPr>
    </w:p>
    <w:p w14:paraId="7BEE0E22" w14:textId="77777777" w:rsidR="009A5018" w:rsidRPr="009A5018" w:rsidRDefault="009A5018" w:rsidP="009A5018">
      <w:pPr>
        <w:spacing w:after="0" w:line="240" w:lineRule="auto"/>
        <w:ind w:left="720" w:hanging="720"/>
        <w:rPr>
          <w:rFonts w:cstheme="minorHAnsi"/>
          <w:sz w:val="24"/>
          <w:szCs w:val="24"/>
        </w:rPr>
      </w:pPr>
      <w:r w:rsidRPr="009A5018">
        <w:rPr>
          <w:rFonts w:cstheme="minorHAnsi"/>
          <w:sz w:val="24"/>
          <w:szCs w:val="24"/>
        </w:rPr>
        <w:t>Vossekuil, B., Fein, R. A., Reddy, M., Borum, R., Modzeleski, W., United States Secret Service, &amp; Department of Education (ED). (2004). The Final Report and Findings of the Safe School Initiative: Implications for the Prevention of School Attacks in the United States. In </w:t>
      </w:r>
      <w:r w:rsidRPr="009A5018">
        <w:rPr>
          <w:rFonts w:cstheme="minorHAnsi"/>
          <w:i/>
          <w:iCs/>
          <w:sz w:val="24"/>
          <w:szCs w:val="24"/>
        </w:rPr>
        <w:t>US Department of Education</w:t>
      </w:r>
      <w:r w:rsidRPr="009A5018">
        <w:rPr>
          <w:rFonts w:cstheme="minorHAnsi"/>
          <w:sz w:val="24"/>
          <w:szCs w:val="24"/>
        </w:rPr>
        <w:t>. US Department of Education.</w:t>
      </w:r>
    </w:p>
    <w:p w14:paraId="4E88F3D2" w14:textId="77777777" w:rsidR="008D6938" w:rsidRPr="008D6938" w:rsidRDefault="008D6938" w:rsidP="008D6938">
      <w:pPr>
        <w:spacing w:after="0" w:line="240" w:lineRule="auto"/>
        <w:ind w:left="720" w:hanging="720"/>
        <w:rPr>
          <w:rFonts w:cstheme="minorHAnsi"/>
          <w:sz w:val="24"/>
          <w:szCs w:val="24"/>
        </w:rPr>
      </w:pPr>
    </w:p>
    <w:p w14:paraId="21E41C85" w14:textId="2C842EAB" w:rsidR="00E873A9" w:rsidRDefault="00447528" w:rsidP="00447528">
      <w:pPr>
        <w:spacing w:after="0" w:line="240" w:lineRule="auto"/>
        <w:ind w:left="720" w:hanging="720"/>
        <w:rPr>
          <w:rFonts w:cstheme="minorHAnsi"/>
          <w:sz w:val="24"/>
          <w:szCs w:val="24"/>
        </w:rPr>
      </w:pPr>
      <w:r w:rsidRPr="00447528">
        <w:rPr>
          <w:rFonts w:cstheme="minorHAnsi"/>
          <w:sz w:val="24"/>
          <w:szCs w:val="24"/>
        </w:rPr>
        <w:t xml:space="preserve">Wagoner, J., Jr. (1985). Honor and </w:t>
      </w:r>
      <w:r w:rsidR="00F5251A">
        <w:rPr>
          <w:rFonts w:cstheme="minorHAnsi"/>
          <w:sz w:val="24"/>
          <w:szCs w:val="24"/>
        </w:rPr>
        <w:t>d</w:t>
      </w:r>
      <w:r w:rsidRPr="00447528">
        <w:rPr>
          <w:rFonts w:cstheme="minorHAnsi"/>
          <w:sz w:val="24"/>
          <w:szCs w:val="24"/>
        </w:rPr>
        <w:t xml:space="preserve">ishonor at Mr. Jefferson’s University: The </w:t>
      </w:r>
      <w:r w:rsidR="00F5251A">
        <w:rPr>
          <w:rFonts w:cstheme="minorHAnsi"/>
          <w:sz w:val="24"/>
          <w:szCs w:val="24"/>
        </w:rPr>
        <w:t>a</w:t>
      </w:r>
      <w:r w:rsidRPr="00447528">
        <w:rPr>
          <w:rFonts w:cstheme="minorHAnsi"/>
          <w:sz w:val="24"/>
          <w:szCs w:val="24"/>
        </w:rPr>
        <w:t xml:space="preserve">ntebellum </w:t>
      </w:r>
      <w:r w:rsidR="00F5251A">
        <w:rPr>
          <w:rFonts w:cstheme="minorHAnsi"/>
          <w:sz w:val="24"/>
          <w:szCs w:val="24"/>
        </w:rPr>
        <w:t>y</w:t>
      </w:r>
      <w:r w:rsidRPr="00447528">
        <w:rPr>
          <w:rFonts w:cstheme="minorHAnsi"/>
          <w:sz w:val="24"/>
          <w:szCs w:val="24"/>
        </w:rPr>
        <w:t xml:space="preserve">ears. </w:t>
      </w:r>
      <w:r w:rsidRPr="00447528">
        <w:rPr>
          <w:rFonts w:cstheme="minorHAnsi"/>
          <w:i/>
          <w:iCs/>
          <w:sz w:val="24"/>
          <w:szCs w:val="24"/>
        </w:rPr>
        <w:t>History of Education Quarterly, 26</w:t>
      </w:r>
      <w:r w:rsidRPr="00447528">
        <w:rPr>
          <w:rFonts w:cstheme="minorHAnsi"/>
          <w:sz w:val="24"/>
          <w:szCs w:val="24"/>
        </w:rPr>
        <w:t xml:space="preserve">(2), 155–179. </w:t>
      </w:r>
      <w:hyperlink r:id="rId91" w:history="1">
        <w:r w:rsidR="00E873A9" w:rsidRPr="00C61DE6">
          <w:rPr>
            <w:rStyle w:val="Hyperlink"/>
            <w:rFonts w:cstheme="minorHAnsi"/>
            <w:sz w:val="24"/>
            <w:szCs w:val="24"/>
          </w:rPr>
          <w:t>https://doi.org/10.2307/368735</w:t>
        </w:r>
      </w:hyperlink>
    </w:p>
    <w:p w14:paraId="1677FE62" w14:textId="77777777" w:rsidR="00447528" w:rsidRPr="00447528" w:rsidRDefault="00447528" w:rsidP="00447528">
      <w:pPr>
        <w:spacing w:after="0" w:line="240" w:lineRule="auto"/>
        <w:ind w:left="720" w:hanging="720"/>
        <w:rPr>
          <w:rFonts w:cstheme="minorHAnsi"/>
          <w:sz w:val="24"/>
          <w:szCs w:val="24"/>
        </w:rPr>
      </w:pPr>
    </w:p>
    <w:p w14:paraId="1466BF7C" w14:textId="77777777" w:rsidR="00447528" w:rsidRPr="00447528" w:rsidRDefault="00447528" w:rsidP="00447528">
      <w:pPr>
        <w:spacing w:after="0" w:line="240" w:lineRule="auto"/>
        <w:ind w:left="720" w:hanging="720"/>
        <w:rPr>
          <w:rFonts w:cstheme="minorHAnsi"/>
          <w:sz w:val="24"/>
          <w:szCs w:val="24"/>
        </w:rPr>
      </w:pPr>
      <w:r w:rsidRPr="00447528">
        <w:rPr>
          <w:rFonts w:cstheme="minorHAnsi"/>
          <w:sz w:val="24"/>
          <w:szCs w:val="24"/>
        </w:rPr>
        <w:t>Wang, K., Chen, Y., Zhang, J., Oudekerk, B. A., National Center for Education Statistics (ED), US Department of Justice, B. of J. S., &amp; American Institutes for Research (AIR), (2020). Indicators of School Crime and Safety: 2019. NCES 2020-063/NCJ 254485. </w:t>
      </w:r>
      <w:r w:rsidRPr="00447528">
        <w:rPr>
          <w:rFonts w:cstheme="minorHAnsi"/>
          <w:i/>
          <w:iCs/>
          <w:sz w:val="24"/>
          <w:szCs w:val="24"/>
        </w:rPr>
        <w:t>National Center for Education Statistics</w:t>
      </w:r>
      <w:r w:rsidRPr="00447528">
        <w:rPr>
          <w:rFonts w:cstheme="minorHAnsi"/>
          <w:sz w:val="24"/>
          <w:szCs w:val="24"/>
        </w:rPr>
        <w:t>.</w:t>
      </w:r>
    </w:p>
    <w:p w14:paraId="374BE4DF" w14:textId="77777777" w:rsidR="009A5018" w:rsidRDefault="009A5018" w:rsidP="008D6938">
      <w:pPr>
        <w:spacing w:after="0" w:line="240" w:lineRule="auto"/>
        <w:ind w:left="720" w:hanging="720"/>
        <w:rPr>
          <w:rFonts w:cstheme="minorHAnsi"/>
          <w:sz w:val="24"/>
          <w:szCs w:val="24"/>
        </w:rPr>
      </w:pPr>
    </w:p>
    <w:p w14:paraId="52BCDBBB" w14:textId="77777777" w:rsidR="00675DCF" w:rsidRDefault="00675DCF" w:rsidP="008D6938">
      <w:pPr>
        <w:spacing w:after="0" w:line="240" w:lineRule="auto"/>
        <w:ind w:left="720" w:hanging="720"/>
        <w:rPr>
          <w:rFonts w:cstheme="minorHAnsi"/>
          <w:sz w:val="24"/>
          <w:szCs w:val="24"/>
        </w:rPr>
      </w:pPr>
    </w:p>
    <w:p w14:paraId="56D76847" w14:textId="6EA9A450" w:rsidR="00675DCF" w:rsidRDefault="00675DCF" w:rsidP="00675DCF">
      <w:pPr>
        <w:spacing w:after="0" w:line="240" w:lineRule="auto"/>
        <w:ind w:left="720" w:hanging="720"/>
        <w:rPr>
          <w:rFonts w:cstheme="minorHAnsi"/>
          <w:sz w:val="24"/>
          <w:szCs w:val="24"/>
        </w:rPr>
      </w:pPr>
      <w:r w:rsidRPr="00675DCF">
        <w:rPr>
          <w:rFonts w:cstheme="minorHAnsi"/>
          <w:sz w:val="24"/>
          <w:szCs w:val="24"/>
        </w:rPr>
        <w:t xml:space="preserve">Weber, M. (1947). </w:t>
      </w:r>
      <w:r w:rsidRPr="00675DCF">
        <w:rPr>
          <w:rFonts w:cstheme="minorHAnsi"/>
          <w:i/>
          <w:iCs/>
          <w:sz w:val="24"/>
          <w:szCs w:val="24"/>
        </w:rPr>
        <w:t>The theory of social and economic organization</w:t>
      </w:r>
      <w:r w:rsidRPr="00675DCF">
        <w:rPr>
          <w:rFonts w:cstheme="minorHAnsi"/>
          <w:sz w:val="24"/>
          <w:szCs w:val="24"/>
        </w:rPr>
        <w:t>. Oxford University Press.</w:t>
      </w:r>
    </w:p>
    <w:p w14:paraId="3E270965" w14:textId="77777777" w:rsidR="00675DCF" w:rsidRDefault="00675DCF" w:rsidP="008D6938">
      <w:pPr>
        <w:spacing w:after="0" w:line="240" w:lineRule="auto"/>
        <w:ind w:left="720" w:hanging="720"/>
        <w:rPr>
          <w:rFonts w:cstheme="minorHAnsi"/>
          <w:sz w:val="24"/>
          <w:szCs w:val="24"/>
        </w:rPr>
      </w:pPr>
    </w:p>
    <w:p w14:paraId="76FE92D5" w14:textId="45C3CB39"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Whitting, C. (2005). Duty of </w:t>
      </w:r>
      <w:r w:rsidR="00F5251A">
        <w:rPr>
          <w:rFonts w:cstheme="minorHAnsi"/>
          <w:sz w:val="24"/>
          <w:szCs w:val="24"/>
        </w:rPr>
        <w:t>c</w:t>
      </w:r>
      <w:r w:rsidRPr="008D6938">
        <w:rPr>
          <w:rFonts w:cstheme="minorHAnsi"/>
          <w:sz w:val="24"/>
          <w:szCs w:val="24"/>
        </w:rPr>
        <w:t xml:space="preserve">are: An </w:t>
      </w:r>
      <w:r w:rsidR="00F5251A">
        <w:rPr>
          <w:rFonts w:cstheme="minorHAnsi"/>
          <w:sz w:val="24"/>
          <w:szCs w:val="24"/>
        </w:rPr>
        <w:t>a</w:t>
      </w:r>
      <w:r w:rsidRPr="008D6938">
        <w:rPr>
          <w:rFonts w:cstheme="minorHAnsi"/>
          <w:sz w:val="24"/>
          <w:szCs w:val="24"/>
        </w:rPr>
        <w:t xml:space="preserve">nalytical </w:t>
      </w:r>
      <w:r w:rsidR="00F5251A">
        <w:rPr>
          <w:rFonts w:cstheme="minorHAnsi"/>
          <w:sz w:val="24"/>
          <w:szCs w:val="24"/>
        </w:rPr>
        <w:t>a</w:t>
      </w:r>
      <w:r w:rsidRPr="008D6938">
        <w:rPr>
          <w:rFonts w:cstheme="minorHAnsi"/>
          <w:sz w:val="24"/>
          <w:szCs w:val="24"/>
        </w:rPr>
        <w:t xml:space="preserve">pproach. </w:t>
      </w:r>
      <w:r w:rsidRPr="008D6938">
        <w:rPr>
          <w:rFonts w:cstheme="minorHAnsi"/>
          <w:i/>
          <w:iCs/>
          <w:sz w:val="24"/>
          <w:szCs w:val="24"/>
        </w:rPr>
        <w:t>Oxford Journal of Legal Studies, 25</w:t>
      </w:r>
      <w:r w:rsidRPr="008D6938">
        <w:rPr>
          <w:rFonts w:cstheme="minorHAnsi"/>
          <w:sz w:val="24"/>
          <w:szCs w:val="24"/>
        </w:rPr>
        <w:t xml:space="preserve">(1), 33–63. </w:t>
      </w:r>
      <w:hyperlink r:id="rId92" w:history="1">
        <w:r w:rsidR="00E873A9" w:rsidRPr="00C61DE6">
          <w:rPr>
            <w:rStyle w:val="Hyperlink"/>
            <w:rFonts w:cstheme="minorHAnsi"/>
            <w:sz w:val="24"/>
            <w:szCs w:val="24"/>
          </w:rPr>
          <w:t>https://doi.org/10.1093/ojls/gqi003</w:t>
        </w:r>
      </w:hyperlink>
    </w:p>
    <w:p w14:paraId="1F53E387" w14:textId="77777777" w:rsidR="008D6938" w:rsidRPr="008D6938" w:rsidRDefault="008D6938" w:rsidP="008D6938">
      <w:pPr>
        <w:spacing w:after="0" w:line="240" w:lineRule="auto"/>
        <w:ind w:left="720" w:hanging="720"/>
        <w:rPr>
          <w:rFonts w:cstheme="minorHAnsi"/>
          <w:sz w:val="24"/>
          <w:szCs w:val="24"/>
        </w:rPr>
      </w:pPr>
    </w:p>
    <w:p w14:paraId="704C661E" w14:textId="0BEBF98F" w:rsidR="008D6938" w:rsidRPr="008D6938" w:rsidRDefault="008D6938" w:rsidP="008D6938">
      <w:pPr>
        <w:spacing w:after="0" w:line="240" w:lineRule="auto"/>
        <w:ind w:left="720" w:hanging="720"/>
        <w:rPr>
          <w:rFonts w:cstheme="minorHAnsi"/>
          <w:sz w:val="24"/>
          <w:szCs w:val="24"/>
        </w:rPr>
      </w:pPr>
      <w:r w:rsidRPr="008D6938">
        <w:rPr>
          <w:rFonts w:cstheme="minorHAnsi"/>
          <w:sz w:val="24"/>
          <w:szCs w:val="24"/>
        </w:rPr>
        <w:t xml:space="preserve">Wilson, K. R. &amp; Karus, L. (1983). Sexual </w:t>
      </w:r>
      <w:r w:rsidR="000E49AA">
        <w:rPr>
          <w:rFonts w:cstheme="minorHAnsi"/>
          <w:sz w:val="24"/>
          <w:szCs w:val="24"/>
        </w:rPr>
        <w:t>H</w:t>
      </w:r>
      <w:r w:rsidRPr="008D6938">
        <w:rPr>
          <w:rFonts w:cstheme="minorHAnsi"/>
          <w:sz w:val="24"/>
          <w:szCs w:val="24"/>
        </w:rPr>
        <w:t xml:space="preserve">arassment in the </w:t>
      </w:r>
      <w:r w:rsidR="000E49AA">
        <w:rPr>
          <w:rFonts w:cstheme="minorHAnsi"/>
          <w:sz w:val="24"/>
          <w:szCs w:val="24"/>
        </w:rPr>
        <w:t>U</w:t>
      </w:r>
      <w:r w:rsidRPr="008D6938">
        <w:rPr>
          <w:rFonts w:cstheme="minorHAnsi"/>
          <w:sz w:val="24"/>
          <w:szCs w:val="24"/>
        </w:rPr>
        <w:t xml:space="preserve">niversity. </w:t>
      </w:r>
      <w:r w:rsidRPr="008D6938">
        <w:rPr>
          <w:rFonts w:cstheme="minorHAnsi"/>
          <w:i/>
          <w:iCs/>
          <w:sz w:val="24"/>
          <w:szCs w:val="24"/>
        </w:rPr>
        <w:t>Journal of College Student Personnel, 24,</w:t>
      </w:r>
      <w:r w:rsidRPr="008D6938">
        <w:rPr>
          <w:rFonts w:cstheme="minorHAnsi"/>
          <w:sz w:val="24"/>
          <w:szCs w:val="24"/>
        </w:rPr>
        <w:t xml:space="preserve"> 219–24.</w:t>
      </w:r>
    </w:p>
    <w:p w14:paraId="3DF66FF4" w14:textId="77777777" w:rsidR="008D6938" w:rsidRPr="008D6938" w:rsidRDefault="008D6938" w:rsidP="008D6938">
      <w:pPr>
        <w:spacing w:after="0" w:line="240" w:lineRule="auto"/>
        <w:ind w:left="720" w:hanging="720"/>
        <w:rPr>
          <w:rFonts w:cstheme="minorHAnsi"/>
          <w:sz w:val="24"/>
          <w:szCs w:val="24"/>
        </w:rPr>
      </w:pPr>
    </w:p>
    <w:p w14:paraId="2F29BE09" w14:textId="77777777" w:rsidR="0088789D" w:rsidRPr="0088789D" w:rsidRDefault="0088789D" w:rsidP="0088789D">
      <w:pPr>
        <w:spacing w:after="0" w:line="240" w:lineRule="auto"/>
        <w:ind w:left="720" w:hanging="720"/>
        <w:contextualSpacing/>
        <w:rPr>
          <w:rFonts w:cstheme="minorHAnsi"/>
          <w:bCs/>
          <w:i/>
          <w:iCs/>
          <w:sz w:val="24"/>
          <w:szCs w:val="24"/>
        </w:rPr>
      </w:pPr>
      <w:r w:rsidRPr="0088789D">
        <w:rPr>
          <w:rFonts w:cstheme="minorHAnsi"/>
          <w:bCs/>
          <w:sz w:val="24"/>
          <w:szCs w:val="24"/>
        </w:rPr>
        <w:t xml:space="preserve">World Health Organization. (2002). </w:t>
      </w:r>
      <w:r w:rsidRPr="0088789D">
        <w:rPr>
          <w:rFonts w:cstheme="minorHAnsi"/>
          <w:bCs/>
          <w:i/>
          <w:iCs/>
          <w:sz w:val="24"/>
          <w:szCs w:val="24"/>
        </w:rPr>
        <w:t xml:space="preserve">World report on violence and health: summary. </w:t>
      </w:r>
    </w:p>
    <w:p w14:paraId="6F6C1E95" w14:textId="50638B8B" w:rsidR="0088789D" w:rsidRPr="0088789D" w:rsidRDefault="0088789D" w:rsidP="0088789D">
      <w:pPr>
        <w:spacing w:after="0" w:line="240" w:lineRule="auto"/>
        <w:ind w:left="720" w:hanging="720"/>
        <w:contextualSpacing/>
        <w:rPr>
          <w:rFonts w:cstheme="minorHAnsi"/>
          <w:bCs/>
          <w:sz w:val="24"/>
          <w:szCs w:val="24"/>
        </w:rPr>
      </w:pPr>
      <w:r w:rsidRPr="0088789D">
        <w:rPr>
          <w:rFonts w:cstheme="minorHAnsi"/>
          <w:bCs/>
          <w:sz w:val="24"/>
          <w:szCs w:val="24"/>
        </w:rPr>
        <w:tab/>
      </w:r>
      <w:hyperlink r:id="rId93" w:history="1">
        <w:r w:rsidRPr="00C61DE6">
          <w:rPr>
            <w:rStyle w:val="Hyperlink"/>
            <w:rFonts w:cstheme="minorHAnsi"/>
            <w:bCs/>
            <w:sz w:val="24"/>
            <w:szCs w:val="24"/>
          </w:rPr>
          <w:t>https://www.who.int/news/item/03-10-2002-first-ever-global-report-on-violence-and-health-released</w:t>
        </w:r>
      </w:hyperlink>
    </w:p>
    <w:p w14:paraId="1775BE3C" w14:textId="77777777" w:rsidR="0088789D" w:rsidRDefault="0088789D" w:rsidP="0033578A">
      <w:pPr>
        <w:spacing w:after="0" w:line="240" w:lineRule="auto"/>
        <w:ind w:left="720" w:hanging="720"/>
        <w:contextualSpacing/>
        <w:rPr>
          <w:rFonts w:cstheme="minorHAnsi"/>
          <w:bCs/>
          <w:sz w:val="24"/>
          <w:szCs w:val="24"/>
        </w:rPr>
      </w:pPr>
    </w:p>
    <w:p w14:paraId="2FA9530B" w14:textId="645B23B5" w:rsidR="0033578A" w:rsidRPr="0033578A" w:rsidRDefault="0033578A" w:rsidP="0033578A">
      <w:pPr>
        <w:spacing w:after="0" w:line="240" w:lineRule="auto"/>
        <w:ind w:left="720" w:hanging="720"/>
        <w:contextualSpacing/>
        <w:rPr>
          <w:rFonts w:cstheme="minorHAnsi"/>
          <w:bCs/>
          <w:sz w:val="24"/>
          <w:szCs w:val="24"/>
        </w:rPr>
      </w:pPr>
      <w:r w:rsidRPr="0033578A">
        <w:rPr>
          <w:rFonts w:cstheme="minorHAnsi"/>
          <w:bCs/>
          <w:sz w:val="24"/>
          <w:szCs w:val="24"/>
        </w:rPr>
        <w:t xml:space="preserve">Yin, R. K. (2014). </w:t>
      </w:r>
      <w:r w:rsidRPr="0033578A">
        <w:rPr>
          <w:rFonts w:cstheme="minorHAnsi"/>
          <w:bCs/>
          <w:i/>
          <w:sz w:val="24"/>
          <w:szCs w:val="24"/>
        </w:rPr>
        <w:t>Case study research: Design and methods</w:t>
      </w:r>
      <w:r w:rsidRPr="0033578A">
        <w:rPr>
          <w:rFonts w:cstheme="minorHAnsi"/>
          <w:bCs/>
          <w:sz w:val="24"/>
          <w:szCs w:val="24"/>
        </w:rPr>
        <w:t xml:space="preserve"> (5</w:t>
      </w:r>
      <w:r w:rsidRPr="0033578A">
        <w:rPr>
          <w:rFonts w:cstheme="minorHAnsi"/>
          <w:bCs/>
          <w:sz w:val="24"/>
          <w:szCs w:val="24"/>
          <w:vertAlign w:val="superscript"/>
        </w:rPr>
        <w:t>th</w:t>
      </w:r>
      <w:r w:rsidRPr="0033578A">
        <w:rPr>
          <w:rFonts w:cstheme="minorHAnsi"/>
          <w:bCs/>
          <w:sz w:val="24"/>
          <w:szCs w:val="24"/>
        </w:rPr>
        <w:t xml:space="preserve"> ed.). Sage.</w:t>
      </w:r>
    </w:p>
    <w:p w14:paraId="13A5DA8B" w14:textId="77777777" w:rsidR="0033578A" w:rsidRDefault="0033578A" w:rsidP="008D6938">
      <w:pPr>
        <w:spacing w:after="0" w:line="240" w:lineRule="auto"/>
        <w:ind w:left="720" w:hanging="720"/>
        <w:contextualSpacing/>
        <w:rPr>
          <w:rFonts w:cstheme="minorHAnsi"/>
          <w:bCs/>
          <w:sz w:val="24"/>
          <w:szCs w:val="24"/>
        </w:rPr>
      </w:pPr>
    </w:p>
    <w:p w14:paraId="3231C293" w14:textId="410A53ED" w:rsidR="008D6938" w:rsidRDefault="008D6938" w:rsidP="008D6938">
      <w:pPr>
        <w:spacing w:after="0" w:line="240" w:lineRule="auto"/>
        <w:ind w:left="720" w:hanging="720"/>
        <w:contextualSpacing/>
        <w:rPr>
          <w:rFonts w:cstheme="minorHAnsi"/>
          <w:bCs/>
          <w:sz w:val="24"/>
          <w:szCs w:val="24"/>
        </w:rPr>
      </w:pPr>
      <w:r w:rsidRPr="008D6938">
        <w:rPr>
          <w:rFonts w:cstheme="minorHAnsi"/>
          <w:bCs/>
          <w:sz w:val="24"/>
          <w:szCs w:val="24"/>
        </w:rPr>
        <w:t>Zdziarski, E. L., Dunkel, N. W., Rollo, J. M., &amp; Associates</w:t>
      </w:r>
      <w:r w:rsidR="00447528">
        <w:rPr>
          <w:rFonts w:cstheme="minorHAnsi"/>
          <w:bCs/>
          <w:sz w:val="24"/>
          <w:szCs w:val="24"/>
        </w:rPr>
        <w:t>.</w:t>
      </w:r>
      <w:r w:rsidRPr="008D6938">
        <w:rPr>
          <w:rFonts w:cstheme="minorHAnsi"/>
          <w:bCs/>
          <w:sz w:val="24"/>
          <w:szCs w:val="24"/>
        </w:rPr>
        <w:t xml:space="preserve"> (2007). </w:t>
      </w:r>
      <w:r w:rsidRPr="008D6938">
        <w:rPr>
          <w:rFonts w:cstheme="minorHAnsi"/>
          <w:bCs/>
          <w:i/>
          <w:iCs/>
          <w:sz w:val="24"/>
          <w:szCs w:val="24"/>
        </w:rPr>
        <w:t>Campus crisis management.</w:t>
      </w:r>
      <w:r w:rsidRPr="008D6938">
        <w:rPr>
          <w:rFonts w:cstheme="minorHAnsi"/>
          <w:bCs/>
          <w:sz w:val="24"/>
          <w:szCs w:val="24"/>
        </w:rPr>
        <w:t xml:space="preserve"> Wiley &amp; Sons, Inc.</w:t>
      </w:r>
      <w:bookmarkEnd w:id="15"/>
    </w:p>
    <w:p w14:paraId="3F54D542" w14:textId="77777777" w:rsidR="0035478B" w:rsidRPr="008D6938" w:rsidRDefault="0035478B" w:rsidP="008D6938">
      <w:pPr>
        <w:spacing w:after="0" w:line="240" w:lineRule="auto"/>
        <w:ind w:left="720" w:hanging="720"/>
        <w:contextualSpacing/>
        <w:rPr>
          <w:rFonts w:cstheme="minorHAnsi"/>
          <w:b/>
          <w:sz w:val="24"/>
          <w:szCs w:val="24"/>
        </w:rPr>
      </w:pPr>
    </w:p>
    <w:p w14:paraId="6A690EBF" w14:textId="3658DC63" w:rsidR="0035478B" w:rsidRPr="0035478B" w:rsidRDefault="0035478B" w:rsidP="0028391F">
      <w:pPr>
        <w:spacing w:after="0" w:line="240" w:lineRule="auto"/>
        <w:ind w:left="720" w:hanging="720"/>
        <w:rPr>
          <w:rFonts w:cstheme="minorHAnsi"/>
          <w:sz w:val="24"/>
          <w:szCs w:val="24"/>
        </w:rPr>
      </w:pPr>
      <w:r w:rsidRPr="0035478B">
        <w:rPr>
          <w:rFonts w:cstheme="minorHAnsi"/>
          <w:sz w:val="24"/>
          <w:szCs w:val="24"/>
        </w:rPr>
        <w:t xml:space="preserve">Zott, C., &amp; Huy, Q. N. (2007). How Entrepreneurs Use Symbolic Management to Acquire Resources. </w:t>
      </w:r>
      <w:r w:rsidRPr="0035478B">
        <w:rPr>
          <w:rFonts w:cstheme="minorHAnsi"/>
          <w:i/>
          <w:iCs/>
          <w:sz w:val="24"/>
          <w:szCs w:val="24"/>
        </w:rPr>
        <w:t>Administrative Science Quarterly, 52</w:t>
      </w:r>
      <w:r w:rsidRPr="0035478B">
        <w:rPr>
          <w:rFonts w:cstheme="minorHAnsi"/>
          <w:sz w:val="24"/>
          <w:szCs w:val="24"/>
        </w:rPr>
        <w:t xml:space="preserve">(1), 70–105. </w:t>
      </w:r>
      <w:hyperlink r:id="rId94" w:history="1">
        <w:r w:rsidRPr="00C61DE6">
          <w:rPr>
            <w:rStyle w:val="Hyperlink"/>
            <w:rFonts w:cstheme="minorHAnsi"/>
            <w:sz w:val="24"/>
            <w:szCs w:val="24"/>
          </w:rPr>
          <w:t>https://doi.org/10.2189/asqu.52.1.70</w:t>
        </w:r>
      </w:hyperlink>
    </w:p>
    <w:p w14:paraId="7B64C784" w14:textId="77777777" w:rsidR="0035478B" w:rsidRDefault="0035478B" w:rsidP="008D6938">
      <w:pPr>
        <w:spacing w:line="480" w:lineRule="auto"/>
        <w:rPr>
          <w:rFonts w:cstheme="minorHAnsi"/>
          <w:b/>
          <w:bCs/>
          <w:sz w:val="24"/>
          <w:szCs w:val="24"/>
        </w:rPr>
      </w:pPr>
    </w:p>
    <w:p w14:paraId="4CD9ADED" w14:textId="77777777" w:rsidR="001E77F8" w:rsidRPr="001E77F8" w:rsidRDefault="001E77F8" w:rsidP="001E77F8">
      <w:pPr>
        <w:spacing w:line="480" w:lineRule="auto"/>
        <w:rPr>
          <w:rFonts w:cstheme="minorHAnsi"/>
          <w:b/>
          <w:bCs/>
          <w:sz w:val="24"/>
          <w:szCs w:val="24"/>
        </w:rPr>
      </w:pPr>
    </w:p>
    <w:p w14:paraId="1132D95F" w14:textId="77777777" w:rsidR="00E96B1F" w:rsidRPr="009513A7" w:rsidRDefault="00E96B1F" w:rsidP="00A5362E">
      <w:pPr>
        <w:spacing w:line="480" w:lineRule="auto"/>
        <w:rPr>
          <w:rFonts w:cstheme="minorHAnsi"/>
          <w:b/>
          <w:bCs/>
          <w:sz w:val="24"/>
          <w:szCs w:val="24"/>
        </w:rPr>
      </w:pPr>
    </w:p>
    <w:p w14:paraId="5B252D04" w14:textId="22FB6C57" w:rsidR="00534AA2" w:rsidRDefault="00534AA2" w:rsidP="00534AA2">
      <w:pPr>
        <w:spacing w:line="480" w:lineRule="auto"/>
        <w:jc w:val="center"/>
        <w:rPr>
          <w:rFonts w:cstheme="minorHAnsi"/>
          <w:sz w:val="24"/>
          <w:szCs w:val="24"/>
        </w:rPr>
      </w:pPr>
    </w:p>
    <w:p w14:paraId="2272F438" w14:textId="77777777" w:rsidR="008856F9" w:rsidRDefault="008856F9" w:rsidP="00534AA2">
      <w:pPr>
        <w:spacing w:line="480" w:lineRule="auto"/>
        <w:jc w:val="center"/>
        <w:rPr>
          <w:rFonts w:cstheme="minorHAnsi"/>
          <w:sz w:val="24"/>
          <w:szCs w:val="24"/>
        </w:rPr>
      </w:pPr>
    </w:p>
    <w:p w14:paraId="0B7CA3C1" w14:textId="33081BA9" w:rsidR="008856F9" w:rsidRDefault="008856F9">
      <w:pPr>
        <w:rPr>
          <w:rFonts w:cstheme="minorHAnsi"/>
          <w:sz w:val="24"/>
          <w:szCs w:val="24"/>
        </w:rPr>
      </w:pPr>
      <w:r>
        <w:rPr>
          <w:rFonts w:cstheme="minorHAnsi"/>
          <w:sz w:val="24"/>
          <w:szCs w:val="24"/>
        </w:rPr>
        <w:br w:type="page"/>
      </w:r>
    </w:p>
    <w:p w14:paraId="0C1CAF9F" w14:textId="5F745C6B" w:rsidR="00723EE4" w:rsidRDefault="008856F9">
      <w:pPr>
        <w:rPr>
          <w:rFonts w:cstheme="minorHAnsi"/>
          <w:b/>
          <w:bCs/>
          <w:sz w:val="24"/>
          <w:szCs w:val="24"/>
        </w:rPr>
      </w:pPr>
      <w:r w:rsidRPr="00441F01">
        <w:rPr>
          <w:rFonts w:cstheme="minorHAnsi"/>
          <w:b/>
          <w:bCs/>
          <w:sz w:val="24"/>
          <w:szCs w:val="24"/>
        </w:rPr>
        <w:lastRenderedPageBreak/>
        <w:t>Appendix A</w:t>
      </w:r>
      <w:r w:rsidR="00D65371" w:rsidRPr="00441F01">
        <w:rPr>
          <w:rFonts w:cstheme="minorHAnsi"/>
          <w:b/>
          <w:bCs/>
          <w:sz w:val="24"/>
          <w:szCs w:val="24"/>
        </w:rPr>
        <w:t xml:space="preserve">: </w:t>
      </w:r>
      <w:r w:rsidR="00AB771A">
        <w:rPr>
          <w:rFonts w:cstheme="minorHAnsi"/>
          <w:b/>
          <w:bCs/>
          <w:sz w:val="24"/>
          <w:szCs w:val="24"/>
        </w:rPr>
        <w:t>IRB Approval</w:t>
      </w:r>
      <w:r w:rsidR="00723EE4">
        <w:rPr>
          <w:rFonts w:cstheme="minorHAnsi"/>
          <w:b/>
          <w:bCs/>
          <w:sz w:val="24"/>
          <w:szCs w:val="24"/>
        </w:rPr>
        <w:br w:type="page"/>
      </w:r>
    </w:p>
    <w:p w14:paraId="4F1A4269" w14:textId="54B66862" w:rsidR="00AB771A" w:rsidRDefault="00AB771A" w:rsidP="00051682">
      <w:pPr>
        <w:spacing w:after="0" w:line="240" w:lineRule="auto"/>
        <w:rPr>
          <w:rFonts w:cstheme="minorHAnsi"/>
          <w:b/>
          <w:bCs/>
          <w:sz w:val="24"/>
          <w:szCs w:val="24"/>
        </w:rPr>
      </w:pPr>
      <w:r>
        <w:rPr>
          <w:rFonts w:cstheme="minorHAnsi"/>
          <w:b/>
          <w:bCs/>
          <w:sz w:val="24"/>
          <w:szCs w:val="24"/>
        </w:rPr>
        <w:lastRenderedPageBreak/>
        <w:t>Appendix B: Recruitment Emails</w:t>
      </w:r>
    </w:p>
    <w:p w14:paraId="4067917F" w14:textId="77777777" w:rsidR="00723EE4" w:rsidRDefault="00723EE4" w:rsidP="00051682">
      <w:pPr>
        <w:spacing w:after="0" w:line="240" w:lineRule="auto"/>
        <w:rPr>
          <w:rFonts w:cstheme="minorHAnsi"/>
          <w:b/>
          <w:bCs/>
          <w:sz w:val="24"/>
          <w:szCs w:val="24"/>
        </w:rPr>
      </w:pPr>
    </w:p>
    <w:p w14:paraId="0A8D4A35" w14:textId="77777777" w:rsidR="00723EE4" w:rsidRPr="00441F01" w:rsidRDefault="00723EE4" w:rsidP="00441F01">
      <w:pPr>
        <w:spacing w:after="0" w:line="240" w:lineRule="auto"/>
        <w:jc w:val="center"/>
        <w:rPr>
          <w:rFonts w:cstheme="minorHAnsi"/>
          <w:b/>
          <w:bCs/>
          <w:sz w:val="24"/>
          <w:szCs w:val="24"/>
        </w:rPr>
      </w:pPr>
      <w:r w:rsidRPr="00441F01">
        <w:rPr>
          <w:rFonts w:cstheme="minorHAnsi"/>
          <w:b/>
          <w:bCs/>
          <w:sz w:val="24"/>
          <w:szCs w:val="24"/>
        </w:rPr>
        <w:t>Recruitment E-mail One</w:t>
      </w:r>
    </w:p>
    <w:p w14:paraId="696498B6" w14:textId="77777777" w:rsidR="00723EE4" w:rsidRPr="00441F01" w:rsidRDefault="00723EE4" w:rsidP="00723EE4">
      <w:pPr>
        <w:spacing w:after="0" w:line="240" w:lineRule="auto"/>
        <w:rPr>
          <w:rFonts w:cstheme="minorHAnsi"/>
          <w:sz w:val="24"/>
          <w:szCs w:val="24"/>
        </w:rPr>
      </w:pPr>
    </w:p>
    <w:p w14:paraId="53436691"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Subject: PhD Candidate Seeking Research Participants for a Threat Assessment Study | Your Participation Is Requested</w:t>
      </w:r>
    </w:p>
    <w:p w14:paraId="5BC2AA75" w14:textId="77777777" w:rsidR="00723EE4" w:rsidRPr="00441F01" w:rsidRDefault="00723EE4" w:rsidP="00723EE4">
      <w:pPr>
        <w:spacing w:after="0" w:line="240" w:lineRule="auto"/>
        <w:rPr>
          <w:rFonts w:cstheme="minorHAnsi"/>
          <w:sz w:val="24"/>
          <w:szCs w:val="24"/>
        </w:rPr>
      </w:pPr>
    </w:p>
    <w:p w14:paraId="561225EA"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Body of Email:</w:t>
      </w:r>
    </w:p>
    <w:p w14:paraId="114572EE" w14:textId="77777777" w:rsidR="00723EE4" w:rsidRPr="00441F01" w:rsidRDefault="00723EE4" w:rsidP="00723EE4">
      <w:pPr>
        <w:spacing w:after="0" w:line="240" w:lineRule="auto"/>
        <w:rPr>
          <w:rFonts w:cstheme="minorHAnsi"/>
          <w:sz w:val="24"/>
          <w:szCs w:val="24"/>
        </w:rPr>
      </w:pPr>
    </w:p>
    <w:p w14:paraId="3056BDAC"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Greetings,</w:t>
      </w:r>
    </w:p>
    <w:p w14:paraId="0AB74595" w14:textId="77777777" w:rsidR="00723EE4" w:rsidRPr="00441F01" w:rsidRDefault="00723EE4" w:rsidP="00723EE4">
      <w:pPr>
        <w:tabs>
          <w:tab w:val="left" w:pos="1242"/>
        </w:tabs>
        <w:spacing w:after="0" w:line="240" w:lineRule="auto"/>
        <w:rPr>
          <w:rFonts w:cstheme="minorHAnsi"/>
          <w:sz w:val="24"/>
          <w:szCs w:val="24"/>
        </w:rPr>
      </w:pPr>
      <w:r w:rsidRPr="00441F01">
        <w:rPr>
          <w:rFonts w:cstheme="minorHAnsi"/>
          <w:sz w:val="24"/>
          <w:szCs w:val="24"/>
        </w:rPr>
        <w:tab/>
      </w:r>
    </w:p>
    <w:p w14:paraId="33F50D4B"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My name is Julie Roe, and I am a doctoral candidate at the University of Tennessee, Knoxville in the Higher Education Administration Program. I am also the Human Resources Employee Relations Manager and team lead for faculty and staff threat assessment. </w:t>
      </w:r>
    </w:p>
    <w:p w14:paraId="5B0BB782" w14:textId="77777777" w:rsidR="00723EE4" w:rsidRPr="00441F01" w:rsidRDefault="00723EE4" w:rsidP="00723EE4">
      <w:pPr>
        <w:spacing w:after="0" w:line="240" w:lineRule="auto"/>
        <w:rPr>
          <w:rFonts w:cstheme="minorHAnsi"/>
          <w:sz w:val="24"/>
          <w:szCs w:val="24"/>
        </w:rPr>
      </w:pPr>
    </w:p>
    <w:p w14:paraId="6B8BD815"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am writing to ask if you would be willing to participate in a study regarding the experiences of individuals who lead threat assessment teams (TATs) in higher education, specifically to understand how they operationalize and define success. Eligible participants must currently serve as a TAT leader and have served on the team in some capacity for at least one year or 12 non-consecutive months.  </w:t>
      </w:r>
    </w:p>
    <w:p w14:paraId="6EED8002" w14:textId="77777777" w:rsidR="00723EE4" w:rsidRPr="00441F01" w:rsidRDefault="00723EE4" w:rsidP="00723EE4">
      <w:pPr>
        <w:spacing w:after="0" w:line="240" w:lineRule="auto"/>
        <w:rPr>
          <w:rFonts w:cstheme="minorHAnsi"/>
          <w:sz w:val="24"/>
          <w:szCs w:val="24"/>
        </w:rPr>
      </w:pPr>
    </w:p>
    <w:p w14:paraId="2854B999"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If you choose to participate in this study, I will ask that you join me via Zoom for a 60–75-minute interview. I will record the interview session so data can be transcribed and analyzed for research purposes only.</w:t>
      </w:r>
    </w:p>
    <w:p w14:paraId="5560F993" w14:textId="77777777" w:rsidR="00723EE4" w:rsidRPr="00441F01" w:rsidRDefault="00723EE4" w:rsidP="00723EE4">
      <w:pPr>
        <w:spacing w:after="0" w:line="240" w:lineRule="auto"/>
        <w:rPr>
          <w:rFonts w:cstheme="minorHAnsi"/>
          <w:sz w:val="24"/>
          <w:szCs w:val="24"/>
        </w:rPr>
      </w:pPr>
    </w:p>
    <w:p w14:paraId="045351D3"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Participating in this study is completely voluntary. If you would like to participate in the study or if you have any questions about the study, please e-mail me at </w:t>
      </w:r>
      <w:hyperlink r:id="rId95" w:history="1">
        <w:r w:rsidRPr="00441F01">
          <w:rPr>
            <w:rStyle w:val="Hyperlink"/>
            <w:rFonts w:cstheme="minorHAnsi"/>
            <w:sz w:val="24"/>
            <w:szCs w:val="24"/>
          </w:rPr>
          <w:t>jmonday@utk.edu</w:t>
        </w:r>
      </w:hyperlink>
      <w:r w:rsidRPr="00441F01">
        <w:rPr>
          <w:rFonts w:cstheme="minorHAnsi"/>
          <w:sz w:val="24"/>
          <w:szCs w:val="24"/>
        </w:rPr>
        <w:t xml:space="preserve"> or call me at (865) 776-3554. I also kindly ask that you consider forwarding this information to any persons who may be eligible and interested in participating in this study.</w:t>
      </w:r>
    </w:p>
    <w:p w14:paraId="0B76C1D4" w14:textId="77777777" w:rsidR="00723EE4" w:rsidRPr="00441F01" w:rsidRDefault="00723EE4" w:rsidP="00723EE4">
      <w:pPr>
        <w:spacing w:after="0" w:line="240" w:lineRule="auto"/>
        <w:rPr>
          <w:rFonts w:cstheme="minorHAnsi"/>
          <w:sz w:val="24"/>
          <w:szCs w:val="24"/>
        </w:rPr>
      </w:pPr>
    </w:p>
    <w:p w14:paraId="65F6A201"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For more information, I have attached the informed consent and interview questions for your review. </w:t>
      </w:r>
    </w:p>
    <w:p w14:paraId="41B1DED9" w14:textId="77777777" w:rsidR="00723EE4" w:rsidRPr="00441F01" w:rsidRDefault="00723EE4" w:rsidP="00723EE4">
      <w:pPr>
        <w:spacing w:after="0" w:line="240" w:lineRule="auto"/>
        <w:rPr>
          <w:rFonts w:cstheme="minorHAnsi"/>
          <w:sz w:val="24"/>
          <w:szCs w:val="24"/>
        </w:rPr>
      </w:pPr>
    </w:p>
    <w:p w14:paraId="5FBF068B"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Thank you for your consideration. I am looking forward to hearing from you. </w:t>
      </w:r>
    </w:p>
    <w:p w14:paraId="3E6AE8EC" w14:textId="77777777" w:rsidR="00723EE4" w:rsidRPr="00441F01" w:rsidRDefault="00723EE4" w:rsidP="00723EE4">
      <w:pPr>
        <w:spacing w:after="0" w:line="240" w:lineRule="auto"/>
        <w:rPr>
          <w:rFonts w:cstheme="minorHAnsi"/>
          <w:sz w:val="24"/>
          <w:szCs w:val="24"/>
        </w:rPr>
      </w:pPr>
    </w:p>
    <w:p w14:paraId="26768B30"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Kindest regards, </w:t>
      </w:r>
    </w:p>
    <w:p w14:paraId="2CC68808"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Julie Roe</w:t>
      </w:r>
    </w:p>
    <w:p w14:paraId="575D5B58" w14:textId="77777777" w:rsidR="00723EE4" w:rsidRPr="00441F01" w:rsidRDefault="00723EE4" w:rsidP="00723EE4">
      <w:pPr>
        <w:spacing w:after="0" w:line="240" w:lineRule="auto"/>
        <w:rPr>
          <w:rFonts w:cstheme="minorHAnsi"/>
          <w:sz w:val="24"/>
          <w:szCs w:val="24"/>
        </w:rPr>
      </w:pPr>
    </w:p>
    <w:p w14:paraId="338620E7" w14:textId="77777777" w:rsidR="00723EE4" w:rsidRPr="00441F01" w:rsidRDefault="00723EE4" w:rsidP="00441F01">
      <w:pPr>
        <w:spacing w:after="0" w:line="240" w:lineRule="auto"/>
        <w:jc w:val="center"/>
        <w:rPr>
          <w:rFonts w:cstheme="minorHAnsi"/>
          <w:b/>
          <w:bCs/>
          <w:sz w:val="24"/>
          <w:szCs w:val="24"/>
        </w:rPr>
      </w:pPr>
      <w:r w:rsidRPr="00441F01">
        <w:rPr>
          <w:rFonts w:cstheme="minorHAnsi"/>
          <w:b/>
          <w:bCs/>
          <w:sz w:val="24"/>
          <w:szCs w:val="24"/>
        </w:rPr>
        <w:t>Recruitment E-mail Two</w:t>
      </w:r>
    </w:p>
    <w:p w14:paraId="3BA900E8" w14:textId="77777777" w:rsidR="00723EE4" w:rsidRPr="00441F01" w:rsidRDefault="00723EE4" w:rsidP="00723EE4">
      <w:pPr>
        <w:spacing w:after="0" w:line="240" w:lineRule="auto"/>
        <w:rPr>
          <w:rFonts w:cstheme="minorHAnsi"/>
          <w:sz w:val="24"/>
          <w:szCs w:val="24"/>
        </w:rPr>
      </w:pPr>
    </w:p>
    <w:p w14:paraId="5D948697"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Subject: PhD Candidate Seeking Research Participants for a Threat Assessment Study | Your Participation Is Requested – Reminder </w:t>
      </w:r>
    </w:p>
    <w:p w14:paraId="25FC458B" w14:textId="77777777" w:rsidR="00723EE4" w:rsidRPr="00441F01" w:rsidRDefault="00723EE4" w:rsidP="00723EE4">
      <w:pPr>
        <w:spacing w:after="0" w:line="240" w:lineRule="auto"/>
        <w:rPr>
          <w:rFonts w:cstheme="minorHAnsi"/>
          <w:sz w:val="24"/>
          <w:szCs w:val="24"/>
        </w:rPr>
      </w:pPr>
    </w:p>
    <w:p w14:paraId="5A04B48B"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Body of Email:</w:t>
      </w:r>
    </w:p>
    <w:p w14:paraId="018F2A8B" w14:textId="77777777" w:rsidR="00723EE4" w:rsidRPr="00441F01" w:rsidRDefault="00723EE4" w:rsidP="00723EE4">
      <w:pPr>
        <w:spacing w:after="0" w:line="240" w:lineRule="auto"/>
        <w:rPr>
          <w:rFonts w:cstheme="minorHAnsi"/>
          <w:sz w:val="24"/>
          <w:szCs w:val="24"/>
        </w:rPr>
      </w:pPr>
    </w:p>
    <w:p w14:paraId="6C5FB524"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Greetings,</w:t>
      </w:r>
    </w:p>
    <w:p w14:paraId="2EB50B16" w14:textId="77777777" w:rsidR="00723EE4" w:rsidRPr="00441F01" w:rsidRDefault="00723EE4" w:rsidP="00723EE4">
      <w:pPr>
        <w:tabs>
          <w:tab w:val="left" w:pos="1242"/>
        </w:tabs>
        <w:spacing w:after="0" w:line="240" w:lineRule="auto"/>
        <w:rPr>
          <w:rFonts w:cstheme="minorHAnsi"/>
          <w:sz w:val="24"/>
          <w:szCs w:val="24"/>
        </w:rPr>
      </w:pPr>
      <w:r w:rsidRPr="00441F01">
        <w:rPr>
          <w:rFonts w:cstheme="minorHAnsi"/>
          <w:sz w:val="24"/>
          <w:szCs w:val="24"/>
        </w:rPr>
        <w:tab/>
      </w:r>
    </w:p>
    <w:p w14:paraId="7277044F"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am writing to follow-up on the email I sent you on [X DATE] about a request I made to include you in a study regarding the experiences of individuals who lead threat assessment teams (TATs) in higher education, specifically to understand how they operationalize and define success. Eligible participants must currently serve as a TAT leader and have served on the team in some capacity for at least one year or 12 non-consecutive months.  </w:t>
      </w:r>
    </w:p>
    <w:p w14:paraId="5AED492D" w14:textId="77777777" w:rsidR="00723EE4" w:rsidRPr="00441F01" w:rsidRDefault="00723EE4" w:rsidP="00723EE4">
      <w:pPr>
        <w:spacing w:after="0" w:line="240" w:lineRule="auto"/>
        <w:rPr>
          <w:rFonts w:cstheme="minorHAnsi"/>
          <w:sz w:val="24"/>
          <w:szCs w:val="24"/>
        </w:rPr>
      </w:pPr>
    </w:p>
    <w:p w14:paraId="5C1D3490"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I would very much appreciate your participation in this study as a higher education professional in threat assessment. If you choose to participate in this study, I will ask that you join me via Zoom for a 60–75-minute interview. I will record the interview session so data can be transcribed and analyzed for research purposes only.</w:t>
      </w:r>
    </w:p>
    <w:p w14:paraId="677663C2" w14:textId="77777777" w:rsidR="00723EE4" w:rsidRPr="00441F01" w:rsidRDefault="00723EE4" w:rsidP="00723EE4">
      <w:pPr>
        <w:spacing w:after="0" w:line="240" w:lineRule="auto"/>
        <w:rPr>
          <w:rFonts w:cstheme="minorHAnsi"/>
          <w:sz w:val="24"/>
          <w:szCs w:val="24"/>
        </w:rPr>
      </w:pPr>
    </w:p>
    <w:p w14:paraId="43DDF573"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Participating in this study is completely voluntary. If you would like to participate in the study or if you have any questions about the study, please e-mail me at </w:t>
      </w:r>
      <w:hyperlink r:id="rId96" w:history="1">
        <w:r w:rsidRPr="00441F01">
          <w:rPr>
            <w:rStyle w:val="Hyperlink"/>
            <w:rFonts w:cstheme="minorHAnsi"/>
            <w:sz w:val="24"/>
            <w:szCs w:val="24"/>
          </w:rPr>
          <w:t>jmonday@utk.edu</w:t>
        </w:r>
      </w:hyperlink>
      <w:r w:rsidRPr="00441F01">
        <w:rPr>
          <w:rFonts w:cstheme="minorHAnsi"/>
          <w:sz w:val="24"/>
          <w:szCs w:val="24"/>
        </w:rPr>
        <w:t xml:space="preserve"> or call me at (865) 776-3554. I also kindly ask that you consider forwarding this information to any persons who may be eligible and interested in participating in this study.</w:t>
      </w:r>
    </w:p>
    <w:p w14:paraId="351E0CCD" w14:textId="77777777" w:rsidR="00723EE4" w:rsidRPr="00441F01" w:rsidRDefault="00723EE4" w:rsidP="00723EE4">
      <w:pPr>
        <w:spacing w:after="0" w:line="240" w:lineRule="auto"/>
        <w:rPr>
          <w:rFonts w:cstheme="minorHAnsi"/>
          <w:sz w:val="24"/>
          <w:szCs w:val="24"/>
        </w:rPr>
      </w:pPr>
    </w:p>
    <w:p w14:paraId="5CDDEE03"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For more information, I have attached the informed consent and interview questions for your review. </w:t>
      </w:r>
    </w:p>
    <w:p w14:paraId="4900C540" w14:textId="77777777" w:rsidR="00723EE4" w:rsidRPr="00441F01" w:rsidRDefault="00723EE4" w:rsidP="00723EE4">
      <w:pPr>
        <w:spacing w:after="0" w:line="240" w:lineRule="auto"/>
        <w:rPr>
          <w:rFonts w:cstheme="minorHAnsi"/>
          <w:sz w:val="24"/>
          <w:szCs w:val="24"/>
        </w:rPr>
      </w:pPr>
    </w:p>
    <w:p w14:paraId="3D9C1220"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am looking forward to hearing from you. </w:t>
      </w:r>
    </w:p>
    <w:p w14:paraId="2770225A" w14:textId="77777777" w:rsidR="00723EE4" w:rsidRPr="00441F01" w:rsidRDefault="00723EE4" w:rsidP="00723EE4">
      <w:pPr>
        <w:spacing w:after="0" w:line="240" w:lineRule="auto"/>
        <w:rPr>
          <w:rFonts w:cstheme="minorHAnsi"/>
          <w:sz w:val="24"/>
          <w:szCs w:val="24"/>
        </w:rPr>
      </w:pPr>
    </w:p>
    <w:p w14:paraId="13E2B08A"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Kindest regards, </w:t>
      </w:r>
    </w:p>
    <w:p w14:paraId="7A9B4970"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Julie Roe</w:t>
      </w:r>
    </w:p>
    <w:p w14:paraId="325D4D71" w14:textId="77777777" w:rsidR="00723EE4" w:rsidRPr="00441F01" w:rsidRDefault="00723EE4" w:rsidP="00723EE4">
      <w:pPr>
        <w:spacing w:after="0" w:line="240" w:lineRule="auto"/>
        <w:rPr>
          <w:rFonts w:cstheme="minorHAnsi"/>
          <w:sz w:val="24"/>
          <w:szCs w:val="24"/>
        </w:rPr>
      </w:pPr>
    </w:p>
    <w:p w14:paraId="4070B65A" w14:textId="77777777" w:rsidR="00723EE4" w:rsidRPr="00441F01" w:rsidRDefault="00723EE4" w:rsidP="00441F01">
      <w:pPr>
        <w:spacing w:after="0" w:line="240" w:lineRule="auto"/>
        <w:jc w:val="center"/>
        <w:rPr>
          <w:rFonts w:cstheme="minorHAnsi"/>
          <w:b/>
          <w:bCs/>
          <w:sz w:val="24"/>
          <w:szCs w:val="24"/>
        </w:rPr>
      </w:pPr>
      <w:r w:rsidRPr="00441F01">
        <w:rPr>
          <w:rFonts w:cstheme="minorHAnsi"/>
          <w:b/>
          <w:bCs/>
          <w:sz w:val="24"/>
          <w:szCs w:val="24"/>
        </w:rPr>
        <w:t>Recruitment E-mail Three</w:t>
      </w:r>
    </w:p>
    <w:p w14:paraId="3F106D6B" w14:textId="77777777" w:rsidR="00723EE4" w:rsidRPr="00441F01" w:rsidRDefault="00723EE4" w:rsidP="00723EE4">
      <w:pPr>
        <w:spacing w:after="0" w:line="240" w:lineRule="auto"/>
        <w:rPr>
          <w:rFonts w:cstheme="minorHAnsi"/>
          <w:sz w:val="24"/>
          <w:szCs w:val="24"/>
        </w:rPr>
      </w:pPr>
    </w:p>
    <w:p w14:paraId="744269B9"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Subject: PhD Candidate Seeking Research Participants for a Threat Assessment Study | Your Participation Is Requested – Final Request</w:t>
      </w:r>
    </w:p>
    <w:p w14:paraId="32DEE5D4" w14:textId="77777777" w:rsidR="00723EE4" w:rsidRPr="00441F01" w:rsidRDefault="00723EE4" w:rsidP="00723EE4">
      <w:pPr>
        <w:spacing w:after="0" w:line="240" w:lineRule="auto"/>
        <w:rPr>
          <w:rFonts w:cstheme="minorHAnsi"/>
          <w:sz w:val="24"/>
          <w:szCs w:val="24"/>
        </w:rPr>
      </w:pPr>
    </w:p>
    <w:p w14:paraId="2C23C72A"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Body of Email:</w:t>
      </w:r>
    </w:p>
    <w:p w14:paraId="739C653B" w14:textId="77777777" w:rsidR="00723EE4" w:rsidRPr="00441F01" w:rsidRDefault="00723EE4" w:rsidP="00723EE4">
      <w:pPr>
        <w:spacing w:after="0" w:line="240" w:lineRule="auto"/>
        <w:rPr>
          <w:rFonts w:cstheme="minorHAnsi"/>
          <w:sz w:val="24"/>
          <w:szCs w:val="24"/>
        </w:rPr>
      </w:pPr>
    </w:p>
    <w:p w14:paraId="51E47381"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Greetings,</w:t>
      </w:r>
    </w:p>
    <w:p w14:paraId="44300B6E" w14:textId="77777777" w:rsidR="00723EE4" w:rsidRPr="00441F01" w:rsidRDefault="00723EE4" w:rsidP="00723EE4">
      <w:pPr>
        <w:tabs>
          <w:tab w:val="left" w:pos="1242"/>
        </w:tabs>
        <w:spacing w:after="0" w:line="240" w:lineRule="auto"/>
        <w:rPr>
          <w:rFonts w:cstheme="minorHAnsi"/>
          <w:sz w:val="24"/>
          <w:szCs w:val="24"/>
        </w:rPr>
      </w:pPr>
      <w:r w:rsidRPr="00441F01">
        <w:rPr>
          <w:rFonts w:cstheme="minorHAnsi"/>
          <w:sz w:val="24"/>
          <w:szCs w:val="24"/>
        </w:rPr>
        <w:tab/>
      </w:r>
    </w:p>
    <w:p w14:paraId="02336690"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am writing a final time regarding the email requests I sent you on [X DATE and X DATE] to include you in a study about the experiences of individuals who lead threat assessment teams (TATs) in higher education, specifically to understand how they operationalize and define success. Eligible participants must currently serve as a TAT leader and have served on the team in some capacity for at least one year or 12 non-consecutive months.  </w:t>
      </w:r>
    </w:p>
    <w:p w14:paraId="08F24F7F" w14:textId="77777777" w:rsidR="00723EE4" w:rsidRPr="00441F01" w:rsidRDefault="00723EE4" w:rsidP="00723EE4">
      <w:pPr>
        <w:spacing w:after="0" w:line="240" w:lineRule="auto"/>
        <w:rPr>
          <w:rFonts w:cstheme="minorHAnsi"/>
          <w:sz w:val="24"/>
          <w:szCs w:val="24"/>
        </w:rPr>
      </w:pPr>
    </w:p>
    <w:p w14:paraId="52E082EB"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would very much appreciate your participation in this study as a higher education professional in threat assessment. If you choose to participate in this study, I will ask that you join me via </w:t>
      </w:r>
      <w:r w:rsidRPr="00441F01">
        <w:rPr>
          <w:rFonts w:cstheme="minorHAnsi"/>
          <w:sz w:val="24"/>
          <w:szCs w:val="24"/>
        </w:rPr>
        <w:lastRenderedPageBreak/>
        <w:t>Zoom for a 60–75-minute interview. I will record the interview session so data can be transcribed and analyzed for research purposes only.</w:t>
      </w:r>
    </w:p>
    <w:p w14:paraId="0A0B62A8" w14:textId="77777777" w:rsidR="00723EE4" w:rsidRPr="00441F01" w:rsidRDefault="00723EE4" w:rsidP="00723EE4">
      <w:pPr>
        <w:spacing w:after="0" w:line="240" w:lineRule="auto"/>
        <w:rPr>
          <w:rFonts w:cstheme="minorHAnsi"/>
          <w:sz w:val="24"/>
          <w:szCs w:val="24"/>
        </w:rPr>
      </w:pPr>
    </w:p>
    <w:p w14:paraId="71D483CC"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Participating in this study is completely voluntary. If you would like to participate in the study or if you have any questions about the study, please e-mail me at </w:t>
      </w:r>
      <w:hyperlink r:id="rId97" w:history="1">
        <w:r w:rsidRPr="00441F01">
          <w:rPr>
            <w:rStyle w:val="Hyperlink"/>
            <w:rFonts w:cstheme="minorHAnsi"/>
            <w:sz w:val="24"/>
            <w:szCs w:val="24"/>
          </w:rPr>
          <w:t>jmonday@utk.edu</w:t>
        </w:r>
      </w:hyperlink>
      <w:r w:rsidRPr="00441F01">
        <w:rPr>
          <w:rFonts w:cstheme="minorHAnsi"/>
          <w:sz w:val="24"/>
          <w:szCs w:val="24"/>
        </w:rPr>
        <w:t xml:space="preserve"> or call me at (865) 776-3554. I also kindly ask that you consider forwarding this information to any persons who may be eligible and interested in participating in this study.</w:t>
      </w:r>
    </w:p>
    <w:p w14:paraId="00D10EDE" w14:textId="77777777" w:rsidR="00723EE4" w:rsidRPr="00441F01" w:rsidRDefault="00723EE4" w:rsidP="00723EE4">
      <w:pPr>
        <w:spacing w:after="0" w:line="240" w:lineRule="auto"/>
        <w:rPr>
          <w:rFonts w:cstheme="minorHAnsi"/>
          <w:sz w:val="24"/>
          <w:szCs w:val="24"/>
        </w:rPr>
      </w:pPr>
    </w:p>
    <w:p w14:paraId="6F340189"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For more information, I have attached the informed consent and interview questions for your review. </w:t>
      </w:r>
    </w:p>
    <w:p w14:paraId="392BC907" w14:textId="77777777" w:rsidR="00723EE4" w:rsidRPr="00441F01" w:rsidRDefault="00723EE4" w:rsidP="00723EE4">
      <w:pPr>
        <w:spacing w:after="0" w:line="240" w:lineRule="auto"/>
        <w:rPr>
          <w:rFonts w:cstheme="minorHAnsi"/>
          <w:sz w:val="24"/>
          <w:szCs w:val="24"/>
        </w:rPr>
      </w:pPr>
    </w:p>
    <w:p w14:paraId="5FCBD1E8"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I am looking forward to hearing from you. </w:t>
      </w:r>
    </w:p>
    <w:p w14:paraId="29408C3F" w14:textId="77777777" w:rsidR="00723EE4" w:rsidRPr="00441F01" w:rsidRDefault="00723EE4" w:rsidP="00723EE4">
      <w:pPr>
        <w:spacing w:after="0" w:line="240" w:lineRule="auto"/>
        <w:rPr>
          <w:rFonts w:cstheme="minorHAnsi"/>
          <w:sz w:val="24"/>
          <w:szCs w:val="24"/>
        </w:rPr>
      </w:pPr>
    </w:p>
    <w:p w14:paraId="2C5113FF"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 xml:space="preserve">Kindest regards, </w:t>
      </w:r>
    </w:p>
    <w:p w14:paraId="3D78DF93" w14:textId="77777777" w:rsidR="00723EE4" w:rsidRPr="00441F01" w:rsidRDefault="00723EE4" w:rsidP="00723EE4">
      <w:pPr>
        <w:spacing w:after="0" w:line="240" w:lineRule="auto"/>
        <w:rPr>
          <w:rFonts w:cstheme="minorHAnsi"/>
          <w:sz w:val="24"/>
          <w:szCs w:val="24"/>
        </w:rPr>
      </w:pPr>
      <w:r w:rsidRPr="00441F01">
        <w:rPr>
          <w:rFonts w:cstheme="minorHAnsi"/>
          <w:sz w:val="24"/>
          <w:szCs w:val="24"/>
        </w:rPr>
        <w:t>Julie Roe</w:t>
      </w:r>
    </w:p>
    <w:p w14:paraId="6125DE3F" w14:textId="77777777" w:rsidR="00723EE4" w:rsidRDefault="00723EE4" w:rsidP="00723EE4">
      <w:pPr>
        <w:spacing w:after="0" w:line="240" w:lineRule="auto"/>
      </w:pPr>
    </w:p>
    <w:p w14:paraId="5A60BF65" w14:textId="6CD40CCC" w:rsidR="00723EE4" w:rsidRDefault="00723EE4" w:rsidP="00441F01">
      <w:pPr>
        <w:spacing w:after="0" w:line="240" w:lineRule="auto"/>
        <w:jc w:val="center"/>
        <w:rPr>
          <w:rFonts w:cstheme="minorHAnsi"/>
          <w:b/>
          <w:bCs/>
          <w:sz w:val="24"/>
          <w:szCs w:val="24"/>
        </w:rPr>
      </w:pPr>
      <w:r>
        <w:rPr>
          <w:rFonts w:cstheme="minorHAnsi"/>
          <w:b/>
          <w:bCs/>
          <w:sz w:val="24"/>
          <w:szCs w:val="24"/>
        </w:rPr>
        <w:t xml:space="preserve">Response Email to </w:t>
      </w:r>
      <w:r w:rsidR="009C4DEF">
        <w:rPr>
          <w:rFonts w:cstheme="minorHAnsi"/>
          <w:b/>
          <w:bCs/>
          <w:sz w:val="24"/>
          <w:szCs w:val="24"/>
        </w:rPr>
        <w:t>Interested</w:t>
      </w:r>
      <w:r>
        <w:rPr>
          <w:rFonts w:cstheme="minorHAnsi"/>
          <w:b/>
          <w:bCs/>
          <w:sz w:val="24"/>
          <w:szCs w:val="24"/>
        </w:rPr>
        <w:t xml:space="preserve"> Participants</w:t>
      </w:r>
    </w:p>
    <w:p w14:paraId="43335153" w14:textId="77777777" w:rsidR="00723EE4" w:rsidRDefault="00723EE4" w:rsidP="00051682">
      <w:pPr>
        <w:spacing w:after="0" w:line="240" w:lineRule="auto"/>
        <w:rPr>
          <w:rFonts w:cstheme="minorHAnsi"/>
          <w:b/>
          <w:bCs/>
          <w:sz w:val="24"/>
          <w:szCs w:val="24"/>
        </w:rPr>
      </w:pPr>
    </w:p>
    <w:p w14:paraId="05ADB2D3" w14:textId="6001DCF8" w:rsidR="00723EE4" w:rsidRPr="00393A9D" w:rsidRDefault="00723EE4" w:rsidP="00723EE4">
      <w:pPr>
        <w:spacing w:after="0" w:line="240" w:lineRule="auto"/>
        <w:rPr>
          <w:rFonts w:cstheme="minorHAnsi"/>
          <w:sz w:val="24"/>
          <w:szCs w:val="24"/>
        </w:rPr>
      </w:pPr>
      <w:r w:rsidRPr="00393A9D">
        <w:rPr>
          <w:rFonts w:cstheme="minorHAnsi"/>
          <w:sz w:val="24"/>
          <w:szCs w:val="24"/>
        </w:rPr>
        <w:t xml:space="preserve">Subject: </w:t>
      </w:r>
      <w:r>
        <w:rPr>
          <w:rFonts w:cstheme="minorHAnsi"/>
          <w:sz w:val="24"/>
          <w:szCs w:val="24"/>
        </w:rPr>
        <w:t>Participant Survey</w:t>
      </w:r>
      <w:r w:rsidRPr="00393A9D">
        <w:rPr>
          <w:rFonts w:cstheme="minorHAnsi"/>
          <w:sz w:val="24"/>
          <w:szCs w:val="24"/>
        </w:rPr>
        <w:t xml:space="preserve"> for a Threat Assessment Study | Your </w:t>
      </w:r>
      <w:r>
        <w:rPr>
          <w:rFonts w:cstheme="minorHAnsi"/>
          <w:sz w:val="24"/>
          <w:szCs w:val="24"/>
        </w:rPr>
        <w:t>Response</w:t>
      </w:r>
      <w:r w:rsidRPr="00393A9D">
        <w:rPr>
          <w:rFonts w:cstheme="minorHAnsi"/>
          <w:sz w:val="24"/>
          <w:szCs w:val="24"/>
        </w:rPr>
        <w:t xml:space="preserve"> Is Requested</w:t>
      </w:r>
    </w:p>
    <w:p w14:paraId="73B1FE39" w14:textId="77777777" w:rsidR="00723EE4" w:rsidRPr="00393A9D" w:rsidRDefault="00723EE4" w:rsidP="00723EE4">
      <w:pPr>
        <w:spacing w:after="0" w:line="240" w:lineRule="auto"/>
        <w:rPr>
          <w:rFonts w:cstheme="minorHAnsi"/>
          <w:sz w:val="24"/>
          <w:szCs w:val="24"/>
        </w:rPr>
      </w:pPr>
    </w:p>
    <w:p w14:paraId="0E72CC0B" w14:textId="77777777" w:rsidR="00723EE4" w:rsidRPr="00393A9D" w:rsidRDefault="00723EE4" w:rsidP="00723EE4">
      <w:pPr>
        <w:spacing w:after="0" w:line="240" w:lineRule="auto"/>
        <w:rPr>
          <w:rFonts w:cstheme="minorHAnsi"/>
          <w:sz w:val="24"/>
          <w:szCs w:val="24"/>
        </w:rPr>
      </w:pPr>
      <w:r w:rsidRPr="00393A9D">
        <w:rPr>
          <w:rFonts w:cstheme="minorHAnsi"/>
          <w:sz w:val="24"/>
          <w:szCs w:val="24"/>
        </w:rPr>
        <w:t>Body of Email:</w:t>
      </w:r>
    </w:p>
    <w:p w14:paraId="650A74DF" w14:textId="77777777" w:rsidR="00723EE4" w:rsidRPr="00393A9D" w:rsidRDefault="00723EE4" w:rsidP="00723EE4">
      <w:pPr>
        <w:spacing w:after="0" w:line="240" w:lineRule="auto"/>
        <w:rPr>
          <w:rFonts w:cstheme="minorHAnsi"/>
          <w:sz w:val="24"/>
          <w:szCs w:val="24"/>
        </w:rPr>
      </w:pPr>
    </w:p>
    <w:p w14:paraId="5D3275A9" w14:textId="77777777" w:rsidR="00723EE4" w:rsidRPr="00393A9D" w:rsidRDefault="00723EE4" w:rsidP="00723EE4">
      <w:pPr>
        <w:spacing w:after="0" w:line="240" w:lineRule="auto"/>
        <w:rPr>
          <w:rFonts w:cstheme="minorHAnsi"/>
          <w:sz w:val="24"/>
          <w:szCs w:val="24"/>
        </w:rPr>
      </w:pPr>
      <w:r w:rsidRPr="00393A9D">
        <w:rPr>
          <w:rFonts w:cstheme="minorHAnsi"/>
          <w:sz w:val="24"/>
          <w:szCs w:val="24"/>
        </w:rPr>
        <w:t>Greetings,</w:t>
      </w:r>
    </w:p>
    <w:p w14:paraId="73D8CEC0" w14:textId="77777777" w:rsidR="00723EE4" w:rsidRPr="00393A9D" w:rsidRDefault="00723EE4" w:rsidP="00723EE4">
      <w:pPr>
        <w:tabs>
          <w:tab w:val="left" w:pos="1242"/>
        </w:tabs>
        <w:spacing w:after="0" w:line="240" w:lineRule="auto"/>
        <w:rPr>
          <w:rFonts w:cstheme="minorHAnsi"/>
          <w:sz w:val="24"/>
          <w:szCs w:val="24"/>
        </w:rPr>
      </w:pPr>
      <w:r w:rsidRPr="00393A9D">
        <w:rPr>
          <w:rFonts w:cstheme="minorHAnsi"/>
          <w:sz w:val="24"/>
          <w:szCs w:val="24"/>
        </w:rPr>
        <w:tab/>
      </w:r>
    </w:p>
    <w:p w14:paraId="53276B2A" w14:textId="77777777" w:rsidR="009C4DEF" w:rsidRDefault="00723EE4" w:rsidP="00723EE4">
      <w:pPr>
        <w:spacing w:after="0" w:line="240" w:lineRule="auto"/>
        <w:rPr>
          <w:rFonts w:cstheme="minorHAnsi"/>
          <w:sz w:val="24"/>
          <w:szCs w:val="24"/>
        </w:rPr>
      </w:pPr>
      <w:bookmarkStart w:id="24" w:name="_Hlk156731050"/>
      <w:r>
        <w:rPr>
          <w:rFonts w:cstheme="minorHAnsi"/>
          <w:sz w:val="24"/>
          <w:szCs w:val="24"/>
        </w:rPr>
        <w:t xml:space="preserve">Thank you for expressing interest in this study </w:t>
      </w:r>
      <w:r w:rsidRPr="00393A9D">
        <w:rPr>
          <w:rFonts w:cstheme="minorHAnsi"/>
          <w:sz w:val="24"/>
          <w:szCs w:val="24"/>
        </w:rPr>
        <w:t>about the experiences of individuals who lead threat assessment teams (TATs) in higher education, specifically to understand how they operationalize and define success</w:t>
      </w:r>
      <w:r>
        <w:rPr>
          <w:rFonts w:cstheme="minorHAnsi"/>
          <w:sz w:val="24"/>
          <w:szCs w:val="24"/>
        </w:rPr>
        <w:t xml:space="preserve">. </w:t>
      </w:r>
    </w:p>
    <w:p w14:paraId="026959C4" w14:textId="77777777" w:rsidR="009C4DEF" w:rsidRDefault="009C4DEF" w:rsidP="00723EE4">
      <w:pPr>
        <w:spacing w:after="0" w:line="240" w:lineRule="auto"/>
        <w:rPr>
          <w:rFonts w:cstheme="minorHAnsi"/>
          <w:sz w:val="24"/>
          <w:szCs w:val="24"/>
        </w:rPr>
      </w:pPr>
    </w:p>
    <w:p w14:paraId="671ACF05" w14:textId="6CAF0C54" w:rsidR="00723EE4" w:rsidRDefault="00723EE4" w:rsidP="00723EE4">
      <w:pPr>
        <w:spacing w:after="0" w:line="240" w:lineRule="auto"/>
        <w:rPr>
          <w:rFonts w:cstheme="minorHAnsi"/>
          <w:sz w:val="24"/>
          <w:szCs w:val="24"/>
        </w:rPr>
      </w:pPr>
      <w:r>
        <w:rPr>
          <w:rFonts w:cstheme="minorHAnsi"/>
          <w:sz w:val="24"/>
          <w:szCs w:val="24"/>
        </w:rPr>
        <w:t>Please click the link below and complete the participant survey. This survey includes eligibility screening questions, informed consent, a reminder of resources, and optional demographic questions. Once the survey is complete</w:t>
      </w:r>
      <w:r w:rsidR="009C4DEF">
        <w:rPr>
          <w:rFonts w:cstheme="minorHAnsi"/>
          <w:sz w:val="24"/>
          <w:szCs w:val="24"/>
        </w:rPr>
        <w:t>,</w:t>
      </w:r>
      <w:r>
        <w:rPr>
          <w:rFonts w:cstheme="minorHAnsi"/>
          <w:sz w:val="24"/>
          <w:szCs w:val="24"/>
        </w:rPr>
        <w:t xml:space="preserve"> I will contact you to schedule an interview. As a reminder, </w:t>
      </w:r>
      <w:r w:rsidR="009C4DEF">
        <w:rPr>
          <w:rFonts w:cstheme="minorHAnsi"/>
          <w:sz w:val="24"/>
          <w:szCs w:val="24"/>
        </w:rPr>
        <w:t xml:space="preserve">interviews will be conducted </w:t>
      </w:r>
      <w:r w:rsidRPr="00393A9D">
        <w:rPr>
          <w:rFonts w:cstheme="minorHAnsi"/>
          <w:sz w:val="24"/>
          <w:szCs w:val="24"/>
        </w:rPr>
        <w:t xml:space="preserve">via Zoom </w:t>
      </w:r>
      <w:r w:rsidR="009C4DEF">
        <w:rPr>
          <w:rFonts w:cstheme="minorHAnsi"/>
          <w:sz w:val="24"/>
          <w:szCs w:val="24"/>
        </w:rPr>
        <w:t xml:space="preserve">and last approximately </w:t>
      </w:r>
      <w:r w:rsidRPr="00393A9D">
        <w:rPr>
          <w:rFonts w:cstheme="minorHAnsi"/>
          <w:sz w:val="24"/>
          <w:szCs w:val="24"/>
        </w:rPr>
        <w:t>60–75</w:t>
      </w:r>
      <w:r w:rsidR="009C4DEF">
        <w:rPr>
          <w:rFonts w:cstheme="minorHAnsi"/>
          <w:sz w:val="24"/>
          <w:szCs w:val="24"/>
        </w:rPr>
        <w:t xml:space="preserve"> </w:t>
      </w:r>
      <w:r w:rsidRPr="00393A9D">
        <w:rPr>
          <w:rFonts w:cstheme="minorHAnsi"/>
          <w:sz w:val="24"/>
          <w:szCs w:val="24"/>
        </w:rPr>
        <w:t>minute</w:t>
      </w:r>
      <w:r w:rsidR="009C4DEF">
        <w:rPr>
          <w:rFonts w:cstheme="minorHAnsi"/>
          <w:sz w:val="24"/>
          <w:szCs w:val="24"/>
        </w:rPr>
        <w:t>s</w:t>
      </w:r>
      <w:r w:rsidRPr="00393A9D">
        <w:rPr>
          <w:rFonts w:cstheme="minorHAnsi"/>
          <w:sz w:val="24"/>
          <w:szCs w:val="24"/>
        </w:rPr>
        <w:t>. I will record the interview session so data can be transcribed and analyzed for research purposes only.</w:t>
      </w:r>
    </w:p>
    <w:p w14:paraId="73434EE7" w14:textId="77777777" w:rsidR="000E4B33" w:rsidRDefault="000E4B33" w:rsidP="00723EE4">
      <w:pPr>
        <w:spacing w:after="0" w:line="240" w:lineRule="auto"/>
        <w:rPr>
          <w:rFonts w:cstheme="minorHAnsi"/>
          <w:sz w:val="24"/>
          <w:szCs w:val="24"/>
        </w:rPr>
      </w:pPr>
    </w:p>
    <w:p w14:paraId="5D1FA7A6" w14:textId="2E0B3B3A" w:rsidR="000E4B33" w:rsidRDefault="000E4B33" w:rsidP="00723EE4">
      <w:pPr>
        <w:spacing w:after="0" w:line="240" w:lineRule="auto"/>
        <w:rPr>
          <w:rFonts w:cstheme="minorHAnsi"/>
          <w:sz w:val="24"/>
          <w:szCs w:val="24"/>
        </w:rPr>
      </w:pPr>
      <w:r>
        <w:rPr>
          <w:rFonts w:cstheme="minorHAnsi"/>
          <w:sz w:val="24"/>
          <w:szCs w:val="24"/>
        </w:rPr>
        <w:t>In addition to interviews, I will review relevant threat assessment documents from participants</w:t>
      </w:r>
      <w:r w:rsidR="00EE1AF1">
        <w:rPr>
          <w:rFonts w:cstheme="minorHAnsi"/>
          <w:sz w:val="24"/>
          <w:szCs w:val="24"/>
        </w:rPr>
        <w:t xml:space="preserve"> in advance of each interview</w:t>
      </w:r>
      <w:r>
        <w:rPr>
          <w:rFonts w:cstheme="minorHAnsi"/>
          <w:sz w:val="24"/>
          <w:szCs w:val="24"/>
        </w:rPr>
        <w:t>. Examples include</w:t>
      </w:r>
      <w:r w:rsidR="00EE1AF1">
        <w:rPr>
          <w:rFonts w:cstheme="minorHAnsi"/>
          <w:sz w:val="24"/>
          <w:szCs w:val="24"/>
        </w:rPr>
        <w:t>, but are not limited to, institutional threat assessment policies, procedures, protocols, and/or models used. If you would like to share any documents for this study</w:t>
      </w:r>
      <w:r w:rsidR="005D3BD7">
        <w:rPr>
          <w:rFonts w:cstheme="minorHAnsi"/>
          <w:sz w:val="24"/>
          <w:szCs w:val="24"/>
        </w:rPr>
        <w:t>,</w:t>
      </w:r>
      <w:r w:rsidR="00EE1AF1">
        <w:rPr>
          <w:rFonts w:cstheme="minorHAnsi"/>
          <w:sz w:val="24"/>
          <w:szCs w:val="24"/>
        </w:rPr>
        <w:t xml:space="preserve"> please respond to this email and include any relevant attachments.</w:t>
      </w:r>
    </w:p>
    <w:bookmarkEnd w:id="24"/>
    <w:p w14:paraId="5259A284" w14:textId="77777777" w:rsidR="00723EE4" w:rsidRDefault="00723EE4" w:rsidP="00723EE4">
      <w:pPr>
        <w:spacing w:after="0" w:line="240" w:lineRule="auto"/>
        <w:rPr>
          <w:rFonts w:cstheme="minorHAnsi"/>
          <w:sz w:val="24"/>
          <w:szCs w:val="24"/>
        </w:rPr>
      </w:pPr>
    </w:p>
    <w:p w14:paraId="2481CFD4" w14:textId="6B3A984D" w:rsidR="00723EE4" w:rsidRDefault="009C4DEF" w:rsidP="00723EE4">
      <w:pPr>
        <w:spacing w:after="0" w:line="240" w:lineRule="auto"/>
        <w:rPr>
          <w:rFonts w:cstheme="minorHAnsi"/>
          <w:sz w:val="24"/>
          <w:szCs w:val="24"/>
        </w:rPr>
      </w:pPr>
      <w:r>
        <w:rPr>
          <w:rFonts w:cstheme="minorHAnsi"/>
          <w:sz w:val="24"/>
          <w:szCs w:val="24"/>
        </w:rPr>
        <w:t>Participant Survey Link: INSERT LINK</w:t>
      </w:r>
    </w:p>
    <w:p w14:paraId="146C8352" w14:textId="77777777" w:rsidR="009C4DEF" w:rsidRPr="00393A9D" w:rsidRDefault="009C4DEF" w:rsidP="00723EE4">
      <w:pPr>
        <w:spacing w:after="0" w:line="240" w:lineRule="auto"/>
        <w:rPr>
          <w:rFonts w:cstheme="minorHAnsi"/>
          <w:sz w:val="24"/>
          <w:szCs w:val="24"/>
        </w:rPr>
      </w:pPr>
    </w:p>
    <w:p w14:paraId="3693AE4D" w14:textId="7669590F" w:rsidR="00723EE4" w:rsidRPr="00393A9D" w:rsidRDefault="00723EE4" w:rsidP="00723EE4">
      <w:pPr>
        <w:spacing w:after="0" w:line="240" w:lineRule="auto"/>
        <w:rPr>
          <w:rFonts w:cstheme="minorHAnsi"/>
          <w:sz w:val="24"/>
          <w:szCs w:val="24"/>
        </w:rPr>
      </w:pPr>
      <w:r w:rsidRPr="00393A9D">
        <w:rPr>
          <w:rFonts w:cstheme="minorHAnsi"/>
          <w:sz w:val="24"/>
          <w:szCs w:val="24"/>
        </w:rPr>
        <w:lastRenderedPageBreak/>
        <w:t>Participating in this study is completely voluntary</w:t>
      </w:r>
      <w:r w:rsidR="009C4DEF">
        <w:rPr>
          <w:rFonts w:cstheme="minorHAnsi"/>
          <w:sz w:val="24"/>
          <w:szCs w:val="24"/>
        </w:rPr>
        <w:t xml:space="preserve"> and your responses will remain anonymous</w:t>
      </w:r>
      <w:r w:rsidRPr="00393A9D">
        <w:rPr>
          <w:rFonts w:cstheme="minorHAnsi"/>
          <w:sz w:val="24"/>
          <w:szCs w:val="24"/>
        </w:rPr>
        <w:t xml:space="preserve">. </w:t>
      </w:r>
      <w:r w:rsidR="009C4DEF">
        <w:rPr>
          <w:rFonts w:cstheme="minorHAnsi"/>
          <w:sz w:val="24"/>
          <w:szCs w:val="24"/>
        </w:rPr>
        <w:t>If</w:t>
      </w:r>
      <w:r w:rsidRPr="00393A9D">
        <w:rPr>
          <w:rFonts w:cstheme="minorHAnsi"/>
          <w:sz w:val="24"/>
          <w:szCs w:val="24"/>
        </w:rPr>
        <w:t xml:space="preserve"> you have any questions about the study, please e-mail me at </w:t>
      </w:r>
      <w:hyperlink r:id="rId98" w:history="1">
        <w:r w:rsidRPr="00393A9D">
          <w:rPr>
            <w:rStyle w:val="Hyperlink"/>
            <w:rFonts w:cstheme="minorHAnsi"/>
            <w:sz w:val="24"/>
            <w:szCs w:val="24"/>
          </w:rPr>
          <w:t>jmonday@utk.edu</w:t>
        </w:r>
      </w:hyperlink>
      <w:r w:rsidRPr="00393A9D">
        <w:rPr>
          <w:rFonts w:cstheme="minorHAnsi"/>
          <w:sz w:val="24"/>
          <w:szCs w:val="24"/>
        </w:rPr>
        <w:t xml:space="preserve"> or call me at (865) 776-3554. </w:t>
      </w:r>
      <w:r w:rsidR="009C4DEF">
        <w:rPr>
          <w:rFonts w:cstheme="minorHAnsi"/>
          <w:sz w:val="24"/>
          <w:szCs w:val="24"/>
        </w:rPr>
        <w:t xml:space="preserve">Thank you again for your interest and participation. </w:t>
      </w:r>
    </w:p>
    <w:p w14:paraId="5A929A1C" w14:textId="77777777" w:rsidR="00723EE4" w:rsidRPr="00393A9D" w:rsidRDefault="00723EE4" w:rsidP="00723EE4">
      <w:pPr>
        <w:spacing w:after="0" w:line="240" w:lineRule="auto"/>
        <w:rPr>
          <w:rFonts w:cstheme="minorHAnsi"/>
          <w:sz w:val="24"/>
          <w:szCs w:val="24"/>
        </w:rPr>
      </w:pPr>
    </w:p>
    <w:p w14:paraId="452F11B8" w14:textId="77777777" w:rsidR="00723EE4" w:rsidRPr="00393A9D" w:rsidRDefault="00723EE4" w:rsidP="00723EE4">
      <w:pPr>
        <w:spacing w:after="0" w:line="240" w:lineRule="auto"/>
        <w:rPr>
          <w:rFonts w:cstheme="minorHAnsi"/>
          <w:sz w:val="24"/>
          <w:szCs w:val="24"/>
        </w:rPr>
      </w:pPr>
      <w:r w:rsidRPr="00393A9D">
        <w:rPr>
          <w:rFonts w:cstheme="minorHAnsi"/>
          <w:sz w:val="24"/>
          <w:szCs w:val="24"/>
        </w:rPr>
        <w:t xml:space="preserve">Kindest regards, </w:t>
      </w:r>
    </w:p>
    <w:p w14:paraId="22BE892C" w14:textId="02364DCA" w:rsidR="009C4DEF" w:rsidRDefault="00723EE4" w:rsidP="00723EE4">
      <w:pPr>
        <w:spacing w:after="0" w:line="240" w:lineRule="auto"/>
        <w:rPr>
          <w:rFonts w:cstheme="minorHAnsi"/>
          <w:sz w:val="24"/>
          <w:szCs w:val="24"/>
        </w:rPr>
      </w:pPr>
      <w:r w:rsidRPr="00393A9D">
        <w:rPr>
          <w:rFonts w:cstheme="minorHAnsi"/>
          <w:sz w:val="24"/>
          <w:szCs w:val="24"/>
        </w:rPr>
        <w:t>Julie Roe</w:t>
      </w:r>
    </w:p>
    <w:p w14:paraId="3A230B54" w14:textId="708CE6AF" w:rsidR="009C4DEF" w:rsidRDefault="009C4DEF">
      <w:pPr>
        <w:rPr>
          <w:rFonts w:cstheme="minorHAnsi"/>
          <w:sz w:val="24"/>
          <w:szCs w:val="24"/>
        </w:rPr>
      </w:pPr>
      <w:r>
        <w:rPr>
          <w:rFonts w:cstheme="minorHAnsi"/>
          <w:sz w:val="24"/>
          <w:szCs w:val="24"/>
        </w:rPr>
        <w:br w:type="page"/>
      </w:r>
    </w:p>
    <w:p w14:paraId="187E5689" w14:textId="367AB4A2" w:rsidR="00657AF5" w:rsidRDefault="00657AF5" w:rsidP="00657AF5">
      <w:pPr>
        <w:spacing w:after="0" w:line="240" w:lineRule="auto"/>
        <w:rPr>
          <w:rFonts w:cstheme="minorHAnsi"/>
          <w:b/>
          <w:bCs/>
          <w:sz w:val="24"/>
          <w:szCs w:val="24"/>
        </w:rPr>
      </w:pPr>
      <w:r>
        <w:rPr>
          <w:rFonts w:cstheme="minorHAnsi"/>
          <w:b/>
          <w:bCs/>
          <w:sz w:val="24"/>
          <w:szCs w:val="24"/>
        </w:rPr>
        <w:lastRenderedPageBreak/>
        <w:t>Appendix C: Social Media Request</w:t>
      </w:r>
    </w:p>
    <w:p w14:paraId="41CA86BC" w14:textId="77777777" w:rsidR="00657AF5" w:rsidRDefault="00657AF5" w:rsidP="00657AF5">
      <w:pPr>
        <w:spacing w:after="0" w:line="240" w:lineRule="auto"/>
        <w:rPr>
          <w:rFonts w:cstheme="minorHAnsi"/>
          <w:b/>
          <w:bCs/>
          <w:sz w:val="24"/>
          <w:szCs w:val="24"/>
        </w:rPr>
      </w:pPr>
    </w:p>
    <w:p w14:paraId="119FA048" w14:textId="77777777" w:rsidR="00657AF5" w:rsidRDefault="00657AF5" w:rsidP="00657AF5">
      <w:pPr>
        <w:spacing w:after="0" w:line="240" w:lineRule="auto"/>
        <w:rPr>
          <w:rFonts w:cstheme="minorHAnsi"/>
          <w:b/>
          <w:bCs/>
          <w:sz w:val="24"/>
          <w:szCs w:val="24"/>
        </w:rPr>
      </w:pPr>
      <w:r>
        <w:rPr>
          <w:rFonts w:cstheme="minorHAnsi"/>
          <w:b/>
          <w:bCs/>
          <w:sz w:val="24"/>
          <w:szCs w:val="24"/>
        </w:rPr>
        <w:t>Social Media Post (LinkedIn and Facebook)</w:t>
      </w:r>
    </w:p>
    <w:p w14:paraId="33D4B6A9" w14:textId="77777777" w:rsidR="00657AF5" w:rsidRDefault="00657AF5" w:rsidP="00657AF5">
      <w:pPr>
        <w:spacing w:after="0" w:line="240" w:lineRule="auto"/>
        <w:rPr>
          <w:rFonts w:cstheme="minorHAnsi"/>
          <w:b/>
          <w:bCs/>
          <w:sz w:val="24"/>
          <w:szCs w:val="24"/>
        </w:rPr>
      </w:pPr>
    </w:p>
    <w:p w14:paraId="02703655" w14:textId="77777777" w:rsidR="00657AF5" w:rsidRDefault="00657AF5" w:rsidP="00657AF5">
      <w:pPr>
        <w:spacing w:after="0" w:line="240" w:lineRule="auto"/>
        <w:rPr>
          <w:sz w:val="24"/>
          <w:szCs w:val="24"/>
        </w:rPr>
      </w:pPr>
      <w:r w:rsidRPr="00393A9D">
        <w:rPr>
          <w:sz w:val="24"/>
          <w:szCs w:val="24"/>
        </w:rPr>
        <w:t>Greetings – My name is Julie Roe, and I am a doctoral candidate at the University of Tennessee, Knoxville. I am seeking participants for a study regarding the experiences of individuals who lead threat assessment teams (TATs) in higher education, specifically to understand how they operationalize and define success. Eligible participants must currently serve as a TAT leader and have served on the team in some capacity for at least one year or 12 consecutive months. Participating in this study is completely voluntary. If you would like to participate in the study or if you have any questions about the study, please e-mail me at jmonday@utk.edu. I also kindly ask that you consider forwarding this information to any persons who may be eligible and interested in participating in this study. Thank you!</w:t>
      </w:r>
    </w:p>
    <w:p w14:paraId="687AB112" w14:textId="77777777" w:rsidR="009C4DEF" w:rsidRDefault="009C4DEF" w:rsidP="00723EE4">
      <w:pPr>
        <w:spacing w:after="0" w:line="240" w:lineRule="auto"/>
        <w:rPr>
          <w:rFonts w:cstheme="minorHAnsi"/>
          <w:sz w:val="24"/>
          <w:szCs w:val="24"/>
        </w:rPr>
      </w:pPr>
    </w:p>
    <w:p w14:paraId="3C04C18A" w14:textId="3835B7A4" w:rsidR="00657AF5" w:rsidRDefault="00657AF5">
      <w:pPr>
        <w:rPr>
          <w:rFonts w:cstheme="minorHAnsi"/>
          <w:sz w:val="24"/>
          <w:szCs w:val="24"/>
        </w:rPr>
      </w:pPr>
      <w:r>
        <w:rPr>
          <w:rFonts w:cstheme="minorHAnsi"/>
          <w:sz w:val="24"/>
          <w:szCs w:val="24"/>
        </w:rPr>
        <w:br w:type="page"/>
      </w:r>
    </w:p>
    <w:p w14:paraId="05E32842" w14:textId="30F07CB7" w:rsidR="00AB771A" w:rsidRDefault="00AB771A" w:rsidP="00051682">
      <w:pPr>
        <w:spacing w:after="0" w:line="240" w:lineRule="auto"/>
        <w:rPr>
          <w:rFonts w:cstheme="minorHAnsi"/>
          <w:b/>
          <w:bCs/>
          <w:sz w:val="24"/>
          <w:szCs w:val="24"/>
        </w:rPr>
      </w:pPr>
      <w:r>
        <w:rPr>
          <w:rFonts w:cstheme="minorHAnsi"/>
          <w:b/>
          <w:bCs/>
          <w:sz w:val="24"/>
          <w:szCs w:val="24"/>
        </w:rPr>
        <w:lastRenderedPageBreak/>
        <w:t xml:space="preserve">Appendix </w:t>
      </w:r>
      <w:r w:rsidR="00657AF5">
        <w:rPr>
          <w:rFonts w:cstheme="minorHAnsi"/>
          <w:b/>
          <w:bCs/>
          <w:sz w:val="24"/>
          <w:szCs w:val="24"/>
        </w:rPr>
        <w:t>D</w:t>
      </w:r>
      <w:r>
        <w:rPr>
          <w:rFonts w:cstheme="minorHAnsi"/>
          <w:b/>
          <w:bCs/>
          <w:sz w:val="24"/>
          <w:szCs w:val="24"/>
        </w:rPr>
        <w:t xml:space="preserve">: </w:t>
      </w:r>
      <w:r w:rsidR="00051682">
        <w:rPr>
          <w:rFonts w:cstheme="minorHAnsi"/>
          <w:b/>
          <w:bCs/>
          <w:sz w:val="24"/>
          <w:szCs w:val="24"/>
        </w:rPr>
        <w:t xml:space="preserve">Participation Survey &amp; </w:t>
      </w:r>
      <w:r>
        <w:rPr>
          <w:rFonts w:cstheme="minorHAnsi"/>
          <w:b/>
          <w:bCs/>
          <w:sz w:val="24"/>
          <w:szCs w:val="24"/>
        </w:rPr>
        <w:t>Informed Consent</w:t>
      </w:r>
    </w:p>
    <w:p w14:paraId="0C91DBB3" w14:textId="77777777" w:rsidR="009C4DEF" w:rsidRDefault="009C4DEF" w:rsidP="00051682">
      <w:pPr>
        <w:spacing w:after="0" w:line="240" w:lineRule="auto"/>
        <w:rPr>
          <w:rFonts w:cstheme="minorHAnsi"/>
          <w:sz w:val="24"/>
          <w:szCs w:val="24"/>
        </w:rPr>
      </w:pPr>
    </w:p>
    <w:p w14:paraId="11D400C7" w14:textId="0B3CACF0" w:rsidR="009C4DEF" w:rsidRDefault="009C4DEF" w:rsidP="009C4DEF">
      <w:pPr>
        <w:spacing w:after="0" w:line="240" w:lineRule="auto"/>
        <w:jc w:val="center"/>
        <w:rPr>
          <w:rFonts w:cstheme="minorHAnsi"/>
          <w:b/>
          <w:bCs/>
          <w:sz w:val="24"/>
          <w:szCs w:val="24"/>
        </w:rPr>
      </w:pPr>
      <w:r w:rsidRPr="00441F01">
        <w:rPr>
          <w:rFonts w:cstheme="minorHAnsi"/>
          <w:b/>
          <w:bCs/>
          <w:sz w:val="24"/>
          <w:szCs w:val="24"/>
        </w:rPr>
        <w:t>Participation Survey with Informed Consent</w:t>
      </w:r>
    </w:p>
    <w:p w14:paraId="3D887E89" w14:textId="77777777" w:rsidR="005D3BD7" w:rsidRDefault="005D3BD7" w:rsidP="009C4DEF">
      <w:pPr>
        <w:spacing w:after="0" w:line="240" w:lineRule="auto"/>
        <w:jc w:val="center"/>
        <w:rPr>
          <w:rFonts w:cstheme="minorHAnsi"/>
          <w:b/>
          <w:bCs/>
          <w:sz w:val="24"/>
          <w:szCs w:val="24"/>
        </w:rPr>
      </w:pPr>
    </w:p>
    <w:p w14:paraId="5617C70C" w14:textId="77777777" w:rsidR="005D3BD7" w:rsidRDefault="005D3BD7" w:rsidP="005D3BD7">
      <w:pPr>
        <w:rPr>
          <w:rFonts w:cstheme="minorHAnsi"/>
          <w:sz w:val="24"/>
          <w:szCs w:val="24"/>
        </w:rPr>
      </w:pPr>
      <w:r>
        <w:rPr>
          <w:rFonts w:cstheme="minorHAnsi"/>
          <w:sz w:val="24"/>
          <w:szCs w:val="24"/>
        </w:rPr>
        <w:t xml:space="preserve">Thank you for initiating the participant survey. </w:t>
      </w:r>
      <w:r w:rsidRPr="00D62EE9">
        <w:rPr>
          <w:rFonts w:cstheme="minorHAnsi"/>
          <w:sz w:val="24"/>
          <w:szCs w:val="24"/>
        </w:rPr>
        <w:t xml:space="preserve">The purpose of this study is to examine the experiences of individuals who lead threat assessment teams (TATs) in higher education, specifically to understand how they operationalize and define success. </w:t>
      </w:r>
      <w:r>
        <w:rPr>
          <w:rFonts w:cstheme="minorHAnsi"/>
          <w:sz w:val="24"/>
          <w:szCs w:val="24"/>
        </w:rPr>
        <w:t xml:space="preserve">The following research question will guide this study: </w:t>
      </w:r>
      <w:r w:rsidRPr="00D62EE9">
        <w:rPr>
          <w:rFonts w:cstheme="minorHAnsi"/>
          <w:sz w:val="24"/>
          <w:szCs w:val="24"/>
        </w:rPr>
        <w:t xml:space="preserve">How do threat assessment team leaders operationalize and define success? </w:t>
      </w:r>
    </w:p>
    <w:p w14:paraId="5B9173C9" w14:textId="40405D57" w:rsidR="005D3BD7" w:rsidRDefault="005D3BD7" w:rsidP="005D3BD7">
      <w:pPr>
        <w:spacing w:after="0" w:line="240" w:lineRule="auto"/>
        <w:rPr>
          <w:rFonts w:cstheme="minorHAnsi"/>
          <w:sz w:val="24"/>
          <w:szCs w:val="24"/>
        </w:rPr>
      </w:pPr>
      <w:r>
        <w:rPr>
          <w:rFonts w:cstheme="minorHAnsi"/>
          <w:sz w:val="24"/>
          <w:szCs w:val="24"/>
        </w:rPr>
        <w:t xml:space="preserve">This survey </w:t>
      </w:r>
      <w:r w:rsidR="00667759">
        <w:rPr>
          <w:rFonts w:cstheme="minorHAnsi"/>
          <w:sz w:val="24"/>
          <w:szCs w:val="24"/>
        </w:rPr>
        <w:t xml:space="preserve">must be completed prior to the interview and </w:t>
      </w:r>
      <w:r>
        <w:rPr>
          <w:rFonts w:cstheme="minorHAnsi"/>
          <w:sz w:val="24"/>
          <w:szCs w:val="24"/>
        </w:rPr>
        <w:t xml:space="preserve">includes eligibility screening questions, informed consent, a reminder of resources, and optional demographic questions. Once the survey is complete, I will contact you to schedule an interview. </w:t>
      </w:r>
    </w:p>
    <w:p w14:paraId="7613BFA1" w14:textId="77777777" w:rsidR="005D3BD7" w:rsidRDefault="005D3BD7" w:rsidP="005D3BD7">
      <w:pPr>
        <w:spacing w:after="0" w:line="240" w:lineRule="auto"/>
        <w:rPr>
          <w:rFonts w:cstheme="minorHAnsi"/>
          <w:sz w:val="24"/>
          <w:szCs w:val="24"/>
        </w:rPr>
      </w:pPr>
    </w:p>
    <w:p w14:paraId="6EAB8CFB" w14:textId="7B06F9AC" w:rsidR="005D3BD7" w:rsidRDefault="005D3BD7" w:rsidP="005D3BD7">
      <w:pPr>
        <w:spacing w:after="0" w:line="240" w:lineRule="auto"/>
        <w:rPr>
          <w:rFonts w:cstheme="minorHAnsi"/>
          <w:sz w:val="24"/>
          <w:szCs w:val="24"/>
        </w:rPr>
      </w:pPr>
      <w:r>
        <w:rPr>
          <w:rFonts w:cstheme="minorHAnsi"/>
          <w:sz w:val="24"/>
          <w:szCs w:val="24"/>
        </w:rPr>
        <w:t xml:space="preserve">In addition to interviews, I will review </w:t>
      </w:r>
      <w:r w:rsidR="00667759">
        <w:rPr>
          <w:rFonts w:cstheme="minorHAnsi"/>
          <w:sz w:val="24"/>
          <w:szCs w:val="24"/>
        </w:rPr>
        <w:t xml:space="preserve">available </w:t>
      </w:r>
      <w:r>
        <w:rPr>
          <w:rFonts w:cstheme="minorHAnsi"/>
          <w:sz w:val="24"/>
          <w:szCs w:val="24"/>
        </w:rPr>
        <w:t xml:space="preserve">threat assessment documents from participants in advance of each interview. Examples include, but are not limited to, institutional threat assessment policies, procedures, protocols, and/or models used. If you would like to share any documents for this study, please </w:t>
      </w:r>
      <w:r w:rsidR="00EE45FD">
        <w:rPr>
          <w:rFonts w:cstheme="minorHAnsi"/>
          <w:sz w:val="24"/>
          <w:szCs w:val="24"/>
        </w:rPr>
        <w:t xml:space="preserve">email them to me at </w:t>
      </w:r>
      <w:hyperlink r:id="rId99" w:history="1">
        <w:r w:rsidR="00EE45FD" w:rsidRPr="002443BA">
          <w:rPr>
            <w:rStyle w:val="Hyperlink"/>
            <w:rFonts w:cstheme="minorHAnsi"/>
            <w:sz w:val="24"/>
            <w:szCs w:val="24"/>
          </w:rPr>
          <w:t>jmonday@utk.edu</w:t>
        </w:r>
      </w:hyperlink>
      <w:r w:rsidR="00EE45FD">
        <w:rPr>
          <w:rFonts w:cstheme="minorHAnsi"/>
          <w:sz w:val="24"/>
          <w:szCs w:val="24"/>
        </w:rPr>
        <w:t xml:space="preserve">. </w:t>
      </w:r>
    </w:p>
    <w:p w14:paraId="76367C8B" w14:textId="77777777" w:rsidR="00EE45FD" w:rsidRDefault="00EE45FD" w:rsidP="005D3BD7">
      <w:pPr>
        <w:spacing w:after="0" w:line="240" w:lineRule="auto"/>
        <w:rPr>
          <w:rFonts w:cstheme="minorHAnsi"/>
          <w:sz w:val="24"/>
          <w:szCs w:val="24"/>
        </w:rPr>
      </w:pPr>
    </w:p>
    <w:p w14:paraId="77C53953" w14:textId="4CC02237" w:rsidR="00EE45FD" w:rsidRDefault="00EE45FD" w:rsidP="005D3BD7">
      <w:pPr>
        <w:spacing w:after="0" w:line="240" w:lineRule="auto"/>
        <w:rPr>
          <w:rFonts w:cstheme="minorHAnsi"/>
          <w:b/>
          <w:bCs/>
          <w:sz w:val="24"/>
          <w:szCs w:val="24"/>
        </w:rPr>
      </w:pPr>
      <w:r w:rsidRPr="00441F01">
        <w:rPr>
          <w:rFonts w:cstheme="minorHAnsi"/>
          <w:b/>
          <w:bCs/>
          <w:sz w:val="24"/>
          <w:szCs w:val="24"/>
        </w:rPr>
        <w:t>Eligibility Screening Questions</w:t>
      </w:r>
    </w:p>
    <w:p w14:paraId="7A47439D" w14:textId="77777777" w:rsidR="00EE45FD" w:rsidRPr="00441F01" w:rsidRDefault="00EE45FD" w:rsidP="005D3BD7">
      <w:pPr>
        <w:spacing w:after="0" w:line="240" w:lineRule="auto"/>
        <w:rPr>
          <w:rFonts w:cstheme="minorHAnsi"/>
          <w:b/>
          <w:bCs/>
          <w:sz w:val="24"/>
          <w:szCs w:val="24"/>
        </w:rPr>
      </w:pPr>
    </w:p>
    <w:p w14:paraId="0E03511C" w14:textId="77777777" w:rsidR="00667759" w:rsidRDefault="00EE45FD" w:rsidP="00EE45FD">
      <w:pPr>
        <w:pStyle w:val="ListParagraph"/>
        <w:numPr>
          <w:ilvl w:val="0"/>
          <w:numId w:val="9"/>
        </w:numPr>
        <w:spacing w:after="160" w:line="259" w:lineRule="auto"/>
        <w:rPr>
          <w:rFonts w:asciiTheme="minorHAnsi" w:hAnsiTheme="minorHAnsi" w:cstheme="minorHAnsi"/>
          <w:szCs w:val="24"/>
        </w:rPr>
      </w:pPr>
      <w:r w:rsidRPr="00393A9D">
        <w:rPr>
          <w:rFonts w:asciiTheme="minorHAnsi" w:eastAsia="Times New Roman" w:hAnsiTheme="minorHAnsi" w:cstheme="minorHAnsi"/>
          <w:color w:val="000000"/>
          <w:szCs w:val="24"/>
        </w:rPr>
        <w:t xml:space="preserve">Are you a </w:t>
      </w:r>
      <w:r w:rsidRPr="00393A9D">
        <w:rPr>
          <w:rFonts w:asciiTheme="minorHAnsi" w:hAnsiTheme="minorHAnsi" w:cstheme="minorHAnsi"/>
          <w:szCs w:val="24"/>
        </w:rPr>
        <w:t>current higher education professional (employee)?</w:t>
      </w:r>
      <w:r>
        <w:rPr>
          <w:rFonts w:asciiTheme="minorHAnsi" w:hAnsiTheme="minorHAnsi" w:cstheme="minorHAnsi"/>
          <w:szCs w:val="24"/>
        </w:rPr>
        <w:t xml:space="preserve"> </w:t>
      </w:r>
    </w:p>
    <w:p w14:paraId="7B428B95" w14:textId="0ED7F5F4" w:rsidR="00EE45FD" w:rsidRPr="00393A9D" w:rsidRDefault="00EE45FD" w:rsidP="00441F01">
      <w:pPr>
        <w:pStyle w:val="ListParagraph"/>
        <w:spacing w:after="160" w:line="259" w:lineRule="auto"/>
        <w:rPr>
          <w:rFonts w:asciiTheme="minorHAnsi" w:hAnsiTheme="minorHAnsi" w:cstheme="minorHAnsi"/>
          <w:szCs w:val="24"/>
        </w:rPr>
      </w:pPr>
      <w:r>
        <w:rPr>
          <w:rFonts w:asciiTheme="minorHAnsi" w:hAnsiTheme="minorHAnsi" w:cstheme="minorHAnsi"/>
          <w:szCs w:val="24"/>
        </w:rPr>
        <w:t>[select yes or no]</w:t>
      </w:r>
    </w:p>
    <w:p w14:paraId="52B13199" w14:textId="77777777" w:rsidR="00667759" w:rsidRPr="00441F01" w:rsidRDefault="00EE45FD" w:rsidP="00EE45FD">
      <w:pPr>
        <w:pStyle w:val="ListParagraph"/>
        <w:numPr>
          <w:ilvl w:val="0"/>
          <w:numId w:val="9"/>
        </w:numPr>
        <w:spacing w:after="0" w:line="240" w:lineRule="auto"/>
        <w:textAlignment w:val="baseline"/>
        <w:rPr>
          <w:rFonts w:asciiTheme="minorHAnsi" w:eastAsia="Times New Roman" w:hAnsiTheme="minorHAnsi" w:cstheme="minorHAnsi"/>
          <w:color w:val="000000"/>
          <w:szCs w:val="24"/>
        </w:rPr>
      </w:pPr>
      <w:r w:rsidRPr="00393A9D">
        <w:rPr>
          <w:rFonts w:asciiTheme="minorHAnsi" w:eastAsia="Times New Roman" w:hAnsiTheme="minorHAnsi" w:cstheme="minorHAnsi"/>
          <w:color w:val="000000"/>
          <w:szCs w:val="24"/>
        </w:rPr>
        <w:t xml:space="preserve">Are you </w:t>
      </w:r>
      <w:r w:rsidRPr="00393A9D">
        <w:rPr>
          <w:rFonts w:asciiTheme="minorHAnsi" w:hAnsiTheme="minorHAnsi" w:cstheme="minorHAnsi"/>
          <w:szCs w:val="24"/>
        </w:rPr>
        <w:t xml:space="preserve">in a leadership role on a TAT (examples: chair, co-chair, coordinator, or other team leadership role)? </w:t>
      </w:r>
    </w:p>
    <w:p w14:paraId="04FD0A47" w14:textId="3264738A" w:rsidR="00EE45FD" w:rsidRPr="00441F01" w:rsidRDefault="00EE45FD" w:rsidP="00441F01">
      <w:pPr>
        <w:pStyle w:val="ListParagraph"/>
        <w:spacing w:after="0" w:line="240" w:lineRule="auto"/>
        <w:textAlignment w:val="baseline"/>
        <w:rPr>
          <w:rFonts w:asciiTheme="minorHAnsi" w:eastAsia="Times New Roman" w:hAnsiTheme="minorHAnsi" w:cstheme="minorHAnsi"/>
          <w:color w:val="000000"/>
          <w:szCs w:val="24"/>
        </w:rPr>
      </w:pPr>
      <w:r>
        <w:rPr>
          <w:rFonts w:asciiTheme="minorHAnsi" w:hAnsiTheme="minorHAnsi" w:cstheme="minorHAnsi"/>
          <w:szCs w:val="24"/>
        </w:rPr>
        <w:t>[select yes or no]</w:t>
      </w:r>
    </w:p>
    <w:p w14:paraId="73F4B2FA" w14:textId="77777777" w:rsidR="00667759" w:rsidRPr="00441F01" w:rsidRDefault="00EE45FD" w:rsidP="00EE45FD">
      <w:pPr>
        <w:pStyle w:val="ListParagraph"/>
        <w:numPr>
          <w:ilvl w:val="0"/>
          <w:numId w:val="9"/>
        </w:numPr>
        <w:spacing w:after="160" w:line="259" w:lineRule="auto"/>
        <w:rPr>
          <w:rFonts w:asciiTheme="minorHAnsi" w:hAnsiTheme="minorHAnsi" w:cstheme="minorHAnsi"/>
          <w:szCs w:val="24"/>
        </w:rPr>
      </w:pPr>
      <w:r w:rsidRPr="00EE45FD">
        <w:rPr>
          <w:rFonts w:asciiTheme="minorHAnsi" w:hAnsiTheme="minorHAnsi" w:cstheme="minorHAnsi"/>
          <w:szCs w:val="24"/>
        </w:rPr>
        <w:t>Have you served on the current TAT (in any role) for at least 1 year (12 months, non-consecutive)?</w:t>
      </w:r>
      <w:r w:rsidRPr="00EE45FD">
        <w:rPr>
          <w:rFonts w:asciiTheme="minorHAnsi" w:eastAsia="Times New Roman" w:hAnsiTheme="minorHAnsi" w:cstheme="minorHAnsi"/>
          <w:color w:val="000000"/>
          <w:szCs w:val="24"/>
        </w:rPr>
        <w:t xml:space="preserve"> </w:t>
      </w:r>
    </w:p>
    <w:p w14:paraId="16559809" w14:textId="2A615B34" w:rsidR="00EE45FD" w:rsidRPr="00EE45FD" w:rsidRDefault="00EE45FD" w:rsidP="00441F01">
      <w:pPr>
        <w:pStyle w:val="ListParagraph"/>
        <w:spacing w:after="160" w:line="259" w:lineRule="auto"/>
        <w:rPr>
          <w:rFonts w:asciiTheme="minorHAnsi" w:hAnsiTheme="minorHAnsi" w:cstheme="minorHAnsi"/>
          <w:szCs w:val="24"/>
        </w:rPr>
      </w:pPr>
      <w:r w:rsidRPr="00EE45FD">
        <w:rPr>
          <w:rFonts w:asciiTheme="minorHAnsi" w:hAnsiTheme="minorHAnsi" w:cstheme="minorHAnsi"/>
          <w:szCs w:val="24"/>
        </w:rPr>
        <w:t>[select yes or no]</w:t>
      </w:r>
    </w:p>
    <w:p w14:paraId="3EE0A6B0" w14:textId="61B30553" w:rsidR="00EE45FD" w:rsidRPr="00441F01" w:rsidRDefault="00EE45FD" w:rsidP="00EE45FD">
      <w:pPr>
        <w:rPr>
          <w:rFonts w:cstheme="minorHAnsi"/>
          <w:sz w:val="24"/>
          <w:szCs w:val="24"/>
        </w:rPr>
      </w:pPr>
      <w:r w:rsidRPr="00441F01">
        <w:rPr>
          <w:rFonts w:cstheme="minorHAnsi"/>
          <w:sz w:val="24"/>
          <w:szCs w:val="24"/>
        </w:rPr>
        <w:t>If answered yes to all the screening questions, proceed to informed consent for Research Participation.</w:t>
      </w:r>
    </w:p>
    <w:p w14:paraId="14B8BFC7" w14:textId="2E98CC4B" w:rsidR="00EE45FD" w:rsidRPr="00441F01" w:rsidRDefault="00EE45FD" w:rsidP="00EE45FD">
      <w:pPr>
        <w:rPr>
          <w:rFonts w:cstheme="minorHAnsi"/>
          <w:b/>
          <w:bCs/>
          <w:sz w:val="24"/>
          <w:szCs w:val="24"/>
        </w:rPr>
      </w:pPr>
      <w:r w:rsidRPr="00441F01">
        <w:rPr>
          <w:rFonts w:cstheme="minorHAnsi"/>
          <w:b/>
          <w:bCs/>
          <w:sz w:val="24"/>
          <w:szCs w:val="24"/>
        </w:rPr>
        <w:t>Informed Consent for Research Participation</w:t>
      </w:r>
    </w:p>
    <w:p w14:paraId="1EB44C2A" w14:textId="77777777" w:rsidR="00EE45FD" w:rsidRPr="00EE45FD" w:rsidRDefault="00EE45FD" w:rsidP="00EE45FD">
      <w:pPr>
        <w:spacing w:after="0" w:line="240" w:lineRule="auto"/>
        <w:jc w:val="center"/>
        <w:rPr>
          <w:rFonts w:ascii="Calibri" w:hAnsi="Calibri" w:cs="Calibri"/>
          <w:kern w:val="2"/>
          <w:sz w:val="20"/>
          <w:szCs w:val="20"/>
          <w14:ligatures w14:val="standardContextual"/>
        </w:rPr>
      </w:pPr>
    </w:p>
    <w:p w14:paraId="05DAA740"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b/>
          <w:bCs/>
          <w:kern w:val="2"/>
          <w:sz w:val="24"/>
          <w:szCs w:val="24"/>
          <w14:ligatures w14:val="standardContextual"/>
        </w:rPr>
        <w:t>Research Study Title:</w:t>
      </w:r>
      <w:r w:rsidRPr="00441F01">
        <w:rPr>
          <w:rFonts w:cstheme="minorHAnsi"/>
          <w:kern w:val="2"/>
          <w:sz w:val="24"/>
          <w:szCs w:val="24"/>
          <w14:ligatures w14:val="standardContextual"/>
        </w:rPr>
        <w:t xml:space="preserve"> A Basic Qualitative Study of the Experiences of Those Who Lead Threat Assessment Teams in Higher Education</w:t>
      </w:r>
    </w:p>
    <w:p w14:paraId="304EFA5F"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b/>
          <w:bCs/>
          <w:kern w:val="2"/>
          <w:sz w:val="24"/>
          <w:szCs w:val="24"/>
          <w14:ligatures w14:val="standardContextual"/>
        </w:rPr>
        <w:t>Researcher(s):</w:t>
      </w:r>
      <w:r w:rsidRPr="00441F01">
        <w:rPr>
          <w:rFonts w:cstheme="minorHAnsi"/>
          <w:kern w:val="2"/>
          <w:sz w:val="24"/>
          <w:szCs w:val="24"/>
          <w14:ligatures w14:val="standardContextual"/>
        </w:rPr>
        <w:t xml:space="preserve"> </w:t>
      </w:r>
      <w:r w:rsidRPr="00441F01">
        <w:rPr>
          <w:rFonts w:cstheme="minorHAnsi"/>
          <w:kern w:val="2"/>
          <w:sz w:val="24"/>
          <w:szCs w:val="24"/>
          <w14:ligatures w14:val="standardContextual"/>
        </w:rPr>
        <w:tab/>
        <w:t>Julie Roe, University of Tennessee, Knoxville</w:t>
      </w:r>
    </w:p>
    <w:p w14:paraId="60E7EA39" w14:textId="77777777" w:rsidR="00EE45FD" w:rsidRPr="00441F01" w:rsidRDefault="00EE45FD" w:rsidP="00441F01">
      <w:pPr>
        <w:spacing w:after="0" w:line="240" w:lineRule="auto"/>
        <w:ind w:left="1440" w:firstLine="720"/>
        <w:rPr>
          <w:rFonts w:cstheme="minorHAnsi"/>
          <w:kern w:val="2"/>
          <w:sz w:val="24"/>
          <w:szCs w:val="24"/>
          <w14:ligatures w14:val="standardContextual"/>
        </w:rPr>
      </w:pPr>
      <w:r w:rsidRPr="00441F01">
        <w:rPr>
          <w:rFonts w:cstheme="minorHAnsi"/>
          <w:kern w:val="2"/>
          <w:sz w:val="24"/>
          <w:szCs w:val="24"/>
          <w14:ligatures w14:val="standardContextual"/>
        </w:rPr>
        <w:t xml:space="preserve">Dr. Dorian McCoy, University of Tennessee, Knoxville </w:t>
      </w:r>
    </w:p>
    <w:p w14:paraId="3C117322" w14:textId="77777777" w:rsidR="00EE45FD" w:rsidRPr="00441F01" w:rsidRDefault="00EE45FD" w:rsidP="00EE45FD">
      <w:pPr>
        <w:spacing w:after="0" w:line="240" w:lineRule="auto"/>
        <w:rPr>
          <w:rFonts w:cstheme="minorHAnsi"/>
          <w:kern w:val="2"/>
          <w:sz w:val="24"/>
          <w:szCs w:val="24"/>
          <w14:ligatures w14:val="standardContextual"/>
        </w:rPr>
      </w:pPr>
    </w:p>
    <w:p w14:paraId="047AC4CF"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Why am I being asked to be in this research study?</w:t>
      </w:r>
    </w:p>
    <w:p w14:paraId="74DCEA6D"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We are asking you to participate in this research study because you are a professional in higher education currently serving on a threat assessment team in a leadership role. </w:t>
      </w:r>
    </w:p>
    <w:p w14:paraId="5A1A3E66" w14:textId="77777777" w:rsidR="00EE45FD" w:rsidRPr="00441F01" w:rsidRDefault="00EE45FD" w:rsidP="00EE45FD">
      <w:pPr>
        <w:spacing w:after="0" w:line="240" w:lineRule="auto"/>
        <w:rPr>
          <w:rFonts w:cstheme="minorHAnsi"/>
          <w:kern w:val="2"/>
          <w:sz w:val="24"/>
          <w:szCs w:val="24"/>
          <w14:ligatures w14:val="standardContextual"/>
        </w:rPr>
      </w:pPr>
    </w:p>
    <w:p w14:paraId="3BD8B0FD"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lastRenderedPageBreak/>
        <w:t>What is this research study about?</w:t>
      </w:r>
    </w:p>
    <w:p w14:paraId="030A9CE6"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The purpose of this study is to examine the </w:t>
      </w:r>
      <w:bookmarkStart w:id="25" w:name="_Hlk154004030"/>
      <w:r w:rsidRPr="00441F01">
        <w:rPr>
          <w:rFonts w:cstheme="minorHAnsi"/>
          <w:kern w:val="2"/>
          <w:sz w:val="24"/>
          <w:szCs w:val="24"/>
          <w14:ligatures w14:val="standardContextual"/>
        </w:rPr>
        <w:t xml:space="preserve">experiences of individuals who </w:t>
      </w:r>
      <w:bookmarkStart w:id="26" w:name="_Hlk154004444"/>
      <w:r w:rsidRPr="00441F01">
        <w:rPr>
          <w:rFonts w:cstheme="minorHAnsi"/>
          <w:kern w:val="2"/>
          <w:sz w:val="24"/>
          <w:szCs w:val="24"/>
          <w14:ligatures w14:val="standardContextual"/>
        </w:rPr>
        <w:t>lead threat assessment teams (TATs) in higher education, specifically to understand how TAT leaders operationalize and define success.</w:t>
      </w:r>
      <w:bookmarkEnd w:id="25"/>
      <w:bookmarkEnd w:id="26"/>
    </w:p>
    <w:p w14:paraId="4931E5DE" w14:textId="77777777" w:rsidR="00EE45FD" w:rsidRPr="00441F01" w:rsidRDefault="00EE45FD" w:rsidP="00EE45FD">
      <w:pPr>
        <w:spacing w:after="0" w:line="240" w:lineRule="auto"/>
        <w:rPr>
          <w:rFonts w:cstheme="minorHAnsi"/>
          <w:kern w:val="2"/>
          <w:sz w:val="24"/>
          <w:szCs w:val="24"/>
          <w14:ligatures w14:val="standardContextual"/>
        </w:rPr>
      </w:pPr>
    </w:p>
    <w:p w14:paraId="1A4C45FA"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How long will I be in the research study?</w:t>
      </w:r>
    </w:p>
    <w:p w14:paraId="7B254782"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If you agree to be in the study, your participation will last for approximately 60-75 minutes in a virtual interview with a potential for an additional 10-45 minutes for member checking (or verification of transcripts and preliminary data). Total 60-120 minutes. </w:t>
      </w:r>
    </w:p>
    <w:p w14:paraId="60352F33" w14:textId="77777777" w:rsidR="00EE45FD" w:rsidRPr="00441F01" w:rsidRDefault="00EE45FD" w:rsidP="00EE45FD">
      <w:pPr>
        <w:spacing w:after="0" w:line="240" w:lineRule="auto"/>
        <w:rPr>
          <w:rFonts w:cstheme="minorHAnsi"/>
          <w:kern w:val="2"/>
          <w:sz w:val="24"/>
          <w:szCs w:val="24"/>
          <w14:ligatures w14:val="standardContextual"/>
        </w:rPr>
      </w:pPr>
    </w:p>
    <w:p w14:paraId="7360A3CC"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What will happen if I say “Yes, I want to be in this research study”?</w:t>
      </w:r>
    </w:p>
    <w:p w14:paraId="5D78B501" w14:textId="5D9EDB32"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Prior to the interview, participants will be asked to complete a </w:t>
      </w:r>
      <w:r w:rsidR="00667759">
        <w:rPr>
          <w:rFonts w:cstheme="minorHAnsi"/>
          <w:kern w:val="2"/>
          <w:sz w:val="24"/>
          <w:szCs w:val="24"/>
          <w14:ligatures w14:val="standardContextual"/>
        </w:rPr>
        <w:t>brief</w:t>
      </w:r>
      <w:r w:rsidRPr="00441F01">
        <w:rPr>
          <w:rFonts w:cstheme="minorHAnsi"/>
          <w:kern w:val="2"/>
          <w:sz w:val="24"/>
          <w:szCs w:val="24"/>
          <w14:ligatures w14:val="standardContextual"/>
        </w:rPr>
        <w:t xml:space="preserve"> survey that will be administered via Qualtrics. </w:t>
      </w:r>
      <w:r w:rsidR="00667759">
        <w:rPr>
          <w:rFonts w:cstheme="minorHAnsi"/>
          <w:sz w:val="24"/>
          <w:szCs w:val="24"/>
        </w:rPr>
        <w:t xml:space="preserve">The survey includes eligibility screening questions, informed consent, a reminder of resources, and optional demographic questions. </w:t>
      </w:r>
      <w:r w:rsidRPr="00441F01">
        <w:rPr>
          <w:rFonts w:cstheme="minorHAnsi"/>
          <w:kern w:val="2"/>
          <w:sz w:val="24"/>
          <w:szCs w:val="24"/>
          <w14:ligatures w14:val="standardContextual"/>
        </w:rPr>
        <w:t>We will invite participants to reach out if they would like well-being resources in their local area. By completing the form and selecting “I consent to participate,” interview participants grant their consent to participate in the research study and advance to the next section of the survey.</w:t>
      </w:r>
    </w:p>
    <w:p w14:paraId="7AC4D6C7" w14:textId="77777777" w:rsidR="00EE45FD" w:rsidRPr="00441F01" w:rsidRDefault="00EE45FD" w:rsidP="00EE45FD">
      <w:pPr>
        <w:spacing w:after="0" w:line="240" w:lineRule="auto"/>
        <w:rPr>
          <w:rFonts w:cstheme="minorHAnsi"/>
          <w:kern w:val="2"/>
          <w:sz w:val="24"/>
          <w:szCs w:val="24"/>
          <w14:ligatures w14:val="standardContextual"/>
        </w:rPr>
      </w:pPr>
    </w:p>
    <w:p w14:paraId="6C709450" w14:textId="2B44F2B6"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We will ask you to participate in a 60 – 75-minute interview with the student investigator. The interview will take place via a virtual platform (i.e. Zoom). Participants will meet with the student investigator, and the student investigator will use that time to ask the participant approximately </w:t>
      </w:r>
      <w:r w:rsidR="00667759">
        <w:rPr>
          <w:rFonts w:cstheme="minorHAnsi"/>
          <w:kern w:val="2"/>
          <w:sz w:val="24"/>
          <w:szCs w:val="24"/>
          <w14:ligatures w14:val="standardContextual"/>
        </w:rPr>
        <w:t>12</w:t>
      </w:r>
      <w:r w:rsidRPr="00441F01">
        <w:rPr>
          <w:rFonts w:cstheme="minorHAnsi"/>
          <w:kern w:val="2"/>
          <w:sz w:val="24"/>
          <w:szCs w:val="24"/>
          <w14:ligatures w14:val="standardContextual"/>
        </w:rPr>
        <w:t xml:space="preserve"> questions about their experience leading threat assessment teams (TATs) in higher education, specifically to understand how TAT leaders operationalize and define success.</w:t>
      </w:r>
    </w:p>
    <w:p w14:paraId="35F6C35D" w14:textId="77777777" w:rsidR="00EE45FD" w:rsidRPr="00441F01" w:rsidRDefault="00EE45FD" w:rsidP="00EE45FD">
      <w:pPr>
        <w:spacing w:after="0" w:line="240" w:lineRule="auto"/>
        <w:rPr>
          <w:rFonts w:cstheme="minorHAnsi"/>
          <w:kern w:val="2"/>
          <w:sz w:val="24"/>
          <w:szCs w:val="24"/>
          <w14:ligatures w14:val="standardContextual"/>
        </w:rPr>
      </w:pPr>
    </w:p>
    <w:p w14:paraId="56B19BD4"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What happens if I say “No, I do not want to be in this research study”?</w:t>
      </w:r>
    </w:p>
    <w:p w14:paraId="76B3F412"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Being in this study is up to you. You can say no now or leave the study later. Either way, your decision won’t affect you professionally.</w:t>
      </w:r>
    </w:p>
    <w:p w14:paraId="70A7517E" w14:textId="77777777" w:rsidR="00EE45FD" w:rsidRPr="00441F01" w:rsidRDefault="00EE45FD" w:rsidP="00EE45FD">
      <w:pPr>
        <w:spacing w:after="0" w:line="240" w:lineRule="auto"/>
        <w:rPr>
          <w:rFonts w:cstheme="minorHAnsi"/>
          <w:kern w:val="2"/>
          <w:sz w:val="24"/>
          <w:szCs w:val="24"/>
          <w14:ligatures w14:val="standardContextual"/>
        </w:rPr>
      </w:pPr>
    </w:p>
    <w:p w14:paraId="5DEE51D2"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What happens if I say “Yes” but change my mind later?</w:t>
      </w:r>
    </w:p>
    <w:p w14:paraId="1AC5D9A8"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Even if you decide to be in the study now, you can change your mind and stop at any time. If you decide to stop before the study is completed, you can contact the PI or student investigator with your decision. The PI or student investigator will ensure that data from your participation is promptly disregarded and deleted, to ensure compliance.</w:t>
      </w:r>
    </w:p>
    <w:p w14:paraId="333BB8E1" w14:textId="77777777" w:rsidR="00EE45FD" w:rsidRPr="00441F01" w:rsidRDefault="00EE45FD" w:rsidP="00EE45FD">
      <w:pPr>
        <w:spacing w:after="0" w:line="240" w:lineRule="auto"/>
        <w:rPr>
          <w:rFonts w:cstheme="minorHAnsi"/>
          <w:kern w:val="2"/>
          <w:sz w:val="24"/>
          <w:szCs w:val="24"/>
          <w14:ligatures w14:val="standardContextual"/>
        </w:rPr>
      </w:pPr>
    </w:p>
    <w:p w14:paraId="15306815"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Are there any possible risks to me?</w:t>
      </w:r>
    </w:p>
    <w:p w14:paraId="7D15A705"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It is possible that someone could find out you were in this study or see your study information, but we believe this risk is small because of the procedures we use to protect your information. These procedures are described later in this form.</w:t>
      </w:r>
    </w:p>
    <w:p w14:paraId="42B57044" w14:textId="77777777" w:rsidR="00EE45FD" w:rsidRPr="00441F01" w:rsidRDefault="00EE45FD" w:rsidP="00EE45FD">
      <w:pPr>
        <w:spacing w:after="0" w:line="240" w:lineRule="auto"/>
        <w:rPr>
          <w:rFonts w:cstheme="minorHAnsi"/>
          <w:kern w:val="2"/>
          <w:sz w:val="24"/>
          <w:szCs w:val="24"/>
          <w14:ligatures w14:val="standardContextual"/>
        </w:rPr>
      </w:pPr>
    </w:p>
    <w:p w14:paraId="63AE5EA9" w14:textId="77777777" w:rsidR="00F11A33"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Other potential risks for participation include psychological, mental, and emotional factors. For example, reliving experiences from a threat assessment case, crisis, or similar personal trauma may incite anxiety or depression,</w:t>
      </w:r>
      <w:r w:rsidR="00F11A33">
        <w:rPr>
          <w:rFonts w:cstheme="minorHAnsi"/>
          <w:kern w:val="2"/>
          <w:sz w:val="24"/>
          <w:szCs w:val="24"/>
          <w14:ligatures w14:val="standardContextual"/>
        </w:rPr>
        <w:t xml:space="preserve"> </w:t>
      </w:r>
      <w:r w:rsidRPr="00441F01">
        <w:rPr>
          <w:rFonts w:cstheme="minorHAnsi"/>
          <w:kern w:val="2"/>
          <w:sz w:val="24"/>
          <w:szCs w:val="24"/>
          <w14:ligatures w14:val="standardContextual"/>
        </w:rPr>
        <w:t xml:space="preserve">and mental stresses that may cause fatigue, sadness, crying, or otherwise. </w:t>
      </w:r>
    </w:p>
    <w:p w14:paraId="7BE6C3DB" w14:textId="77777777" w:rsidR="00F11A33" w:rsidRDefault="00F11A33" w:rsidP="00EE45FD">
      <w:pPr>
        <w:spacing w:after="0" w:line="240" w:lineRule="auto"/>
        <w:rPr>
          <w:rFonts w:cstheme="minorHAnsi"/>
          <w:kern w:val="2"/>
          <w:sz w:val="24"/>
          <w:szCs w:val="24"/>
          <w14:ligatures w14:val="standardContextual"/>
        </w:rPr>
      </w:pPr>
    </w:p>
    <w:p w14:paraId="683117A5" w14:textId="19912255" w:rsidR="00F11A33" w:rsidRPr="00441F01" w:rsidRDefault="00F11A33"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lastRenderedPageBreak/>
        <w:t>Reminder of Resources:</w:t>
      </w:r>
    </w:p>
    <w:p w14:paraId="3F471904" w14:textId="360490BB"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We wish to remind all participants of the National 988 Crisis Lifeline as well as your local Employee Assistance Program. If you would like assistance finding additional local support, please let us know. </w:t>
      </w:r>
    </w:p>
    <w:p w14:paraId="259792C9" w14:textId="77777777" w:rsidR="00EE45FD" w:rsidRPr="00441F01" w:rsidRDefault="00EE45FD" w:rsidP="00EE45FD">
      <w:pPr>
        <w:spacing w:after="0" w:line="240" w:lineRule="auto"/>
        <w:rPr>
          <w:rFonts w:cstheme="minorHAnsi"/>
          <w:kern w:val="2"/>
          <w:sz w:val="24"/>
          <w:szCs w:val="24"/>
          <w14:ligatures w14:val="standardContextual"/>
        </w:rPr>
      </w:pPr>
    </w:p>
    <w:p w14:paraId="42E6E4D0"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Are there any benefits to being in this research study?</w:t>
      </w:r>
    </w:p>
    <w:p w14:paraId="2EE4D774"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We do not expect you to benefit from being in this study. However, your participation may help us to learn more about the lived experiences of those leading a threat assessment team (TAT) in higher education, specifically to understand how TAT leaders operationalize and define success. We hope the knowledge gained from this study will benefit others in the future.</w:t>
      </w:r>
    </w:p>
    <w:p w14:paraId="1C2A5974" w14:textId="77777777" w:rsidR="00EE45FD" w:rsidRPr="00441F01" w:rsidRDefault="00EE45FD" w:rsidP="00EE45FD">
      <w:pPr>
        <w:spacing w:after="0" w:line="240" w:lineRule="auto"/>
        <w:rPr>
          <w:rFonts w:cstheme="minorHAnsi"/>
          <w:kern w:val="2"/>
          <w:sz w:val="24"/>
          <w:szCs w:val="24"/>
          <w14:ligatures w14:val="standardContextual"/>
        </w:rPr>
      </w:pPr>
    </w:p>
    <w:p w14:paraId="1FB68897"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Who can see or use the information collected for this research study?</w:t>
      </w:r>
    </w:p>
    <w:p w14:paraId="38A2CD57"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We will protect the confidentiality of your information by altering all names and replacing them with pseudo names, both in the interview transcriptions and the study report. The researchers will be the only individuals with access to your consent forms, audio-recorded interviews, and the transcriptions.</w:t>
      </w:r>
    </w:p>
    <w:p w14:paraId="58AC5D31" w14:textId="77777777" w:rsidR="00EE45FD" w:rsidRPr="00441F01" w:rsidRDefault="00EE45FD" w:rsidP="00EE45FD">
      <w:pPr>
        <w:spacing w:after="0" w:line="240" w:lineRule="auto"/>
        <w:rPr>
          <w:rFonts w:cstheme="minorHAnsi"/>
          <w:kern w:val="2"/>
          <w:sz w:val="24"/>
          <w:szCs w:val="24"/>
          <w14:ligatures w14:val="standardContextual"/>
        </w:rPr>
      </w:pPr>
    </w:p>
    <w:p w14:paraId="678011CA"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If information from this study is published or presented at scientific meetings, your name and other personal information will not be used.</w:t>
      </w:r>
    </w:p>
    <w:p w14:paraId="37376F4A" w14:textId="77777777" w:rsidR="00EE45FD" w:rsidRPr="00441F01" w:rsidRDefault="00EE45FD" w:rsidP="00EE45FD">
      <w:pPr>
        <w:spacing w:after="0" w:line="240" w:lineRule="auto"/>
        <w:rPr>
          <w:rFonts w:cstheme="minorHAnsi"/>
          <w:kern w:val="2"/>
          <w:sz w:val="24"/>
          <w:szCs w:val="24"/>
          <w14:ligatures w14:val="standardContextual"/>
        </w:rPr>
      </w:pPr>
    </w:p>
    <w:p w14:paraId="64B53BDA"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17C60F76" w14:textId="77777777" w:rsidR="00EE45FD" w:rsidRPr="00441F01" w:rsidRDefault="00EE45FD" w:rsidP="00EE45FD">
      <w:pPr>
        <w:spacing w:after="0" w:line="240" w:lineRule="auto"/>
        <w:rPr>
          <w:rFonts w:cstheme="minorHAnsi"/>
          <w:kern w:val="2"/>
          <w:sz w:val="24"/>
          <w:szCs w:val="24"/>
          <w14:ligatures w14:val="standardContextual"/>
        </w:rPr>
      </w:pPr>
    </w:p>
    <w:p w14:paraId="244BDF9C" w14:textId="77777777" w:rsidR="00EE45FD" w:rsidRPr="00441F01" w:rsidRDefault="00EE45FD" w:rsidP="00EE45FD">
      <w:pPr>
        <w:spacing w:after="0" w:line="240" w:lineRule="auto"/>
        <w:ind w:left="720"/>
        <w:rPr>
          <w:rFonts w:cstheme="minorHAnsi"/>
          <w:kern w:val="2"/>
          <w:sz w:val="24"/>
          <w:szCs w:val="24"/>
          <w14:ligatures w14:val="standardContextual"/>
        </w:rPr>
      </w:pPr>
      <w:r w:rsidRPr="00441F01">
        <w:rPr>
          <w:rFonts w:cstheme="minorHAnsi"/>
          <w:kern w:val="2"/>
          <w:sz w:val="24"/>
          <w:szCs w:val="24"/>
          <w14:ligatures w14:val="standardContextual"/>
        </w:rPr>
        <w:t>• People at the University of Tennessee, Knoxville who oversee research to make sure it is conducted properly.</w:t>
      </w:r>
    </w:p>
    <w:p w14:paraId="0DCE30ED" w14:textId="77777777" w:rsidR="00EE45FD" w:rsidRPr="00441F01" w:rsidRDefault="00EE45FD" w:rsidP="00EE45FD">
      <w:pPr>
        <w:spacing w:after="0" w:line="240" w:lineRule="auto"/>
        <w:ind w:left="720"/>
        <w:rPr>
          <w:rFonts w:cstheme="minorHAnsi"/>
          <w:kern w:val="2"/>
          <w:sz w:val="24"/>
          <w:szCs w:val="24"/>
          <w14:ligatures w14:val="standardContextual"/>
        </w:rPr>
      </w:pPr>
      <w:r w:rsidRPr="00441F01">
        <w:rPr>
          <w:rFonts w:cstheme="minorHAnsi"/>
          <w:kern w:val="2"/>
          <w:sz w:val="24"/>
          <w:szCs w:val="24"/>
          <w14:ligatures w14:val="standardContextual"/>
        </w:rPr>
        <w:t>• Government agencies (such as the Office for Human Research Protections in the U.S. Department of Health and Human Services), and others responsible for watching over the safety, effectiveness, and conduct of the research.</w:t>
      </w:r>
    </w:p>
    <w:p w14:paraId="3A37B1FD" w14:textId="77777777" w:rsidR="00EE45FD" w:rsidRPr="00441F01" w:rsidRDefault="00EE45FD" w:rsidP="00EE45FD">
      <w:pPr>
        <w:spacing w:after="0" w:line="240" w:lineRule="auto"/>
        <w:ind w:left="720"/>
        <w:rPr>
          <w:rFonts w:cstheme="minorHAnsi"/>
          <w:kern w:val="2"/>
          <w:sz w:val="24"/>
          <w:szCs w:val="24"/>
          <w14:ligatures w14:val="standardContextual"/>
        </w:rPr>
      </w:pPr>
      <w:r w:rsidRPr="00441F01">
        <w:rPr>
          <w:rFonts w:cstheme="minorHAnsi"/>
          <w:kern w:val="2"/>
          <w:sz w:val="24"/>
          <w:szCs w:val="24"/>
          <w14:ligatures w14:val="standardContextual"/>
        </w:rPr>
        <w:t>• If a law or court requires us to share the information, we would have to follow that law or final court ruling.</w:t>
      </w:r>
    </w:p>
    <w:p w14:paraId="05B4121A" w14:textId="77777777" w:rsidR="00EE45FD" w:rsidRPr="00441F01" w:rsidRDefault="00EE45FD" w:rsidP="00EE45FD">
      <w:pPr>
        <w:spacing w:after="0" w:line="240" w:lineRule="auto"/>
        <w:rPr>
          <w:rFonts w:cstheme="minorHAnsi"/>
          <w:kern w:val="2"/>
          <w:sz w:val="24"/>
          <w:szCs w:val="24"/>
          <w14:ligatures w14:val="standardContextual"/>
        </w:rPr>
      </w:pPr>
    </w:p>
    <w:p w14:paraId="68272518"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What will happen to my information after this study is over?</w:t>
      </w:r>
    </w:p>
    <w:p w14:paraId="40C6E5A8"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We may share your research data with other researchers without asking for your consent again, but it will not contain information that could directly identify you.</w:t>
      </w:r>
    </w:p>
    <w:p w14:paraId="29653300" w14:textId="77777777" w:rsidR="00EE45FD" w:rsidRPr="00441F01" w:rsidRDefault="00EE45FD" w:rsidP="00EE45FD">
      <w:pPr>
        <w:spacing w:after="0" w:line="240" w:lineRule="auto"/>
        <w:rPr>
          <w:rFonts w:cstheme="minorHAnsi"/>
          <w:kern w:val="2"/>
          <w:sz w:val="24"/>
          <w:szCs w:val="24"/>
          <w14:ligatures w14:val="standardContextual"/>
        </w:rPr>
      </w:pPr>
    </w:p>
    <w:p w14:paraId="2A626017"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Will I be paid for being in this research study?</w:t>
      </w:r>
    </w:p>
    <w:p w14:paraId="1B0D2B13"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You will not be paid for your participation in this study.</w:t>
      </w:r>
    </w:p>
    <w:p w14:paraId="633A2DC6" w14:textId="77777777" w:rsidR="00EE45FD" w:rsidRPr="00441F01" w:rsidRDefault="00EE45FD" w:rsidP="00EE45FD">
      <w:pPr>
        <w:spacing w:after="0" w:line="240" w:lineRule="auto"/>
        <w:rPr>
          <w:rFonts w:cstheme="minorHAnsi"/>
          <w:kern w:val="2"/>
          <w:sz w:val="24"/>
          <w:szCs w:val="24"/>
          <w14:ligatures w14:val="standardContextual"/>
        </w:rPr>
      </w:pPr>
    </w:p>
    <w:p w14:paraId="49FAF5C5"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Will it cost me anything to be in this research study?</w:t>
      </w:r>
    </w:p>
    <w:p w14:paraId="3BB37589"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It will not cost you anything to be in this study.</w:t>
      </w:r>
    </w:p>
    <w:p w14:paraId="6EB0E2FB" w14:textId="77777777" w:rsidR="00EE45FD" w:rsidRPr="00441F01" w:rsidRDefault="00EE45FD" w:rsidP="00EE45FD">
      <w:pPr>
        <w:spacing w:after="0" w:line="240" w:lineRule="auto"/>
        <w:rPr>
          <w:rFonts w:cstheme="minorHAnsi"/>
          <w:kern w:val="2"/>
          <w:sz w:val="24"/>
          <w:szCs w:val="24"/>
          <w14:ligatures w14:val="standardContextual"/>
        </w:rPr>
      </w:pPr>
    </w:p>
    <w:p w14:paraId="1300ABB3"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What else do I need to know?</w:t>
      </w:r>
    </w:p>
    <w:p w14:paraId="1BC7B6E4"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lastRenderedPageBreak/>
        <w:t>We will initially reach out to 13 institutions to find participants for this study. We will use the snowball sampling method and collect additional participants via referral until the point of saturation or such time there are no more willing participants. We will only interview those that meet the criteria set forth in this study. The information you and other participants will provide is essential to understanding the lived experiences of those leading threat assessment teams. Because of the potential small number of participants in this study, it is possible that someone could identify you based on the information we collected from you.</w:t>
      </w:r>
    </w:p>
    <w:p w14:paraId="57BFF988" w14:textId="77777777" w:rsidR="00EE45FD" w:rsidRPr="00441F01" w:rsidRDefault="00EE45FD" w:rsidP="00EE45FD">
      <w:pPr>
        <w:spacing w:after="0" w:line="240" w:lineRule="auto"/>
        <w:rPr>
          <w:rFonts w:cstheme="minorHAnsi"/>
          <w:kern w:val="2"/>
          <w:sz w:val="24"/>
          <w:szCs w:val="24"/>
          <w14:ligatures w14:val="standardContextual"/>
        </w:rPr>
      </w:pPr>
    </w:p>
    <w:p w14:paraId="7AD4B2CA" w14:textId="77777777" w:rsidR="00EE45FD" w:rsidRPr="00441F01" w:rsidRDefault="00EE45FD" w:rsidP="00EE45FD">
      <w:pPr>
        <w:spacing w:after="0" w:line="240" w:lineRule="auto"/>
        <w:rPr>
          <w:rFonts w:cstheme="minorHAnsi"/>
          <w:b/>
          <w:bCs/>
          <w:kern w:val="2"/>
          <w:sz w:val="24"/>
          <w:szCs w:val="24"/>
          <w14:ligatures w14:val="standardContextual"/>
        </w:rPr>
      </w:pPr>
      <w:r w:rsidRPr="00441F01">
        <w:rPr>
          <w:rFonts w:cstheme="minorHAnsi"/>
          <w:b/>
          <w:bCs/>
          <w:kern w:val="2"/>
          <w:sz w:val="24"/>
          <w:szCs w:val="24"/>
          <w14:ligatures w14:val="standardContextual"/>
        </w:rPr>
        <w:t>Who can answer my questions about this research study?</w:t>
      </w:r>
    </w:p>
    <w:p w14:paraId="4CDBEE29"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If you have questions or concerns about this study, or have experienced a research related problem or injury, contact the researchers:</w:t>
      </w:r>
    </w:p>
    <w:p w14:paraId="2C4C819F" w14:textId="77777777" w:rsidR="00EE45FD" w:rsidRPr="00441F01" w:rsidRDefault="00EE45FD" w:rsidP="00EE45FD">
      <w:pPr>
        <w:spacing w:after="0" w:line="240" w:lineRule="auto"/>
        <w:rPr>
          <w:rFonts w:cstheme="minorHAnsi"/>
          <w:kern w:val="2"/>
          <w:sz w:val="24"/>
          <w:szCs w:val="24"/>
          <w14:ligatures w14:val="standardContextual"/>
        </w:rPr>
      </w:pPr>
    </w:p>
    <w:p w14:paraId="0E158BBA"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Julie A. Roe</w:t>
      </w:r>
    </w:p>
    <w:p w14:paraId="6B9E25AD"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jmonday@utk.edu</w:t>
      </w:r>
    </w:p>
    <w:p w14:paraId="2D184626"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(865) 776-3554</w:t>
      </w:r>
    </w:p>
    <w:p w14:paraId="1747F3A7" w14:textId="77777777" w:rsidR="00EE45FD" w:rsidRPr="00441F01" w:rsidRDefault="00EE45FD" w:rsidP="00EE45FD">
      <w:pPr>
        <w:spacing w:after="0" w:line="240" w:lineRule="auto"/>
        <w:rPr>
          <w:rFonts w:cstheme="minorHAnsi"/>
          <w:kern w:val="2"/>
          <w:sz w:val="24"/>
          <w:szCs w:val="24"/>
          <w14:ligatures w14:val="standardContextual"/>
        </w:rPr>
      </w:pPr>
    </w:p>
    <w:p w14:paraId="3E5B0AF6"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Dr. Dorian McCoy (Associate Professor and College of Education, Health and Human Sciences Director of Access &amp; Engagement)</w:t>
      </w:r>
    </w:p>
    <w:p w14:paraId="45C0492C"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dmccoy5@utk.edu</w:t>
      </w:r>
    </w:p>
    <w:p w14:paraId="7CC3F399" w14:textId="77777777"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(865) 974-6140</w:t>
      </w:r>
    </w:p>
    <w:p w14:paraId="046533E4" w14:textId="77777777" w:rsidR="00EE45FD" w:rsidRPr="00441F01" w:rsidRDefault="00EE45FD" w:rsidP="00EE45FD">
      <w:pPr>
        <w:spacing w:after="0" w:line="240" w:lineRule="auto"/>
        <w:rPr>
          <w:rFonts w:cstheme="minorHAnsi"/>
          <w:kern w:val="2"/>
          <w:sz w:val="24"/>
          <w:szCs w:val="24"/>
          <w14:ligatures w14:val="standardContextual"/>
        </w:rPr>
      </w:pPr>
    </w:p>
    <w:p w14:paraId="39845652" w14:textId="3C5ED08B" w:rsidR="00EE45FD" w:rsidRPr="00441F01" w:rsidRDefault="00EE45FD" w:rsidP="00EE45FD">
      <w:pPr>
        <w:spacing w:after="0" w:line="240" w:lineRule="auto"/>
        <w:rPr>
          <w:rFonts w:cstheme="minorHAnsi"/>
          <w:kern w:val="2"/>
          <w:sz w:val="24"/>
          <w:szCs w:val="24"/>
          <w14:ligatures w14:val="standardContextual"/>
        </w:rPr>
      </w:pPr>
      <w:r w:rsidRPr="00441F01">
        <w:rPr>
          <w:rFonts w:cstheme="minorHAnsi"/>
          <w:b/>
          <w:bCs/>
          <w:kern w:val="2"/>
          <w:sz w:val="24"/>
          <w:szCs w:val="24"/>
          <w14:ligatures w14:val="standardContextual"/>
        </w:rPr>
        <w:t>STATEMENT OF CONSENT:</w:t>
      </w:r>
      <w:r w:rsidRPr="00441F01">
        <w:rPr>
          <w:rFonts w:cstheme="minorHAnsi"/>
          <w:kern w:val="2"/>
          <w:sz w:val="24"/>
          <w:szCs w:val="24"/>
          <w14:ligatures w14:val="standardContextual"/>
        </w:rPr>
        <w:t xml:space="preserve"> I have read this </w:t>
      </w:r>
      <w:r>
        <w:rPr>
          <w:rFonts w:cstheme="minorHAnsi"/>
          <w:kern w:val="2"/>
          <w:sz w:val="24"/>
          <w:szCs w:val="24"/>
          <w14:ligatures w14:val="standardContextual"/>
        </w:rPr>
        <w:t xml:space="preserve">electronic </w:t>
      </w:r>
      <w:r w:rsidRPr="00441F01">
        <w:rPr>
          <w:rFonts w:cstheme="minorHAnsi"/>
          <w:kern w:val="2"/>
          <w:sz w:val="24"/>
          <w:szCs w:val="24"/>
          <w14:ligatures w14:val="standardContextual"/>
        </w:rPr>
        <w:t>form, and the research study has been explained to me. I have been given the chance to ask questions and my questions have been answered. If I have more questions, I have been told who to contact. By s</w:t>
      </w:r>
      <w:r w:rsidR="00667759">
        <w:rPr>
          <w:rFonts w:cstheme="minorHAnsi"/>
          <w:kern w:val="2"/>
          <w:sz w:val="24"/>
          <w:szCs w:val="24"/>
          <w14:ligatures w14:val="standardContextual"/>
        </w:rPr>
        <w:t>electing “I consent to participate in this research study</w:t>
      </w:r>
      <w:r w:rsidRPr="00441F01">
        <w:rPr>
          <w:rFonts w:cstheme="minorHAnsi"/>
          <w:kern w:val="2"/>
          <w:sz w:val="24"/>
          <w:szCs w:val="24"/>
          <w14:ligatures w14:val="standardContextual"/>
        </w:rPr>
        <w:t>,</w:t>
      </w:r>
      <w:r w:rsidR="00667759">
        <w:rPr>
          <w:rFonts w:cstheme="minorHAnsi"/>
          <w:kern w:val="2"/>
          <w:sz w:val="24"/>
          <w:szCs w:val="24"/>
          <w14:ligatures w14:val="standardContextual"/>
        </w:rPr>
        <w:t>”</w:t>
      </w:r>
      <w:r w:rsidRPr="00441F01">
        <w:rPr>
          <w:rFonts w:cstheme="minorHAnsi"/>
          <w:kern w:val="2"/>
          <w:sz w:val="24"/>
          <w:szCs w:val="24"/>
          <w14:ligatures w14:val="standardContextual"/>
        </w:rPr>
        <w:t xml:space="preserve"> I </w:t>
      </w:r>
      <w:r w:rsidR="00667759" w:rsidRPr="00667759">
        <w:rPr>
          <w:rFonts w:cstheme="minorHAnsi"/>
          <w:kern w:val="2"/>
          <w:sz w:val="24"/>
          <w:szCs w:val="24"/>
          <w14:ligatures w14:val="standardContextual"/>
        </w:rPr>
        <w:t>agree</w:t>
      </w:r>
      <w:r w:rsidRPr="00441F01">
        <w:rPr>
          <w:rFonts w:cstheme="minorHAnsi"/>
          <w:kern w:val="2"/>
          <w:sz w:val="24"/>
          <w:szCs w:val="24"/>
          <w14:ligatures w14:val="standardContextual"/>
        </w:rPr>
        <w:t xml:space="preserve"> to be in this study. I</w:t>
      </w:r>
      <w:r w:rsidR="00667759">
        <w:rPr>
          <w:rFonts w:cstheme="minorHAnsi"/>
          <w:kern w:val="2"/>
          <w:sz w:val="24"/>
          <w:szCs w:val="24"/>
          <w14:ligatures w14:val="standardContextual"/>
        </w:rPr>
        <w:t xml:space="preserve"> understand I</w:t>
      </w:r>
      <w:r w:rsidRPr="00441F01">
        <w:rPr>
          <w:rFonts w:cstheme="minorHAnsi"/>
          <w:kern w:val="2"/>
          <w:sz w:val="24"/>
          <w:szCs w:val="24"/>
          <w14:ligatures w14:val="standardContextual"/>
        </w:rPr>
        <w:t xml:space="preserve"> will receive a copy of this </w:t>
      </w:r>
      <w:r w:rsidR="00667759">
        <w:rPr>
          <w:rFonts w:cstheme="minorHAnsi"/>
          <w:kern w:val="2"/>
          <w:sz w:val="24"/>
          <w:szCs w:val="24"/>
          <w14:ligatures w14:val="standardContextual"/>
        </w:rPr>
        <w:t xml:space="preserve">survey </w:t>
      </w:r>
      <w:r w:rsidRPr="00441F01">
        <w:rPr>
          <w:rFonts w:cstheme="minorHAnsi"/>
          <w:kern w:val="2"/>
          <w:sz w:val="24"/>
          <w:szCs w:val="24"/>
          <w14:ligatures w14:val="standardContextual"/>
        </w:rPr>
        <w:t xml:space="preserve">document after </w:t>
      </w:r>
      <w:r w:rsidR="00667759" w:rsidRPr="00667759">
        <w:rPr>
          <w:rFonts w:cstheme="minorHAnsi"/>
          <w:kern w:val="2"/>
          <w:sz w:val="24"/>
          <w:szCs w:val="24"/>
          <w14:ligatures w14:val="standardContextual"/>
        </w:rPr>
        <w:t xml:space="preserve">completion. </w:t>
      </w:r>
    </w:p>
    <w:p w14:paraId="22213B6F" w14:textId="77777777" w:rsidR="00EE45FD" w:rsidRPr="00441F01" w:rsidRDefault="00EE45FD" w:rsidP="00667759">
      <w:pPr>
        <w:spacing w:after="0" w:line="240" w:lineRule="auto"/>
        <w:textAlignment w:val="baseline"/>
        <w:rPr>
          <w:rFonts w:cstheme="minorHAnsi"/>
          <w:sz w:val="24"/>
          <w:szCs w:val="24"/>
        </w:rPr>
      </w:pPr>
    </w:p>
    <w:p w14:paraId="766423FD" w14:textId="469C4599" w:rsidR="00667759" w:rsidRPr="00441F01" w:rsidRDefault="00667759" w:rsidP="00441F01">
      <w:pPr>
        <w:spacing w:after="0" w:line="240" w:lineRule="auto"/>
        <w:textAlignment w:val="baseline"/>
        <w:rPr>
          <w:rFonts w:eastAsia="Times New Roman" w:cstheme="minorHAnsi"/>
          <w:color w:val="000000"/>
          <w:szCs w:val="24"/>
        </w:rPr>
      </w:pPr>
      <w:r w:rsidRPr="00441F01">
        <w:rPr>
          <w:rFonts w:cstheme="minorHAnsi"/>
          <w:sz w:val="24"/>
          <w:szCs w:val="24"/>
        </w:rPr>
        <w:t xml:space="preserve">__ I consent to participate in this research study. </w:t>
      </w:r>
    </w:p>
    <w:p w14:paraId="135F5C80" w14:textId="1C6F581D" w:rsidR="009C4DEF" w:rsidRDefault="009C4DEF" w:rsidP="005D3BD7">
      <w:pPr>
        <w:rPr>
          <w:rFonts w:cstheme="minorHAnsi"/>
          <w:b/>
          <w:bCs/>
          <w:sz w:val="24"/>
          <w:szCs w:val="24"/>
        </w:rPr>
      </w:pPr>
    </w:p>
    <w:p w14:paraId="289474AF" w14:textId="77777777" w:rsidR="00F11A33" w:rsidRPr="00441F01" w:rsidRDefault="00F11A33" w:rsidP="00F11A33">
      <w:pPr>
        <w:spacing w:after="0" w:line="240" w:lineRule="auto"/>
        <w:rPr>
          <w:rFonts w:cstheme="minorHAnsi"/>
          <w:kern w:val="2"/>
          <w:sz w:val="24"/>
          <w:szCs w:val="24"/>
          <w14:ligatures w14:val="standardContextual"/>
        </w:rPr>
      </w:pPr>
      <w:r w:rsidRPr="00441F01">
        <w:rPr>
          <w:rFonts w:cstheme="minorHAnsi"/>
          <w:b/>
          <w:bCs/>
          <w:kern w:val="2"/>
          <w:sz w:val="24"/>
          <w:szCs w:val="24"/>
          <w14:ligatures w14:val="standardContextual"/>
        </w:rPr>
        <w:t>Researcher Signature</w:t>
      </w:r>
      <w:r w:rsidRPr="00441F01">
        <w:rPr>
          <w:rFonts w:cstheme="minorHAnsi"/>
          <w:kern w:val="2"/>
          <w:sz w:val="24"/>
          <w:szCs w:val="24"/>
          <w14:ligatures w14:val="standardContextual"/>
        </w:rPr>
        <w:t xml:space="preserve"> (to be completed at time of informed consent) </w:t>
      </w:r>
    </w:p>
    <w:p w14:paraId="624D177E" w14:textId="77777777" w:rsidR="00F11A33" w:rsidRPr="00441F01" w:rsidRDefault="00F11A33" w:rsidP="00F11A33">
      <w:pPr>
        <w:spacing w:after="0" w:line="240" w:lineRule="auto"/>
        <w:rPr>
          <w:rFonts w:cstheme="minorHAnsi"/>
          <w:kern w:val="2"/>
          <w:sz w:val="24"/>
          <w:szCs w:val="24"/>
          <w14:ligatures w14:val="standardContextual"/>
        </w:rPr>
      </w:pPr>
    </w:p>
    <w:p w14:paraId="428B2646" w14:textId="77777777" w:rsidR="00F11A33" w:rsidRPr="00441F01" w:rsidRDefault="00F11A33" w:rsidP="00F11A33">
      <w:pPr>
        <w:spacing w:after="0" w:line="240" w:lineRule="auto"/>
        <w:rPr>
          <w:rFonts w:cstheme="minorHAnsi"/>
          <w:kern w:val="2"/>
          <w:sz w:val="24"/>
          <w:szCs w:val="24"/>
          <w14:ligatures w14:val="standardContextual"/>
        </w:rPr>
      </w:pPr>
      <w:r w:rsidRPr="00441F01">
        <w:rPr>
          <w:rFonts w:cstheme="minorHAnsi"/>
          <w:kern w:val="2"/>
          <w:sz w:val="24"/>
          <w:szCs w:val="24"/>
          <w14:ligatures w14:val="standardContextual"/>
        </w:rPr>
        <w:t xml:space="preserve">I have explained the study to the participant and answered all questions. I believe that the participant understands the information described in this consent form and freely consents to be in the study. </w:t>
      </w:r>
    </w:p>
    <w:p w14:paraId="4B201DF5" w14:textId="77777777" w:rsidR="00F11A33" w:rsidRDefault="00F11A33" w:rsidP="005D3BD7">
      <w:pPr>
        <w:rPr>
          <w:rFonts w:cstheme="minorHAnsi"/>
          <w:b/>
          <w:bCs/>
          <w:sz w:val="24"/>
          <w:szCs w:val="24"/>
        </w:rPr>
      </w:pPr>
    </w:p>
    <w:p w14:paraId="349691A0" w14:textId="6AA58526" w:rsidR="00F11A33" w:rsidRDefault="00F11A33" w:rsidP="005D3BD7">
      <w:pPr>
        <w:rPr>
          <w:rFonts w:cstheme="minorHAnsi"/>
          <w:b/>
          <w:bCs/>
          <w:sz w:val="24"/>
          <w:szCs w:val="24"/>
        </w:rPr>
      </w:pPr>
      <w:r>
        <w:rPr>
          <w:rFonts w:cstheme="minorHAnsi"/>
          <w:b/>
          <w:bCs/>
          <w:sz w:val="24"/>
          <w:szCs w:val="24"/>
        </w:rPr>
        <w:t>Optional Demographic Questions</w:t>
      </w:r>
    </w:p>
    <w:p w14:paraId="7A9DE619"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First and last name:</w:t>
      </w:r>
    </w:p>
    <w:p w14:paraId="16913A2E"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Highest education level:</w:t>
      </w:r>
    </w:p>
    <w:p w14:paraId="5C71BC2B"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 xml:space="preserve">Age: </w:t>
      </w:r>
      <w:r w:rsidRPr="008856F9">
        <w:rPr>
          <w:rFonts w:eastAsia="Times New Roman" w:cstheme="minorHAnsi"/>
          <w:i/>
          <w:iCs/>
          <w:color w:val="000000"/>
          <w:sz w:val="24"/>
          <w:szCs w:val="24"/>
        </w:rPr>
        <w:t>circle one</w:t>
      </w:r>
      <w:r w:rsidRPr="008856F9">
        <w:rPr>
          <w:rFonts w:eastAsia="Times New Roman" w:cstheme="minorHAnsi"/>
          <w:color w:val="000000"/>
          <w:sz w:val="24"/>
          <w:szCs w:val="24"/>
        </w:rPr>
        <w:tab/>
      </w:r>
      <w:r w:rsidRPr="008856F9">
        <w:rPr>
          <w:rFonts w:eastAsia="Times New Roman" w:cstheme="minorHAnsi"/>
          <w:color w:val="000000"/>
          <w:sz w:val="24"/>
          <w:szCs w:val="24"/>
        </w:rPr>
        <w:tab/>
        <w:t>21-30   31-40   41-50   51-60   61-70   71+</w:t>
      </w:r>
    </w:p>
    <w:p w14:paraId="124CA613"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Race:</w:t>
      </w:r>
    </w:p>
    <w:p w14:paraId="218BE253"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Gender identity:</w:t>
      </w:r>
    </w:p>
    <w:p w14:paraId="0E763F34" w14:textId="77777777" w:rsidR="00F11A33" w:rsidRPr="008856F9" w:rsidRDefault="00F11A33" w:rsidP="00F11A33">
      <w:pPr>
        <w:numPr>
          <w:ilvl w:val="0"/>
          <w:numId w:val="10"/>
        </w:numPr>
        <w:spacing w:after="0" w:line="240" w:lineRule="auto"/>
        <w:contextualSpacing/>
        <w:textAlignment w:val="baseline"/>
        <w:rPr>
          <w:rFonts w:eastAsia="Times New Roman" w:cstheme="minorHAnsi"/>
          <w:color w:val="000000"/>
          <w:sz w:val="24"/>
          <w:szCs w:val="24"/>
        </w:rPr>
      </w:pPr>
      <w:r>
        <w:rPr>
          <w:rFonts w:eastAsia="Times New Roman" w:cstheme="minorHAnsi"/>
          <w:color w:val="000000"/>
          <w:sz w:val="24"/>
          <w:szCs w:val="24"/>
        </w:rPr>
        <w:t xml:space="preserve">Professional </w:t>
      </w:r>
      <w:r w:rsidRPr="008856F9">
        <w:rPr>
          <w:rFonts w:eastAsia="Times New Roman" w:cstheme="minorHAnsi"/>
          <w:color w:val="000000"/>
          <w:sz w:val="24"/>
          <w:szCs w:val="24"/>
        </w:rPr>
        <w:t>Title/Role:</w:t>
      </w:r>
    </w:p>
    <w:p w14:paraId="69637871" w14:textId="77777777" w:rsidR="00F11A33" w:rsidRPr="008856F9"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lastRenderedPageBreak/>
        <w:t>Please describe your professional role at your institution (job title and responsibilities).</w:t>
      </w:r>
    </w:p>
    <w:p w14:paraId="28107CFD" w14:textId="77777777" w:rsidR="00F11A33" w:rsidRPr="008856F9"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Please describe your role on the threat assessment team at your institution.</w:t>
      </w:r>
    </w:p>
    <w:p w14:paraId="1B97CC01" w14:textId="77777777" w:rsidR="00F11A33" w:rsidRPr="008856F9"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of experience in higher education</w:t>
      </w:r>
    </w:p>
    <w:p w14:paraId="297A10E4" w14:textId="77777777" w:rsidR="00F11A33" w:rsidRPr="008856F9"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of experience at current institution</w:t>
      </w:r>
    </w:p>
    <w:p w14:paraId="4AE6BC17" w14:textId="77777777" w:rsidR="00F11A33"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serving on a threat assessment team</w:t>
      </w:r>
    </w:p>
    <w:p w14:paraId="10CAA037" w14:textId="77777777" w:rsidR="00F11A33" w:rsidRPr="008856F9" w:rsidRDefault="00F11A33" w:rsidP="00F11A33">
      <w:pPr>
        <w:numPr>
          <w:ilvl w:val="0"/>
          <w:numId w:val="7"/>
        </w:numPr>
        <w:spacing w:after="0" w:line="240" w:lineRule="auto"/>
        <w:ind w:left="1440"/>
        <w:textAlignment w:val="baseline"/>
        <w:rPr>
          <w:rFonts w:eastAsia="Times New Roman" w:cstheme="minorHAnsi"/>
          <w:color w:val="000000"/>
          <w:sz w:val="24"/>
          <w:szCs w:val="24"/>
        </w:rPr>
      </w:pPr>
      <w:r>
        <w:rPr>
          <w:rFonts w:eastAsia="Times New Roman" w:cstheme="minorHAnsi"/>
          <w:color w:val="000000"/>
          <w:sz w:val="24"/>
          <w:szCs w:val="24"/>
        </w:rPr>
        <w:t>Total years serving on the current threat assessment team</w:t>
      </w:r>
    </w:p>
    <w:p w14:paraId="232E0F6F" w14:textId="359A3DE2" w:rsidR="00F11A33" w:rsidRDefault="00F11A33" w:rsidP="00F11A33">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serving on a threat assessment team in a leadership role</w:t>
      </w:r>
    </w:p>
    <w:p w14:paraId="18FB7562" w14:textId="77777777" w:rsidR="00F11A33" w:rsidRDefault="00F11A33" w:rsidP="00F11A33">
      <w:pPr>
        <w:spacing w:after="0" w:line="240" w:lineRule="auto"/>
        <w:textAlignment w:val="baseline"/>
        <w:rPr>
          <w:rFonts w:eastAsia="Times New Roman" w:cstheme="minorHAnsi"/>
          <w:color w:val="000000"/>
          <w:sz w:val="24"/>
          <w:szCs w:val="24"/>
        </w:rPr>
      </w:pPr>
    </w:p>
    <w:p w14:paraId="03210454" w14:textId="34231ABC" w:rsidR="00F11A33" w:rsidRDefault="00F11A33" w:rsidP="00F11A33">
      <w:pPr>
        <w:spacing w:after="0" w:line="240" w:lineRule="auto"/>
        <w:textAlignment w:val="baseline"/>
        <w:rPr>
          <w:rFonts w:cstheme="minorHAnsi"/>
          <w:sz w:val="24"/>
          <w:szCs w:val="24"/>
        </w:rPr>
      </w:pPr>
      <w:r>
        <w:rPr>
          <w:rFonts w:cstheme="minorHAnsi"/>
          <w:sz w:val="24"/>
          <w:szCs w:val="24"/>
        </w:rPr>
        <w:t>Thank you for completing the participant survey.</w:t>
      </w:r>
      <w:r w:rsidR="00281BD5">
        <w:rPr>
          <w:rFonts w:cstheme="minorHAnsi"/>
          <w:sz w:val="24"/>
          <w:szCs w:val="24"/>
        </w:rPr>
        <w:t xml:space="preserve"> I will contact you to schedule an interview in the coming days. If you would like to share any documents for this study, please email them to me at </w:t>
      </w:r>
      <w:hyperlink r:id="rId100" w:history="1">
        <w:r w:rsidR="00281BD5" w:rsidRPr="002443BA">
          <w:rPr>
            <w:rStyle w:val="Hyperlink"/>
            <w:rFonts w:cstheme="minorHAnsi"/>
            <w:sz w:val="24"/>
            <w:szCs w:val="24"/>
          </w:rPr>
          <w:t>jmonday@utk.edu</w:t>
        </w:r>
      </w:hyperlink>
      <w:r w:rsidR="00281BD5">
        <w:rPr>
          <w:rFonts w:cstheme="minorHAnsi"/>
          <w:sz w:val="24"/>
          <w:szCs w:val="24"/>
        </w:rPr>
        <w:t xml:space="preserve">. If you have any questions </w:t>
      </w:r>
      <w:r w:rsidR="004621C2">
        <w:rPr>
          <w:rFonts w:cstheme="minorHAnsi"/>
          <w:sz w:val="24"/>
          <w:szCs w:val="24"/>
        </w:rPr>
        <w:t>you may email or call me at (865) 776-3554.</w:t>
      </w:r>
    </w:p>
    <w:p w14:paraId="763E8158" w14:textId="77777777" w:rsidR="004621C2" w:rsidRDefault="004621C2" w:rsidP="00F11A33">
      <w:pPr>
        <w:spacing w:after="0" w:line="240" w:lineRule="auto"/>
        <w:textAlignment w:val="baseline"/>
        <w:rPr>
          <w:rFonts w:cstheme="minorHAnsi"/>
          <w:sz w:val="24"/>
          <w:szCs w:val="24"/>
        </w:rPr>
      </w:pPr>
    </w:p>
    <w:p w14:paraId="5840809F" w14:textId="37C9A36D" w:rsidR="004621C2" w:rsidRPr="00F11A33" w:rsidRDefault="004621C2" w:rsidP="00441F01">
      <w:pPr>
        <w:spacing w:after="0" w:line="240" w:lineRule="auto"/>
        <w:textAlignment w:val="baseline"/>
        <w:rPr>
          <w:rFonts w:eastAsia="Times New Roman" w:cstheme="minorHAnsi"/>
          <w:color w:val="000000"/>
          <w:sz w:val="24"/>
          <w:szCs w:val="24"/>
        </w:rPr>
      </w:pPr>
      <w:r>
        <w:rPr>
          <w:rFonts w:cstheme="minorHAnsi"/>
          <w:sz w:val="24"/>
          <w:szCs w:val="24"/>
        </w:rPr>
        <w:t>Julie Roe</w:t>
      </w:r>
    </w:p>
    <w:p w14:paraId="25ACAC50" w14:textId="77777777" w:rsidR="00F11A33" w:rsidRPr="00441F01" w:rsidRDefault="00F11A33" w:rsidP="005D3BD7">
      <w:pPr>
        <w:rPr>
          <w:rFonts w:cstheme="minorHAnsi"/>
          <w:sz w:val="24"/>
          <w:szCs w:val="24"/>
        </w:rPr>
      </w:pPr>
    </w:p>
    <w:p w14:paraId="2B6B7D25" w14:textId="2D5B1157" w:rsidR="00657AF5" w:rsidRDefault="00657AF5">
      <w:pPr>
        <w:rPr>
          <w:sz w:val="24"/>
          <w:szCs w:val="24"/>
        </w:rPr>
      </w:pPr>
      <w:r>
        <w:rPr>
          <w:sz w:val="24"/>
          <w:szCs w:val="24"/>
        </w:rPr>
        <w:br w:type="page"/>
      </w:r>
    </w:p>
    <w:p w14:paraId="1F066601" w14:textId="5DE4820E" w:rsidR="00AB771A" w:rsidRPr="00441F01" w:rsidRDefault="00AB771A" w:rsidP="00441F01">
      <w:pPr>
        <w:spacing w:after="0" w:line="240" w:lineRule="auto"/>
        <w:rPr>
          <w:rFonts w:cstheme="minorHAnsi"/>
          <w:b/>
          <w:bCs/>
          <w:sz w:val="24"/>
          <w:szCs w:val="24"/>
        </w:rPr>
      </w:pPr>
      <w:r>
        <w:rPr>
          <w:rFonts w:cstheme="minorHAnsi"/>
          <w:b/>
          <w:bCs/>
          <w:sz w:val="24"/>
          <w:szCs w:val="24"/>
        </w:rPr>
        <w:lastRenderedPageBreak/>
        <w:t xml:space="preserve">Appendix </w:t>
      </w:r>
      <w:r w:rsidR="00657AF5">
        <w:rPr>
          <w:rFonts w:cstheme="minorHAnsi"/>
          <w:b/>
          <w:bCs/>
          <w:sz w:val="24"/>
          <w:szCs w:val="24"/>
        </w:rPr>
        <w:t>E</w:t>
      </w:r>
      <w:r>
        <w:rPr>
          <w:rFonts w:cstheme="minorHAnsi"/>
          <w:b/>
          <w:bCs/>
          <w:sz w:val="24"/>
          <w:szCs w:val="24"/>
        </w:rPr>
        <w:t>: Interview Protocol</w:t>
      </w:r>
    </w:p>
    <w:p w14:paraId="7FE14246" w14:textId="69482D3E" w:rsidR="008856F9" w:rsidRPr="00441F01" w:rsidRDefault="008856F9" w:rsidP="00051682">
      <w:pPr>
        <w:spacing w:after="0" w:line="240" w:lineRule="auto"/>
        <w:jc w:val="center"/>
        <w:rPr>
          <w:rFonts w:cstheme="minorHAnsi"/>
          <w:b/>
          <w:bCs/>
          <w:sz w:val="24"/>
          <w:szCs w:val="24"/>
        </w:rPr>
      </w:pPr>
      <w:r w:rsidRPr="00441F01">
        <w:rPr>
          <w:rFonts w:cstheme="minorHAnsi"/>
          <w:b/>
          <w:bCs/>
          <w:sz w:val="24"/>
          <w:szCs w:val="24"/>
        </w:rPr>
        <w:t>Interview Protocol</w:t>
      </w:r>
    </w:p>
    <w:p w14:paraId="6FF91F0A" w14:textId="77777777" w:rsidR="008856F9" w:rsidRDefault="008856F9" w:rsidP="008856F9">
      <w:pPr>
        <w:spacing w:after="0" w:line="240" w:lineRule="auto"/>
        <w:jc w:val="center"/>
        <w:rPr>
          <w:rFonts w:cstheme="minorHAnsi"/>
          <w:sz w:val="24"/>
          <w:szCs w:val="24"/>
        </w:rPr>
      </w:pPr>
    </w:p>
    <w:p w14:paraId="09AD5BB6" w14:textId="77777777" w:rsidR="008856F9" w:rsidRPr="008856F9" w:rsidRDefault="008856F9" w:rsidP="008856F9">
      <w:pPr>
        <w:spacing w:after="0" w:line="360" w:lineRule="auto"/>
        <w:rPr>
          <w:rFonts w:cstheme="minorHAnsi"/>
          <w:sz w:val="24"/>
          <w:szCs w:val="24"/>
        </w:rPr>
      </w:pPr>
      <w:r w:rsidRPr="008856F9">
        <w:rPr>
          <w:rFonts w:cstheme="minorHAnsi"/>
          <w:sz w:val="24"/>
          <w:szCs w:val="24"/>
        </w:rPr>
        <w:t>Interview #:</w:t>
      </w:r>
      <w:r w:rsidRPr="008856F9">
        <w:rPr>
          <w:rFonts w:cstheme="minorHAnsi"/>
          <w:sz w:val="24"/>
          <w:szCs w:val="24"/>
        </w:rPr>
        <w:tab/>
        <w:t>____________________</w:t>
      </w:r>
    </w:p>
    <w:p w14:paraId="5AA4176D" w14:textId="77777777" w:rsidR="008856F9" w:rsidRPr="008856F9" w:rsidRDefault="008856F9" w:rsidP="008856F9">
      <w:pPr>
        <w:spacing w:after="0" w:line="360" w:lineRule="auto"/>
        <w:rPr>
          <w:rFonts w:cstheme="minorHAnsi"/>
          <w:sz w:val="24"/>
          <w:szCs w:val="24"/>
        </w:rPr>
      </w:pPr>
      <w:r w:rsidRPr="008856F9">
        <w:rPr>
          <w:rFonts w:cstheme="minorHAnsi"/>
          <w:sz w:val="24"/>
          <w:szCs w:val="24"/>
        </w:rPr>
        <w:t>Pseudonym:</w:t>
      </w:r>
      <w:r w:rsidRPr="008856F9">
        <w:rPr>
          <w:rFonts w:cstheme="minorHAnsi"/>
          <w:sz w:val="24"/>
          <w:szCs w:val="24"/>
        </w:rPr>
        <w:tab/>
        <w:t>____________________</w:t>
      </w:r>
    </w:p>
    <w:p w14:paraId="6423A748" w14:textId="77777777" w:rsidR="008856F9" w:rsidRPr="008856F9" w:rsidRDefault="008856F9" w:rsidP="008856F9">
      <w:pPr>
        <w:spacing w:after="0" w:line="360" w:lineRule="auto"/>
        <w:rPr>
          <w:rFonts w:cstheme="minorHAnsi"/>
          <w:sz w:val="24"/>
          <w:szCs w:val="24"/>
        </w:rPr>
      </w:pPr>
      <w:r w:rsidRPr="008856F9">
        <w:rPr>
          <w:rFonts w:cstheme="minorHAnsi"/>
          <w:sz w:val="24"/>
          <w:szCs w:val="24"/>
        </w:rPr>
        <w:t>Date:</w:t>
      </w:r>
      <w:r w:rsidRPr="008856F9">
        <w:rPr>
          <w:rFonts w:cstheme="minorHAnsi"/>
          <w:sz w:val="24"/>
          <w:szCs w:val="24"/>
        </w:rPr>
        <w:tab/>
      </w:r>
      <w:r w:rsidRPr="008856F9">
        <w:rPr>
          <w:rFonts w:cstheme="minorHAnsi"/>
          <w:sz w:val="24"/>
          <w:szCs w:val="24"/>
        </w:rPr>
        <w:tab/>
        <w:t>____________________</w:t>
      </w:r>
    </w:p>
    <w:p w14:paraId="46D56A92" w14:textId="77777777" w:rsidR="008856F9" w:rsidRPr="008856F9" w:rsidRDefault="008856F9" w:rsidP="008856F9">
      <w:pPr>
        <w:rPr>
          <w:rFonts w:cstheme="minorHAnsi"/>
          <w:sz w:val="24"/>
          <w:szCs w:val="24"/>
        </w:rPr>
      </w:pPr>
    </w:p>
    <w:p w14:paraId="04662EB8" w14:textId="77777777" w:rsidR="008856F9" w:rsidRDefault="008856F9" w:rsidP="008856F9">
      <w:pPr>
        <w:spacing w:after="0" w:line="240" w:lineRule="auto"/>
        <w:rPr>
          <w:rFonts w:cstheme="minorHAnsi"/>
          <w:b/>
          <w:bCs/>
          <w:sz w:val="24"/>
          <w:szCs w:val="24"/>
          <w:u w:val="single"/>
        </w:rPr>
      </w:pPr>
      <w:r w:rsidRPr="008856F9">
        <w:rPr>
          <w:rFonts w:cstheme="minorHAnsi"/>
          <w:b/>
          <w:bCs/>
          <w:sz w:val="24"/>
          <w:szCs w:val="24"/>
          <w:u w:val="single"/>
        </w:rPr>
        <w:t>Purpose of Study:</w:t>
      </w:r>
    </w:p>
    <w:p w14:paraId="5DCEE27F" w14:textId="77777777" w:rsidR="00657AF5" w:rsidRDefault="00657AF5" w:rsidP="00657AF5">
      <w:pPr>
        <w:rPr>
          <w:rFonts w:cstheme="minorHAnsi"/>
          <w:sz w:val="24"/>
          <w:szCs w:val="24"/>
        </w:rPr>
      </w:pPr>
      <w:r w:rsidRPr="00D62EE9">
        <w:rPr>
          <w:rFonts w:cstheme="minorHAnsi"/>
          <w:sz w:val="24"/>
          <w:szCs w:val="24"/>
        </w:rPr>
        <w:t xml:space="preserve">The purpose of this study is to examine the experiences of individuals who lead threat assessment teams (TATs) in higher education, specifically to understand how they operationalize and define success. </w:t>
      </w:r>
    </w:p>
    <w:p w14:paraId="42A9EC55" w14:textId="77777777" w:rsidR="008856F9" w:rsidRPr="008856F9" w:rsidRDefault="008856F9" w:rsidP="008856F9">
      <w:pPr>
        <w:spacing w:after="0" w:line="240" w:lineRule="auto"/>
        <w:rPr>
          <w:rFonts w:cstheme="minorHAnsi"/>
          <w:sz w:val="24"/>
          <w:szCs w:val="24"/>
        </w:rPr>
      </w:pPr>
    </w:p>
    <w:p w14:paraId="2BEF4933" w14:textId="77777777" w:rsidR="008856F9" w:rsidRPr="008856F9" w:rsidRDefault="008856F9" w:rsidP="008856F9">
      <w:pPr>
        <w:spacing w:after="0" w:line="240" w:lineRule="auto"/>
        <w:rPr>
          <w:rFonts w:cstheme="minorHAnsi"/>
          <w:b/>
          <w:bCs/>
          <w:sz w:val="24"/>
          <w:szCs w:val="24"/>
          <w:u w:val="single"/>
        </w:rPr>
      </w:pPr>
      <w:r w:rsidRPr="008856F9">
        <w:rPr>
          <w:rFonts w:cstheme="minorHAnsi"/>
          <w:b/>
          <w:bCs/>
          <w:sz w:val="24"/>
          <w:szCs w:val="24"/>
          <w:u w:val="single"/>
        </w:rPr>
        <w:t>Research Question:</w:t>
      </w:r>
    </w:p>
    <w:p w14:paraId="28AAFB19" w14:textId="77777777" w:rsidR="00657AF5" w:rsidRDefault="00657AF5" w:rsidP="00657AF5">
      <w:pPr>
        <w:rPr>
          <w:rFonts w:cstheme="minorHAnsi"/>
          <w:sz w:val="24"/>
          <w:szCs w:val="24"/>
        </w:rPr>
      </w:pPr>
      <w:r w:rsidRPr="00D62EE9">
        <w:rPr>
          <w:rFonts w:cstheme="minorHAnsi"/>
          <w:sz w:val="24"/>
          <w:szCs w:val="24"/>
        </w:rPr>
        <w:t xml:space="preserve">How do threat assessment team leaders operationalize and define success? </w:t>
      </w:r>
    </w:p>
    <w:p w14:paraId="1F63C2C0" w14:textId="77777777" w:rsidR="008856F9" w:rsidRPr="008856F9" w:rsidRDefault="008856F9" w:rsidP="008856F9">
      <w:pPr>
        <w:spacing w:after="0" w:line="240" w:lineRule="auto"/>
        <w:rPr>
          <w:rFonts w:cstheme="minorHAnsi"/>
          <w:sz w:val="24"/>
          <w:szCs w:val="24"/>
        </w:rPr>
      </w:pPr>
    </w:p>
    <w:p w14:paraId="1A2B88A7" w14:textId="0D1ABEA1" w:rsidR="008856F9" w:rsidRPr="008856F9" w:rsidRDefault="008856F9" w:rsidP="008856F9">
      <w:pPr>
        <w:spacing w:after="0" w:line="240" w:lineRule="auto"/>
        <w:rPr>
          <w:rFonts w:cstheme="minorHAnsi"/>
          <w:b/>
          <w:bCs/>
          <w:sz w:val="24"/>
          <w:szCs w:val="24"/>
          <w:u w:val="single"/>
        </w:rPr>
      </w:pPr>
      <w:r w:rsidRPr="008856F9">
        <w:rPr>
          <w:rFonts w:cstheme="minorHAnsi"/>
          <w:b/>
          <w:bCs/>
          <w:sz w:val="24"/>
          <w:szCs w:val="24"/>
          <w:u w:val="single"/>
        </w:rPr>
        <w:t>Inclusion Criteria</w:t>
      </w:r>
      <w:r>
        <w:rPr>
          <w:rFonts w:cstheme="minorHAnsi"/>
          <w:b/>
          <w:bCs/>
          <w:sz w:val="24"/>
          <w:szCs w:val="24"/>
          <w:u w:val="single"/>
        </w:rPr>
        <w:t>:</w:t>
      </w:r>
    </w:p>
    <w:p w14:paraId="646B7EBE" w14:textId="77777777" w:rsidR="00547494" w:rsidRPr="00441F01" w:rsidRDefault="00547494" w:rsidP="00547494">
      <w:pPr>
        <w:pStyle w:val="ListParagraph"/>
        <w:numPr>
          <w:ilvl w:val="0"/>
          <w:numId w:val="8"/>
        </w:numPr>
        <w:spacing w:after="160" w:line="259" w:lineRule="auto"/>
        <w:rPr>
          <w:rFonts w:asciiTheme="minorHAnsi" w:hAnsiTheme="minorHAnsi" w:cstheme="minorHAnsi"/>
          <w:szCs w:val="24"/>
        </w:rPr>
      </w:pPr>
      <w:r w:rsidRPr="00441F01">
        <w:rPr>
          <w:rFonts w:asciiTheme="minorHAnsi" w:hAnsiTheme="minorHAnsi" w:cstheme="minorHAnsi"/>
          <w:szCs w:val="24"/>
        </w:rPr>
        <w:t>Must be a current higher education professional (employee).</w:t>
      </w:r>
    </w:p>
    <w:p w14:paraId="0AEA375D" w14:textId="77777777" w:rsidR="00547494" w:rsidRPr="00441F01" w:rsidRDefault="00547494" w:rsidP="00547494">
      <w:pPr>
        <w:pStyle w:val="ListParagraph"/>
        <w:numPr>
          <w:ilvl w:val="0"/>
          <w:numId w:val="8"/>
        </w:numPr>
        <w:spacing w:after="160" w:line="259" w:lineRule="auto"/>
        <w:rPr>
          <w:rFonts w:asciiTheme="minorHAnsi" w:hAnsiTheme="minorHAnsi" w:cstheme="minorHAnsi"/>
          <w:szCs w:val="24"/>
        </w:rPr>
      </w:pPr>
      <w:r w:rsidRPr="00441F01">
        <w:rPr>
          <w:rFonts w:asciiTheme="minorHAnsi" w:hAnsiTheme="minorHAnsi" w:cstheme="minorHAnsi"/>
          <w:szCs w:val="24"/>
        </w:rPr>
        <w:t>Must be in a leadership role on a TAT (examples: chair, co-chair, coordinator, or other team leadership role).</w:t>
      </w:r>
    </w:p>
    <w:p w14:paraId="565A9352" w14:textId="77777777" w:rsidR="00547494" w:rsidRPr="00441F01" w:rsidRDefault="00547494" w:rsidP="00547494">
      <w:pPr>
        <w:pStyle w:val="ListParagraph"/>
        <w:numPr>
          <w:ilvl w:val="0"/>
          <w:numId w:val="8"/>
        </w:numPr>
        <w:spacing w:after="160" w:line="259" w:lineRule="auto"/>
        <w:rPr>
          <w:rFonts w:asciiTheme="minorHAnsi" w:hAnsiTheme="minorHAnsi" w:cstheme="minorHAnsi"/>
          <w:szCs w:val="24"/>
        </w:rPr>
      </w:pPr>
      <w:r w:rsidRPr="00441F01">
        <w:rPr>
          <w:rFonts w:asciiTheme="minorHAnsi" w:hAnsiTheme="minorHAnsi" w:cstheme="minorHAnsi"/>
          <w:szCs w:val="24"/>
        </w:rPr>
        <w:t>Must have served on the TAT (in any role) for at least 1 year (12 months, non-consecutive).</w:t>
      </w:r>
    </w:p>
    <w:p w14:paraId="7740A8CD" w14:textId="77777777" w:rsidR="008856F9" w:rsidRPr="008856F9" w:rsidRDefault="008856F9" w:rsidP="008856F9">
      <w:pPr>
        <w:spacing w:after="0" w:line="240" w:lineRule="auto"/>
        <w:ind w:left="720"/>
        <w:contextualSpacing/>
        <w:rPr>
          <w:rFonts w:cstheme="minorHAnsi"/>
          <w:sz w:val="24"/>
          <w:szCs w:val="24"/>
        </w:rPr>
      </w:pPr>
    </w:p>
    <w:p w14:paraId="6E54B0AF" w14:textId="158A03F0" w:rsidR="008856F9" w:rsidRPr="008856F9" w:rsidRDefault="00547494" w:rsidP="008856F9">
      <w:pPr>
        <w:spacing w:after="0" w:line="240" w:lineRule="auto"/>
        <w:rPr>
          <w:rFonts w:cstheme="minorHAnsi"/>
          <w:b/>
          <w:bCs/>
          <w:sz w:val="24"/>
          <w:szCs w:val="24"/>
          <w:u w:val="single"/>
        </w:rPr>
      </w:pPr>
      <w:r>
        <w:rPr>
          <w:rFonts w:cstheme="minorHAnsi"/>
          <w:b/>
          <w:bCs/>
          <w:sz w:val="24"/>
          <w:szCs w:val="24"/>
          <w:u w:val="single"/>
        </w:rPr>
        <w:t xml:space="preserve">Participant </w:t>
      </w:r>
      <w:r w:rsidR="008856F9" w:rsidRPr="008856F9">
        <w:rPr>
          <w:rFonts w:cstheme="minorHAnsi"/>
          <w:b/>
          <w:bCs/>
          <w:sz w:val="24"/>
          <w:szCs w:val="24"/>
          <w:u w:val="single"/>
        </w:rPr>
        <w:t>Survey</w:t>
      </w:r>
      <w:r>
        <w:rPr>
          <w:rFonts w:cstheme="minorHAnsi"/>
          <w:b/>
          <w:bCs/>
          <w:sz w:val="24"/>
          <w:szCs w:val="24"/>
          <w:u w:val="single"/>
        </w:rPr>
        <w:t xml:space="preserve"> (completed prior to interview)</w:t>
      </w:r>
      <w:r w:rsidR="008856F9">
        <w:rPr>
          <w:rFonts w:cstheme="minorHAnsi"/>
          <w:b/>
          <w:bCs/>
          <w:sz w:val="24"/>
          <w:szCs w:val="24"/>
          <w:u w:val="single"/>
        </w:rPr>
        <w:t>:</w:t>
      </w:r>
    </w:p>
    <w:p w14:paraId="420B1FF6" w14:textId="0AAE3017" w:rsidR="008856F9" w:rsidRPr="008856F9" w:rsidRDefault="008856F9" w:rsidP="008856F9">
      <w:pPr>
        <w:spacing w:after="0" w:line="240" w:lineRule="auto"/>
        <w:rPr>
          <w:rFonts w:eastAsia="Times New Roman" w:cstheme="minorHAnsi"/>
          <w:sz w:val="24"/>
          <w:szCs w:val="24"/>
        </w:rPr>
      </w:pPr>
      <w:r w:rsidRPr="008856F9">
        <w:rPr>
          <w:rFonts w:eastAsia="Times New Roman" w:cstheme="minorHAnsi"/>
          <w:color w:val="000000"/>
          <w:sz w:val="24"/>
          <w:szCs w:val="24"/>
        </w:rPr>
        <w:t xml:space="preserve">Prior to the interview, participants will be asked to complete a </w:t>
      </w:r>
      <w:r w:rsidR="00547494">
        <w:rPr>
          <w:rFonts w:eastAsia="Times New Roman" w:cstheme="minorHAnsi"/>
          <w:color w:val="000000"/>
          <w:sz w:val="24"/>
          <w:szCs w:val="24"/>
        </w:rPr>
        <w:t>brief</w:t>
      </w:r>
      <w:r w:rsidR="00441F01">
        <w:rPr>
          <w:rFonts w:eastAsia="Times New Roman" w:cstheme="minorHAnsi"/>
          <w:color w:val="000000"/>
          <w:sz w:val="24"/>
          <w:szCs w:val="24"/>
        </w:rPr>
        <w:t xml:space="preserve"> </w:t>
      </w:r>
      <w:r w:rsidRPr="008856F9">
        <w:rPr>
          <w:rFonts w:eastAsia="Times New Roman" w:cstheme="minorHAnsi"/>
          <w:color w:val="000000"/>
          <w:sz w:val="24"/>
          <w:szCs w:val="24"/>
        </w:rPr>
        <w:t xml:space="preserve">survey that will be administered via Qualtrics. </w:t>
      </w:r>
      <w:r w:rsidR="00547494">
        <w:rPr>
          <w:rFonts w:eastAsia="Times New Roman" w:cstheme="minorHAnsi"/>
          <w:color w:val="000000"/>
          <w:sz w:val="24"/>
          <w:szCs w:val="24"/>
        </w:rPr>
        <w:t xml:space="preserve">The survey includes eligibility screening questions, </w:t>
      </w:r>
      <w:r w:rsidRPr="008856F9">
        <w:rPr>
          <w:rFonts w:eastAsia="Times New Roman" w:cstheme="minorHAnsi"/>
          <w:color w:val="000000"/>
          <w:sz w:val="24"/>
          <w:szCs w:val="24"/>
        </w:rPr>
        <w:t>informed consent</w:t>
      </w:r>
      <w:r w:rsidR="00547494">
        <w:rPr>
          <w:rFonts w:eastAsia="Times New Roman" w:cstheme="minorHAnsi"/>
          <w:color w:val="000000"/>
          <w:sz w:val="24"/>
          <w:szCs w:val="24"/>
        </w:rPr>
        <w:t xml:space="preserve">, a reminder of resources, and optional demographic questions. </w:t>
      </w:r>
      <w:r w:rsidRPr="008856F9">
        <w:rPr>
          <w:rFonts w:eastAsia="Times New Roman" w:cstheme="minorHAnsi"/>
          <w:color w:val="000000"/>
          <w:sz w:val="24"/>
          <w:szCs w:val="24"/>
        </w:rPr>
        <w:t xml:space="preserve">By completing the </w:t>
      </w:r>
      <w:r w:rsidR="00547494">
        <w:rPr>
          <w:rFonts w:eastAsia="Times New Roman" w:cstheme="minorHAnsi"/>
          <w:color w:val="000000"/>
          <w:sz w:val="24"/>
          <w:szCs w:val="24"/>
        </w:rPr>
        <w:t xml:space="preserve">informed consent portion of the survey </w:t>
      </w:r>
      <w:r w:rsidRPr="008856F9">
        <w:rPr>
          <w:rFonts w:eastAsia="Times New Roman" w:cstheme="minorHAnsi"/>
          <w:color w:val="000000"/>
          <w:sz w:val="24"/>
          <w:szCs w:val="24"/>
        </w:rPr>
        <w:t>and selecting “I consent to participate,” interview participants grant their consent to participate in the research study and advance to the next section of the survey. </w:t>
      </w:r>
    </w:p>
    <w:p w14:paraId="3FD5F9E8" w14:textId="77777777" w:rsidR="008856F9" w:rsidRPr="008856F9" w:rsidRDefault="008856F9" w:rsidP="008856F9">
      <w:pPr>
        <w:spacing w:after="0" w:line="240" w:lineRule="auto"/>
        <w:rPr>
          <w:rFonts w:eastAsia="Times New Roman" w:cstheme="minorHAnsi"/>
          <w:sz w:val="24"/>
          <w:szCs w:val="24"/>
        </w:rPr>
      </w:pPr>
    </w:p>
    <w:p w14:paraId="0EE11572" w14:textId="77777777" w:rsidR="008856F9" w:rsidRPr="00547494" w:rsidRDefault="008856F9" w:rsidP="008856F9">
      <w:pPr>
        <w:spacing w:after="0" w:line="240" w:lineRule="auto"/>
        <w:rPr>
          <w:rFonts w:eastAsia="Times New Roman" w:cstheme="minorHAnsi"/>
          <w:sz w:val="24"/>
          <w:szCs w:val="24"/>
        </w:rPr>
      </w:pPr>
      <w:r w:rsidRPr="00547494">
        <w:rPr>
          <w:rFonts w:eastAsia="Times New Roman" w:cstheme="minorHAnsi"/>
          <w:color w:val="000000"/>
          <w:sz w:val="24"/>
          <w:szCs w:val="24"/>
        </w:rPr>
        <w:t>Screening Questions (to ensure alignment with inclusion criteria):</w:t>
      </w:r>
    </w:p>
    <w:p w14:paraId="10AEBD1C" w14:textId="77777777" w:rsidR="00547494" w:rsidRPr="00441F01" w:rsidRDefault="00547494" w:rsidP="00547494">
      <w:pPr>
        <w:pStyle w:val="ListParagraph"/>
        <w:numPr>
          <w:ilvl w:val="0"/>
          <w:numId w:val="9"/>
        </w:numPr>
        <w:spacing w:after="160" w:line="259" w:lineRule="auto"/>
        <w:rPr>
          <w:rFonts w:asciiTheme="minorHAnsi" w:hAnsiTheme="minorHAnsi" w:cstheme="minorHAnsi"/>
          <w:szCs w:val="24"/>
        </w:rPr>
      </w:pPr>
      <w:r w:rsidRPr="00441F01">
        <w:rPr>
          <w:rFonts w:asciiTheme="minorHAnsi" w:eastAsia="Times New Roman" w:hAnsiTheme="minorHAnsi" w:cstheme="minorHAnsi"/>
          <w:color w:val="000000"/>
          <w:szCs w:val="24"/>
        </w:rPr>
        <w:t xml:space="preserve">Are you a </w:t>
      </w:r>
      <w:r w:rsidRPr="00441F01">
        <w:rPr>
          <w:rFonts w:asciiTheme="minorHAnsi" w:hAnsiTheme="minorHAnsi" w:cstheme="minorHAnsi"/>
          <w:szCs w:val="24"/>
        </w:rPr>
        <w:t>current higher education professional (employee)?</w:t>
      </w:r>
    </w:p>
    <w:p w14:paraId="420AF2BE" w14:textId="77777777" w:rsidR="00547494" w:rsidRPr="00441F01" w:rsidRDefault="00547494" w:rsidP="00547494">
      <w:pPr>
        <w:pStyle w:val="ListParagraph"/>
        <w:numPr>
          <w:ilvl w:val="0"/>
          <w:numId w:val="9"/>
        </w:numPr>
        <w:spacing w:after="0" w:line="240" w:lineRule="auto"/>
        <w:textAlignment w:val="baseline"/>
        <w:rPr>
          <w:rFonts w:asciiTheme="minorHAnsi" w:eastAsia="Times New Roman" w:hAnsiTheme="minorHAnsi" w:cstheme="minorHAnsi"/>
          <w:color w:val="000000"/>
          <w:szCs w:val="24"/>
        </w:rPr>
      </w:pPr>
      <w:r w:rsidRPr="00441F01">
        <w:rPr>
          <w:rFonts w:asciiTheme="minorHAnsi" w:eastAsia="Times New Roman" w:hAnsiTheme="minorHAnsi" w:cstheme="minorHAnsi"/>
          <w:color w:val="000000"/>
          <w:szCs w:val="24"/>
        </w:rPr>
        <w:t xml:space="preserve">Are you </w:t>
      </w:r>
      <w:r w:rsidRPr="00441F01">
        <w:rPr>
          <w:rFonts w:asciiTheme="minorHAnsi" w:hAnsiTheme="minorHAnsi" w:cstheme="minorHAnsi"/>
          <w:szCs w:val="24"/>
        </w:rPr>
        <w:t xml:space="preserve">in a leadership role on a TAT (examples: chair, co-chair, coordinator, or other team leadership role)? </w:t>
      </w:r>
    </w:p>
    <w:p w14:paraId="492241FB" w14:textId="71184F48" w:rsidR="002A77D2" w:rsidRPr="00441F01" w:rsidRDefault="002A77D2" w:rsidP="002A77D2">
      <w:pPr>
        <w:pStyle w:val="ListParagraph"/>
        <w:numPr>
          <w:ilvl w:val="0"/>
          <w:numId w:val="9"/>
        </w:numPr>
        <w:spacing w:after="160" w:line="259" w:lineRule="auto"/>
        <w:rPr>
          <w:rFonts w:asciiTheme="minorHAnsi" w:hAnsiTheme="minorHAnsi" w:cstheme="minorHAnsi"/>
          <w:szCs w:val="24"/>
        </w:rPr>
      </w:pPr>
      <w:r w:rsidRPr="00441F01">
        <w:rPr>
          <w:rFonts w:asciiTheme="minorHAnsi" w:hAnsiTheme="minorHAnsi" w:cstheme="minorHAnsi"/>
          <w:szCs w:val="24"/>
        </w:rPr>
        <w:t>Have you served on the</w:t>
      </w:r>
      <w:r>
        <w:rPr>
          <w:rFonts w:asciiTheme="minorHAnsi" w:hAnsiTheme="minorHAnsi" w:cstheme="minorHAnsi"/>
          <w:szCs w:val="24"/>
        </w:rPr>
        <w:t xml:space="preserve"> current</w:t>
      </w:r>
      <w:r w:rsidRPr="00441F01">
        <w:rPr>
          <w:rFonts w:asciiTheme="minorHAnsi" w:hAnsiTheme="minorHAnsi" w:cstheme="minorHAnsi"/>
          <w:szCs w:val="24"/>
        </w:rPr>
        <w:t xml:space="preserve"> TAT (in any role) for at least 1 year (12 months, non-consecutive)?</w:t>
      </w:r>
      <w:r w:rsidRPr="00441F01">
        <w:rPr>
          <w:rFonts w:asciiTheme="minorHAnsi" w:eastAsia="Times New Roman" w:hAnsiTheme="minorHAnsi" w:cstheme="minorHAnsi"/>
          <w:color w:val="000000"/>
          <w:szCs w:val="24"/>
        </w:rPr>
        <w:t xml:space="preserve">     </w:t>
      </w:r>
    </w:p>
    <w:p w14:paraId="103986CF" w14:textId="77777777" w:rsidR="008856F9" w:rsidRPr="008856F9" w:rsidRDefault="008856F9" w:rsidP="008856F9">
      <w:pPr>
        <w:spacing w:after="0" w:line="240" w:lineRule="auto"/>
        <w:rPr>
          <w:rFonts w:eastAsia="Times New Roman" w:cstheme="minorHAnsi"/>
          <w:sz w:val="24"/>
          <w:szCs w:val="24"/>
        </w:rPr>
      </w:pPr>
    </w:p>
    <w:p w14:paraId="09F55B24" w14:textId="77777777" w:rsidR="008856F9" w:rsidRPr="008856F9" w:rsidRDefault="008856F9" w:rsidP="008856F9">
      <w:pPr>
        <w:spacing w:after="0" w:line="240" w:lineRule="auto"/>
        <w:rPr>
          <w:rFonts w:eastAsia="Times New Roman" w:cstheme="minorHAnsi"/>
          <w:sz w:val="24"/>
          <w:szCs w:val="24"/>
        </w:rPr>
      </w:pPr>
      <w:r w:rsidRPr="008856F9">
        <w:rPr>
          <w:rFonts w:eastAsia="Times New Roman" w:cstheme="minorHAnsi"/>
          <w:color w:val="000000"/>
          <w:sz w:val="24"/>
          <w:szCs w:val="24"/>
        </w:rPr>
        <w:t>Background Information and demographics (optional):</w:t>
      </w:r>
    </w:p>
    <w:p w14:paraId="3CDB5982" w14:textId="77777777" w:rsidR="0016527E" w:rsidRPr="008856F9" w:rsidRDefault="0016527E" w:rsidP="0016527E">
      <w:pPr>
        <w:numPr>
          <w:ilvl w:val="0"/>
          <w:numId w:val="10"/>
        </w:numPr>
        <w:spacing w:after="0" w:line="240" w:lineRule="auto"/>
        <w:contextualSpacing/>
        <w:textAlignment w:val="baseline"/>
        <w:rPr>
          <w:rFonts w:eastAsia="Times New Roman" w:cstheme="minorHAnsi"/>
          <w:color w:val="000000"/>
          <w:sz w:val="24"/>
          <w:szCs w:val="24"/>
        </w:rPr>
      </w:pPr>
      <w:bookmarkStart w:id="27" w:name="_Hlk156732870"/>
      <w:r w:rsidRPr="008856F9">
        <w:rPr>
          <w:rFonts w:eastAsia="Times New Roman" w:cstheme="minorHAnsi"/>
          <w:color w:val="000000"/>
          <w:sz w:val="24"/>
          <w:szCs w:val="24"/>
        </w:rPr>
        <w:lastRenderedPageBreak/>
        <w:t>First and last name:</w:t>
      </w:r>
    </w:p>
    <w:p w14:paraId="7A07308A" w14:textId="77777777" w:rsidR="008856F9" w:rsidRPr="008856F9" w:rsidRDefault="008856F9" w:rsidP="008856F9">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Highest education level:</w:t>
      </w:r>
    </w:p>
    <w:p w14:paraId="00DE25C2" w14:textId="77777777" w:rsidR="008856F9" w:rsidRPr="008856F9" w:rsidRDefault="008856F9" w:rsidP="008856F9">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 xml:space="preserve">Age: </w:t>
      </w:r>
      <w:r w:rsidRPr="008856F9">
        <w:rPr>
          <w:rFonts w:eastAsia="Times New Roman" w:cstheme="minorHAnsi"/>
          <w:i/>
          <w:iCs/>
          <w:color w:val="000000"/>
          <w:sz w:val="24"/>
          <w:szCs w:val="24"/>
        </w:rPr>
        <w:t>circle one</w:t>
      </w:r>
      <w:r w:rsidRPr="008856F9">
        <w:rPr>
          <w:rFonts w:eastAsia="Times New Roman" w:cstheme="minorHAnsi"/>
          <w:color w:val="000000"/>
          <w:sz w:val="24"/>
          <w:szCs w:val="24"/>
        </w:rPr>
        <w:tab/>
      </w:r>
      <w:r w:rsidRPr="008856F9">
        <w:rPr>
          <w:rFonts w:eastAsia="Times New Roman" w:cstheme="minorHAnsi"/>
          <w:color w:val="000000"/>
          <w:sz w:val="24"/>
          <w:szCs w:val="24"/>
        </w:rPr>
        <w:tab/>
        <w:t>21-30   31-40   41-50   51-60   61-70   71+</w:t>
      </w:r>
    </w:p>
    <w:p w14:paraId="655B2E42" w14:textId="77777777" w:rsidR="008856F9" w:rsidRPr="008856F9" w:rsidRDefault="008856F9" w:rsidP="008856F9">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Race:</w:t>
      </w:r>
    </w:p>
    <w:p w14:paraId="760A8F50" w14:textId="77777777" w:rsidR="008856F9" w:rsidRPr="008856F9" w:rsidRDefault="008856F9" w:rsidP="008856F9">
      <w:pPr>
        <w:numPr>
          <w:ilvl w:val="0"/>
          <w:numId w:val="10"/>
        </w:numPr>
        <w:spacing w:after="0" w:line="240" w:lineRule="auto"/>
        <w:contextualSpacing/>
        <w:textAlignment w:val="baseline"/>
        <w:rPr>
          <w:rFonts w:eastAsia="Times New Roman" w:cstheme="minorHAnsi"/>
          <w:color w:val="000000"/>
          <w:sz w:val="24"/>
          <w:szCs w:val="24"/>
        </w:rPr>
      </w:pPr>
      <w:r w:rsidRPr="008856F9">
        <w:rPr>
          <w:rFonts w:eastAsia="Times New Roman" w:cstheme="minorHAnsi"/>
          <w:color w:val="000000"/>
          <w:sz w:val="24"/>
          <w:szCs w:val="24"/>
        </w:rPr>
        <w:t>Gender identity:</w:t>
      </w:r>
    </w:p>
    <w:p w14:paraId="0E28E69A" w14:textId="00F03B79" w:rsidR="008856F9" w:rsidRPr="008856F9" w:rsidRDefault="002A77D2" w:rsidP="008856F9">
      <w:pPr>
        <w:numPr>
          <w:ilvl w:val="0"/>
          <w:numId w:val="10"/>
        </w:numPr>
        <w:spacing w:after="0" w:line="240" w:lineRule="auto"/>
        <w:contextualSpacing/>
        <w:textAlignment w:val="baseline"/>
        <w:rPr>
          <w:rFonts w:eastAsia="Times New Roman" w:cstheme="minorHAnsi"/>
          <w:color w:val="000000"/>
          <w:sz w:val="24"/>
          <w:szCs w:val="24"/>
        </w:rPr>
      </w:pPr>
      <w:r>
        <w:rPr>
          <w:rFonts w:eastAsia="Times New Roman" w:cstheme="minorHAnsi"/>
          <w:color w:val="000000"/>
          <w:sz w:val="24"/>
          <w:szCs w:val="24"/>
        </w:rPr>
        <w:t xml:space="preserve">Professional </w:t>
      </w:r>
      <w:r w:rsidR="008856F9" w:rsidRPr="008856F9">
        <w:rPr>
          <w:rFonts w:eastAsia="Times New Roman" w:cstheme="minorHAnsi"/>
          <w:color w:val="000000"/>
          <w:sz w:val="24"/>
          <w:szCs w:val="24"/>
        </w:rPr>
        <w:t>Title/Role:</w:t>
      </w:r>
    </w:p>
    <w:p w14:paraId="52236335" w14:textId="77777777" w:rsidR="008856F9" w:rsidRPr="008856F9" w:rsidRDefault="008856F9" w:rsidP="008856F9">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Please describe your professional role at your institution (job title and responsibilities).</w:t>
      </w:r>
    </w:p>
    <w:p w14:paraId="32A1CA1D" w14:textId="77777777" w:rsidR="008856F9" w:rsidRPr="008856F9" w:rsidRDefault="008856F9" w:rsidP="008856F9">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Please describe your role on the threat assessment team at your institution.</w:t>
      </w:r>
    </w:p>
    <w:p w14:paraId="03D3768F" w14:textId="77777777" w:rsidR="008856F9" w:rsidRPr="008856F9" w:rsidRDefault="008856F9" w:rsidP="008856F9">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of experience in higher education</w:t>
      </w:r>
    </w:p>
    <w:p w14:paraId="6277EC04" w14:textId="77777777" w:rsidR="008856F9" w:rsidRPr="008856F9" w:rsidRDefault="008856F9" w:rsidP="008856F9">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of experience at current institution</w:t>
      </w:r>
    </w:p>
    <w:p w14:paraId="6F3135D7" w14:textId="77777777" w:rsidR="00D41370" w:rsidRDefault="00D41370" w:rsidP="00D41370">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serving on a threat assessment team</w:t>
      </w:r>
    </w:p>
    <w:p w14:paraId="1CE64FB9" w14:textId="6D731190" w:rsidR="002A77D2" w:rsidRPr="008856F9" w:rsidRDefault="002A77D2" w:rsidP="00D41370">
      <w:pPr>
        <w:numPr>
          <w:ilvl w:val="0"/>
          <w:numId w:val="7"/>
        </w:numPr>
        <w:spacing w:after="0" w:line="240" w:lineRule="auto"/>
        <w:ind w:left="1440"/>
        <w:textAlignment w:val="baseline"/>
        <w:rPr>
          <w:rFonts w:eastAsia="Times New Roman" w:cstheme="minorHAnsi"/>
          <w:color w:val="000000"/>
          <w:sz w:val="24"/>
          <w:szCs w:val="24"/>
        </w:rPr>
      </w:pPr>
      <w:r>
        <w:rPr>
          <w:rFonts w:eastAsia="Times New Roman" w:cstheme="minorHAnsi"/>
          <w:color w:val="000000"/>
          <w:sz w:val="24"/>
          <w:szCs w:val="24"/>
        </w:rPr>
        <w:t>Total years serving on the current threat assessment team</w:t>
      </w:r>
    </w:p>
    <w:p w14:paraId="5FB570C6" w14:textId="77777777" w:rsidR="008856F9" w:rsidRPr="008856F9" w:rsidRDefault="008856F9" w:rsidP="008856F9">
      <w:pPr>
        <w:numPr>
          <w:ilvl w:val="0"/>
          <w:numId w:val="7"/>
        </w:numPr>
        <w:spacing w:after="0" w:line="240" w:lineRule="auto"/>
        <w:ind w:left="1440"/>
        <w:textAlignment w:val="baseline"/>
        <w:rPr>
          <w:rFonts w:eastAsia="Times New Roman" w:cstheme="minorHAnsi"/>
          <w:color w:val="000000"/>
          <w:sz w:val="24"/>
          <w:szCs w:val="24"/>
        </w:rPr>
      </w:pPr>
      <w:r w:rsidRPr="008856F9">
        <w:rPr>
          <w:rFonts w:eastAsia="Times New Roman" w:cstheme="minorHAnsi"/>
          <w:color w:val="000000"/>
          <w:sz w:val="24"/>
          <w:szCs w:val="24"/>
        </w:rPr>
        <w:t>Total years serving on a threat assessment team in a leadership role</w:t>
      </w:r>
    </w:p>
    <w:bookmarkEnd w:id="27"/>
    <w:p w14:paraId="4EB43C36" w14:textId="77777777" w:rsidR="008856F9" w:rsidRPr="008856F9" w:rsidRDefault="008856F9" w:rsidP="008856F9">
      <w:pPr>
        <w:spacing w:after="0" w:line="240" w:lineRule="auto"/>
        <w:ind w:left="1440"/>
        <w:textAlignment w:val="baseline"/>
        <w:rPr>
          <w:rFonts w:eastAsia="Times New Roman" w:cstheme="minorHAnsi"/>
          <w:color w:val="000000"/>
          <w:sz w:val="24"/>
          <w:szCs w:val="24"/>
        </w:rPr>
      </w:pPr>
    </w:p>
    <w:p w14:paraId="7376CD1D" w14:textId="372441AF" w:rsidR="008856F9" w:rsidRPr="008856F9" w:rsidRDefault="008856F9" w:rsidP="008856F9">
      <w:pPr>
        <w:spacing w:after="0" w:line="240" w:lineRule="auto"/>
        <w:rPr>
          <w:rFonts w:cstheme="minorHAnsi"/>
          <w:b/>
          <w:bCs/>
          <w:sz w:val="24"/>
          <w:szCs w:val="24"/>
          <w:u w:val="single"/>
        </w:rPr>
      </w:pPr>
      <w:r w:rsidRPr="008856F9">
        <w:rPr>
          <w:rFonts w:cstheme="minorHAnsi"/>
          <w:b/>
          <w:bCs/>
          <w:sz w:val="24"/>
          <w:szCs w:val="24"/>
          <w:u w:val="single"/>
        </w:rPr>
        <w:t>Opening Statement</w:t>
      </w:r>
      <w:r>
        <w:rPr>
          <w:rFonts w:cstheme="minorHAnsi"/>
          <w:b/>
          <w:bCs/>
          <w:sz w:val="24"/>
          <w:szCs w:val="24"/>
          <w:u w:val="single"/>
        </w:rPr>
        <w:t>:</w:t>
      </w:r>
    </w:p>
    <w:p w14:paraId="2FA7C826" w14:textId="26B42B03" w:rsidR="008856F9" w:rsidRPr="008856F9" w:rsidRDefault="008856F9" w:rsidP="008856F9">
      <w:pPr>
        <w:spacing w:after="0" w:line="240" w:lineRule="auto"/>
        <w:rPr>
          <w:rFonts w:cstheme="minorHAnsi"/>
          <w:sz w:val="24"/>
          <w:szCs w:val="24"/>
        </w:rPr>
      </w:pPr>
      <w:r w:rsidRPr="008856F9">
        <w:rPr>
          <w:rFonts w:cstheme="minorHAnsi"/>
          <w:sz w:val="24"/>
          <w:szCs w:val="24"/>
        </w:rPr>
        <w:t xml:space="preserve">First, I want to thank you for your participation in this study. My name is Julie Roe, and I am a doctoral candidate within the Higher Education Administration program at the University of Tennessee, Knoxville. </w:t>
      </w:r>
      <w:r w:rsidR="002A77D2" w:rsidRPr="001B5EE6">
        <w:rPr>
          <w:rFonts w:cstheme="minorHAnsi"/>
          <w:sz w:val="24"/>
          <w:szCs w:val="24"/>
        </w:rPr>
        <w:t xml:space="preserve">I am currently conducting a </w:t>
      </w:r>
      <w:r w:rsidR="002A77D2">
        <w:rPr>
          <w:rFonts w:cstheme="minorHAnsi"/>
          <w:sz w:val="24"/>
          <w:szCs w:val="24"/>
        </w:rPr>
        <w:t>basic qualitative</w:t>
      </w:r>
      <w:r w:rsidR="002A77D2" w:rsidRPr="001B5EE6">
        <w:rPr>
          <w:rFonts w:cstheme="minorHAnsi"/>
          <w:sz w:val="24"/>
          <w:szCs w:val="24"/>
        </w:rPr>
        <w:t xml:space="preserve"> study</w:t>
      </w:r>
      <w:r w:rsidR="002A77D2">
        <w:rPr>
          <w:rFonts w:cstheme="minorHAnsi"/>
          <w:sz w:val="24"/>
          <w:szCs w:val="24"/>
        </w:rPr>
        <w:t xml:space="preserve"> to</w:t>
      </w:r>
      <w:r w:rsidR="002A77D2" w:rsidRPr="007548E9">
        <w:t xml:space="preserve"> </w:t>
      </w:r>
      <w:r w:rsidR="002A77D2" w:rsidRPr="007548E9">
        <w:rPr>
          <w:rFonts w:cstheme="minorHAnsi"/>
          <w:sz w:val="24"/>
          <w:szCs w:val="24"/>
        </w:rPr>
        <w:t xml:space="preserve">examine the experiences of individuals who lead threat assessment teams (TATs) in higher education, specifically to understand how they operationalize and define success. </w:t>
      </w:r>
      <w:r w:rsidRPr="008856F9">
        <w:rPr>
          <w:rFonts w:cstheme="minorHAnsi"/>
          <w:sz w:val="24"/>
          <w:szCs w:val="24"/>
        </w:rPr>
        <w:t>I encourage you to be as open and honest as possible based on your level of comfort.</w:t>
      </w:r>
    </w:p>
    <w:p w14:paraId="52B621F6" w14:textId="77777777" w:rsidR="008856F9" w:rsidRPr="008856F9" w:rsidRDefault="008856F9" w:rsidP="008856F9">
      <w:pPr>
        <w:spacing w:after="0" w:line="240" w:lineRule="auto"/>
        <w:rPr>
          <w:rFonts w:cstheme="minorHAnsi"/>
          <w:sz w:val="24"/>
          <w:szCs w:val="24"/>
        </w:rPr>
      </w:pPr>
    </w:p>
    <w:p w14:paraId="3041B123" w14:textId="639625BC" w:rsidR="008856F9" w:rsidRPr="008856F9" w:rsidRDefault="008856F9" w:rsidP="008856F9">
      <w:pPr>
        <w:spacing w:after="0" w:line="240" w:lineRule="auto"/>
        <w:rPr>
          <w:rFonts w:cstheme="minorHAnsi"/>
          <w:sz w:val="24"/>
          <w:szCs w:val="24"/>
        </w:rPr>
      </w:pPr>
      <w:r w:rsidRPr="008856F9">
        <w:rPr>
          <w:rFonts w:cstheme="minorHAnsi"/>
          <w:sz w:val="24"/>
          <w:szCs w:val="24"/>
        </w:rPr>
        <w:t xml:space="preserve">Thank you again for completing the </w:t>
      </w:r>
      <w:r w:rsidR="002A77D2">
        <w:rPr>
          <w:rFonts w:cstheme="minorHAnsi"/>
          <w:sz w:val="24"/>
          <w:szCs w:val="24"/>
        </w:rPr>
        <w:t xml:space="preserve">participant survey and </w:t>
      </w:r>
      <w:r w:rsidRPr="008856F9">
        <w:rPr>
          <w:rFonts w:cstheme="minorHAnsi"/>
          <w:sz w:val="24"/>
          <w:szCs w:val="24"/>
        </w:rPr>
        <w:t xml:space="preserve">informed consent prior to our meeting today. If at any time you feel uncomfortable and need to take a break, or stop the interview, please let me know and I will end the interview immediately. You may withdraw from the interview at any time. </w:t>
      </w:r>
      <w:r w:rsidR="002A77D2" w:rsidRPr="001B5EE6">
        <w:rPr>
          <w:rFonts w:cstheme="minorHAnsi"/>
          <w:sz w:val="24"/>
          <w:szCs w:val="24"/>
        </w:rPr>
        <w:t>I</w:t>
      </w:r>
      <w:r w:rsidR="002A77D2">
        <w:rPr>
          <w:rFonts w:cstheme="minorHAnsi"/>
          <w:sz w:val="24"/>
          <w:szCs w:val="24"/>
        </w:rPr>
        <w:t xml:space="preserve"> would like to remind you about the National 988 Crisis Lifeline as well as your local Employee Assistance Program. If you would like assistance finding local support, please let me know. </w:t>
      </w:r>
      <w:r w:rsidR="002A77D2" w:rsidRPr="001B5EE6">
        <w:rPr>
          <w:rFonts w:cstheme="minorHAnsi"/>
          <w:sz w:val="24"/>
          <w:szCs w:val="24"/>
        </w:rPr>
        <w:t>If, for some reason, you feel as though you can no longer participate due to your mental well-being, the local resource(s) may be helpful to you personally. I will now put a link in the chat to the resources again for your convenience.</w:t>
      </w:r>
    </w:p>
    <w:p w14:paraId="63354C3A" w14:textId="77777777" w:rsidR="008856F9" w:rsidRPr="008856F9" w:rsidRDefault="008856F9" w:rsidP="008856F9">
      <w:pPr>
        <w:spacing w:after="0" w:line="240" w:lineRule="auto"/>
        <w:rPr>
          <w:rFonts w:cstheme="minorHAnsi"/>
          <w:sz w:val="24"/>
          <w:szCs w:val="24"/>
        </w:rPr>
      </w:pPr>
    </w:p>
    <w:p w14:paraId="0EBA35F9" w14:textId="39A6169F" w:rsidR="008856F9" w:rsidRPr="008856F9" w:rsidRDefault="008856F9" w:rsidP="008856F9">
      <w:pPr>
        <w:spacing w:after="0" w:line="240" w:lineRule="auto"/>
        <w:rPr>
          <w:rFonts w:cstheme="minorHAnsi"/>
          <w:sz w:val="24"/>
          <w:szCs w:val="24"/>
        </w:rPr>
      </w:pPr>
      <w:r w:rsidRPr="008856F9">
        <w:rPr>
          <w:rFonts w:cstheme="minorHAnsi"/>
          <w:sz w:val="24"/>
          <w:szCs w:val="24"/>
        </w:rPr>
        <w:t xml:space="preserve">This interview will last approximately </w:t>
      </w:r>
      <w:r w:rsidR="003817D9" w:rsidRPr="001B5EE6">
        <w:rPr>
          <w:rFonts w:cstheme="minorHAnsi"/>
          <w:sz w:val="24"/>
          <w:szCs w:val="24"/>
        </w:rPr>
        <w:t>60</w:t>
      </w:r>
      <w:r w:rsidR="003817D9">
        <w:rPr>
          <w:rFonts w:cstheme="minorHAnsi"/>
          <w:sz w:val="24"/>
          <w:szCs w:val="24"/>
        </w:rPr>
        <w:t xml:space="preserve"> – 75</w:t>
      </w:r>
      <w:r w:rsidR="003817D9" w:rsidRPr="001B5EE6">
        <w:rPr>
          <w:rFonts w:cstheme="minorHAnsi"/>
          <w:sz w:val="24"/>
          <w:szCs w:val="24"/>
        </w:rPr>
        <w:t xml:space="preserve"> </w:t>
      </w:r>
      <w:r w:rsidRPr="008856F9">
        <w:rPr>
          <w:rFonts w:cstheme="minorHAnsi"/>
          <w:sz w:val="24"/>
          <w:szCs w:val="24"/>
        </w:rPr>
        <w:t xml:space="preserve"> minutes and your participation is voluntary. Your responses will remain </w:t>
      </w:r>
      <w:r w:rsidR="003817D9">
        <w:rPr>
          <w:rFonts w:cstheme="minorHAnsi"/>
          <w:sz w:val="24"/>
          <w:szCs w:val="24"/>
        </w:rPr>
        <w:t>anonymous</w:t>
      </w:r>
      <w:r w:rsidR="003817D9" w:rsidRPr="008856F9">
        <w:rPr>
          <w:rFonts w:cstheme="minorHAnsi"/>
          <w:sz w:val="24"/>
          <w:szCs w:val="24"/>
        </w:rPr>
        <w:t xml:space="preserve"> </w:t>
      </w:r>
      <w:r w:rsidRPr="008856F9">
        <w:rPr>
          <w:rFonts w:cstheme="minorHAnsi"/>
          <w:sz w:val="24"/>
          <w:szCs w:val="24"/>
        </w:rPr>
        <w:t xml:space="preserve">as I will use pseudonyms for all participants. </w:t>
      </w:r>
    </w:p>
    <w:p w14:paraId="18B55053" w14:textId="77777777" w:rsidR="008856F9" w:rsidRPr="008856F9" w:rsidRDefault="008856F9" w:rsidP="008856F9">
      <w:pPr>
        <w:spacing w:after="0" w:line="240" w:lineRule="auto"/>
        <w:rPr>
          <w:rFonts w:cstheme="minorHAnsi"/>
          <w:sz w:val="24"/>
          <w:szCs w:val="24"/>
        </w:rPr>
      </w:pPr>
    </w:p>
    <w:p w14:paraId="7546BD66" w14:textId="0556963D" w:rsidR="00FE0F42" w:rsidRDefault="008856F9">
      <w:pPr>
        <w:rPr>
          <w:rFonts w:cstheme="minorHAnsi"/>
          <w:b/>
          <w:bCs/>
          <w:sz w:val="24"/>
          <w:szCs w:val="24"/>
          <w:u w:val="single"/>
        </w:rPr>
      </w:pPr>
      <w:r w:rsidRPr="008856F9">
        <w:rPr>
          <w:rFonts w:cstheme="minorHAnsi"/>
          <w:sz w:val="24"/>
          <w:szCs w:val="24"/>
        </w:rPr>
        <w:t xml:space="preserve">Please do not hesitate to ask for clarification about any of the interview questions. I want to remind you that I am recording the interview for transcription purposes to ensure accurate data, but your identity will remain </w:t>
      </w:r>
      <w:r w:rsidR="003817D9">
        <w:rPr>
          <w:rFonts w:cstheme="minorHAnsi"/>
          <w:sz w:val="24"/>
          <w:szCs w:val="24"/>
        </w:rPr>
        <w:t>anonymous</w:t>
      </w:r>
      <w:r w:rsidRPr="008856F9">
        <w:rPr>
          <w:rFonts w:cstheme="minorHAnsi"/>
          <w:sz w:val="24"/>
          <w:szCs w:val="24"/>
        </w:rPr>
        <w:t xml:space="preserve">. Do you have any questions before we begin? </w:t>
      </w:r>
    </w:p>
    <w:p w14:paraId="5E472200" w14:textId="77777777" w:rsidR="008173D0" w:rsidRPr="008856F9" w:rsidRDefault="008173D0" w:rsidP="008173D0">
      <w:pPr>
        <w:spacing w:after="0" w:line="240" w:lineRule="auto"/>
        <w:rPr>
          <w:rFonts w:cstheme="minorHAnsi"/>
          <w:b/>
          <w:bCs/>
          <w:sz w:val="24"/>
          <w:szCs w:val="24"/>
          <w:u w:val="single"/>
        </w:rPr>
      </w:pPr>
      <w:r w:rsidRPr="008856F9">
        <w:rPr>
          <w:rFonts w:cstheme="minorHAnsi"/>
          <w:b/>
          <w:bCs/>
          <w:sz w:val="24"/>
          <w:szCs w:val="24"/>
          <w:u w:val="single"/>
        </w:rPr>
        <w:t>Interview Questions</w:t>
      </w:r>
      <w:r>
        <w:rPr>
          <w:rFonts w:cstheme="minorHAnsi"/>
          <w:b/>
          <w:bCs/>
          <w:sz w:val="24"/>
          <w:szCs w:val="24"/>
          <w:u w:val="single"/>
        </w:rPr>
        <w:t>:</w:t>
      </w:r>
    </w:p>
    <w:p w14:paraId="687327FC" w14:textId="65CE59AE" w:rsidR="003817D9" w:rsidRPr="003817D9" w:rsidRDefault="003817D9" w:rsidP="003817D9">
      <w:pPr>
        <w:numPr>
          <w:ilvl w:val="0"/>
          <w:numId w:val="11"/>
        </w:numPr>
        <w:spacing w:after="0" w:line="240" w:lineRule="auto"/>
        <w:contextualSpacing/>
        <w:rPr>
          <w:rFonts w:cstheme="minorHAnsi"/>
          <w:sz w:val="24"/>
          <w:szCs w:val="24"/>
        </w:rPr>
      </w:pPr>
      <w:r w:rsidRPr="003817D9">
        <w:rPr>
          <w:rFonts w:cstheme="minorHAnsi"/>
          <w:sz w:val="24"/>
          <w:szCs w:val="24"/>
        </w:rPr>
        <w:t>Describe your leadership style for a threat assessment team.</w:t>
      </w:r>
    </w:p>
    <w:p w14:paraId="63CB8AD7" w14:textId="77777777" w:rsidR="003817D9" w:rsidRPr="00441F01" w:rsidRDefault="003817D9" w:rsidP="003817D9">
      <w:pPr>
        <w:pStyle w:val="ListParagraph"/>
        <w:numPr>
          <w:ilvl w:val="0"/>
          <w:numId w:val="11"/>
        </w:numPr>
        <w:spacing w:after="160" w:line="259" w:lineRule="auto"/>
        <w:rPr>
          <w:rFonts w:asciiTheme="minorHAnsi" w:hAnsiTheme="minorHAnsi" w:cstheme="minorHAnsi"/>
          <w:szCs w:val="24"/>
        </w:rPr>
      </w:pPr>
      <w:r w:rsidRPr="00441F01">
        <w:rPr>
          <w:rFonts w:asciiTheme="minorHAnsi" w:hAnsiTheme="minorHAnsi" w:cstheme="minorHAnsi"/>
          <w:szCs w:val="24"/>
        </w:rPr>
        <w:t xml:space="preserve">How did you first become involved in threat assessment in higher education? </w:t>
      </w:r>
    </w:p>
    <w:p w14:paraId="486A423F" w14:textId="1D36CD4F" w:rsidR="003817D9" w:rsidRPr="003817D9" w:rsidRDefault="003817D9" w:rsidP="00441F01">
      <w:pPr>
        <w:pStyle w:val="ListParagraph"/>
        <w:numPr>
          <w:ilvl w:val="0"/>
          <w:numId w:val="11"/>
        </w:numPr>
        <w:spacing w:after="160" w:line="259" w:lineRule="auto"/>
        <w:rPr>
          <w:rFonts w:cstheme="minorHAnsi"/>
          <w:szCs w:val="24"/>
        </w:rPr>
      </w:pPr>
      <w:r w:rsidRPr="003817D9">
        <w:rPr>
          <w:rFonts w:asciiTheme="minorHAnsi" w:hAnsiTheme="minorHAnsi" w:cstheme="minorHAnsi"/>
          <w:szCs w:val="24"/>
        </w:rPr>
        <w:t>When/how did you move into a leadership role on the threat assessment team (TAT)?</w:t>
      </w:r>
    </w:p>
    <w:p w14:paraId="69F051F5" w14:textId="4CA4C700" w:rsidR="008173D0" w:rsidRPr="008856F9" w:rsidRDefault="008173D0" w:rsidP="008173D0">
      <w:pPr>
        <w:numPr>
          <w:ilvl w:val="0"/>
          <w:numId w:val="11"/>
        </w:numPr>
        <w:spacing w:after="0" w:line="240" w:lineRule="auto"/>
        <w:contextualSpacing/>
        <w:rPr>
          <w:rFonts w:cstheme="minorHAnsi"/>
          <w:sz w:val="24"/>
          <w:szCs w:val="24"/>
        </w:rPr>
      </w:pPr>
      <w:r w:rsidRPr="008856F9">
        <w:rPr>
          <w:rFonts w:cstheme="minorHAnsi"/>
          <w:sz w:val="24"/>
          <w:szCs w:val="24"/>
        </w:rPr>
        <w:lastRenderedPageBreak/>
        <w:t>Describe the threat assessment protocol or practice used at your institution.</w:t>
      </w:r>
    </w:p>
    <w:p w14:paraId="503C6DEF" w14:textId="77777777" w:rsidR="008856F9" w:rsidRPr="008856F9" w:rsidRDefault="008856F9" w:rsidP="008856F9">
      <w:pPr>
        <w:numPr>
          <w:ilvl w:val="1"/>
          <w:numId w:val="11"/>
        </w:numPr>
        <w:spacing w:after="0" w:line="240" w:lineRule="auto"/>
        <w:contextualSpacing/>
        <w:rPr>
          <w:rFonts w:cstheme="minorHAnsi"/>
          <w:sz w:val="24"/>
          <w:szCs w:val="24"/>
        </w:rPr>
      </w:pPr>
      <w:r w:rsidRPr="008856F9">
        <w:rPr>
          <w:rFonts w:cstheme="minorHAnsi"/>
          <w:sz w:val="24"/>
          <w:szCs w:val="24"/>
        </w:rPr>
        <w:t>Do responses vary related to students of concern versus faculty/staff of concern?</w:t>
      </w:r>
    </w:p>
    <w:p w14:paraId="39525B44" w14:textId="77777777" w:rsidR="008856F9" w:rsidRPr="008856F9" w:rsidRDefault="008856F9" w:rsidP="008856F9">
      <w:pPr>
        <w:numPr>
          <w:ilvl w:val="1"/>
          <w:numId w:val="11"/>
        </w:numPr>
        <w:spacing w:after="0" w:line="240" w:lineRule="auto"/>
        <w:contextualSpacing/>
        <w:rPr>
          <w:rFonts w:cstheme="minorHAnsi"/>
          <w:sz w:val="24"/>
          <w:szCs w:val="24"/>
        </w:rPr>
      </w:pPr>
      <w:r w:rsidRPr="008856F9">
        <w:rPr>
          <w:rFonts w:cstheme="minorHAnsi"/>
          <w:sz w:val="24"/>
          <w:szCs w:val="24"/>
        </w:rPr>
        <w:t xml:space="preserve">Is the protocol based on a specific threat assessment model or best practice? If so, please tell me about that. </w:t>
      </w:r>
    </w:p>
    <w:p w14:paraId="278419B2" w14:textId="0E92046E" w:rsidR="008856F9" w:rsidRPr="008856F9" w:rsidRDefault="00CD2AD6" w:rsidP="008856F9">
      <w:pPr>
        <w:numPr>
          <w:ilvl w:val="1"/>
          <w:numId w:val="11"/>
        </w:numPr>
        <w:spacing w:after="0" w:line="240" w:lineRule="auto"/>
        <w:contextualSpacing/>
        <w:rPr>
          <w:rFonts w:cstheme="minorHAnsi"/>
          <w:sz w:val="24"/>
          <w:szCs w:val="24"/>
        </w:rPr>
      </w:pPr>
      <w:r>
        <w:rPr>
          <w:rFonts w:cstheme="minorHAnsi"/>
          <w:sz w:val="24"/>
          <w:szCs w:val="24"/>
        </w:rPr>
        <w:t xml:space="preserve">If unable to acquire documents in advance of the interview: </w:t>
      </w:r>
      <w:r w:rsidR="008856F9" w:rsidRPr="008856F9">
        <w:rPr>
          <w:rFonts w:cstheme="minorHAnsi"/>
          <w:sz w:val="24"/>
          <w:szCs w:val="24"/>
        </w:rPr>
        <w:t>Are you willing/able to provide a digital copy of the protocol(s) or, if applicable, threat assessment policy</w:t>
      </w:r>
      <w:r w:rsidR="0065462A" w:rsidRPr="008856F9">
        <w:rPr>
          <w:rFonts w:cstheme="minorHAnsi"/>
          <w:sz w:val="24"/>
          <w:szCs w:val="24"/>
        </w:rPr>
        <w:t xml:space="preserve">? </w:t>
      </w:r>
    </w:p>
    <w:p w14:paraId="403AB66E" w14:textId="77777777" w:rsidR="008173D0" w:rsidRPr="008856F9" w:rsidRDefault="008173D0" w:rsidP="00441F01">
      <w:pPr>
        <w:spacing w:after="0" w:line="240" w:lineRule="auto"/>
        <w:contextualSpacing/>
        <w:rPr>
          <w:rFonts w:cstheme="minorHAnsi"/>
          <w:sz w:val="24"/>
          <w:szCs w:val="24"/>
        </w:rPr>
      </w:pPr>
    </w:p>
    <w:p w14:paraId="1595C4EB" w14:textId="7E6D92AD" w:rsidR="008856F9" w:rsidRP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 xml:space="preserve">Tell me about the </w:t>
      </w:r>
      <w:r w:rsidR="008173D0" w:rsidRPr="008856F9">
        <w:rPr>
          <w:rFonts w:cstheme="minorHAnsi"/>
          <w:sz w:val="24"/>
          <w:szCs w:val="24"/>
        </w:rPr>
        <w:t xml:space="preserve">challenges </w:t>
      </w:r>
      <w:r w:rsidR="003817D9">
        <w:rPr>
          <w:rFonts w:cstheme="minorHAnsi"/>
          <w:sz w:val="24"/>
          <w:szCs w:val="24"/>
        </w:rPr>
        <w:t xml:space="preserve">/successes </w:t>
      </w:r>
      <w:r w:rsidRPr="008856F9">
        <w:rPr>
          <w:rFonts w:cstheme="minorHAnsi"/>
          <w:sz w:val="24"/>
          <w:szCs w:val="24"/>
        </w:rPr>
        <w:t xml:space="preserve">you face leading a TAT. </w:t>
      </w:r>
    </w:p>
    <w:p w14:paraId="2DB03481" w14:textId="77777777" w:rsidR="008856F9" w:rsidRP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 xml:space="preserve">How do you maintain team engagement? For individuals? For the team? </w:t>
      </w:r>
    </w:p>
    <w:p w14:paraId="5BDAF721" w14:textId="77777777" w:rsidR="008856F9" w:rsidRP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Tell me about professional development for team members?</w:t>
      </w:r>
    </w:p>
    <w:p w14:paraId="7A4784A7" w14:textId="77777777" w:rsidR="008856F9" w:rsidRP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Without revealing identities of persons of concern, tell me about a time when the TAT successfully:</w:t>
      </w:r>
    </w:p>
    <w:p w14:paraId="24B8E871" w14:textId="77777777" w:rsidR="008856F9" w:rsidRPr="008856F9" w:rsidRDefault="008856F9" w:rsidP="008856F9">
      <w:pPr>
        <w:numPr>
          <w:ilvl w:val="1"/>
          <w:numId w:val="11"/>
        </w:numPr>
        <w:spacing w:after="0" w:line="240" w:lineRule="auto"/>
        <w:contextualSpacing/>
        <w:rPr>
          <w:rFonts w:cstheme="minorHAnsi"/>
          <w:sz w:val="24"/>
          <w:szCs w:val="24"/>
        </w:rPr>
      </w:pPr>
      <w:r w:rsidRPr="008856F9">
        <w:rPr>
          <w:rFonts w:cstheme="minorHAnsi"/>
          <w:sz w:val="24"/>
          <w:szCs w:val="24"/>
        </w:rPr>
        <w:t>Implemented prevention strategies?</w:t>
      </w:r>
    </w:p>
    <w:p w14:paraId="64B9EE92" w14:textId="77777777" w:rsidR="008856F9" w:rsidRPr="008856F9" w:rsidRDefault="008856F9" w:rsidP="008856F9">
      <w:pPr>
        <w:numPr>
          <w:ilvl w:val="1"/>
          <w:numId w:val="11"/>
        </w:numPr>
        <w:spacing w:after="0" w:line="240" w:lineRule="auto"/>
        <w:contextualSpacing/>
        <w:rPr>
          <w:rFonts w:cstheme="minorHAnsi"/>
          <w:sz w:val="24"/>
          <w:szCs w:val="24"/>
        </w:rPr>
      </w:pPr>
      <w:r w:rsidRPr="008856F9">
        <w:rPr>
          <w:rFonts w:cstheme="minorHAnsi"/>
          <w:sz w:val="24"/>
          <w:szCs w:val="24"/>
        </w:rPr>
        <w:t>Implemented intervention strategies?</w:t>
      </w:r>
    </w:p>
    <w:p w14:paraId="4C0247BB" w14:textId="77777777" w:rsidR="008856F9" w:rsidRPr="008856F9" w:rsidRDefault="008856F9" w:rsidP="008856F9">
      <w:pPr>
        <w:numPr>
          <w:ilvl w:val="1"/>
          <w:numId w:val="11"/>
        </w:numPr>
        <w:spacing w:after="0" w:line="240" w:lineRule="auto"/>
        <w:contextualSpacing/>
        <w:rPr>
          <w:rFonts w:cstheme="minorHAnsi"/>
          <w:sz w:val="24"/>
          <w:szCs w:val="24"/>
        </w:rPr>
      </w:pPr>
      <w:r w:rsidRPr="008856F9">
        <w:rPr>
          <w:rFonts w:cstheme="minorHAnsi"/>
          <w:sz w:val="24"/>
          <w:szCs w:val="24"/>
        </w:rPr>
        <w:t>And if applicable, implemented postvention strategies (following a violent event/incident)?</w:t>
      </w:r>
    </w:p>
    <w:p w14:paraId="0E86B1F8" w14:textId="77777777" w:rsidR="008856F9" w:rsidRP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 xml:space="preserve">Thinking about the examples shared, was anything unsuccessful and what would you change? </w:t>
      </w:r>
    </w:p>
    <w:p w14:paraId="0152A2B5" w14:textId="77777777" w:rsidR="00D41370" w:rsidRPr="008856F9" w:rsidRDefault="00D41370" w:rsidP="00D41370">
      <w:pPr>
        <w:numPr>
          <w:ilvl w:val="0"/>
          <w:numId w:val="11"/>
        </w:numPr>
        <w:spacing w:after="0" w:line="240" w:lineRule="auto"/>
        <w:contextualSpacing/>
        <w:rPr>
          <w:rFonts w:cstheme="minorHAnsi"/>
          <w:sz w:val="24"/>
          <w:szCs w:val="24"/>
        </w:rPr>
      </w:pPr>
      <w:r w:rsidRPr="008856F9">
        <w:rPr>
          <w:rFonts w:cstheme="minorHAnsi"/>
          <w:sz w:val="24"/>
          <w:szCs w:val="24"/>
        </w:rPr>
        <w:t xml:space="preserve">How do you define </w:t>
      </w:r>
      <w:r>
        <w:rPr>
          <w:rFonts w:cstheme="minorHAnsi"/>
          <w:sz w:val="24"/>
          <w:szCs w:val="24"/>
        </w:rPr>
        <w:t xml:space="preserve">TAT </w:t>
      </w:r>
      <w:r w:rsidRPr="008856F9">
        <w:rPr>
          <w:rFonts w:cstheme="minorHAnsi"/>
          <w:sz w:val="24"/>
          <w:szCs w:val="24"/>
        </w:rPr>
        <w:t xml:space="preserve">success? </w:t>
      </w:r>
    </w:p>
    <w:p w14:paraId="0EAEDE6B" w14:textId="3CB1BD04" w:rsidR="003817D9" w:rsidRPr="008856F9" w:rsidRDefault="003817D9" w:rsidP="008856F9">
      <w:pPr>
        <w:numPr>
          <w:ilvl w:val="0"/>
          <w:numId w:val="11"/>
        </w:numPr>
        <w:spacing w:after="0" w:line="240" w:lineRule="auto"/>
        <w:contextualSpacing/>
        <w:rPr>
          <w:rFonts w:cstheme="minorHAnsi"/>
          <w:sz w:val="24"/>
          <w:szCs w:val="24"/>
        </w:rPr>
      </w:pPr>
      <w:r>
        <w:rPr>
          <w:rFonts w:cstheme="minorHAnsi"/>
          <w:sz w:val="24"/>
          <w:szCs w:val="24"/>
        </w:rPr>
        <w:t>\How do you operationalize success?</w:t>
      </w:r>
    </w:p>
    <w:p w14:paraId="1A0954EF" w14:textId="77777777" w:rsidR="008856F9" w:rsidRDefault="008856F9" w:rsidP="008856F9">
      <w:pPr>
        <w:numPr>
          <w:ilvl w:val="0"/>
          <w:numId w:val="11"/>
        </w:numPr>
        <w:spacing w:after="0" w:line="240" w:lineRule="auto"/>
        <w:contextualSpacing/>
        <w:rPr>
          <w:rFonts w:cstheme="minorHAnsi"/>
          <w:sz w:val="24"/>
          <w:szCs w:val="24"/>
        </w:rPr>
      </w:pPr>
      <w:r w:rsidRPr="008856F9">
        <w:rPr>
          <w:rFonts w:cstheme="minorHAnsi"/>
          <w:sz w:val="24"/>
          <w:szCs w:val="24"/>
        </w:rPr>
        <w:t>Is there anything else you would like to share?</w:t>
      </w:r>
    </w:p>
    <w:p w14:paraId="2E1033FE" w14:textId="77777777" w:rsidR="008856F9" w:rsidRPr="008856F9" w:rsidRDefault="008856F9" w:rsidP="008856F9">
      <w:pPr>
        <w:spacing w:after="0" w:line="240" w:lineRule="auto"/>
        <w:ind w:left="720"/>
        <w:contextualSpacing/>
        <w:rPr>
          <w:rFonts w:cstheme="minorHAnsi"/>
          <w:sz w:val="24"/>
          <w:szCs w:val="24"/>
        </w:rPr>
      </w:pPr>
    </w:p>
    <w:p w14:paraId="7B33E5B6" w14:textId="77777777" w:rsidR="008856F9" w:rsidRDefault="008856F9" w:rsidP="008856F9">
      <w:pPr>
        <w:spacing w:after="0" w:line="240" w:lineRule="auto"/>
        <w:rPr>
          <w:rFonts w:cstheme="minorHAnsi"/>
          <w:b/>
          <w:bCs/>
          <w:sz w:val="24"/>
          <w:szCs w:val="24"/>
          <w:u w:val="single"/>
        </w:rPr>
      </w:pPr>
      <w:r w:rsidRPr="008856F9">
        <w:rPr>
          <w:rFonts w:cstheme="minorHAnsi"/>
          <w:b/>
          <w:bCs/>
          <w:sz w:val="24"/>
          <w:szCs w:val="24"/>
          <w:u w:val="single"/>
        </w:rPr>
        <w:t>Closing Statement</w:t>
      </w:r>
      <w:r>
        <w:rPr>
          <w:rFonts w:cstheme="minorHAnsi"/>
          <w:b/>
          <w:bCs/>
          <w:sz w:val="24"/>
          <w:szCs w:val="24"/>
          <w:u w:val="single"/>
        </w:rPr>
        <w:t>:</w:t>
      </w:r>
    </w:p>
    <w:p w14:paraId="2E41A75C" w14:textId="2CA3A50F" w:rsidR="004348EC" w:rsidRDefault="008856F9" w:rsidP="00441F01">
      <w:pPr>
        <w:spacing w:after="0" w:line="240" w:lineRule="auto"/>
        <w:rPr>
          <w:rFonts w:cstheme="minorHAnsi"/>
          <w:sz w:val="24"/>
          <w:szCs w:val="24"/>
        </w:rPr>
      </w:pPr>
      <w:r w:rsidRPr="008856F9">
        <w:rPr>
          <w:rFonts w:cstheme="minorHAnsi"/>
          <w:sz w:val="24"/>
          <w:szCs w:val="24"/>
        </w:rPr>
        <w:t xml:space="preserve">Thank you again for your participation today. This concludes the interview. I will transcribe the interview and provide a copy for your review and feedback in the coming days. Please let me know if you have any questions. </w:t>
      </w:r>
    </w:p>
    <w:p w14:paraId="415542A4" w14:textId="418863D3" w:rsidR="00AB771A" w:rsidRDefault="00AB771A">
      <w:pPr>
        <w:rPr>
          <w:rFonts w:cstheme="minorHAnsi"/>
          <w:sz w:val="24"/>
          <w:szCs w:val="24"/>
        </w:rPr>
      </w:pPr>
      <w:r>
        <w:rPr>
          <w:rFonts w:cstheme="minorHAnsi"/>
          <w:sz w:val="24"/>
          <w:szCs w:val="24"/>
        </w:rPr>
        <w:br w:type="page"/>
      </w:r>
    </w:p>
    <w:p w14:paraId="286A6980" w14:textId="3C3051ED" w:rsidR="00AB771A" w:rsidRPr="00441F01" w:rsidRDefault="00AB771A" w:rsidP="00441F01">
      <w:pPr>
        <w:spacing w:after="0" w:line="240" w:lineRule="auto"/>
        <w:jc w:val="center"/>
        <w:rPr>
          <w:rFonts w:cstheme="minorHAnsi"/>
          <w:b/>
          <w:bCs/>
          <w:sz w:val="24"/>
          <w:szCs w:val="24"/>
        </w:rPr>
      </w:pPr>
      <w:r w:rsidRPr="00AB771A">
        <w:rPr>
          <w:rFonts w:cstheme="minorHAnsi"/>
          <w:b/>
          <w:bCs/>
          <w:sz w:val="24"/>
          <w:szCs w:val="24"/>
        </w:rPr>
        <w:lastRenderedPageBreak/>
        <w:t>Vita</w:t>
      </w:r>
    </w:p>
    <w:p w14:paraId="4F3157F4" w14:textId="77777777" w:rsidR="008856F9" w:rsidRPr="009513A7" w:rsidRDefault="008856F9" w:rsidP="008856F9">
      <w:pPr>
        <w:spacing w:after="0" w:line="240" w:lineRule="auto"/>
        <w:jc w:val="center"/>
        <w:rPr>
          <w:rFonts w:cstheme="minorHAnsi"/>
          <w:sz w:val="24"/>
          <w:szCs w:val="24"/>
        </w:rPr>
      </w:pPr>
    </w:p>
    <w:sectPr w:rsidR="008856F9" w:rsidRPr="009513A7">
      <w:head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19F0C" w14:textId="77777777" w:rsidR="00B42384" w:rsidRDefault="00B42384" w:rsidP="00534AA2">
      <w:pPr>
        <w:spacing w:after="0" w:line="240" w:lineRule="auto"/>
      </w:pPr>
      <w:r>
        <w:separator/>
      </w:r>
    </w:p>
  </w:endnote>
  <w:endnote w:type="continuationSeparator" w:id="0">
    <w:p w14:paraId="5296240D" w14:textId="77777777" w:rsidR="00B42384" w:rsidRDefault="00B42384" w:rsidP="0053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67FF" w14:textId="77777777" w:rsidR="00B42384" w:rsidRDefault="00B42384" w:rsidP="00534AA2">
      <w:pPr>
        <w:spacing w:after="0" w:line="240" w:lineRule="auto"/>
      </w:pPr>
      <w:r>
        <w:separator/>
      </w:r>
    </w:p>
  </w:footnote>
  <w:footnote w:type="continuationSeparator" w:id="0">
    <w:p w14:paraId="00C92B66" w14:textId="77777777" w:rsidR="00B42384" w:rsidRDefault="00B42384" w:rsidP="00534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92585"/>
      <w:docPartObj>
        <w:docPartGallery w:val="Page Numbers (Top of Page)"/>
        <w:docPartUnique/>
      </w:docPartObj>
    </w:sdtPr>
    <w:sdtEndPr>
      <w:rPr>
        <w:noProof/>
      </w:rPr>
    </w:sdtEndPr>
    <w:sdtContent>
      <w:p w14:paraId="2F30DB50" w14:textId="22A8D2C5" w:rsidR="00534AA2" w:rsidRDefault="00534A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DBD21C" w14:textId="77777777" w:rsidR="00534AA2" w:rsidRDefault="00534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0DC"/>
    <w:multiLevelType w:val="hybridMultilevel"/>
    <w:tmpl w:val="05DA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C14B7"/>
    <w:multiLevelType w:val="hybridMultilevel"/>
    <w:tmpl w:val="B236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60942"/>
    <w:multiLevelType w:val="hybridMultilevel"/>
    <w:tmpl w:val="63F29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10D96"/>
    <w:multiLevelType w:val="hybridMultilevel"/>
    <w:tmpl w:val="31001C26"/>
    <w:lvl w:ilvl="0" w:tplc="5D502604">
      <w:start w:val="1"/>
      <w:numFmt w:val="decimal"/>
      <w:lvlText w:val="%1."/>
      <w:lvlJc w:val="left"/>
      <w:pPr>
        <w:ind w:left="900" w:hanging="360"/>
      </w:pPr>
      <w:rPr>
        <w:rFonts w:asciiTheme="minorHAnsi" w:hAnsiTheme="minorHAnsi" w:cstheme="minorHAns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8533130"/>
    <w:multiLevelType w:val="multilevel"/>
    <w:tmpl w:val="35EACAD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217014"/>
    <w:multiLevelType w:val="hybridMultilevel"/>
    <w:tmpl w:val="9DFAF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13981"/>
    <w:multiLevelType w:val="hybridMultilevel"/>
    <w:tmpl w:val="8FC61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D14E2"/>
    <w:multiLevelType w:val="hybridMultilevel"/>
    <w:tmpl w:val="984E8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934F6"/>
    <w:multiLevelType w:val="hybridMultilevel"/>
    <w:tmpl w:val="69F2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541491"/>
    <w:multiLevelType w:val="hybridMultilevel"/>
    <w:tmpl w:val="7CB6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67020F"/>
    <w:multiLevelType w:val="hybridMultilevel"/>
    <w:tmpl w:val="67CA3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E33579"/>
    <w:multiLevelType w:val="hybridMultilevel"/>
    <w:tmpl w:val="A4FC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F409EA"/>
    <w:multiLevelType w:val="hybridMultilevel"/>
    <w:tmpl w:val="342A9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767D50"/>
    <w:multiLevelType w:val="hybridMultilevel"/>
    <w:tmpl w:val="7EC24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0849E9"/>
    <w:multiLevelType w:val="hybridMultilevel"/>
    <w:tmpl w:val="512A2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EC14CD"/>
    <w:multiLevelType w:val="hybridMultilevel"/>
    <w:tmpl w:val="C8701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0459133">
    <w:abstractNumId w:val="9"/>
  </w:num>
  <w:num w:numId="2" w16cid:durableId="604650935">
    <w:abstractNumId w:val="15"/>
  </w:num>
  <w:num w:numId="3" w16cid:durableId="1279869884">
    <w:abstractNumId w:val="7"/>
  </w:num>
  <w:num w:numId="4" w16cid:durableId="992637368">
    <w:abstractNumId w:val="13"/>
  </w:num>
  <w:num w:numId="5" w16cid:durableId="1791824672">
    <w:abstractNumId w:val="12"/>
  </w:num>
  <w:num w:numId="6" w16cid:durableId="587234359">
    <w:abstractNumId w:val="3"/>
  </w:num>
  <w:num w:numId="7" w16cid:durableId="2018337605">
    <w:abstractNumId w:val="4"/>
  </w:num>
  <w:num w:numId="8" w16cid:durableId="1919778190">
    <w:abstractNumId w:val="1"/>
  </w:num>
  <w:num w:numId="9" w16cid:durableId="1064913352">
    <w:abstractNumId w:val="8"/>
  </w:num>
  <w:num w:numId="10" w16cid:durableId="461314310">
    <w:abstractNumId w:val="6"/>
  </w:num>
  <w:num w:numId="11" w16cid:durableId="1040083327">
    <w:abstractNumId w:val="10"/>
  </w:num>
  <w:num w:numId="12" w16cid:durableId="1614483409">
    <w:abstractNumId w:val="0"/>
  </w:num>
  <w:num w:numId="13" w16cid:durableId="185220425">
    <w:abstractNumId w:val="5"/>
  </w:num>
  <w:num w:numId="14" w16cid:durableId="416560740">
    <w:abstractNumId w:val="11"/>
  </w:num>
  <w:num w:numId="15" w16cid:durableId="189950326">
    <w:abstractNumId w:val="14"/>
  </w:num>
  <w:num w:numId="16" w16cid:durableId="235938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89"/>
    <w:rsid w:val="00000F22"/>
    <w:rsid w:val="00001AAB"/>
    <w:rsid w:val="00005A5E"/>
    <w:rsid w:val="00010378"/>
    <w:rsid w:val="00011CBD"/>
    <w:rsid w:val="000136A9"/>
    <w:rsid w:val="000143FF"/>
    <w:rsid w:val="00015783"/>
    <w:rsid w:val="000204A9"/>
    <w:rsid w:val="0002293A"/>
    <w:rsid w:val="00051682"/>
    <w:rsid w:val="000539DE"/>
    <w:rsid w:val="000546C0"/>
    <w:rsid w:val="00064A26"/>
    <w:rsid w:val="00065BB6"/>
    <w:rsid w:val="00070661"/>
    <w:rsid w:val="000724BF"/>
    <w:rsid w:val="000735D3"/>
    <w:rsid w:val="000760F4"/>
    <w:rsid w:val="00077CD5"/>
    <w:rsid w:val="00081304"/>
    <w:rsid w:val="00081715"/>
    <w:rsid w:val="00086B06"/>
    <w:rsid w:val="000916D4"/>
    <w:rsid w:val="00092989"/>
    <w:rsid w:val="00093182"/>
    <w:rsid w:val="000A50FC"/>
    <w:rsid w:val="000C19BB"/>
    <w:rsid w:val="000C40EA"/>
    <w:rsid w:val="000C4F49"/>
    <w:rsid w:val="000C4FEE"/>
    <w:rsid w:val="000D2640"/>
    <w:rsid w:val="000D44DF"/>
    <w:rsid w:val="000E2278"/>
    <w:rsid w:val="000E49AA"/>
    <w:rsid w:val="000E4B33"/>
    <w:rsid w:val="000E7B27"/>
    <w:rsid w:val="000F19C4"/>
    <w:rsid w:val="000F451C"/>
    <w:rsid w:val="001011D1"/>
    <w:rsid w:val="00103960"/>
    <w:rsid w:val="0010630B"/>
    <w:rsid w:val="00110BDA"/>
    <w:rsid w:val="00113823"/>
    <w:rsid w:val="00122002"/>
    <w:rsid w:val="001323C9"/>
    <w:rsid w:val="00136BFC"/>
    <w:rsid w:val="00140184"/>
    <w:rsid w:val="00143E9B"/>
    <w:rsid w:val="00145A35"/>
    <w:rsid w:val="00151692"/>
    <w:rsid w:val="00154A25"/>
    <w:rsid w:val="0016527E"/>
    <w:rsid w:val="00167007"/>
    <w:rsid w:val="00176804"/>
    <w:rsid w:val="00177FDB"/>
    <w:rsid w:val="00186BD0"/>
    <w:rsid w:val="0019181E"/>
    <w:rsid w:val="001A01F6"/>
    <w:rsid w:val="001A112C"/>
    <w:rsid w:val="001A3448"/>
    <w:rsid w:val="001A59F7"/>
    <w:rsid w:val="001B01BF"/>
    <w:rsid w:val="001B159E"/>
    <w:rsid w:val="001B270F"/>
    <w:rsid w:val="001B671C"/>
    <w:rsid w:val="001C7730"/>
    <w:rsid w:val="001D0C48"/>
    <w:rsid w:val="001D74E8"/>
    <w:rsid w:val="001E2D24"/>
    <w:rsid w:val="001E77F8"/>
    <w:rsid w:val="001F3B3D"/>
    <w:rsid w:val="0020098E"/>
    <w:rsid w:val="002049F3"/>
    <w:rsid w:val="002050DD"/>
    <w:rsid w:val="00207B60"/>
    <w:rsid w:val="00212678"/>
    <w:rsid w:val="002174D4"/>
    <w:rsid w:val="0022240C"/>
    <w:rsid w:val="002240FA"/>
    <w:rsid w:val="00241D3B"/>
    <w:rsid w:val="00243482"/>
    <w:rsid w:val="00243698"/>
    <w:rsid w:val="00243F5E"/>
    <w:rsid w:val="00244EEC"/>
    <w:rsid w:val="00250772"/>
    <w:rsid w:val="00257DEE"/>
    <w:rsid w:val="002621D5"/>
    <w:rsid w:val="00277E56"/>
    <w:rsid w:val="00281BD5"/>
    <w:rsid w:val="0028391F"/>
    <w:rsid w:val="00285F7A"/>
    <w:rsid w:val="002909CA"/>
    <w:rsid w:val="00290E21"/>
    <w:rsid w:val="002A6C33"/>
    <w:rsid w:val="002A77D2"/>
    <w:rsid w:val="002B2B5B"/>
    <w:rsid w:val="002C134F"/>
    <w:rsid w:val="002C18AC"/>
    <w:rsid w:val="002C253F"/>
    <w:rsid w:val="002C5BEC"/>
    <w:rsid w:val="002C6677"/>
    <w:rsid w:val="002C71B9"/>
    <w:rsid w:val="002D0EB9"/>
    <w:rsid w:val="002D236F"/>
    <w:rsid w:val="002D4F24"/>
    <w:rsid w:val="002D5C7E"/>
    <w:rsid w:val="002D71F0"/>
    <w:rsid w:val="002E08F2"/>
    <w:rsid w:val="002E42D8"/>
    <w:rsid w:val="002F06E6"/>
    <w:rsid w:val="002F6F81"/>
    <w:rsid w:val="003003A8"/>
    <w:rsid w:val="00302AF6"/>
    <w:rsid w:val="003123F8"/>
    <w:rsid w:val="00316254"/>
    <w:rsid w:val="00317635"/>
    <w:rsid w:val="00325513"/>
    <w:rsid w:val="003269FB"/>
    <w:rsid w:val="00332F2A"/>
    <w:rsid w:val="00333880"/>
    <w:rsid w:val="0033433E"/>
    <w:rsid w:val="0033578A"/>
    <w:rsid w:val="00343D60"/>
    <w:rsid w:val="00345F1D"/>
    <w:rsid w:val="00346CE9"/>
    <w:rsid w:val="0034776C"/>
    <w:rsid w:val="00347B3F"/>
    <w:rsid w:val="00351C1B"/>
    <w:rsid w:val="00351C73"/>
    <w:rsid w:val="0035478B"/>
    <w:rsid w:val="00361D80"/>
    <w:rsid w:val="00366A57"/>
    <w:rsid w:val="003712EC"/>
    <w:rsid w:val="00373721"/>
    <w:rsid w:val="00373C55"/>
    <w:rsid w:val="003817D9"/>
    <w:rsid w:val="00381C14"/>
    <w:rsid w:val="00383C79"/>
    <w:rsid w:val="00387E71"/>
    <w:rsid w:val="0039182B"/>
    <w:rsid w:val="00394999"/>
    <w:rsid w:val="003A148B"/>
    <w:rsid w:val="003A3497"/>
    <w:rsid w:val="003B1D24"/>
    <w:rsid w:val="003B3670"/>
    <w:rsid w:val="003B77EE"/>
    <w:rsid w:val="003B7CDF"/>
    <w:rsid w:val="003C070C"/>
    <w:rsid w:val="003F0D09"/>
    <w:rsid w:val="003F161F"/>
    <w:rsid w:val="003F7650"/>
    <w:rsid w:val="00401F5F"/>
    <w:rsid w:val="00406152"/>
    <w:rsid w:val="00410DEA"/>
    <w:rsid w:val="00412E86"/>
    <w:rsid w:val="00414B56"/>
    <w:rsid w:val="00420DF9"/>
    <w:rsid w:val="00423E8E"/>
    <w:rsid w:val="004245F2"/>
    <w:rsid w:val="0043110E"/>
    <w:rsid w:val="004348EC"/>
    <w:rsid w:val="00441F01"/>
    <w:rsid w:val="0044455C"/>
    <w:rsid w:val="004473C5"/>
    <w:rsid w:val="00447528"/>
    <w:rsid w:val="00452290"/>
    <w:rsid w:val="00452BE3"/>
    <w:rsid w:val="004556FF"/>
    <w:rsid w:val="004621C2"/>
    <w:rsid w:val="0046553F"/>
    <w:rsid w:val="00470359"/>
    <w:rsid w:val="00482AF8"/>
    <w:rsid w:val="004850EC"/>
    <w:rsid w:val="00493BA1"/>
    <w:rsid w:val="004A29BB"/>
    <w:rsid w:val="004A557D"/>
    <w:rsid w:val="004A75A3"/>
    <w:rsid w:val="004B1DA2"/>
    <w:rsid w:val="004B26C8"/>
    <w:rsid w:val="004B74D0"/>
    <w:rsid w:val="004C028F"/>
    <w:rsid w:val="004D34C9"/>
    <w:rsid w:val="004E6F0C"/>
    <w:rsid w:val="004F09A9"/>
    <w:rsid w:val="004F1708"/>
    <w:rsid w:val="004F37F0"/>
    <w:rsid w:val="005007D7"/>
    <w:rsid w:val="00501548"/>
    <w:rsid w:val="00501ED9"/>
    <w:rsid w:val="005063A3"/>
    <w:rsid w:val="00511CC6"/>
    <w:rsid w:val="00522CE0"/>
    <w:rsid w:val="00523617"/>
    <w:rsid w:val="00523995"/>
    <w:rsid w:val="00524B45"/>
    <w:rsid w:val="00524D3F"/>
    <w:rsid w:val="0052736E"/>
    <w:rsid w:val="005277B3"/>
    <w:rsid w:val="00534AA2"/>
    <w:rsid w:val="0054324C"/>
    <w:rsid w:val="00547494"/>
    <w:rsid w:val="0055300F"/>
    <w:rsid w:val="00554FE0"/>
    <w:rsid w:val="00556386"/>
    <w:rsid w:val="0055688D"/>
    <w:rsid w:val="00564AD3"/>
    <w:rsid w:val="00572A23"/>
    <w:rsid w:val="00573306"/>
    <w:rsid w:val="005808DC"/>
    <w:rsid w:val="0058224B"/>
    <w:rsid w:val="005831C3"/>
    <w:rsid w:val="00585F2B"/>
    <w:rsid w:val="005A3736"/>
    <w:rsid w:val="005A734A"/>
    <w:rsid w:val="005B12A6"/>
    <w:rsid w:val="005B589F"/>
    <w:rsid w:val="005B66A2"/>
    <w:rsid w:val="005B67F9"/>
    <w:rsid w:val="005D3BD7"/>
    <w:rsid w:val="005D4FC3"/>
    <w:rsid w:val="005E385F"/>
    <w:rsid w:val="005E462E"/>
    <w:rsid w:val="005F69FB"/>
    <w:rsid w:val="0060183D"/>
    <w:rsid w:val="00602F09"/>
    <w:rsid w:val="0061578A"/>
    <w:rsid w:val="00630719"/>
    <w:rsid w:val="006414BE"/>
    <w:rsid w:val="00644956"/>
    <w:rsid w:val="006514C7"/>
    <w:rsid w:val="00651FFD"/>
    <w:rsid w:val="0065462A"/>
    <w:rsid w:val="00655000"/>
    <w:rsid w:val="00657AF5"/>
    <w:rsid w:val="00665509"/>
    <w:rsid w:val="00667759"/>
    <w:rsid w:val="006746DA"/>
    <w:rsid w:val="0067564A"/>
    <w:rsid w:val="00675DCF"/>
    <w:rsid w:val="0068421D"/>
    <w:rsid w:val="00685799"/>
    <w:rsid w:val="006926E4"/>
    <w:rsid w:val="006A27B5"/>
    <w:rsid w:val="006B1421"/>
    <w:rsid w:val="006B2CA1"/>
    <w:rsid w:val="006B3524"/>
    <w:rsid w:val="006B5819"/>
    <w:rsid w:val="006C31CD"/>
    <w:rsid w:val="006D4D4F"/>
    <w:rsid w:val="006D50F6"/>
    <w:rsid w:val="006D5277"/>
    <w:rsid w:val="006D5D5C"/>
    <w:rsid w:val="006D703C"/>
    <w:rsid w:val="006E60EA"/>
    <w:rsid w:val="006F4A9E"/>
    <w:rsid w:val="006F5F61"/>
    <w:rsid w:val="006F6395"/>
    <w:rsid w:val="00702C94"/>
    <w:rsid w:val="007041EE"/>
    <w:rsid w:val="0072152B"/>
    <w:rsid w:val="00723EE4"/>
    <w:rsid w:val="00725169"/>
    <w:rsid w:val="00731A28"/>
    <w:rsid w:val="00732EF8"/>
    <w:rsid w:val="00733F8B"/>
    <w:rsid w:val="0073690A"/>
    <w:rsid w:val="00737164"/>
    <w:rsid w:val="00746A56"/>
    <w:rsid w:val="00746E9F"/>
    <w:rsid w:val="00746F12"/>
    <w:rsid w:val="00747034"/>
    <w:rsid w:val="00750EFB"/>
    <w:rsid w:val="00752CBD"/>
    <w:rsid w:val="00755453"/>
    <w:rsid w:val="00757D3B"/>
    <w:rsid w:val="00766AD6"/>
    <w:rsid w:val="00772A4D"/>
    <w:rsid w:val="00774FD3"/>
    <w:rsid w:val="007761D2"/>
    <w:rsid w:val="007841E6"/>
    <w:rsid w:val="00790AC3"/>
    <w:rsid w:val="00793884"/>
    <w:rsid w:val="00796BA9"/>
    <w:rsid w:val="007A112E"/>
    <w:rsid w:val="007A315D"/>
    <w:rsid w:val="007A4ED4"/>
    <w:rsid w:val="007B50F8"/>
    <w:rsid w:val="007B68FE"/>
    <w:rsid w:val="007B79D9"/>
    <w:rsid w:val="007C0AA6"/>
    <w:rsid w:val="007C3F96"/>
    <w:rsid w:val="007C4016"/>
    <w:rsid w:val="007C7D5B"/>
    <w:rsid w:val="007D03C4"/>
    <w:rsid w:val="007D2023"/>
    <w:rsid w:val="007E0860"/>
    <w:rsid w:val="007F102D"/>
    <w:rsid w:val="007F5C42"/>
    <w:rsid w:val="00803E6C"/>
    <w:rsid w:val="0081425A"/>
    <w:rsid w:val="008173D0"/>
    <w:rsid w:val="00817B63"/>
    <w:rsid w:val="008213A7"/>
    <w:rsid w:val="00821497"/>
    <w:rsid w:val="0082187B"/>
    <w:rsid w:val="00831640"/>
    <w:rsid w:val="0083202B"/>
    <w:rsid w:val="008322AF"/>
    <w:rsid w:val="00832D2E"/>
    <w:rsid w:val="0083693F"/>
    <w:rsid w:val="00844A21"/>
    <w:rsid w:val="00846FC3"/>
    <w:rsid w:val="00851038"/>
    <w:rsid w:val="00851BFA"/>
    <w:rsid w:val="008573C4"/>
    <w:rsid w:val="008831B8"/>
    <w:rsid w:val="008856F9"/>
    <w:rsid w:val="00885CD8"/>
    <w:rsid w:val="0088789D"/>
    <w:rsid w:val="00894B74"/>
    <w:rsid w:val="0089543A"/>
    <w:rsid w:val="008A05A6"/>
    <w:rsid w:val="008A06B5"/>
    <w:rsid w:val="008B0ECC"/>
    <w:rsid w:val="008B3F3A"/>
    <w:rsid w:val="008B7EE0"/>
    <w:rsid w:val="008C273C"/>
    <w:rsid w:val="008C33DA"/>
    <w:rsid w:val="008C59C9"/>
    <w:rsid w:val="008D00A1"/>
    <w:rsid w:val="008D6938"/>
    <w:rsid w:val="008E420B"/>
    <w:rsid w:val="008E639E"/>
    <w:rsid w:val="008F1DE5"/>
    <w:rsid w:val="008F2303"/>
    <w:rsid w:val="008F70DD"/>
    <w:rsid w:val="008F7399"/>
    <w:rsid w:val="00905778"/>
    <w:rsid w:val="00917A5A"/>
    <w:rsid w:val="00921328"/>
    <w:rsid w:val="00923268"/>
    <w:rsid w:val="0093100B"/>
    <w:rsid w:val="00931665"/>
    <w:rsid w:val="009331E3"/>
    <w:rsid w:val="0094110B"/>
    <w:rsid w:val="00944044"/>
    <w:rsid w:val="00944078"/>
    <w:rsid w:val="009513A7"/>
    <w:rsid w:val="00952D5B"/>
    <w:rsid w:val="00962CFA"/>
    <w:rsid w:val="00972825"/>
    <w:rsid w:val="00973AA8"/>
    <w:rsid w:val="009740BD"/>
    <w:rsid w:val="00976047"/>
    <w:rsid w:val="00977356"/>
    <w:rsid w:val="009872FF"/>
    <w:rsid w:val="009877BF"/>
    <w:rsid w:val="009908BD"/>
    <w:rsid w:val="00992EED"/>
    <w:rsid w:val="00997B81"/>
    <w:rsid w:val="009A5018"/>
    <w:rsid w:val="009B4A7F"/>
    <w:rsid w:val="009B5C5C"/>
    <w:rsid w:val="009C4DEF"/>
    <w:rsid w:val="009D2435"/>
    <w:rsid w:val="009D4DC3"/>
    <w:rsid w:val="009E11AA"/>
    <w:rsid w:val="009E2882"/>
    <w:rsid w:val="009E4CDF"/>
    <w:rsid w:val="009F5070"/>
    <w:rsid w:val="009F72B8"/>
    <w:rsid w:val="00A026B0"/>
    <w:rsid w:val="00A04160"/>
    <w:rsid w:val="00A05B8D"/>
    <w:rsid w:val="00A150A3"/>
    <w:rsid w:val="00A153E3"/>
    <w:rsid w:val="00A1697C"/>
    <w:rsid w:val="00A17262"/>
    <w:rsid w:val="00A228C1"/>
    <w:rsid w:val="00A25010"/>
    <w:rsid w:val="00A26166"/>
    <w:rsid w:val="00A26C29"/>
    <w:rsid w:val="00A27A2E"/>
    <w:rsid w:val="00A307CA"/>
    <w:rsid w:val="00A324A4"/>
    <w:rsid w:val="00A33B5B"/>
    <w:rsid w:val="00A421E1"/>
    <w:rsid w:val="00A42475"/>
    <w:rsid w:val="00A4782C"/>
    <w:rsid w:val="00A5362E"/>
    <w:rsid w:val="00A56BEF"/>
    <w:rsid w:val="00A57AFA"/>
    <w:rsid w:val="00A64049"/>
    <w:rsid w:val="00A65793"/>
    <w:rsid w:val="00A67522"/>
    <w:rsid w:val="00A717F6"/>
    <w:rsid w:val="00A80ABE"/>
    <w:rsid w:val="00A8480C"/>
    <w:rsid w:val="00AA43CB"/>
    <w:rsid w:val="00AB56CE"/>
    <w:rsid w:val="00AB771A"/>
    <w:rsid w:val="00AC5689"/>
    <w:rsid w:val="00AD4332"/>
    <w:rsid w:val="00AD682D"/>
    <w:rsid w:val="00AE170B"/>
    <w:rsid w:val="00AE39F6"/>
    <w:rsid w:val="00AE4ADA"/>
    <w:rsid w:val="00AF7077"/>
    <w:rsid w:val="00B03113"/>
    <w:rsid w:val="00B10171"/>
    <w:rsid w:val="00B11253"/>
    <w:rsid w:val="00B14AA1"/>
    <w:rsid w:val="00B17631"/>
    <w:rsid w:val="00B17CA5"/>
    <w:rsid w:val="00B2002C"/>
    <w:rsid w:val="00B20AC5"/>
    <w:rsid w:val="00B23E01"/>
    <w:rsid w:val="00B2797B"/>
    <w:rsid w:val="00B3002C"/>
    <w:rsid w:val="00B33FA9"/>
    <w:rsid w:val="00B4038D"/>
    <w:rsid w:val="00B4198E"/>
    <w:rsid w:val="00B42384"/>
    <w:rsid w:val="00B52DF7"/>
    <w:rsid w:val="00B54BAA"/>
    <w:rsid w:val="00B55A15"/>
    <w:rsid w:val="00B57B12"/>
    <w:rsid w:val="00B57EBD"/>
    <w:rsid w:val="00B6098C"/>
    <w:rsid w:val="00B622F9"/>
    <w:rsid w:val="00B623AE"/>
    <w:rsid w:val="00B71FB7"/>
    <w:rsid w:val="00B943D7"/>
    <w:rsid w:val="00B96219"/>
    <w:rsid w:val="00B9712B"/>
    <w:rsid w:val="00BA37DC"/>
    <w:rsid w:val="00BB1291"/>
    <w:rsid w:val="00BB1655"/>
    <w:rsid w:val="00BC7456"/>
    <w:rsid w:val="00BD13FF"/>
    <w:rsid w:val="00BD141C"/>
    <w:rsid w:val="00BD4176"/>
    <w:rsid w:val="00BD6B14"/>
    <w:rsid w:val="00BD77E4"/>
    <w:rsid w:val="00BE1D28"/>
    <w:rsid w:val="00BE6BD3"/>
    <w:rsid w:val="00BF088C"/>
    <w:rsid w:val="00BF18E0"/>
    <w:rsid w:val="00BF3A6F"/>
    <w:rsid w:val="00BF4E35"/>
    <w:rsid w:val="00BF55E0"/>
    <w:rsid w:val="00C002D9"/>
    <w:rsid w:val="00C01E3F"/>
    <w:rsid w:val="00C0210C"/>
    <w:rsid w:val="00C04872"/>
    <w:rsid w:val="00C06B62"/>
    <w:rsid w:val="00C117A6"/>
    <w:rsid w:val="00C40D8D"/>
    <w:rsid w:val="00C43856"/>
    <w:rsid w:val="00C46B58"/>
    <w:rsid w:val="00C54FFF"/>
    <w:rsid w:val="00C602C8"/>
    <w:rsid w:val="00C604E5"/>
    <w:rsid w:val="00C61DE6"/>
    <w:rsid w:val="00C64F87"/>
    <w:rsid w:val="00C67E3E"/>
    <w:rsid w:val="00C70B3B"/>
    <w:rsid w:val="00C70B98"/>
    <w:rsid w:val="00C71D0E"/>
    <w:rsid w:val="00C77030"/>
    <w:rsid w:val="00C84576"/>
    <w:rsid w:val="00C85E53"/>
    <w:rsid w:val="00C956CC"/>
    <w:rsid w:val="00CB38CC"/>
    <w:rsid w:val="00CB5F94"/>
    <w:rsid w:val="00CB7F00"/>
    <w:rsid w:val="00CC3155"/>
    <w:rsid w:val="00CC64E1"/>
    <w:rsid w:val="00CD2568"/>
    <w:rsid w:val="00CD2AD6"/>
    <w:rsid w:val="00CD5EC0"/>
    <w:rsid w:val="00CD62A0"/>
    <w:rsid w:val="00CD729E"/>
    <w:rsid w:val="00CE3F7E"/>
    <w:rsid w:val="00CE4E71"/>
    <w:rsid w:val="00CE6C82"/>
    <w:rsid w:val="00CF3C33"/>
    <w:rsid w:val="00CF51A2"/>
    <w:rsid w:val="00CF546D"/>
    <w:rsid w:val="00D0098A"/>
    <w:rsid w:val="00D111A8"/>
    <w:rsid w:val="00D22794"/>
    <w:rsid w:val="00D233AF"/>
    <w:rsid w:val="00D30FFF"/>
    <w:rsid w:val="00D31946"/>
    <w:rsid w:val="00D357BD"/>
    <w:rsid w:val="00D41370"/>
    <w:rsid w:val="00D448E2"/>
    <w:rsid w:val="00D47B80"/>
    <w:rsid w:val="00D62B8E"/>
    <w:rsid w:val="00D65371"/>
    <w:rsid w:val="00D7227D"/>
    <w:rsid w:val="00D72C62"/>
    <w:rsid w:val="00D833BF"/>
    <w:rsid w:val="00DA4029"/>
    <w:rsid w:val="00DB1B14"/>
    <w:rsid w:val="00DB446E"/>
    <w:rsid w:val="00DC0479"/>
    <w:rsid w:val="00DC6228"/>
    <w:rsid w:val="00DD18AA"/>
    <w:rsid w:val="00DD5E30"/>
    <w:rsid w:val="00DD76B6"/>
    <w:rsid w:val="00DD7D17"/>
    <w:rsid w:val="00DD7E87"/>
    <w:rsid w:val="00DE00B7"/>
    <w:rsid w:val="00DE1F31"/>
    <w:rsid w:val="00DE4173"/>
    <w:rsid w:val="00DE5005"/>
    <w:rsid w:val="00DF26BB"/>
    <w:rsid w:val="00E064D2"/>
    <w:rsid w:val="00E07B65"/>
    <w:rsid w:val="00E1309E"/>
    <w:rsid w:val="00E15069"/>
    <w:rsid w:val="00E222A5"/>
    <w:rsid w:val="00E22F19"/>
    <w:rsid w:val="00E25522"/>
    <w:rsid w:val="00E25E66"/>
    <w:rsid w:val="00E26144"/>
    <w:rsid w:val="00E34942"/>
    <w:rsid w:val="00E4624F"/>
    <w:rsid w:val="00E55558"/>
    <w:rsid w:val="00E555A0"/>
    <w:rsid w:val="00E62820"/>
    <w:rsid w:val="00E64F0C"/>
    <w:rsid w:val="00E72957"/>
    <w:rsid w:val="00E873A9"/>
    <w:rsid w:val="00E96B1F"/>
    <w:rsid w:val="00E96E15"/>
    <w:rsid w:val="00E96E86"/>
    <w:rsid w:val="00EA4C30"/>
    <w:rsid w:val="00EA4E06"/>
    <w:rsid w:val="00EA57C1"/>
    <w:rsid w:val="00EA5B81"/>
    <w:rsid w:val="00EB1848"/>
    <w:rsid w:val="00EB228A"/>
    <w:rsid w:val="00EB76EA"/>
    <w:rsid w:val="00EB78CB"/>
    <w:rsid w:val="00EC00A1"/>
    <w:rsid w:val="00EC05AE"/>
    <w:rsid w:val="00EC0F4A"/>
    <w:rsid w:val="00EC1136"/>
    <w:rsid w:val="00EC3387"/>
    <w:rsid w:val="00EC3DA0"/>
    <w:rsid w:val="00EC6FAC"/>
    <w:rsid w:val="00ED0EF8"/>
    <w:rsid w:val="00ED3DBE"/>
    <w:rsid w:val="00ED57BF"/>
    <w:rsid w:val="00EE1AF1"/>
    <w:rsid w:val="00EE45FD"/>
    <w:rsid w:val="00EE47B8"/>
    <w:rsid w:val="00EE61F9"/>
    <w:rsid w:val="00EF4B0B"/>
    <w:rsid w:val="00EF51AA"/>
    <w:rsid w:val="00EF53AA"/>
    <w:rsid w:val="00F11A33"/>
    <w:rsid w:val="00F11E49"/>
    <w:rsid w:val="00F1491A"/>
    <w:rsid w:val="00F17F6E"/>
    <w:rsid w:val="00F20C74"/>
    <w:rsid w:val="00F262E6"/>
    <w:rsid w:val="00F34EB0"/>
    <w:rsid w:val="00F40CA5"/>
    <w:rsid w:val="00F43188"/>
    <w:rsid w:val="00F46956"/>
    <w:rsid w:val="00F511A5"/>
    <w:rsid w:val="00F5251A"/>
    <w:rsid w:val="00F53888"/>
    <w:rsid w:val="00F649F0"/>
    <w:rsid w:val="00F711DF"/>
    <w:rsid w:val="00F76DD9"/>
    <w:rsid w:val="00F80FCA"/>
    <w:rsid w:val="00F95A74"/>
    <w:rsid w:val="00F95FC0"/>
    <w:rsid w:val="00FA560A"/>
    <w:rsid w:val="00FB2D8A"/>
    <w:rsid w:val="00FB677C"/>
    <w:rsid w:val="00FC21E3"/>
    <w:rsid w:val="00FC3E77"/>
    <w:rsid w:val="00FD7B5F"/>
    <w:rsid w:val="00FE0F42"/>
    <w:rsid w:val="00FF0682"/>
    <w:rsid w:val="00FF430A"/>
    <w:rsid w:val="00FF483D"/>
    <w:rsid w:val="00FF69A3"/>
    <w:rsid w:val="00FF7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85AE"/>
  <w15:chartTrackingRefBased/>
  <w15:docId w15:val="{1D25A90F-CC7A-4CED-A7E2-A825224B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AA2"/>
  </w:style>
  <w:style w:type="paragraph" w:styleId="Footer">
    <w:name w:val="footer"/>
    <w:basedOn w:val="Normal"/>
    <w:link w:val="FooterChar"/>
    <w:uiPriority w:val="99"/>
    <w:unhideWhenUsed/>
    <w:rsid w:val="00534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AA2"/>
  </w:style>
  <w:style w:type="paragraph" w:styleId="Revision">
    <w:name w:val="Revision"/>
    <w:hidden/>
    <w:uiPriority w:val="99"/>
    <w:semiHidden/>
    <w:rsid w:val="00534AA2"/>
    <w:pPr>
      <w:spacing w:after="0" w:line="240" w:lineRule="auto"/>
    </w:pPr>
  </w:style>
  <w:style w:type="character" w:styleId="CommentReference">
    <w:name w:val="annotation reference"/>
    <w:basedOn w:val="DefaultParagraphFont"/>
    <w:uiPriority w:val="99"/>
    <w:semiHidden/>
    <w:unhideWhenUsed/>
    <w:rsid w:val="00C67E3E"/>
    <w:rPr>
      <w:sz w:val="16"/>
      <w:szCs w:val="16"/>
    </w:rPr>
  </w:style>
  <w:style w:type="paragraph" w:styleId="CommentText">
    <w:name w:val="annotation text"/>
    <w:basedOn w:val="Normal"/>
    <w:link w:val="CommentTextChar"/>
    <w:uiPriority w:val="99"/>
    <w:unhideWhenUsed/>
    <w:rsid w:val="00C67E3E"/>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C67E3E"/>
    <w:rPr>
      <w:rFonts w:ascii="Times New Roman" w:hAnsi="Times New Roman"/>
      <w:sz w:val="20"/>
      <w:szCs w:val="20"/>
    </w:rPr>
  </w:style>
  <w:style w:type="paragraph" w:styleId="ListParagraph">
    <w:name w:val="List Paragraph"/>
    <w:basedOn w:val="Normal"/>
    <w:uiPriority w:val="34"/>
    <w:qFormat/>
    <w:rsid w:val="004B74D0"/>
    <w:pPr>
      <w:spacing w:after="200" w:line="276" w:lineRule="auto"/>
      <w:ind w:left="720"/>
      <w:contextualSpacing/>
    </w:pPr>
    <w:rPr>
      <w:rFonts w:ascii="Times New Roman" w:hAnsi="Times New Roman"/>
      <w:sz w:val="24"/>
    </w:rPr>
  </w:style>
  <w:style w:type="character" w:styleId="Strong">
    <w:name w:val="Strong"/>
    <w:basedOn w:val="DefaultParagraphFont"/>
    <w:uiPriority w:val="22"/>
    <w:qFormat/>
    <w:rsid w:val="00501548"/>
    <w:rPr>
      <w:b/>
      <w:bCs/>
    </w:rPr>
  </w:style>
  <w:style w:type="paragraph" w:styleId="NormalWeb">
    <w:name w:val="Normal (Web)"/>
    <w:basedOn w:val="Normal"/>
    <w:uiPriority w:val="99"/>
    <w:unhideWhenUsed/>
    <w:rsid w:val="001D0C48"/>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0F451C"/>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0F451C"/>
    <w:rPr>
      <w:rFonts w:ascii="Times New Roman" w:hAnsi="Times New Roman"/>
      <w:b/>
      <w:bCs/>
      <w:sz w:val="20"/>
      <w:szCs w:val="20"/>
    </w:rPr>
  </w:style>
  <w:style w:type="character" w:styleId="Hyperlink">
    <w:name w:val="Hyperlink"/>
    <w:basedOn w:val="DefaultParagraphFont"/>
    <w:uiPriority w:val="99"/>
    <w:unhideWhenUsed/>
    <w:rsid w:val="00846FC3"/>
    <w:rPr>
      <w:color w:val="0563C1" w:themeColor="hyperlink"/>
      <w:u w:val="single"/>
    </w:rPr>
  </w:style>
  <w:style w:type="character" w:styleId="UnresolvedMention">
    <w:name w:val="Unresolved Mention"/>
    <w:basedOn w:val="DefaultParagraphFont"/>
    <w:uiPriority w:val="99"/>
    <w:semiHidden/>
    <w:unhideWhenUsed/>
    <w:rsid w:val="00846FC3"/>
    <w:rPr>
      <w:color w:val="605E5C"/>
      <w:shd w:val="clear" w:color="auto" w:fill="E1DFDD"/>
    </w:rPr>
  </w:style>
  <w:style w:type="character" w:styleId="Emphasis">
    <w:name w:val="Emphasis"/>
    <w:basedOn w:val="DefaultParagraphFont"/>
    <w:uiPriority w:val="20"/>
    <w:qFormat/>
    <w:rsid w:val="002240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3932">
      <w:bodyDiv w:val="1"/>
      <w:marLeft w:val="0"/>
      <w:marRight w:val="0"/>
      <w:marTop w:val="0"/>
      <w:marBottom w:val="0"/>
      <w:divBdr>
        <w:top w:val="none" w:sz="0" w:space="0" w:color="auto"/>
        <w:left w:val="none" w:sz="0" w:space="0" w:color="auto"/>
        <w:bottom w:val="none" w:sz="0" w:space="0" w:color="auto"/>
        <w:right w:val="none" w:sz="0" w:space="0" w:color="auto"/>
      </w:divBdr>
    </w:div>
    <w:div w:id="33916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jlp.2018.10.005" TargetMode="External"/><Relationship Id="rId21" Type="http://schemas.openxmlformats.org/officeDocument/2006/relationships/hyperlink" Target="https://doi.org/10.31234/osf.io/us4vn" TargetMode="External"/><Relationship Id="rId42" Type="http://schemas.openxmlformats.org/officeDocument/2006/relationships/hyperlink" Target="https://doi.org/10.1111/j.1467-873x.2011.00566.x" TargetMode="External"/><Relationship Id="rId47" Type="http://schemas.openxmlformats.org/officeDocument/2006/relationships/hyperlink" Target="https://doi.org/10.5367/ihe.2012.0076" TargetMode="External"/><Relationship Id="rId63" Type="http://schemas.openxmlformats.org/officeDocument/2006/relationships/hyperlink" Target="https://doi.org/10.1111/j.1751-9020.2007.00008.x" TargetMode="External"/><Relationship Id="rId68" Type="http://schemas.openxmlformats.org/officeDocument/2006/relationships/hyperlink" Target="https://doi.org/10.1093/sf/soad019" TargetMode="External"/><Relationship Id="rId84" Type="http://schemas.openxmlformats.org/officeDocument/2006/relationships/hyperlink" Target="https://doi.org/10.1080/03634523.2020.1857414" TargetMode="External"/><Relationship Id="rId89" Type="http://schemas.openxmlformats.org/officeDocument/2006/relationships/hyperlink" Target="https://doi.org/10.1007/978-3-319-61625-4" TargetMode="External"/><Relationship Id="rId16" Type="http://schemas.openxmlformats.org/officeDocument/2006/relationships/hyperlink" Target="https://nces.ed.gov/forum/dataethicscourse/additional-materials/family-educational-rights.pdf" TargetMode="External"/><Relationship Id="rId11" Type="http://schemas.openxmlformats.org/officeDocument/2006/relationships/hyperlink" Target="http://www.asse.org/assets/1/7/F1Allen_0216.pdf" TargetMode="External"/><Relationship Id="rId32" Type="http://schemas.openxmlformats.org/officeDocument/2006/relationships/hyperlink" Target="https://doi.org/10.1080/15388220.2010.519432" TargetMode="External"/><Relationship Id="rId37" Type="http://schemas.openxmlformats.org/officeDocument/2006/relationships/hyperlink" Target="https://doi.org/10.1080/15388220802074017" TargetMode="External"/><Relationship Id="rId53" Type="http://schemas.openxmlformats.org/officeDocument/2006/relationships/hyperlink" Target="https://www.kent.edu/may-4-historical-accuracy." TargetMode="External"/><Relationship Id="rId58" Type="http://schemas.openxmlformats.org/officeDocument/2006/relationships/hyperlink" Target="https://doi.org/10.1016/j.psc.2016.07.004" TargetMode="External"/><Relationship Id="rId74" Type="http://schemas.openxmlformats.org/officeDocument/2006/relationships/hyperlink" Target="https://doi.org/10.1080/87568225.2012.711146" TargetMode="External"/><Relationship Id="rId79" Type="http://schemas.openxmlformats.org/officeDocument/2006/relationships/hyperlink" Target="http://chronicle.com/article/Campus-SecurityBegins-With/36211"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ccn.loc.gov/2008397165" TargetMode="External"/><Relationship Id="rId95" Type="http://schemas.openxmlformats.org/officeDocument/2006/relationships/hyperlink" Target="mailto:jmonday@utk.edu" TargetMode="External"/><Relationship Id="rId22" Type="http://schemas.openxmlformats.org/officeDocument/2006/relationships/hyperlink" Target="https://www.counseling.org/docs/defaultsource/vistas/Threat_Assessment_Teams.pdf?sfvrsn=10c24a2c_4" TargetMode="External"/><Relationship Id="rId27" Type="http://schemas.openxmlformats.org/officeDocument/2006/relationships/hyperlink" Target="https://doi.org/10.19030/cier.v6i3.7903" TargetMode="External"/><Relationship Id="rId43" Type="http://schemas.openxmlformats.org/officeDocument/2006/relationships/hyperlink" Target="https://ecommons.cornell.edu/handle/1813/73033.%20" TargetMode="External"/><Relationship Id="rId48" Type="http://schemas.openxmlformats.org/officeDocument/2006/relationships/hyperlink" Target="https://doi.org/10.1108/02621719910284440" TargetMode="External"/><Relationship Id="rId64" Type="http://schemas.openxmlformats.org/officeDocument/2006/relationships/hyperlink" Target="https://doi.org/10.1136/ebnurs-2019-103145" TargetMode="External"/><Relationship Id="rId69" Type="http://schemas.openxmlformats.org/officeDocument/2006/relationships/hyperlink" Target="http://infoweb.newsbank.com.proxy.lib.utk.edu:90/apps/readex/doc?p=ARDX&amp;docref=image/v2:0F2B1FCB879B099B@EAIX-104404EBAB44EF50@6991-06E1D25439F6DE0@1." TargetMode="External"/><Relationship Id="rId80" Type="http://schemas.openxmlformats.org/officeDocument/2006/relationships/hyperlink" Target="https://www.secsports.com/article/11067695/about-the-sec-conference" TargetMode="External"/><Relationship Id="rId85" Type="http://schemas.openxmlformats.org/officeDocument/2006/relationships/hyperlink" Target="https://www2.ed.gov/admins/lead/safety/handbook.pdf" TargetMode="External"/><Relationship Id="rId12" Type="http://schemas.openxmlformats.org/officeDocument/2006/relationships/hyperlink" Target="https://search-ebscohost-com.utk.idm.oclc.org/login.aspx?direct=true&amp;db=eric&amp;AN=EJ1086390&amp;scope=site." TargetMode="External"/><Relationship Id="rId17" Type="http://schemas.openxmlformats.org/officeDocument/2006/relationships/hyperlink" Target="http://nau.edu/COE/eJournal/" TargetMode="External"/><Relationship Id="rId25" Type="http://schemas.openxmlformats.org/officeDocument/2006/relationships/hyperlink" Target="https://trace.tennessee.edu/utk_graddiss/6676" TargetMode="External"/><Relationship Id="rId33" Type="http://schemas.openxmlformats.org/officeDocument/2006/relationships/hyperlink" Target="https://doi.org/10.1080/2372966X.2020.1857212" TargetMode="External"/><Relationship Id="rId38" Type="http://schemas.openxmlformats.org/officeDocument/2006/relationships/hyperlink" Target="https://www.fbi.gov/file-repository/active-shooter-incidents-in-the-us-2021-052422.pdf/view" TargetMode="External"/><Relationship Id="rId46" Type="http://schemas.openxmlformats.org/officeDocument/2006/relationships/hyperlink" Target="https://doi.org/10.1177/19312431221111380" TargetMode="External"/><Relationship Id="rId59" Type="http://schemas.openxmlformats.org/officeDocument/2006/relationships/hyperlink" Target="https://doi.org/10.1093/med-psych/9780190940164.001.0001" TargetMode="External"/><Relationship Id="rId67" Type="http://schemas.openxmlformats.org/officeDocument/2006/relationships/hyperlink" Target="https://doi.org/10.1080/87568225.2020.1753609" TargetMode="External"/><Relationship Id="rId103" Type="http://schemas.openxmlformats.org/officeDocument/2006/relationships/theme" Target="theme/theme1.xml"/><Relationship Id="rId20" Type="http://schemas.openxmlformats.org/officeDocument/2006/relationships/hyperlink" Target="https://www.fbi.gov/file-repository/active-shooter-study-2000-2013-1.pdf/view%20" TargetMode="External"/><Relationship Id="rId41" Type="http://schemas.openxmlformats.org/officeDocument/2006/relationships/hyperlink" Target="http://doi:10.1177/1088767913510297" TargetMode="External"/><Relationship Id="rId54" Type="http://schemas.openxmlformats.org/officeDocument/2006/relationships/hyperlink" Target="https://doi.org/10.1177/0013161X231166335" TargetMode="External"/><Relationship Id="rId62" Type="http://schemas.openxmlformats.org/officeDocument/2006/relationships/hyperlink" Target="https://doi.org/10.1007/s40688-018-0188-8" TargetMode="External"/><Relationship Id="rId70" Type="http://schemas.openxmlformats.org/officeDocument/2006/relationships/hyperlink" Target="https://doi.org/10.1080/87568225.2015.1072453" TargetMode="External"/><Relationship Id="rId75" Type="http://schemas.openxmlformats.org/officeDocument/2006/relationships/hyperlink" Target="https://doi.org/10.1002/pits.1007" TargetMode="External"/><Relationship Id="rId83" Type="http://schemas.openxmlformats.org/officeDocument/2006/relationships/hyperlink" Target="https://doi.org/10.1080/15388220.2011.602601" TargetMode="External"/><Relationship Id="rId88" Type="http://schemas.openxmlformats.org/officeDocument/2006/relationships/hyperlink" Target="https://www.hhs.gov/hipaa/for-professionals/privacy/laws-regulations/index.html" TargetMode="External"/><Relationship Id="rId91" Type="http://schemas.openxmlformats.org/officeDocument/2006/relationships/hyperlink" Target="https://doi.org/10.2307/368735" TargetMode="External"/><Relationship Id="rId96" Type="http://schemas.openxmlformats.org/officeDocument/2006/relationships/hyperlink" Target="mailto:jmonday@utk.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902/JPR.2022175848" TargetMode="External"/><Relationship Id="rId23" Type="http://schemas.openxmlformats.org/officeDocument/2006/relationships/hyperlink" Target="https://doi.org/10.3102/0013189x09357620" TargetMode="External"/><Relationship Id="rId28" Type="http://schemas.openxmlformats.org/officeDocument/2006/relationships/hyperlink" Target="https://utk.idm.oclc.org/login?url=https://www-roquest-com.utk.idm.oclc.org/dissertations-theses/managing-threats-examining-intra-organizational/docview/1444307670/se-2?accountid=14766" TargetMode="External"/><Relationship Id="rId36" Type="http://schemas.openxmlformats.org/officeDocument/2006/relationships/hyperlink" Target="https://cra20.humansci.msstate.edu/fulltext.pdf" TargetMode="External"/><Relationship Id="rId49" Type="http://schemas.openxmlformats.org/officeDocument/2006/relationships/hyperlink" Target="http://dx.doi.org/10.1108/09578231111102072." TargetMode="External"/><Relationship Id="rId57" Type="http://schemas.openxmlformats.org/officeDocument/2006/relationships/hyperlink" Target="https://doi.org/10.1080/15388220.2011.578555" TargetMode="External"/><Relationship Id="rId10" Type="http://schemas.openxmlformats.org/officeDocument/2006/relationships/hyperlink" Target="https://doi.org/10.1080/09243450802332184" TargetMode="External"/><Relationship Id="rId31" Type="http://schemas.openxmlformats.org/officeDocument/2006/relationships/hyperlink" Target="https://doi.org/10.1111/1745-9133.12471%20" TargetMode="External"/><Relationship Id="rId44" Type="http://schemas.openxmlformats.org/officeDocument/2006/relationships/hyperlink" Target="http://cx.doi.org/10.1007/s12207-009-9040-9" TargetMode="External"/><Relationship Id="rId52" Type="http://schemas.openxmlformats.org/officeDocument/2006/relationships/hyperlink" Target="www.people-press.org." TargetMode="External"/><Relationship Id="rId60" Type="http://schemas.openxmlformats.org/officeDocument/2006/relationships/hyperlink" Target="https://doi.org/10.1002/bsl.999%20" TargetMode="External"/><Relationship Id="rId65" Type="http://schemas.openxmlformats.org/officeDocument/2006/relationships/hyperlink" Target="https://www.niu.edu/forward/_pdfs/archives/feb14report.pdf" TargetMode="External"/><Relationship Id="rId73" Type="http://schemas.openxmlformats.org/officeDocument/2006/relationships/hyperlink" Target="https://doi.org/10.1177/1473325013506248" TargetMode="External"/><Relationship Id="rId78" Type="http://schemas.openxmlformats.org/officeDocument/2006/relationships/hyperlink" Target="https://utk.idm.oclc.org/login?url=https://www.proquest.com/dissertations-theses/traumatized-trauma-impact-vicarious-on-higher/docview/2046892090/se-2?accountid=14766" TargetMode="External"/><Relationship Id="rId81" Type="http://schemas.openxmlformats.org/officeDocument/2006/relationships/hyperlink" Target="https://www.secsports.com/article/31921323/sec-grants-membership-oklahoma-texas-starting-2025" TargetMode="External"/><Relationship Id="rId86" Type="http://schemas.openxmlformats.org/officeDocument/2006/relationships/hyperlink" Target="https://studentprivacy.ed.gov/faq/what-threat-assessment-team" TargetMode="External"/><Relationship Id="rId94" Type="http://schemas.openxmlformats.org/officeDocument/2006/relationships/hyperlink" Target="https://doi.org/10.2189/asqu.52.1.70" TargetMode="External"/><Relationship Id="rId99" Type="http://schemas.openxmlformats.org/officeDocument/2006/relationships/hyperlink" Target="mailto:jmonday@utk.edu"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b.fbi.gov/2010/february/leb-february-2010" TargetMode="External"/><Relationship Id="rId13" Type="http://schemas.openxmlformats.org/officeDocument/2006/relationships/hyperlink" Target="http://dx.doi.org/10.1300/J035v22n02_02" TargetMode="External"/><Relationship Id="rId18" Type="http://schemas.openxmlformats.org/officeDocument/2006/relationships/hyperlink" Target="https://doi.org/10.2139/ssrn.1010710" TargetMode="External"/><Relationship Id="rId39" Type="http://schemas.openxmlformats.org/officeDocument/2006/relationships/hyperlink" Target="https://doi.org/10.3102/0013189x016007016" TargetMode="External"/><Relationship Id="rId34" Type="http://schemas.openxmlformats.org/officeDocument/2006/relationships/hyperlink" Target="https://doi.org/10.1080/15388220.2019.1703713" TargetMode="External"/><Relationship Id="rId50" Type="http://schemas.openxmlformats.org/officeDocument/2006/relationships/hyperlink" Target="https://abcnews.go.com/US/11-mass-deadly-school-shootings-happened-columbine/story?id=62494128" TargetMode="External"/><Relationship Id="rId55" Type="http://schemas.openxmlformats.org/officeDocument/2006/relationships/hyperlink" Target="https://doi.org/10.1002/abc.21068" TargetMode="External"/><Relationship Id="rId76" Type="http://schemas.openxmlformats.org/officeDocument/2006/relationships/hyperlink" Target="https://doi.org/10.1002/j.1556-6676.1987.tb00732.x" TargetMode="External"/><Relationship Id="rId97" Type="http://schemas.openxmlformats.org/officeDocument/2006/relationships/hyperlink" Target="mailto:jmonday@utk.edu" TargetMode="External"/><Relationship Id="rId7" Type="http://schemas.openxmlformats.org/officeDocument/2006/relationships/endnotes" Target="endnotes.xml"/><Relationship Id="rId71" Type="http://schemas.openxmlformats.org/officeDocument/2006/relationships/hyperlink" Target="https://doi.org/10.1080/87568225.2012.711142" TargetMode="External"/><Relationship Id="rId92" Type="http://schemas.openxmlformats.org/officeDocument/2006/relationships/hyperlink" Target="https://doi.org/10.1093/ojls/gqi003" TargetMode="External"/><Relationship Id="rId2" Type="http://schemas.openxmlformats.org/officeDocument/2006/relationships/numbering" Target="numbering.xml"/><Relationship Id="rId29" Type="http://schemas.openxmlformats.org/officeDocument/2006/relationships/hyperlink" Target="http://www.texasmonthly.com/articles/96-minutes/" TargetMode="External"/><Relationship Id="rId24" Type="http://schemas.openxmlformats.org/officeDocument/2006/relationships/hyperlink" Target="http://www.ncjrs.gov/App/publications/abstract.aspx?ID=203626" TargetMode="External"/><Relationship Id="rId40" Type="http://schemas.openxmlformats.org/officeDocument/2006/relationships/hyperlink" Target="https://doi.org/10.1080/2372966x.2020.1846458" TargetMode="External"/><Relationship Id="rId45" Type="http://schemas.openxmlformats.org/officeDocument/2006/relationships/hyperlink" Target="https://www.chronicle.com/article/campus-fears-drive-boom-in-threat-assessment-teams/?cid2=gen_login_refresh&amp;cid=gen_sign_in" TargetMode="External"/><Relationship Id="rId66" Type="http://schemas.openxmlformats.org/officeDocument/2006/relationships/hyperlink" Target="https://www.fldoe.org/core/fileparse.php/18612/urlt/threatassessment-model-policies.pdf%20" TargetMode="External"/><Relationship Id="rId87" Type="http://schemas.openxmlformats.org/officeDocument/2006/relationships/hyperlink" Target="https://studentprivacy.ed.gov/resources/joint-guidance-application-ferpa-and-hipaa-student-health-records" TargetMode="External"/><Relationship Id="rId61" Type="http://schemas.openxmlformats.org/officeDocument/2006/relationships/hyperlink" Target="http://www.claytoncramer.com/primary/primary.html%23NHMilitiaLaws" TargetMode="External"/><Relationship Id="rId82" Type="http://schemas.openxmlformats.org/officeDocument/2006/relationships/hyperlink" Target="https://doi.org/10.1007/s40596-023-01792-8" TargetMode="External"/><Relationship Id="rId19" Type="http://schemas.openxmlformats.org/officeDocument/2006/relationships/hyperlink" Target="https://doi.org/10.1080/00091383.2013.812462" TargetMode="External"/><Relationship Id="rId14" Type="http://schemas.openxmlformats.org/officeDocument/2006/relationships/hyperlink" Target="https://doi.org/10.3138/jspr.33.2.78" TargetMode="External"/><Relationship Id="rId30" Type="http://schemas.openxmlformats.org/officeDocument/2006/relationships/hyperlink" Target="https://doi.org/10.1080/00091380903448997" TargetMode="External"/><Relationship Id="rId35" Type="http://schemas.openxmlformats.org/officeDocument/2006/relationships/hyperlink" Target="https://doi.org/10.1080/87568225.2011.532470" TargetMode="External"/><Relationship Id="rId56" Type="http://schemas.openxmlformats.org/officeDocument/2006/relationships/hyperlink" Target="https://www.stetson.edu/law/conferences/highered/archive/media/higher-ed-archives-2009/document/i-mcdonald-fundamental-ferpa-pdf.pdf%20" TargetMode="External"/><Relationship Id="rId77" Type="http://schemas.openxmlformats.org/officeDocument/2006/relationships/hyperlink" Target="https://doi.org/10.1056/nejmp078096" TargetMode="External"/><Relationship Id="rId100" Type="http://schemas.openxmlformats.org/officeDocument/2006/relationships/hyperlink" Target="mailto:jmonday@utk.edu" TargetMode="External"/><Relationship Id="rId8" Type="http://schemas.openxmlformats.org/officeDocument/2006/relationships/hyperlink" Target="https://www.dhs.gov/news/2018/03/14/written-testimony-usss-senate-committee-judiciary-hearing-titled-see-something-say" TargetMode="External"/><Relationship Id="rId51" Type="http://schemas.openxmlformats.org/officeDocument/2006/relationships/hyperlink" Target="https://doi.org/10.1080/0144929x.2010.510209" TargetMode="External"/><Relationship Id="rId72" Type="http://schemas.openxmlformats.org/officeDocument/2006/relationships/hyperlink" Target="https://doi.org/10.46743/2160-3715/2006.1666%20" TargetMode="External"/><Relationship Id="rId93" Type="http://schemas.openxmlformats.org/officeDocument/2006/relationships/hyperlink" Target="https://www.who.int/news/item/03-10-2002-first-ever-global-report-on-violence-and-health-released" TargetMode="External"/><Relationship Id="rId98" Type="http://schemas.openxmlformats.org/officeDocument/2006/relationships/hyperlink" Target="mailto:jmonday@utk.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4C14-DF6E-4AC4-A5CD-611CECC7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102</Pages>
  <Words>26817</Words>
  <Characters>152862</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Roe</dc:creator>
  <cp:keywords/>
  <dc:description/>
  <cp:lastModifiedBy>Roe, Julie</cp:lastModifiedBy>
  <cp:revision>47</cp:revision>
  <dcterms:created xsi:type="dcterms:W3CDTF">2023-11-29T22:43:00Z</dcterms:created>
  <dcterms:modified xsi:type="dcterms:W3CDTF">2025-02-22T21:13:00Z</dcterms:modified>
</cp:coreProperties>
</file>